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emf" ContentType="image/x-e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5961E7">
      <w:pPr>
        <w:rPr>
          <w:rFonts w:eastAsia="仿宋_GB2312"/>
          <w:color w:val="auto"/>
          <w:sz w:val="36"/>
          <w:szCs w:val="36"/>
        </w:rPr>
      </w:pPr>
    </w:p>
    <w:p w14:paraId="47F1A7A9">
      <w:pPr>
        <w:pStyle w:val="2"/>
        <w:rPr>
          <w:color w:val="auto"/>
        </w:rPr>
      </w:pPr>
    </w:p>
    <w:p w14:paraId="6B742327">
      <w:pPr>
        <w:rPr>
          <w:rFonts w:eastAsia="仿宋_GB2312"/>
          <w:color w:val="auto"/>
          <w:sz w:val="36"/>
          <w:szCs w:val="36"/>
        </w:rPr>
      </w:pPr>
    </w:p>
    <w:p w14:paraId="251D75AB">
      <w:pPr>
        <w:spacing w:line="360" w:lineRule="auto"/>
        <w:jc w:val="center"/>
        <w:rPr>
          <w:rFonts w:hint="eastAsia" w:eastAsia="宋体"/>
          <w:bCs/>
          <w:color w:val="auto"/>
          <w:sz w:val="48"/>
          <w:szCs w:val="48"/>
          <w:lang w:eastAsia="zh-CN"/>
        </w:rPr>
      </w:pPr>
      <w:r>
        <w:rPr>
          <w:rFonts w:hint="eastAsia"/>
          <w:bCs/>
          <w:color w:val="auto"/>
          <w:sz w:val="48"/>
          <w:szCs w:val="48"/>
          <w:lang w:eastAsia="zh-CN"/>
        </w:rPr>
        <w:t>镶黄旗查干淖尔嘎查集体经济产业发展肉类食品深加工项目</w:t>
      </w:r>
    </w:p>
    <w:p w14:paraId="3810AE86">
      <w:pPr>
        <w:spacing w:line="360" w:lineRule="auto"/>
        <w:jc w:val="center"/>
        <w:rPr>
          <w:bCs/>
          <w:color w:val="auto"/>
          <w:sz w:val="48"/>
          <w:szCs w:val="48"/>
        </w:rPr>
      </w:pPr>
      <w:r>
        <w:rPr>
          <w:bCs/>
          <w:color w:val="auto"/>
          <w:sz w:val="48"/>
          <w:szCs w:val="48"/>
        </w:rPr>
        <w:t>（污染影响类）</w:t>
      </w:r>
    </w:p>
    <w:p w14:paraId="3FA770E4">
      <w:pPr>
        <w:rPr>
          <w:color w:val="auto"/>
        </w:rPr>
      </w:pPr>
    </w:p>
    <w:p w14:paraId="0130223B">
      <w:pPr>
        <w:jc w:val="center"/>
        <w:rPr>
          <w:rFonts w:eastAsia="仿宋"/>
          <w:color w:val="auto"/>
          <w:sz w:val="52"/>
          <w:szCs w:val="52"/>
        </w:rPr>
      </w:pPr>
    </w:p>
    <w:p w14:paraId="56E55264">
      <w:pPr>
        <w:jc w:val="center"/>
        <w:rPr>
          <w:rFonts w:eastAsia="仿宋"/>
          <w:color w:val="auto"/>
          <w:sz w:val="52"/>
          <w:szCs w:val="52"/>
        </w:rPr>
      </w:pPr>
    </w:p>
    <w:p w14:paraId="1B9E2A09">
      <w:pPr>
        <w:ind w:firstLine="1040"/>
        <w:rPr>
          <w:rFonts w:eastAsia="仿宋"/>
          <w:color w:val="auto"/>
          <w:sz w:val="44"/>
          <w:szCs w:val="44"/>
        </w:rPr>
      </w:pPr>
    </w:p>
    <w:p w14:paraId="6BEA55C7">
      <w:pPr>
        <w:pStyle w:val="2"/>
        <w:ind w:firstLine="880"/>
        <w:rPr>
          <w:rFonts w:eastAsia="仿宋"/>
          <w:color w:val="auto"/>
          <w:sz w:val="44"/>
          <w:szCs w:val="44"/>
        </w:rPr>
      </w:pPr>
    </w:p>
    <w:p w14:paraId="0DF28E66">
      <w:pPr>
        <w:rPr>
          <w:color w:val="auto"/>
        </w:rPr>
      </w:pPr>
    </w:p>
    <w:p w14:paraId="3E663DF7">
      <w:pPr>
        <w:ind w:firstLine="1040"/>
        <w:rPr>
          <w:rFonts w:eastAsia="仿宋"/>
          <w:color w:val="auto"/>
          <w:sz w:val="44"/>
          <w:szCs w:val="44"/>
        </w:rPr>
      </w:pPr>
    </w:p>
    <w:p w14:paraId="63F3DC6C">
      <w:pPr>
        <w:ind w:firstLine="1040"/>
        <w:rPr>
          <w:rFonts w:eastAsia="仿宋"/>
          <w:color w:val="auto"/>
          <w:sz w:val="44"/>
          <w:szCs w:val="44"/>
        </w:rPr>
      </w:pPr>
    </w:p>
    <w:p w14:paraId="041E4103">
      <w:pPr>
        <w:ind w:firstLine="1040"/>
        <w:rPr>
          <w:rFonts w:eastAsia="仿宋"/>
          <w:color w:val="auto"/>
          <w:sz w:val="44"/>
          <w:szCs w:val="44"/>
        </w:rPr>
      </w:pPr>
    </w:p>
    <w:p w14:paraId="075F18E5">
      <w:pPr>
        <w:spacing w:line="360" w:lineRule="auto"/>
        <w:ind w:firstLine="300" w:firstLineChars="100"/>
        <w:rPr>
          <w:rFonts w:hint="eastAsia"/>
          <w:color w:val="auto"/>
          <w:sz w:val="30"/>
          <w:szCs w:val="30"/>
          <w:u w:val="single"/>
          <w:lang w:val="en-US" w:eastAsia="zh-CN"/>
        </w:rPr>
      </w:pPr>
      <w:r>
        <w:rPr>
          <w:color w:val="auto"/>
          <w:sz w:val="30"/>
          <w:szCs w:val="30"/>
        </w:rPr>
        <w:t>项目名称：</w:t>
      </w:r>
      <w:r>
        <w:rPr>
          <w:rFonts w:hint="eastAsia"/>
          <w:color w:val="auto"/>
          <w:sz w:val="30"/>
          <w:szCs w:val="30"/>
          <w:u w:val="single"/>
          <w:lang w:val="en-US" w:eastAsia="zh-CN"/>
        </w:rPr>
        <w:t>镶黄旗查干淖尔嘎查集体经济产业发展肉类</w:t>
      </w:r>
    </w:p>
    <w:p w14:paraId="05CFCCBF">
      <w:pPr>
        <w:spacing w:line="360" w:lineRule="auto"/>
        <w:ind w:firstLine="1800" w:firstLineChars="600"/>
        <w:rPr>
          <w:color w:val="auto"/>
          <w:sz w:val="30"/>
          <w:szCs w:val="30"/>
          <w:u w:val="single"/>
        </w:rPr>
      </w:pPr>
      <w:r>
        <w:rPr>
          <w:rFonts w:hint="eastAsia"/>
          <w:color w:val="auto"/>
          <w:sz w:val="30"/>
          <w:szCs w:val="30"/>
          <w:u w:val="single"/>
          <w:lang w:val="en-US" w:eastAsia="zh-CN"/>
        </w:rPr>
        <w:t>食品深加工项目</w:t>
      </w:r>
      <w:r>
        <w:rPr>
          <w:rFonts w:hint="eastAsia"/>
          <w:color w:val="auto"/>
          <w:sz w:val="30"/>
          <w:szCs w:val="30"/>
          <w:u w:val="single"/>
        </w:rPr>
        <w:t xml:space="preserve">  </w:t>
      </w:r>
      <w:r>
        <w:rPr>
          <w:rFonts w:hint="eastAsia"/>
          <w:color w:val="auto"/>
          <w:sz w:val="30"/>
          <w:szCs w:val="30"/>
          <w:u w:val="single"/>
          <w:lang w:val="en-US" w:eastAsia="zh-CN"/>
        </w:rPr>
        <w:t xml:space="preserve">               </w:t>
      </w:r>
      <w:r>
        <w:rPr>
          <w:rFonts w:hint="eastAsia"/>
          <w:color w:val="auto"/>
          <w:sz w:val="30"/>
          <w:szCs w:val="30"/>
          <w:u w:val="single"/>
        </w:rPr>
        <w:t xml:space="preserve">                    </w:t>
      </w:r>
      <w:r>
        <w:rPr>
          <w:rFonts w:hint="eastAsia"/>
          <w:color w:val="auto"/>
          <w:sz w:val="30"/>
          <w:szCs w:val="30"/>
          <w:u w:val="single"/>
          <w:lang w:val="en-US" w:eastAsia="zh-CN"/>
        </w:rPr>
        <w:t xml:space="preserve">        </w:t>
      </w:r>
      <w:r>
        <w:rPr>
          <w:rFonts w:hint="eastAsia"/>
          <w:color w:val="auto"/>
          <w:sz w:val="30"/>
          <w:szCs w:val="30"/>
          <w:u w:val="single"/>
        </w:rPr>
        <w:t xml:space="preserve">  </w:t>
      </w:r>
    </w:p>
    <w:p w14:paraId="725E7631">
      <w:pPr>
        <w:spacing w:line="480" w:lineRule="auto"/>
        <w:ind w:firstLine="300" w:firstLineChars="100"/>
        <w:rPr>
          <w:color w:val="auto"/>
          <w:sz w:val="30"/>
          <w:szCs w:val="30"/>
        </w:rPr>
      </w:pPr>
      <w:r>
        <w:rPr>
          <w:color w:val="auto"/>
          <w:sz w:val="30"/>
          <w:szCs w:val="30"/>
        </w:rPr>
        <w:t>建设单位（盖章）：</w:t>
      </w:r>
      <w:r>
        <w:rPr>
          <w:rFonts w:hint="eastAsia"/>
          <w:color w:val="auto"/>
          <w:sz w:val="30"/>
          <w:szCs w:val="30"/>
          <w:u w:val="single"/>
          <w:lang w:val="en-US" w:eastAsia="zh-CN"/>
        </w:rPr>
        <w:t>锡林郭勒盟蒙润牧野食品有限公司</w:t>
      </w:r>
    </w:p>
    <w:p w14:paraId="38E5176C">
      <w:pPr>
        <w:spacing w:line="480" w:lineRule="auto"/>
        <w:ind w:firstLine="300" w:firstLineChars="100"/>
        <w:rPr>
          <w:color w:val="auto"/>
          <w:sz w:val="30"/>
          <w:szCs w:val="30"/>
        </w:rPr>
      </w:pPr>
      <w:r>
        <w:rPr>
          <w:color w:val="auto"/>
          <w:sz w:val="30"/>
          <w:szCs w:val="30"/>
        </w:rPr>
        <w:t>编制日期：</w:t>
      </w:r>
      <w:r>
        <w:rPr>
          <w:color w:val="auto"/>
          <w:sz w:val="30"/>
          <w:szCs w:val="30"/>
          <w:u w:val="single"/>
        </w:rPr>
        <w:t xml:space="preserve">                   </w:t>
      </w:r>
      <w:r>
        <w:rPr>
          <w:rFonts w:hint="eastAsia"/>
          <w:color w:val="auto"/>
          <w:sz w:val="30"/>
          <w:szCs w:val="30"/>
          <w:u w:val="single"/>
        </w:rPr>
        <w:t xml:space="preserve"> </w:t>
      </w:r>
      <w:r>
        <w:rPr>
          <w:color w:val="auto"/>
          <w:sz w:val="30"/>
          <w:szCs w:val="30"/>
          <w:u w:val="single"/>
        </w:rPr>
        <w:t xml:space="preserve">  </w:t>
      </w:r>
      <w:r>
        <w:rPr>
          <w:rFonts w:hint="eastAsia"/>
          <w:color w:val="auto"/>
          <w:sz w:val="30"/>
          <w:szCs w:val="30"/>
          <w:u w:val="single"/>
        </w:rPr>
        <w:t xml:space="preserve">  </w:t>
      </w:r>
      <w:r>
        <w:rPr>
          <w:color w:val="auto"/>
          <w:sz w:val="30"/>
          <w:szCs w:val="30"/>
          <w:u w:val="single"/>
        </w:rPr>
        <w:t xml:space="preserve">  20</w:t>
      </w:r>
      <w:r>
        <w:rPr>
          <w:rFonts w:hint="eastAsia"/>
          <w:color w:val="auto"/>
          <w:sz w:val="30"/>
          <w:szCs w:val="30"/>
          <w:u w:val="single"/>
        </w:rPr>
        <w:t>2</w:t>
      </w:r>
      <w:r>
        <w:rPr>
          <w:rFonts w:hint="eastAsia"/>
          <w:color w:val="auto"/>
          <w:sz w:val="30"/>
          <w:szCs w:val="30"/>
          <w:u w:val="single"/>
          <w:lang w:val="en-US" w:eastAsia="zh-CN"/>
        </w:rPr>
        <w:t>5</w:t>
      </w:r>
      <w:r>
        <w:rPr>
          <w:color w:val="auto"/>
          <w:sz w:val="30"/>
          <w:szCs w:val="30"/>
          <w:u w:val="single"/>
        </w:rPr>
        <w:t>年</w:t>
      </w:r>
      <w:r>
        <w:rPr>
          <w:rFonts w:hint="eastAsia"/>
          <w:color w:val="auto"/>
          <w:sz w:val="30"/>
          <w:szCs w:val="30"/>
          <w:u w:val="single"/>
          <w:lang w:val="en-US" w:eastAsia="zh-CN"/>
        </w:rPr>
        <w:t>05</w:t>
      </w:r>
      <w:r>
        <w:rPr>
          <w:color w:val="auto"/>
          <w:sz w:val="30"/>
          <w:szCs w:val="30"/>
          <w:u w:val="single"/>
        </w:rPr>
        <w:t xml:space="preserve">月                   </w:t>
      </w:r>
      <w:r>
        <w:rPr>
          <w:rFonts w:hint="eastAsia"/>
          <w:color w:val="auto"/>
          <w:sz w:val="30"/>
          <w:szCs w:val="30"/>
          <w:u w:val="single"/>
        </w:rPr>
        <w:t xml:space="preserve">  </w:t>
      </w:r>
      <w:r>
        <w:rPr>
          <w:color w:val="auto"/>
          <w:sz w:val="30"/>
          <w:szCs w:val="30"/>
          <w:u w:val="single"/>
        </w:rPr>
        <w:t xml:space="preserve">  </w:t>
      </w:r>
      <w:r>
        <w:rPr>
          <w:rFonts w:hint="eastAsia"/>
          <w:color w:val="auto"/>
          <w:sz w:val="30"/>
          <w:szCs w:val="30"/>
          <w:u w:val="single"/>
        </w:rPr>
        <w:t xml:space="preserve">  </w:t>
      </w:r>
    </w:p>
    <w:p w14:paraId="0F71B7F2">
      <w:pPr>
        <w:spacing w:line="288" w:lineRule="auto"/>
        <w:ind w:firstLine="1040"/>
        <w:rPr>
          <w:rFonts w:eastAsia="仿宋_GB2312"/>
          <w:color w:val="auto"/>
          <w:sz w:val="36"/>
          <w:szCs w:val="36"/>
        </w:rPr>
      </w:pPr>
      <w:bookmarkStart w:id="0" w:name="_Hlk57884087"/>
    </w:p>
    <w:bookmarkEnd w:id="0"/>
    <w:p w14:paraId="3D017FC0">
      <w:pPr>
        <w:spacing w:line="288" w:lineRule="auto"/>
        <w:ind w:firstLine="1440" w:firstLineChars="400"/>
        <w:rPr>
          <w:rFonts w:eastAsia="楷体_GB2312"/>
          <w:color w:val="auto"/>
          <w:sz w:val="36"/>
          <w:szCs w:val="36"/>
        </w:rPr>
      </w:pPr>
      <w:r>
        <w:rPr>
          <w:rFonts w:eastAsia="楷体_GB2312"/>
          <w:color w:val="auto"/>
          <w:sz w:val="36"/>
          <w:szCs w:val="36"/>
        </w:rPr>
        <w:t>中华人民共和国生态环境部制</w:t>
      </w:r>
    </w:p>
    <w:p w14:paraId="50284220">
      <w:pPr>
        <w:rPr>
          <w:rFonts w:eastAsia="仿宋_GB2312"/>
          <w:color w:val="auto"/>
          <w:sz w:val="36"/>
          <w:szCs w:val="36"/>
        </w:rPr>
      </w:pPr>
      <w:r>
        <w:rPr>
          <w:rFonts w:eastAsia="仿宋_GB2312"/>
          <w:color w:val="auto"/>
          <w:sz w:val="36"/>
          <w:szCs w:val="36"/>
        </w:rPr>
        <w:br w:type="page"/>
      </w:r>
    </w:p>
    <w:p w14:paraId="1AFFBBDE"/>
    <w:p w14:paraId="49228DD8">
      <w:pPr>
        <w:pStyle w:val="2"/>
        <w:ind w:left="0" w:leftChars="0" w:firstLine="0" w:firstLineChars="0"/>
        <w:sectPr>
          <w:headerReference r:id="rId5" w:type="default"/>
          <w:footerReference r:id="rId6" w:type="default"/>
          <w:footerReference r:id="rId7" w:type="even"/>
          <w:pgSz w:w="11906" w:h="16838"/>
          <w:pgMar w:top="1440" w:right="1800" w:bottom="1440" w:left="1800" w:header="851" w:footer="1077" w:gutter="0"/>
          <w:pgBorders>
            <w:top w:val="none" w:sz="0" w:space="0"/>
            <w:left w:val="none" w:sz="0" w:space="0"/>
            <w:bottom w:val="none" w:sz="0" w:space="0"/>
            <w:right w:val="none" w:sz="0" w:space="0"/>
          </w:pgBorders>
          <w:pgNumType w:start="3"/>
          <w:cols w:space="720" w:num="1"/>
          <w:docGrid w:linePitch="312" w:charSpace="0"/>
        </w:sectPr>
      </w:pPr>
      <w:r>
        <w:drawing>
          <wp:inline distT="0" distB="0" distL="114300" distR="114300">
            <wp:extent cx="5263515" cy="7523480"/>
            <wp:effectExtent l="0" t="0" r="13335" b="1270"/>
            <wp:docPr id="3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6"/>
                    <pic:cNvPicPr>
                      <a:picLocks noChangeAspect="1"/>
                    </pic:cNvPicPr>
                  </pic:nvPicPr>
                  <pic:blipFill>
                    <a:blip r:embed="rId11"/>
                    <a:stretch>
                      <a:fillRect/>
                    </a:stretch>
                  </pic:blipFill>
                  <pic:spPr>
                    <a:xfrm>
                      <a:off x="0" y="0"/>
                      <a:ext cx="5263515" cy="7523480"/>
                    </a:xfrm>
                    <a:prstGeom prst="rect">
                      <a:avLst/>
                    </a:prstGeom>
                    <a:noFill/>
                    <a:ln>
                      <a:noFill/>
                    </a:ln>
                  </pic:spPr>
                </pic:pic>
              </a:graphicData>
            </a:graphic>
          </wp:inline>
        </w:drawing>
      </w:r>
    </w:p>
    <w:p w14:paraId="7A6F2A95">
      <w:pPr>
        <w:pStyle w:val="27"/>
        <w:spacing w:after="120"/>
        <w:outlineLvl w:val="0"/>
        <w:rPr>
          <w:rFonts w:eastAsiaTheme="minorEastAsia"/>
          <w:snapToGrid w:val="0"/>
          <w:color w:val="auto"/>
          <w:sz w:val="30"/>
          <w:szCs w:val="30"/>
        </w:rPr>
      </w:pPr>
      <w:r>
        <w:rPr>
          <w:rFonts w:eastAsiaTheme="minorEastAsia"/>
          <w:snapToGrid w:val="0"/>
          <w:color w:val="auto"/>
          <w:sz w:val="30"/>
          <w:szCs w:val="30"/>
        </w:rPr>
        <w:t>一、建设项目基本情况</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3"/>
        <w:gridCol w:w="1398"/>
        <w:gridCol w:w="947"/>
        <w:gridCol w:w="1661"/>
        <w:gridCol w:w="3323"/>
      </w:tblGrid>
      <w:tr w14:paraId="7B572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 w:hRule="atLeast"/>
        </w:trPr>
        <w:tc>
          <w:tcPr>
            <w:tcW w:w="1193" w:type="dxa"/>
            <w:vAlign w:val="center"/>
          </w:tcPr>
          <w:p w14:paraId="5EB5C131">
            <w:pPr>
              <w:jc w:val="center"/>
              <w:rPr>
                <w:color w:val="auto"/>
                <w:sz w:val="24"/>
              </w:rPr>
            </w:pPr>
            <w:r>
              <w:rPr>
                <w:color w:val="auto"/>
                <w:sz w:val="24"/>
              </w:rPr>
              <w:t>建设项目名称</w:t>
            </w:r>
          </w:p>
        </w:tc>
        <w:tc>
          <w:tcPr>
            <w:tcW w:w="7329" w:type="dxa"/>
            <w:gridSpan w:val="4"/>
            <w:vAlign w:val="center"/>
          </w:tcPr>
          <w:p w14:paraId="5B8F9D44">
            <w:pPr>
              <w:jc w:val="center"/>
              <w:rPr>
                <w:rFonts w:hint="eastAsia" w:eastAsia="宋体"/>
                <w:color w:val="auto"/>
                <w:sz w:val="24"/>
                <w:lang w:eastAsia="zh-CN"/>
              </w:rPr>
            </w:pPr>
            <w:r>
              <w:rPr>
                <w:rFonts w:hint="eastAsia"/>
                <w:color w:val="auto"/>
                <w:sz w:val="24"/>
                <w:lang w:eastAsia="zh-CN"/>
              </w:rPr>
              <w:t>镶黄旗查干淖尔嘎查集体经济产业发展肉类食品深加工项目</w:t>
            </w:r>
          </w:p>
        </w:tc>
      </w:tr>
      <w:tr w14:paraId="5E4CE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93" w:type="dxa"/>
            <w:vAlign w:val="center"/>
          </w:tcPr>
          <w:p w14:paraId="4965313E">
            <w:pPr>
              <w:jc w:val="center"/>
              <w:rPr>
                <w:color w:val="auto"/>
                <w:sz w:val="24"/>
              </w:rPr>
            </w:pPr>
            <w:r>
              <w:rPr>
                <w:color w:val="auto"/>
                <w:sz w:val="24"/>
              </w:rPr>
              <w:t>项目代码</w:t>
            </w:r>
          </w:p>
        </w:tc>
        <w:tc>
          <w:tcPr>
            <w:tcW w:w="7329" w:type="dxa"/>
            <w:gridSpan w:val="4"/>
            <w:vAlign w:val="center"/>
          </w:tcPr>
          <w:p w14:paraId="29BA207A">
            <w:pPr>
              <w:jc w:val="center"/>
              <w:rPr>
                <w:rFonts w:hint="eastAsia" w:eastAsia="宋体"/>
                <w:color w:val="auto"/>
                <w:sz w:val="24"/>
                <w:lang w:eastAsia="zh-CN"/>
              </w:rPr>
            </w:pPr>
            <w:r>
              <w:rPr>
                <w:rFonts w:hint="eastAsia" w:eastAsia="宋体"/>
                <w:color w:val="auto"/>
                <w:sz w:val="24"/>
                <w:lang w:eastAsia="zh-CN"/>
              </w:rPr>
              <w:t>2408-152528-04-01-570954</w:t>
            </w:r>
          </w:p>
        </w:tc>
      </w:tr>
      <w:tr w14:paraId="3526F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193" w:type="dxa"/>
            <w:vAlign w:val="center"/>
          </w:tcPr>
          <w:p w14:paraId="7B22F13F">
            <w:pPr>
              <w:jc w:val="center"/>
              <w:rPr>
                <w:color w:val="auto"/>
                <w:sz w:val="24"/>
              </w:rPr>
            </w:pPr>
            <w:r>
              <w:rPr>
                <w:color w:val="auto"/>
                <w:sz w:val="24"/>
              </w:rPr>
              <w:t>建设单位联系人</w:t>
            </w:r>
          </w:p>
        </w:tc>
        <w:tc>
          <w:tcPr>
            <w:tcW w:w="1398" w:type="dxa"/>
            <w:vAlign w:val="center"/>
          </w:tcPr>
          <w:p w14:paraId="45AC9732">
            <w:pPr>
              <w:jc w:val="center"/>
              <w:rPr>
                <w:rFonts w:hint="eastAsia" w:eastAsia="宋体"/>
                <w:color w:val="auto"/>
                <w:sz w:val="24"/>
                <w:lang w:eastAsia="zh-CN"/>
              </w:rPr>
            </w:pPr>
            <w:r>
              <w:rPr>
                <w:rFonts w:hint="eastAsia" w:eastAsia="宋体"/>
                <w:color w:val="auto"/>
                <w:sz w:val="24"/>
                <w:lang w:eastAsia="zh-CN"/>
              </w:rPr>
              <w:t>巴乙尔吉日嘎</w:t>
            </w:r>
          </w:p>
        </w:tc>
        <w:tc>
          <w:tcPr>
            <w:tcW w:w="2608" w:type="dxa"/>
            <w:gridSpan w:val="2"/>
            <w:vAlign w:val="center"/>
          </w:tcPr>
          <w:p w14:paraId="1A163761">
            <w:pPr>
              <w:jc w:val="center"/>
              <w:rPr>
                <w:color w:val="auto"/>
                <w:sz w:val="24"/>
              </w:rPr>
            </w:pPr>
            <w:r>
              <w:rPr>
                <w:color w:val="auto"/>
                <w:sz w:val="24"/>
              </w:rPr>
              <w:t>联系方式</w:t>
            </w:r>
          </w:p>
        </w:tc>
        <w:tc>
          <w:tcPr>
            <w:tcW w:w="3323" w:type="dxa"/>
            <w:vAlign w:val="center"/>
          </w:tcPr>
          <w:p w14:paraId="315BBC32">
            <w:pPr>
              <w:jc w:val="center"/>
              <w:rPr>
                <w:rFonts w:hint="eastAsia" w:eastAsia="宋体"/>
                <w:color w:val="auto"/>
                <w:sz w:val="24"/>
                <w:lang w:eastAsia="zh-CN"/>
              </w:rPr>
            </w:pPr>
            <w:r>
              <w:rPr>
                <w:rFonts w:hint="eastAsia" w:eastAsia="宋体"/>
                <w:color w:val="auto"/>
                <w:sz w:val="24"/>
                <w:lang w:eastAsia="zh-CN"/>
              </w:rPr>
              <w:t>18747919633</w:t>
            </w:r>
          </w:p>
        </w:tc>
      </w:tr>
      <w:tr w14:paraId="35D2B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1193" w:type="dxa"/>
            <w:vAlign w:val="center"/>
          </w:tcPr>
          <w:p w14:paraId="46FBEF84">
            <w:pPr>
              <w:jc w:val="center"/>
              <w:rPr>
                <w:color w:val="auto"/>
                <w:sz w:val="24"/>
              </w:rPr>
            </w:pPr>
            <w:r>
              <w:rPr>
                <w:color w:val="auto"/>
                <w:sz w:val="24"/>
              </w:rPr>
              <w:t>建设地点</w:t>
            </w:r>
          </w:p>
        </w:tc>
        <w:tc>
          <w:tcPr>
            <w:tcW w:w="7329" w:type="dxa"/>
            <w:gridSpan w:val="4"/>
            <w:vAlign w:val="center"/>
          </w:tcPr>
          <w:p w14:paraId="444DA161">
            <w:pPr>
              <w:widowControl/>
              <w:jc w:val="center"/>
              <w:rPr>
                <w:color w:val="auto"/>
                <w:sz w:val="24"/>
                <w:szCs w:val="21"/>
                <w:u w:val="single"/>
              </w:rPr>
            </w:pPr>
            <w:r>
              <w:rPr>
                <w:color w:val="auto"/>
                <w:sz w:val="24"/>
                <w:u w:val="none"/>
              </w:rPr>
              <w:t>内蒙古自治区</w:t>
            </w:r>
            <w:r>
              <w:rPr>
                <w:rFonts w:hint="eastAsia"/>
                <w:color w:val="auto"/>
                <w:sz w:val="24"/>
                <w:szCs w:val="21"/>
                <w:u w:val="none"/>
                <w:lang w:val="en-US" w:eastAsia="zh-CN"/>
              </w:rPr>
              <w:t>锡林郭勒盟镶黄旗新宝拉格镇</w:t>
            </w:r>
          </w:p>
        </w:tc>
      </w:tr>
      <w:tr w14:paraId="569E3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93" w:type="dxa"/>
            <w:vAlign w:val="center"/>
          </w:tcPr>
          <w:p w14:paraId="37EF3869">
            <w:pPr>
              <w:jc w:val="center"/>
              <w:rPr>
                <w:color w:val="auto"/>
                <w:sz w:val="24"/>
              </w:rPr>
            </w:pPr>
            <w:r>
              <w:rPr>
                <w:color w:val="auto"/>
                <w:sz w:val="24"/>
              </w:rPr>
              <w:t>地理坐标</w:t>
            </w:r>
          </w:p>
        </w:tc>
        <w:tc>
          <w:tcPr>
            <w:tcW w:w="7329" w:type="dxa"/>
            <w:gridSpan w:val="4"/>
            <w:vAlign w:val="center"/>
          </w:tcPr>
          <w:p w14:paraId="0A0538E1">
            <w:pPr>
              <w:jc w:val="center"/>
              <w:rPr>
                <w:color w:val="auto"/>
              </w:rPr>
            </w:pPr>
            <w:r>
              <w:rPr>
                <w:color w:val="auto"/>
                <w:sz w:val="24"/>
                <w:szCs w:val="21"/>
              </w:rPr>
              <w:t>经度：</w:t>
            </w:r>
            <w:r>
              <w:rPr>
                <w:rFonts w:hint="default" w:ascii="Times New Roman" w:hAnsi="Times New Roman" w:cs="Times New Roman"/>
                <w:color w:val="auto"/>
                <w:sz w:val="24"/>
                <w:szCs w:val="21"/>
              </w:rPr>
              <w:t>113°50′46.052″E</w:t>
            </w:r>
            <w:r>
              <w:rPr>
                <w:color w:val="auto"/>
                <w:sz w:val="24"/>
                <w:szCs w:val="21"/>
              </w:rPr>
              <w:t>，纬度：</w:t>
            </w:r>
            <w:r>
              <w:rPr>
                <w:rFonts w:hint="default" w:ascii="Times New Roman" w:hAnsi="Times New Roman" w:cs="Times New Roman"/>
                <w:color w:val="auto"/>
                <w:sz w:val="24"/>
                <w:szCs w:val="21"/>
              </w:rPr>
              <w:t>42°14′35.67</w:t>
            </w:r>
            <w:r>
              <w:rPr>
                <w:rFonts w:hint="eastAsia" w:cs="Times New Roman"/>
                <w:color w:val="auto"/>
                <w:sz w:val="24"/>
                <w:szCs w:val="21"/>
                <w:lang w:val="en-US" w:eastAsia="zh-CN"/>
              </w:rPr>
              <w:t>2</w:t>
            </w:r>
            <w:r>
              <w:rPr>
                <w:rFonts w:hint="default" w:ascii="Times New Roman" w:hAnsi="Times New Roman" w:cs="Times New Roman"/>
                <w:color w:val="auto"/>
                <w:sz w:val="24"/>
                <w:szCs w:val="21"/>
              </w:rPr>
              <w:t>″</w:t>
            </w:r>
            <w:r>
              <w:rPr>
                <w:color w:val="auto"/>
                <w:sz w:val="24"/>
                <w:szCs w:val="21"/>
              </w:rPr>
              <w:t>N。</w:t>
            </w:r>
          </w:p>
        </w:tc>
      </w:tr>
      <w:tr w14:paraId="0098A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93" w:type="dxa"/>
            <w:vAlign w:val="center"/>
          </w:tcPr>
          <w:p w14:paraId="7AA79E9F">
            <w:pPr>
              <w:jc w:val="center"/>
              <w:rPr>
                <w:color w:val="auto"/>
                <w:sz w:val="24"/>
              </w:rPr>
            </w:pPr>
            <w:r>
              <w:rPr>
                <w:color w:val="auto"/>
                <w:sz w:val="24"/>
              </w:rPr>
              <w:t>国民经济</w:t>
            </w:r>
          </w:p>
          <w:p w14:paraId="3C721CD3">
            <w:pPr>
              <w:jc w:val="center"/>
              <w:rPr>
                <w:color w:val="auto"/>
                <w:sz w:val="24"/>
              </w:rPr>
            </w:pPr>
            <w:r>
              <w:rPr>
                <w:color w:val="auto"/>
                <w:sz w:val="24"/>
              </w:rPr>
              <w:t>行业类别</w:t>
            </w:r>
          </w:p>
        </w:tc>
        <w:tc>
          <w:tcPr>
            <w:tcW w:w="2345" w:type="dxa"/>
            <w:gridSpan w:val="2"/>
            <w:vAlign w:val="center"/>
          </w:tcPr>
          <w:p w14:paraId="28483708">
            <w:pPr>
              <w:jc w:val="center"/>
              <w:rPr>
                <w:color w:val="auto"/>
                <w:sz w:val="24"/>
              </w:rPr>
            </w:pPr>
            <w:r>
              <w:rPr>
                <w:rFonts w:hint="default"/>
                <w:color w:val="auto"/>
                <w:sz w:val="24"/>
                <w:lang w:val="en-US" w:eastAsia="zh-CN"/>
              </w:rPr>
              <w:t xml:space="preserve">C1353 </w:t>
            </w:r>
            <w:r>
              <w:rPr>
                <w:rFonts w:hint="eastAsia"/>
                <w:color w:val="auto"/>
                <w:sz w:val="24"/>
                <w:lang w:val="en-US" w:eastAsia="zh-CN"/>
              </w:rPr>
              <w:t>肉制品及副产品加工；</w:t>
            </w:r>
          </w:p>
          <w:p w14:paraId="6EC27232">
            <w:pPr>
              <w:jc w:val="center"/>
              <w:rPr>
                <w:color w:val="auto"/>
                <w:sz w:val="24"/>
              </w:rPr>
            </w:pPr>
            <w:r>
              <w:rPr>
                <w:rFonts w:hint="default"/>
                <w:color w:val="auto"/>
                <w:sz w:val="24"/>
                <w:lang w:val="en-US" w:eastAsia="zh-CN"/>
              </w:rPr>
              <w:t>C1451</w:t>
            </w:r>
            <w:r>
              <w:rPr>
                <w:rFonts w:hint="eastAsia"/>
                <w:color w:val="auto"/>
                <w:sz w:val="24"/>
                <w:lang w:val="en-US" w:eastAsia="zh-CN"/>
              </w:rPr>
              <w:t>肉、禽类罐头制造</w:t>
            </w:r>
          </w:p>
        </w:tc>
        <w:tc>
          <w:tcPr>
            <w:tcW w:w="1661" w:type="dxa"/>
            <w:vAlign w:val="center"/>
          </w:tcPr>
          <w:p w14:paraId="3E46F359">
            <w:pPr>
              <w:jc w:val="center"/>
              <w:rPr>
                <w:color w:val="auto"/>
                <w:sz w:val="24"/>
              </w:rPr>
            </w:pPr>
            <w:bookmarkStart w:id="1" w:name="_Hlk49843745"/>
            <w:r>
              <w:rPr>
                <w:color w:val="auto"/>
                <w:sz w:val="24"/>
              </w:rPr>
              <w:t>建设项目</w:t>
            </w:r>
          </w:p>
          <w:p w14:paraId="27C32AC6">
            <w:pPr>
              <w:jc w:val="center"/>
              <w:rPr>
                <w:color w:val="auto"/>
                <w:sz w:val="24"/>
              </w:rPr>
            </w:pPr>
            <w:r>
              <w:rPr>
                <w:color w:val="auto"/>
                <w:sz w:val="24"/>
              </w:rPr>
              <w:t>行业类别</w:t>
            </w:r>
            <w:bookmarkEnd w:id="1"/>
          </w:p>
        </w:tc>
        <w:tc>
          <w:tcPr>
            <w:tcW w:w="3323" w:type="dxa"/>
            <w:vAlign w:val="center"/>
          </w:tcPr>
          <w:p w14:paraId="52A2EE36">
            <w:pPr>
              <w:numPr>
                <w:ilvl w:val="0"/>
                <w:numId w:val="0"/>
              </w:numPr>
              <w:rPr>
                <w:rFonts w:hint="default" w:eastAsia="宋体"/>
                <w:color w:val="auto"/>
                <w:sz w:val="24"/>
                <w:lang w:val="en-US" w:eastAsia="zh-CN"/>
              </w:rPr>
            </w:pPr>
            <w:bookmarkStart w:id="2" w:name="OLE_LINK4"/>
            <w:r>
              <w:rPr>
                <w:rFonts w:hint="eastAsia" w:cs="Times New Roman"/>
                <w:color w:val="auto"/>
                <w:kern w:val="2"/>
                <w:sz w:val="24"/>
                <w:szCs w:val="24"/>
                <w:lang w:val="en-US" w:eastAsia="zh-CN" w:bidi="ar-SA"/>
              </w:rPr>
              <w:t>十、农副产品加工业13—18屠宰及肉类加工135—其他肉类加工；</w:t>
            </w:r>
            <w:r>
              <w:rPr>
                <w:rFonts w:hint="eastAsia" w:ascii="Times New Roman" w:hAnsi="Times New Roman" w:eastAsia="宋体" w:cs="Times New Roman"/>
                <w:color w:val="auto"/>
                <w:kern w:val="2"/>
                <w:sz w:val="24"/>
                <w:szCs w:val="24"/>
                <w:lang w:val="en-US" w:eastAsia="zh-CN" w:bidi="ar-SA"/>
              </w:rPr>
              <w:t>十一、</w:t>
            </w:r>
            <w:r>
              <w:rPr>
                <w:color w:val="auto"/>
                <w:sz w:val="24"/>
              </w:rPr>
              <w:t>食品</w:t>
            </w:r>
            <w:r>
              <w:rPr>
                <w:rFonts w:hint="eastAsia"/>
                <w:color w:val="auto"/>
                <w:sz w:val="24"/>
                <w:lang w:val="en-US" w:eastAsia="zh-CN"/>
              </w:rPr>
              <w:t>制造</w:t>
            </w:r>
            <w:r>
              <w:rPr>
                <w:color w:val="auto"/>
                <w:sz w:val="24"/>
              </w:rPr>
              <w:t>业1</w:t>
            </w:r>
            <w:r>
              <w:rPr>
                <w:rFonts w:hint="eastAsia"/>
                <w:color w:val="auto"/>
                <w:sz w:val="24"/>
                <w:lang w:val="en-US" w:eastAsia="zh-CN"/>
              </w:rPr>
              <w:t>4—21</w:t>
            </w:r>
            <w:r>
              <w:rPr>
                <w:color w:val="auto"/>
                <w:sz w:val="24"/>
              </w:rPr>
              <w:t>罐头食品制造145</w:t>
            </w:r>
            <w:r>
              <w:rPr>
                <w:rFonts w:hint="eastAsia"/>
                <w:color w:val="auto"/>
                <w:sz w:val="24"/>
                <w:lang w:val="en-US" w:eastAsia="zh-CN"/>
              </w:rPr>
              <w:t>-除单独分装的外</w:t>
            </w:r>
            <w:bookmarkEnd w:id="2"/>
          </w:p>
        </w:tc>
      </w:tr>
      <w:tr w14:paraId="44710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93" w:type="dxa"/>
            <w:vAlign w:val="center"/>
          </w:tcPr>
          <w:p w14:paraId="635F9DD1">
            <w:pPr>
              <w:jc w:val="center"/>
              <w:rPr>
                <w:color w:val="auto"/>
                <w:sz w:val="24"/>
              </w:rPr>
            </w:pPr>
            <w:r>
              <w:rPr>
                <w:color w:val="auto"/>
                <w:sz w:val="24"/>
              </w:rPr>
              <w:t>建设性质</w:t>
            </w:r>
          </w:p>
        </w:tc>
        <w:tc>
          <w:tcPr>
            <w:tcW w:w="2345" w:type="dxa"/>
            <w:gridSpan w:val="2"/>
            <w:vAlign w:val="center"/>
          </w:tcPr>
          <w:p w14:paraId="09C55D81">
            <w:pPr>
              <w:jc w:val="center"/>
              <w:rPr>
                <w:color w:val="auto"/>
                <w:sz w:val="24"/>
              </w:rPr>
            </w:pPr>
            <w:r>
              <w:rPr>
                <w:color w:val="auto"/>
                <w:sz w:val="24"/>
              </w:rPr>
              <w:sym w:font="Wingdings 2" w:char="0052"/>
            </w:r>
            <w:r>
              <w:rPr>
                <w:color w:val="auto"/>
                <w:sz w:val="24"/>
              </w:rPr>
              <w:t>新建（迁建）</w:t>
            </w:r>
          </w:p>
          <w:p w14:paraId="11D3C441">
            <w:pPr>
              <w:jc w:val="center"/>
              <w:rPr>
                <w:color w:val="auto"/>
                <w:sz w:val="24"/>
              </w:rPr>
            </w:pPr>
            <w:r>
              <w:rPr>
                <w:color w:val="auto"/>
                <w:sz w:val="24"/>
              </w:rPr>
              <w:sym w:font="Wingdings 2" w:char="00A3"/>
            </w:r>
            <w:r>
              <w:rPr>
                <w:color w:val="auto"/>
                <w:sz w:val="24"/>
              </w:rPr>
              <w:t>改建</w:t>
            </w:r>
          </w:p>
          <w:p w14:paraId="44585466">
            <w:pPr>
              <w:jc w:val="center"/>
              <w:rPr>
                <w:color w:val="auto"/>
                <w:sz w:val="24"/>
              </w:rPr>
            </w:pPr>
            <w:r>
              <w:rPr>
                <w:color w:val="auto"/>
                <w:sz w:val="24"/>
              </w:rPr>
              <w:sym w:font="Wingdings 2" w:char="00A3"/>
            </w:r>
            <w:r>
              <w:rPr>
                <w:color w:val="auto"/>
                <w:sz w:val="24"/>
              </w:rPr>
              <w:t>扩建</w:t>
            </w:r>
          </w:p>
          <w:p w14:paraId="5ABDA2EF">
            <w:pPr>
              <w:jc w:val="center"/>
              <w:rPr>
                <w:color w:val="auto"/>
                <w:sz w:val="24"/>
              </w:rPr>
            </w:pPr>
            <w:r>
              <w:rPr>
                <w:color w:val="auto"/>
                <w:sz w:val="24"/>
              </w:rPr>
              <w:t>□技术改造</w:t>
            </w:r>
          </w:p>
        </w:tc>
        <w:tc>
          <w:tcPr>
            <w:tcW w:w="1661" w:type="dxa"/>
            <w:vAlign w:val="center"/>
          </w:tcPr>
          <w:p w14:paraId="7D1F01C4">
            <w:pPr>
              <w:jc w:val="center"/>
              <w:rPr>
                <w:color w:val="auto"/>
                <w:sz w:val="24"/>
              </w:rPr>
            </w:pPr>
            <w:r>
              <w:rPr>
                <w:color w:val="auto"/>
                <w:sz w:val="24"/>
              </w:rPr>
              <w:t>建设项目</w:t>
            </w:r>
          </w:p>
          <w:p w14:paraId="0C3E546A">
            <w:pPr>
              <w:jc w:val="center"/>
              <w:rPr>
                <w:color w:val="auto"/>
                <w:sz w:val="24"/>
              </w:rPr>
            </w:pPr>
            <w:r>
              <w:rPr>
                <w:color w:val="auto"/>
                <w:sz w:val="24"/>
              </w:rPr>
              <w:t>申报情形</w:t>
            </w:r>
          </w:p>
        </w:tc>
        <w:tc>
          <w:tcPr>
            <w:tcW w:w="3323" w:type="dxa"/>
            <w:vAlign w:val="center"/>
          </w:tcPr>
          <w:p w14:paraId="79EE659A">
            <w:pPr>
              <w:jc w:val="center"/>
              <w:rPr>
                <w:color w:val="auto"/>
                <w:sz w:val="24"/>
              </w:rPr>
            </w:pPr>
            <w:r>
              <w:rPr>
                <w:color w:val="auto"/>
                <w:sz w:val="24"/>
              </w:rPr>
              <w:sym w:font="Wingdings 2" w:char="0052"/>
            </w:r>
            <w:r>
              <w:rPr>
                <w:color w:val="auto"/>
                <w:sz w:val="24"/>
              </w:rPr>
              <w:t>首次申报项目</w:t>
            </w:r>
          </w:p>
          <w:p w14:paraId="18533D79">
            <w:pPr>
              <w:jc w:val="center"/>
              <w:rPr>
                <w:color w:val="auto"/>
                <w:sz w:val="24"/>
              </w:rPr>
            </w:pPr>
            <w:r>
              <w:rPr>
                <w:color w:val="auto"/>
                <w:sz w:val="24"/>
              </w:rPr>
              <w:t>□不予批准后再次申报项目</w:t>
            </w:r>
          </w:p>
          <w:p w14:paraId="434952C6">
            <w:pPr>
              <w:jc w:val="center"/>
              <w:rPr>
                <w:color w:val="auto"/>
                <w:sz w:val="24"/>
              </w:rPr>
            </w:pPr>
            <w:r>
              <w:rPr>
                <w:color w:val="auto"/>
                <w:sz w:val="24"/>
              </w:rPr>
              <w:t>□超五年重新审核项目</w:t>
            </w:r>
          </w:p>
          <w:p w14:paraId="7FF72E38">
            <w:pPr>
              <w:jc w:val="center"/>
              <w:rPr>
                <w:color w:val="auto"/>
                <w:sz w:val="24"/>
              </w:rPr>
            </w:pPr>
            <w:r>
              <w:rPr>
                <w:color w:val="auto"/>
                <w:sz w:val="24"/>
              </w:rPr>
              <w:t>□重大变动重新报批项目</w:t>
            </w:r>
          </w:p>
        </w:tc>
      </w:tr>
      <w:tr w14:paraId="43844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1193" w:type="dxa"/>
            <w:vAlign w:val="center"/>
          </w:tcPr>
          <w:p w14:paraId="71433487">
            <w:pPr>
              <w:jc w:val="center"/>
              <w:rPr>
                <w:color w:val="auto"/>
                <w:sz w:val="24"/>
              </w:rPr>
            </w:pPr>
            <w:r>
              <w:rPr>
                <w:color w:val="auto"/>
                <w:sz w:val="24"/>
              </w:rPr>
              <w:t>项目审批（核准/</w:t>
            </w:r>
          </w:p>
          <w:p w14:paraId="464E307D">
            <w:pPr>
              <w:jc w:val="center"/>
              <w:rPr>
                <w:color w:val="auto"/>
                <w:sz w:val="24"/>
              </w:rPr>
            </w:pPr>
            <w:r>
              <w:rPr>
                <w:color w:val="auto"/>
                <w:sz w:val="24"/>
              </w:rPr>
              <w:t>备案）部门（选填）</w:t>
            </w:r>
          </w:p>
        </w:tc>
        <w:tc>
          <w:tcPr>
            <w:tcW w:w="2345" w:type="dxa"/>
            <w:gridSpan w:val="2"/>
            <w:vAlign w:val="center"/>
          </w:tcPr>
          <w:p w14:paraId="79369896">
            <w:pPr>
              <w:jc w:val="center"/>
              <w:rPr>
                <w:color w:val="auto"/>
                <w:sz w:val="24"/>
              </w:rPr>
            </w:pPr>
            <w:r>
              <w:rPr>
                <w:color w:val="auto"/>
                <w:sz w:val="24"/>
              </w:rPr>
              <w:t>/</w:t>
            </w:r>
          </w:p>
        </w:tc>
        <w:tc>
          <w:tcPr>
            <w:tcW w:w="1661" w:type="dxa"/>
            <w:vAlign w:val="center"/>
          </w:tcPr>
          <w:p w14:paraId="4BE03DD7">
            <w:pPr>
              <w:jc w:val="center"/>
              <w:rPr>
                <w:color w:val="auto"/>
                <w:sz w:val="24"/>
              </w:rPr>
            </w:pPr>
            <w:r>
              <w:rPr>
                <w:color w:val="auto"/>
                <w:sz w:val="24"/>
              </w:rPr>
              <w:t>项目审批（核准/</w:t>
            </w:r>
          </w:p>
          <w:p w14:paraId="57633F20">
            <w:pPr>
              <w:jc w:val="center"/>
              <w:rPr>
                <w:color w:val="auto"/>
                <w:sz w:val="24"/>
              </w:rPr>
            </w:pPr>
            <w:r>
              <w:rPr>
                <w:color w:val="auto"/>
                <w:sz w:val="24"/>
              </w:rPr>
              <w:t>备案）文号（选填）</w:t>
            </w:r>
          </w:p>
        </w:tc>
        <w:tc>
          <w:tcPr>
            <w:tcW w:w="3323" w:type="dxa"/>
            <w:vAlign w:val="center"/>
          </w:tcPr>
          <w:p w14:paraId="5FA4C857">
            <w:pPr>
              <w:jc w:val="center"/>
              <w:rPr>
                <w:color w:val="auto"/>
                <w:sz w:val="24"/>
              </w:rPr>
            </w:pPr>
            <w:r>
              <w:rPr>
                <w:color w:val="auto"/>
                <w:sz w:val="24"/>
              </w:rPr>
              <w:t>/</w:t>
            </w:r>
          </w:p>
        </w:tc>
      </w:tr>
      <w:tr w14:paraId="2B070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93" w:type="dxa"/>
            <w:vAlign w:val="center"/>
          </w:tcPr>
          <w:p w14:paraId="4C8E94D1">
            <w:pPr>
              <w:jc w:val="center"/>
              <w:rPr>
                <w:color w:val="auto"/>
                <w:sz w:val="24"/>
              </w:rPr>
            </w:pPr>
            <w:r>
              <w:rPr>
                <w:color w:val="auto"/>
                <w:sz w:val="24"/>
              </w:rPr>
              <w:t>总投资（万元）</w:t>
            </w:r>
          </w:p>
        </w:tc>
        <w:tc>
          <w:tcPr>
            <w:tcW w:w="2345" w:type="dxa"/>
            <w:gridSpan w:val="2"/>
            <w:vAlign w:val="center"/>
          </w:tcPr>
          <w:p w14:paraId="43E6A1BD">
            <w:pPr>
              <w:jc w:val="center"/>
              <w:rPr>
                <w:rFonts w:hint="default" w:eastAsia="宋体"/>
                <w:color w:val="auto"/>
                <w:lang w:val="en-US" w:eastAsia="zh-CN"/>
              </w:rPr>
            </w:pPr>
            <w:r>
              <w:rPr>
                <w:rFonts w:hint="eastAsia"/>
                <w:color w:val="auto"/>
                <w:sz w:val="24"/>
                <w:lang w:val="en-US" w:eastAsia="zh-CN"/>
              </w:rPr>
              <w:t>460</w:t>
            </w:r>
          </w:p>
        </w:tc>
        <w:tc>
          <w:tcPr>
            <w:tcW w:w="1661" w:type="dxa"/>
            <w:vAlign w:val="center"/>
          </w:tcPr>
          <w:p w14:paraId="79D506DC">
            <w:pPr>
              <w:jc w:val="center"/>
              <w:rPr>
                <w:color w:val="auto"/>
                <w:sz w:val="24"/>
              </w:rPr>
            </w:pPr>
            <w:r>
              <w:rPr>
                <w:color w:val="auto"/>
                <w:sz w:val="24"/>
              </w:rPr>
              <w:t>环保投资（万元）</w:t>
            </w:r>
          </w:p>
        </w:tc>
        <w:tc>
          <w:tcPr>
            <w:tcW w:w="3323" w:type="dxa"/>
            <w:vAlign w:val="center"/>
          </w:tcPr>
          <w:p w14:paraId="10588465">
            <w:pPr>
              <w:jc w:val="center"/>
              <w:rPr>
                <w:rFonts w:hint="default" w:eastAsia="宋体"/>
                <w:color w:val="auto"/>
                <w:sz w:val="24"/>
                <w:lang w:val="en-US" w:eastAsia="zh-CN"/>
              </w:rPr>
            </w:pPr>
            <w:r>
              <w:rPr>
                <w:rFonts w:hint="eastAsia"/>
                <w:color w:val="auto"/>
                <w:sz w:val="24"/>
                <w:lang w:val="en-US" w:eastAsia="zh-CN"/>
              </w:rPr>
              <w:t>13</w:t>
            </w:r>
          </w:p>
        </w:tc>
      </w:tr>
      <w:tr w14:paraId="18353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93" w:type="dxa"/>
            <w:vAlign w:val="center"/>
          </w:tcPr>
          <w:p w14:paraId="46D9BDB4">
            <w:pPr>
              <w:jc w:val="center"/>
              <w:rPr>
                <w:color w:val="auto"/>
                <w:sz w:val="24"/>
              </w:rPr>
            </w:pPr>
            <w:r>
              <w:rPr>
                <w:color w:val="auto"/>
                <w:sz w:val="24"/>
              </w:rPr>
              <w:t>环保投资占比（%）</w:t>
            </w:r>
          </w:p>
        </w:tc>
        <w:tc>
          <w:tcPr>
            <w:tcW w:w="2345" w:type="dxa"/>
            <w:gridSpan w:val="2"/>
            <w:vAlign w:val="center"/>
          </w:tcPr>
          <w:p w14:paraId="61F33CA4">
            <w:pPr>
              <w:jc w:val="center"/>
              <w:rPr>
                <w:rFonts w:hint="eastAsia" w:eastAsia="宋体"/>
                <w:color w:val="auto"/>
                <w:sz w:val="24"/>
                <w:lang w:val="en-US" w:eastAsia="zh-CN"/>
              </w:rPr>
            </w:pPr>
            <w:r>
              <w:rPr>
                <w:rFonts w:hint="eastAsia"/>
                <w:color w:val="auto"/>
                <w:sz w:val="24"/>
                <w:lang w:val="en-US" w:eastAsia="zh-CN"/>
              </w:rPr>
              <w:t>2</w:t>
            </w:r>
            <w:r>
              <w:rPr>
                <w:rFonts w:hint="eastAsia"/>
                <w:color w:val="auto"/>
                <w:sz w:val="24"/>
              </w:rPr>
              <w:t>.8</w:t>
            </w:r>
            <w:r>
              <w:rPr>
                <w:rFonts w:hint="eastAsia"/>
                <w:color w:val="auto"/>
                <w:sz w:val="24"/>
                <w:lang w:val="en-US" w:eastAsia="zh-CN"/>
              </w:rPr>
              <w:t>3</w:t>
            </w:r>
          </w:p>
        </w:tc>
        <w:tc>
          <w:tcPr>
            <w:tcW w:w="1661" w:type="dxa"/>
            <w:vAlign w:val="center"/>
          </w:tcPr>
          <w:p w14:paraId="5B691EC6">
            <w:pPr>
              <w:jc w:val="center"/>
              <w:rPr>
                <w:color w:val="auto"/>
                <w:sz w:val="24"/>
              </w:rPr>
            </w:pPr>
            <w:r>
              <w:rPr>
                <w:color w:val="auto"/>
                <w:sz w:val="24"/>
              </w:rPr>
              <w:t>施工工期</w:t>
            </w:r>
          </w:p>
        </w:tc>
        <w:tc>
          <w:tcPr>
            <w:tcW w:w="3323" w:type="dxa"/>
            <w:vAlign w:val="center"/>
          </w:tcPr>
          <w:p w14:paraId="3FCD8408">
            <w:pPr>
              <w:jc w:val="center"/>
              <w:rPr>
                <w:color w:val="auto"/>
              </w:rPr>
            </w:pPr>
            <w:r>
              <w:rPr>
                <w:rFonts w:hint="eastAsia"/>
                <w:color w:val="auto"/>
                <w:sz w:val="24"/>
                <w:lang w:val="en-US" w:eastAsia="zh-CN"/>
              </w:rPr>
              <w:t>5</w:t>
            </w:r>
            <w:r>
              <w:rPr>
                <w:rFonts w:hint="eastAsia"/>
                <w:color w:val="auto"/>
                <w:sz w:val="24"/>
              </w:rPr>
              <w:t>月</w:t>
            </w:r>
          </w:p>
        </w:tc>
      </w:tr>
      <w:tr w14:paraId="7BFF0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93" w:type="dxa"/>
            <w:vAlign w:val="center"/>
          </w:tcPr>
          <w:p w14:paraId="671A8C4A">
            <w:pPr>
              <w:jc w:val="center"/>
              <w:rPr>
                <w:color w:val="auto"/>
                <w:sz w:val="24"/>
              </w:rPr>
            </w:pPr>
            <w:r>
              <w:rPr>
                <w:color w:val="auto"/>
                <w:sz w:val="24"/>
              </w:rPr>
              <w:t>是否开工建设</w:t>
            </w:r>
          </w:p>
        </w:tc>
        <w:tc>
          <w:tcPr>
            <w:tcW w:w="2345" w:type="dxa"/>
            <w:gridSpan w:val="2"/>
            <w:vAlign w:val="center"/>
          </w:tcPr>
          <w:p w14:paraId="50FA6DF0">
            <w:pPr>
              <w:jc w:val="left"/>
              <w:rPr>
                <w:color w:val="auto"/>
                <w:szCs w:val="21"/>
              </w:rPr>
            </w:pPr>
            <w:r>
              <w:rPr>
                <w:color w:val="auto"/>
                <w:szCs w:val="21"/>
              </w:rPr>
              <w:sym w:font="Wingdings 2" w:char="0052"/>
            </w:r>
            <w:r>
              <w:rPr>
                <w:color w:val="auto"/>
                <w:szCs w:val="21"/>
              </w:rPr>
              <w:t>否</w:t>
            </w:r>
          </w:p>
          <w:p w14:paraId="5FE770F5">
            <w:pPr>
              <w:jc w:val="left"/>
              <w:rPr>
                <w:color w:val="auto"/>
                <w:sz w:val="24"/>
              </w:rPr>
            </w:pPr>
            <w:r>
              <w:rPr>
                <w:color w:val="auto"/>
                <w:szCs w:val="21"/>
              </w:rPr>
              <w:sym w:font="Wingdings 2" w:char="00A3"/>
            </w:r>
          </w:p>
        </w:tc>
        <w:tc>
          <w:tcPr>
            <w:tcW w:w="1661" w:type="dxa"/>
            <w:vAlign w:val="center"/>
          </w:tcPr>
          <w:p w14:paraId="23736E5B">
            <w:pPr>
              <w:jc w:val="center"/>
              <w:rPr>
                <w:color w:val="auto"/>
                <w:sz w:val="24"/>
              </w:rPr>
            </w:pPr>
            <w:r>
              <w:rPr>
                <w:color w:val="auto"/>
                <w:spacing w:val="-6"/>
                <w:sz w:val="24"/>
              </w:rPr>
              <w:t>用地面积（m²）</w:t>
            </w:r>
          </w:p>
        </w:tc>
        <w:tc>
          <w:tcPr>
            <w:tcW w:w="3323" w:type="dxa"/>
            <w:vAlign w:val="center"/>
          </w:tcPr>
          <w:p w14:paraId="48F135A7">
            <w:pPr>
              <w:jc w:val="center"/>
              <w:rPr>
                <w:rFonts w:hint="default" w:eastAsia="宋体"/>
                <w:color w:val="auto"/>
                <w:highlight w:val="yellow"/>
                <w:lang w:val="en-US" w:eastAsia="zh-CN"/>
              </w:rPr>
            </w:pPr>
            <w:r>
              <w:rPr>
                <w:rStyle w:val="37"/>
                <w:rFonts w:hint="eastAsia"/>
                <w:color w:val="auto"/>
                <w:kern w:val="0"/>
                <w:sz w:val="24"/>
                <w:lang w:val="en-US" w:eastAsia="zh-CN"/>
              </w:rPr>
              <w:t>2000</w:t>
            </w:r>
          </w:p>
        </w:tc>
      </w:tr>
      <w:tr w14:paraId="4FCDD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193" w:type="dxa"/>
            <w:vAlign w:val="center"/>
          </w:tcPr>
          <w:p w14:paraId="0AF823F1">
            <w:pPr>
              <w:autoSpaceDE w:val="0"/>
              <w:autoSpaceDN w:val="0"/>
              <w:jc w:val="center"/>
              <w:rPr>
                <w:color w:val="auto"/>
                <w:kern w:val="0"/>
                <w:sz w:val="24"/>
              </w:rPr>
            </w:pPr>
            <w:r>
              <w:rPr>
                <w:color w:val="auto"/>
                <w:kern w:val="0"/>
                <w:sz w:val="24"/>
              </w:rPr>
              <w:t>专项评价设置情况</w:t>
            </w:r>
          </w:p>
        </w:tc>
        <w:tc>
          <w:tcPr>
            <w:tcW w:w="7329" w:type="dxa"/>
            <w:gridSpan w:val="4"/>
            <w:vAlign w:val="center"/>
          </w:tcPr>
          <w:p w14:paraId="729E75B1">
            <w:pPr>
              <w:pStyle w:val="68"/>
              <w:ind w:firstLine="0" w:firstLineChars="0"/>
              <w:jc w:val="center"/>
              <w:rPr>
                <w:rFonts w:cs="Times New Roman"/>
                <w:color w:val="auto"/>
              </w:rPr>
            </w:pPr>
            <w:r>
              <w:rPr>
                <w:rFonts w:cs="Times New Roman"/>
                <w:color w:val="auto"/>
              </w:rPr>
              <w:t>无</w:t>
            </w:r>
          </w:p>
        </w:tc>
      </w:tr>
      <w:tr w14:paraId="65AB5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93" w:type="dxa"/>
            <w:vAlign w:val="center"/>
          </w:tcPr>
          <w:p w14:paraId="1063D294">
            <w:pPr>
              <w:autoSpaceDE w:val="0"/>
              <w:autoSpaceDN w:val="0"/>
              <w:jc w:val="center"/>
              <w:rPr>
                <w:color w:val="auto"/>
                <w:kern w:val="0"/>
                <w:sz w:val="24"/>
              </w:rPr>
            </w:pPr>
            <w:r>
              <w:rPr>
                <w:color w:val="auto"/>
                <w:sz w:val="24"/>
              </w:rPr>
              <w:t>规划情况</w:t>
            </w:r>
          </w:p>
        </w:tc>
        <w:tc>
          <w:tcPr>
            <w:tcW w:w="7329" w:type="dxa"/>
            <w:gridSpan w:val="4"/>
            <w:vAlign w:val="center"/>
          </w:tcPr>
          <w:p w14:paraId="13A0D36D">
            <w:pPr>
              <w:pStyle w:val="68"/>
              <w:ind w:firstLine="0" w:firstLineChars="0"/>
              <w:jc w:val="center"/>
              <w:rPr>
                <w:rFonts w:hint="eastAsia" w:cs="Times New Roman"/>
                <w:color w:val="auto"/>
                <w:lang w:val="en-US" w:eastAsia="zh-CN"/>
              </w:rPr>
            </w:pPr>
            <w:r>
              <w:rPr>
                <w:rFonts w:hint="eastAsia" w:cs="Times New Roman"/>
                <w:color w:val="auto"/>
                <w:lang w:val="en-US" w:eastAsia="zh-CN"/>
              </w:rPr>
              <w:t>无</w:t>
            </w:r>
          </w:p>
        </w:tc>
      </w:tr>
      <w:tr w14:paraId="2263D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193" w:type="dxa"/>
            <w:vAlign w:val="center"/>
          </w:tcPr>
          <w:p w14:paraId="2B1ABAEC">
            <w:pPr>
              <w:jc w:val="center"/>
              <w:rPr>
                <w:color w:val="auto"/>
                <w:kern w:val="0"/>
                <w:sz w:val="24"/>
              </w:rPr>
            </w:pPr>
            <w:r>
              <w:rPr>
                <w:color w:val="auto"/>
                <w:sz w:val="24"/>
              </w:rPr>
              <w:t>规划环境影响评价情况</w:t>
            </w:r>
          </w:p>
        </w:tc>
        <w:tc>
          <w:tcPr>
            <w:tcW w:w="7329" w:type="dxa"/>
            <w:gridSpan w:val="4"/>
            <w:vAlign w:val="center"/>
          </w:tcPr>
          <w:p w14:paraId="6B4480E3">
            <w:pPr>
              <w:pStyle w:val="68"/>
              <w:ind w:firstLine="0" w:firstLineChars="0"/>
              <w:jc w:val="center"/>
              <w:rPr>
                <w:rFonts w:cs="Times New Roman"/>
                <w:color w:val="auto"/>
              </w:rPr>
            </w:pPr>
            <w:r>
              <w:rPr>
                <w:rFonts w:cs="Times New Roman"/>
                <w:color w:val="auto"/>
              </w:rPr>
              <w:t>无</w:t>
            </w:r>
          </w:p>
        </w:tc>
      </w:tr>
      <w:tr w14:paraId="2D7AE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13" w:hRule="atLeast"/>
        </w:trPr>
        <w:tc>
          <w:tcPr>
            <w:tcW w:w="1193" w:type="dxa"/>
            <w:vAlign w:val="center"/>
          </w:tcPr>
          <w:p w14:paraId="0AB028AF">
            <w:pPr>
              <w:jc w:val="center"/>
              <w:rPr>
                <w:color w:val="auto"/>
              </w:rPr>
            </w:pPr>
            <w:r>
              <w:rPr>
                <w:color w:val="auto"/>
                <w:sz w:val="24"/>
              </w:rPr>
              <w:t>规划及规划环境影响评价符合性分析</w:t>
            </w:r>
          </w:p>
        </w:tc>
        <w:tc>
          <w:tcPr>
            <w:tcW w:w="7329" w:type="dxa"/>
            <w:gridSpan w:val="4"/>
            <w:vAlign w:val="center"/>
          </w:tcPr>
          <w:p w14:paraId="75D053B7">
            <w:pPr>
              <w:numPr>
                <w:ilvl w:val="0"/>
                <w:numId w:val="1"/>
              </w:numPr>
              <w:autoSpaceDE w:val="0"/>
              <w:autoSpaceDN w:val="0"/>
              <w:ind w:firstLine="480" w:firstLineChars="200"/>
              <w:rPr>
                <w:rFonts w:hint="eastAsia" w:cs="Times New Roman"/>
                <w:color w:val="auto"/>
                <w:sz w:val="24"/>
                <w:lang w:val="en-US" w:eastAsia="zh-CN"/>
              </w:rPr>
            </w:pPr>
            <w:r>
              <w:rPr>
                <w:rFonts w:hint="eastAsia"/>
                <w:color w:val="auto"/>
                <w:kern w:val="0"/>
                <w:sz w:val="24"/>
                <w:lang w:val="en-US" w:eastAsia="zh-CN"/>
              </w:rPr>
              <w:t>本项目与</w:t>
            </w:r>
            <w:r>
              <w:rPr>
                <w:rFonts w:hint="eastAsia" w:ascii="Times New Roman" w:hAnsi="Times New Roman" w:eastAsia="宋体" w:cs="Times New Roman"/>
                <w:color w:val="auto"/>
                <w:sz w:val="24"/>
                <w:lang w:val="en-US" w:eastAsia="zh-CN"/>
              </w:rPr>
              <w:t>《镶黄旗国土空间总体规划（2021-2035）》</w:t>
            </w:r>
            <w:r>
              <w:rPr>
                <w:rFonts w:hint="eastAsia" w:cs="Times New Roman"/>
                <w:color w:val="auto"/>
                <w:sz w:val="24"/>
                <w:lang w:val="en-US" w:eastAsia="zh-CN"/>
              </w:rPr>
              <w:t>符合性分析；</w:t>
            </w:r>
          </w:p>
          <w:p w14:paraId="1169DF71">
            <w:pPr>
              <w:pStyle w:val="43"/>
              <w:keepNext w:val="0"/>
              <w:keepLines w:val="0"/>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default"/>
                <w:lang w:val="en-US" w:eastAsia="zh-CN"/>
              </w:rPr>
            </w:pPr>
            <w:r>
              <w:rPr>
                <w:b/>
                <w:color w:val="auto"/>
                <w:sz w:val="21"/>
                <w:szCs w:val="21"/>
              </w:rPr>
              <w:t>表1</w:t>
            </w:r>
            <w:r>
              <w:rPr>
                <w:rFonts w:hint="eastAsia"/>
                <w:b/>
                <w:color w:val="auto"/>
                <w:sz w:val="21"/>
                <w:szCs w:val="21"/>
              </w:rPr>
              <w:t>-</w:t>
            </w:r>
            <w:r>
              <w:rPr>
                <w:rFonts w:hint="eastAsia"/>
                <w:b/>
                <w:color w:val="auto"/>
                <w:sz w:val="21"/>
                <w:szCs w:val="21"/>
                <w:lang w:val="en-US" w:eastAsia="zh-CN"/>
              </w:rPr>
              <w:t>1</w:t>
            </w:r>
            <w:r>
              <w:rPr>
                <w:b/>
                <w:color w:val="auto"/>
                <w:sz w:val="21"/>
                <w:szCs w:val="21"/>
              </w:rPr>
              <w:t xml:space="preserve">   </w:t>
            </w:r>
            <w:r>
              <w:rPr>
                <w:rFonts w:hint="eastAsia"/>
                <w:b/>
                <w:color w:val="auto"/>
                <w:sz w:val="21"/>
                <w:szCs w:val="21"/>
              </w:rPr>
              <w:t>与《镶黄旗国土空间总体规划（2021-2035）》符合性分析</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68"/>
              <w:gridCol w:w="1514"/>
              <w:gridCol w:w="921"/>
            </w:tblGrid>
            <w:tr w14:paraId="5A677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8" w:type="dxa"/>
                  <w:vAlign w:val="center"/>
                </w:tcPr>
                <w:p w14:paraId="5045CC93">
                  <w:pPr>
                    <w:autoSpaceDE w:val="0"/>
                    <w:autoSpaceDN w:val="0"/>
                    <w:jc w:val="center"/>
                    <w:rPr>
                      <w:rFonts w:hint="default" w:ascii="Times New Roman" w:hAnsi="Times New Roman" w:eastAsia="宋体" w:cs="Times New Roman"/>
                      <w:color w:val="auto"/>
                      <w:kern w:val="0"/>
                      <w:sz w:val="21"/>
                      <w:szCs w:val="21"/>
                      <w:vertAlign w:val="baseline"/>
                      <w:lang w:val="en-US" w:eastAsia="zh-CN"/>
                    </w:rPr>
                  </w:pPr>
                  <w:r>
                    <w:rPr>
                      <w:rFonts w:hint="default" w:ascii="Times New Roman" w:hAnsi="Times New Roman" w:eastAsia="宋体" w:cs="Times New Roman"/>
                      <w:color w:val="auto"/>
                      <w:sz w:val="21"/>
                      <w:szCs w:val="21"/>
                      <w:lang w:val="en-US" w:eastAsia="zh-CN"/>
                    </w:rPr>
                    <w:t>《镶黄旗国土空间总体规划（2021-2035）》</w:t>
                  </w:r>
                </w:p>
              </w:tc>
              <w:tc>
                <w:tcPr>
                  <w:tcW w:w="1514" w:type="dxa"/>
                  <w:vAlign w:val="center"/>
                </w:tcPr>
                <w:p w14:paraId="16CE1939">
                  <w:pPr>
                    <w:autoSpaceDE w:val="0"/>
                    <w:autoSpaceDN w:val="0"/>
                    <w:jc w:val="center"/>
                    <w:rPr>
                      <w:rFonts w:hint="default" w:ascii="Times New Roman" w:hAnsi="Times New Roman" w:eastAsia="宋体" w:cs="Times New Roman"/>
                      <w:color w:val="auto"/>
                      <w:kern w:val="0"/>
                      <w:sz w:val="21"/>
                      <w:szCs w:val="21"/>
                      <w:vertAlign w:val="baseline"/>
                      <w:lang w:val="en-US" w:eastAsia="zh-CN"/>
                    </w:rPr>
                  </w:pPr>
                  <w:r>
                    <w:rPr>
                      <w:rFonts w:hint="default" w:ascii="Times New Roman" w:hAnsi="Times New Roman" w:eastAsia="宋体" w:cs="Times New Roman"/>
                      <w:color w:val="auto"/>
                      <w:kern w:val="0"/>
                      <w:sz w:val="21"/>
                      <w:szCs w:val="21"/>
                      <w:vertAlign w:val="baseline"/>
                      <w:lang w:val="en-US" w:eastAsia="zh-CN"/>
                    </w:rPr>
                    <w:t>本项目</w:t>
                  </w:r>
                </w:p>
              </w:tc>
              <w:tc>
                <w:tcPr>
                  <w:tcW w:w="921" w:type="dxa"/>
                  <w:vAlign w:val="center"/>
                </w:tcPr>
                <w:p w14:paraId="2D9F0307">
                  <w:pPr>
                    <w:autoSpaceDE w:val="0"/>
                    <w:autoSpaceDN w:val="0"/>
                    <w:jc w:val="center"/>
                    <w:rPr>
                      <w:rFonts w:hint="default" w:ascii="Times New Roman" w:hAnsi="Times New Roman" w:eastAsia="宋体" w:cs="Times New Roman"/>
                      <w:color w:val="auto"/>
                      <w:kern w:val="0"/>
                      <w:sz w:val="21"/>
                      <w:szCs w:val="21"/>
                      <w:vertAlign w:val="baseline"/>
                      <w:lang w:val="en-US" w:eastAsia="zh-CN"/>
                    </w:rPr>
                  </w:pPr>
                  <w:r>
                    <w:rPr>
                      <w:rFonts w:hint="default" w:ascii="Times New Roman" w:hAnsi="Times New Roman" w:eastAsia="宋体" w:cs="Times New Roman"/>
                      <w:color w:val="auto"/>
                      <w:kern w:val="0"/>
                      <w:sz w:val="21"/>
                      <w:szCs w:val="21"/>
                      <w:vertAlign w:val="baseline"/>
                      <w:lang w:val="en-US" w:eastAsia="zh-CN"/>
                    </w:rPr>
                    <w:t>符合性</w:t>
                  </w:r>
                </w:p>
              </w:tc>
            </w:tr>
            <w:tr w14:paraId="3554A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8" w:type="dxa"/>
                  <w:vAlign w:val="center"/>
                </w:tcPr>
                <w:p w14:paraId="30F463C0">
                  <w:pPr>
                    <w:keepNext w:val="0"/>
                    <w:keepLines w:val="0"/>
                    <w:widowControl/>
                    <w:suppressLineNumbers w:val="0"/>
                    <w:jc w:val="left"/>
                    <w:rPr>
                      <w:rFonts w:hint="default" w:ascii="Times New Roman" w:hAnsi="Times New Roman" w:eastAsia="宋体" w:cs="Times New Roman"/>
                      <w:color w:val="auto"/>
                      <w:kern w:val="0"/>
                      <w:sz w:val="21"/>
                      <w:szCs w:val="21"/>
                      <w:vertAlign w:val="baseline"/>
                      <w:lang w:val="en-US" w:eastAsia="zh-CN"/>
                    </w:rPr>
                  </w:pPr>
                  <w:r>
                    <w:rPr>
                      <w:rFonts w:hint="eastAsia" w:ascii="宋体" w:hAnsi="宋体" w:eastAsia="宋体" w:cs="宋体"/>
                      <w:color w:val="auto"/>
                      <w:kern w:val="0"/>
                      <w:sz w:val="21"/>
                      <w:szCs w:val="21"/>
                      <w:lang w:val="en-US" w:eastAsia="zh-CN" w:bidi="ar"/>
                    </w:rPr>
                    <w:t>总体定位为：绿色畜产品生产加工基地，草原文化深度体验旅游度假基地，锡林郭勒盟西南部现代物流重要节点。</w:t>
                  </w:r>
                </w:p>
              </w:tc>
              <w:tc>
                <w:tcPr>
                  <w:tcW w:w="1514" w:type="dxa"/>
                  <w:vAlign w:val="center"/>
                </w:tcPr>
                <w:p w14:paraId="1482F070">
                  <w:pPr>
                    <w:autoSpaceDE w:val="0"/>
                    <w:autoSpaceDN w:val="0"/>
                    <w:jc w:val="left"/>
                    <w:rPr>
                      <w:rFonts w:hint="default" w:ascii="Times New Roman" w:hAnsi="Times New Roman" w:eastAsia="宋体" w:cs="Times New Roman"/>
                      <w:color w:val="auto"/>
                      <w:kern w:val="0"/>
                      <w:sz w:val="21"/>
                      <w:szCs w:val="21"/>
                      <w:vertAlign w:val="baseline"/>
                      <w:lang w:val="en-US" w:eastAsia="zh-CN"/>
                    </w:rPr>
                  </w:pPr>
                  <w:r>
                    <w:rPr>
                      <w:rFonts w:hint="eastAsia" w:ascii="Times New Roman" w:hAnsi="Times New Roman" w:eastAsia="宋体" w:cs="Times New Roman"/>
                      <w:color w:val="auto"/>
                      <w:kern w:val="0"/>
                      <w:sz w:val="21"/>
                      <w:szCs w:val="21"/>
                      <w:vertAlign w:val="baseline"/>
                      <w:lang w:val="en-US" w:eastAsia="zh-CN"/>
                    </w:rPr>
                    <w:t>本项目为肉类加工、罐头食品制造项目，属于畜产品加工项目。</w:t>
                  </w:r>
                </w:p>
              </w:tc>
              <w:tc>
                <w:tcPr>
                  <w:tcW w:w="921" w:type="dxa"/>
                  <w:vAlign w:val="center"/>
                </w:tcPr>
                <w:p w14:paraId="203B86A2">
                  <w:pPr>
                    <w:autoSpaceDE w:val="0"/>
                    <w:autoSpaceDN w:val="0"/>
                    <w:jc w:val="center"/>
                    <w:rPr>
                      <w:rFonts w:hint="default" w:ascii="Times New Roman" w:hAnsi="Times New Roman" w:eastAsia="宋体" w:cs="Times New Roman"/>
                      <w:color w:val="auto"/>
                      <w:kern w:val="0"/>
                      <w:sz w:val="21"/>
                      <w:szCs w:val="21"/>
                      <w:vertAlign w:val="baseline"/>
                      <w:lang w:val="en-US" w:eastAsia="zh-CN"/>
                    </w:rPr>
                  </w:pPr>
                  <w:r>
                    <w:rPr>
                      <w:rFonts w:hint="eastAsia" w:ascii="Times New Roman" w:hAnsi="Times New Roman" w:eastAsia="宋体" w:cs="Times New Roman"/>
                      <w:color w:val="auto"/>
                      <w:kern w:val="0"/>
                      <w:sz w:val="21"/>
                      <w:szCs w:val="21"/>
                      <w:vertAlign w:val="baseline"/>
                      <w:lang w:val="en-US" w:eastAsia="zh-CN"/>
                    </w:rPr>
                    <w:t>符合</w:t>
                  </w:r>
                </w:p>
              </w:tc>
            </w:tr>
            <w:tr w14:paraId="5497D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8" w:type="dxa"/>
                  <w:vAlign w:val="center"/>
                </w:tcPr>
                <w:p w14:paraId="1BE77531">
                  <w:pPr>
                    <w:keepNext w:val="0"/>
                    <w:keepLines w:val="0"/>
                    <w:widowControl/>
                    <w:suppressLineNumbers w:val="0"/>
                    <w:jc w:val="left"/>
                    <w:rPr>
                      <w:rFonts w:hint="default" w:ascii="Times New Roman" w:hAnsi="Times New Roman" w:eastAsia="宋体" w:cs="Times New Roman"/>
                      <w:color w:val="auto"/>
                      <w:kern w:val="0"/>
                      <w:sz w:val="21"/>
                      <w:szCs w:val="21"/>
                      <w:vertAlign w:val="baseline"/>
                      <w:lang w:val="en-US" w:eastAsia="zh-CN"/>
                    </w:rPr>
                  </w:pPr>
                  <w:r>
                    <w:rPr>
                      <w:rFonts w:hint="default" w:ascii="Times New Roman" w:hAnsi="Times New Roman" w:eastAsia="宋体" w:cs="Times New Roman"/>
                      <w:color w:val="auto"/>
                      <w:kern w:val="0"/>
                      <w:sz w:val="21"/>
                      <w:szCs w:val="21"/>
                      <w:lang w:val="en-US" w:eastAsia="zh-CN" w:bidi="ar"/>
                    </w:rPr>
                    <w:t>2035</w:t>
                  </w:r>
                  <w:r>
                    <w:rPr>
                      <w:rFonts w:hint="eastAsia" w:ascii="宋体" w:hAnsi="宋体" w:eastAsia="宋体" w:cs="宋体"/>
                      <w:color w:val="auto"/>
                      <w:kern w:val="0"/>
                      <w:sz w:val="21"/>
                      <w:szCs w:val="21"/>
                      <w:lang w:val="en-US" w:eastAsia="zh-CN" w:bidi="ar"/>
                    </w:rPr>
                    <w:t>年发展目标：综合实现整体跨越，建设成为绿色畜产品加工与清洁能源输出引领与示范区，在</w:t>
                  </w:r>
                  <w:r>
                    <w:rPr>
                      <w:rFonts w:hint="default" w:ascii="Times New Roman" w:hAnsi="Times New Roman" w:eastAsia="宋体" w:cs="Times New Roman"/>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中蒙俄经济走廊</w:t>
                  </w:r>
                  <w:r>
                    <w:rPr>
                      <w:rFonts w:hint="default" w:ascii="Times New Roman" w:hAnsi="Times New Roman" w:eastAsia="宋体" w:cs="Times New Roman"/>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协同发展中发挥重要节点城镇作用全域旅游带动力显著提升，与锡盟南部周边旗县共同形成完整的旅游产业体系。</w:t>
                  </w:r>
                </w:p>
              </w:tc>
              <w:tc>
                <w:tcPr>
                  <w:tcW w:w="1514" w:type="dxa"/>
                  <w:vAlign w:val="center"/>
                </w:tcPr>
                <w:p w14:paraId="1060057E">
                  <w:pPr>
                    <w:autoSpaceDE w:val="0"/>
                    <w:autoSpaceDN w:val="0"/>
                    <w:jc w:val="left"/>
                    <w:rPr>
                      <w:rFonts w:hint="default" w:ascii="Times New Roman" w:hAnsi="Times New Roman" w:eastAsia="宋体" w:cs="Times New Roman"/>
                      <w:color w:val="auto"/>
                      <w:kern w:val="0"/>
                      <w:sz w:val="21"/>
                      <w:szCs w:val="21"/>
                      <w:vertAlign w:val="baseline"/>
                      <w:lang w:val="en-US" w:eastAsia="zh-CN"/>
                    </w:rPr>
                  </w:pPr>
                  <w:r>
                    <w:rPr>
                      <w:rFonts w:hint="default" w:ascii="Times New Roman" w:hAnsi="Times New Roman" w:eastAsia="宋体" w:cs="Times New Roman"/>
                      <w:color w:val="auto"/>
                      <w:kern w:val="0"/>
                      <w:sz w:val="21"/>
                      <w:szCs w:val="21"/>
                      <w:vertAlign w:val="baseline"/>
                      <w:lang w:val="en-US" w:eastAsia="zh-CN"/>
                    </w:rPr>
                    <w:t>本项目属于畜产品加工项目，为建设成为绿色畜产品加工与清</w:t>
                  </w:r>
                </w:p>
                <w:p w14:paraId="458423D4">
                  <w:pPr>
                    <w:autoSpaceDE w:val="0"/>
                    <w:autoSpaceDN w:val="0"/>
                    <w:jc w:val="left"/>
                    <w:rPr>
                      <w:rFonts w:hint="default" w:ascii="Times New Roman" w:hAnsi="Times New Roman" w:eastAsia="宋体" w:cs="Times New Roman"/>
                      <w:color w:val="auto"/>
                      <w:kern w:val="0"/>
                      <w:sz w:val="21"/>
                      <w:szCs w:val="21"/>
                      <w:vertAlign w:val="baseline"/>
                      <w:lang w:val="en-US" w:eastAsia="zh-CN"/>
                    </w:rPr>
                  </w:pPr>
                  <w:r>
                    <w:rPr>
                      <w:rFonts w:hint="default" w:ascii="Times New Roman" w:hAnsi="Times New Roman" w:eastAsia="宋体" w:cs="Times New Roman"/>
                      <w:color w:val="auto"/>
                      <w:kern w:val="0"/>
                      <w:sz w:val="21"/>
                      <w:szCs w:val="21"/>
                      <w:vertAlign w:val="baseline"/>
                      <w:lang w:val="en-US" w:eastAsia="zh-CN"/>
                    </w:rPr>
                    <w:t>洁能源输出引领与示范区做出贡献。</w:t>
                  </w:r>
                </w:p>
              </w:tc>
              <w:tc>
                <w:tcPr>
                  <w:tcW w:w="921" w:type="dxa"/>
                  <w:vAlign w:val="center"/>
                </w:tcPr>
                <w:p w14:paraId="66300532">
                  <w:pPr>
                    <w:autoSpaceDE w:val="0"/>
                    <w:autoSpaceDN w:val="0"/>
                    <w:jc w:val="center"/>
                    <w:rPr>
                      <w:rFonts w:hint="default" w:ascii="Times New Roman" w:hAnsi="Times New Roman" w:eastAsia="宋体" w:cs="Times New Roman"/>
                      <w:color w:val="auto"/>
                      <w:kern w:val="0"/>
                      <w:sz w:val="21"/>
                      <w:szCs w:val="21"/>
                      <w:vertAlign w:val="baseline"/>
                      <w:lang w:val="en-US" w:eastAsia="zh-CN"/>
                    </w:rPr>
                  </w:pPr>
                  <w:r>
                    <w:rPr>
                      <w:rFonts w:hint="eastAsia" w:ascii="Times New Roman" w:hAnsi="Times New Roman" w:eastAsia="宋体" w:cs="Times New Roman"/>
                      <w:color w:val="auto"/>
                      <w:kern w:val="0"/>
                      <w:sz w:val="21"/>
                      <w:szCs w:val="21"/>
                      <w:vertAlign w:val="baseline"/>
                      <w:lang w:val="en-US" w:eastAsia="zh-CN"/>
                    </w:rPr>
                    <w:t>符合</w:t>
                  </w:r>
                </w:p>
              </w:tc>
            </w:tr>
            <w:tr w14:paraId="209B5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8" w:type="dxa"/>
                  <w:vAlign w:val="center"/>
                </w:tcPr>
                <w:p w14:paraId="4C8BA62F">
                  <w:pPr>
                    <w:keepNext w:val="0"/>
                    <w:keepLines w:val="0"/>
                    <w:widowControl/>
                    <w:suppressLineNumbers w:val="0"/>
                    <w:jc w:val="left"/>
                    <w:rPr>
                      <w:rFonts w:hint="default" w:ascii="Times New Roman" w:hAnsi="Times New Roman" w:eastAsia="宋体" w:cs="Times New Roman"/>
                      <w:color w:val="auto"/>
                      <w:kern w:val="0"/>
                      <w:sz w:val="21"/>
                      <w:szCs w:val="21"/>
                      <w:vertAlign w:val="baseline"/>
                      <w:lang w:val="en-US" w:eastAsia="zh-CN"/>
                    </w:rPr>
                  </w:pPr>
                  <w:r>
                    <w:rPr>
                      <w:rFonts w:hint="eastAsia" w:ascii="宋体" w:hAnsi="宋体" w:eastAsia="宋体" w:cs="宋体"/>
                      <w:color w:val="auto"/>
                      <w:kern w:val="0"/>
                      <w:sz w:val="21"/>
                      <w:szCs w:val="21"/>
                      <w:lang w:val="en-US" w:eastAsia="zh-CN" w:bidi="ar"/>
                    </w:rPr>
                    <w:t>区域协调：深度融入共建</w:t>
                  </w:r>
                  <w:r>
                    <w:rPr>
                      <w:rFonts w:hint="default" w:ascii="Times New Roman" w:hAnsi="Times New Roman" w:eastAsia="宋体" w:cs="Times New Roman"/>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一带一路</w:t>
                  </w:r>
                  <w:r>
                    <w:rPr>
                      <w:rFonts w:hint="default" w:ascii="Times New Roman" w:hAnsi="Times New Roman" w:eastAsia="宋体" w:cs="Times New Roman"/>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。打造锡林郭勒盟绿色畜牧产品生产基地。建设锡盟清洁能源输出基地。发挥特色优势，打造草原风貌城镇。</w:t>
                  </w:r>
                </w:p>
              </w:tc>
              <w:tc>
                <w:tcPr>
                  <w:tcW w:w="1514" w:type="dxa"/>
                  <w:vAlign w:val="center"/>
                </w:tcPr>
                <w:p w14:paraId="00CB5EFB">
                  <w:pPr>
                    <w:autoSpaceDE w:val="0"/>
                    <w:autoSpaceDN w:val="0"/>
                    <w:jc w:val="left"/>
                    <w:rPr>
                      <w:rFonts w:hint="default" w:ascii="Times New Roman" w:hAnsi="Times New Roman" w:eastAsia="宋体" w:cs="Times New Roman"/>
                      <w:color w:val="auto"/>
                      <w:kern w:val="0"/>
                      <w:sz w:val="21"/>
                      <w:szCs w:val="21"/>
                      <w:vertAlign w:val="baseline"/>
                      <w:lang w:val="en-US" w:eastAsia="zh-CN"/>
                    </w:rPr>
                  </w:pPr>
                  <w:r>
                    <w:rPr>
                      <w:rFonts w:hint="default" w:ascii="Times New Roman" w:hAnsi="Times New Roman" w:eastAsia="宋体" w:cs="Times New Roman"/>
                      <w:color w:val="auto"/>
                      <w:kern w:val="0"/>
                      <w:sz w:val="21"/>
                      <w:szCs w:val="21"/>
                      <w:vertAlign w:val="baseline"/>
                      <w:lang w:val="en-US" w:eastAsia="zh-CN"/>
                    </w:rPr>
                    <w:t>本项目属于畜产品加工项目，属于打造锡林郭勒盟绿色畜牧产品生产基地的一部分。</w:t>
                  </w:r>
                </w:p>
              </w:tc>
              <w:tc>
                <w:tcPr>
                  <w:tcW w:w="921" w:type="dxa"/>
                  <w:vAlign w:val="center"/>
                </w:tcPr>
                <w:p w14:paraId="2A8403F8">
                  <w:pPr>
                    <w:autoSpaceDE w:val="0"/>
                    <w:autoSpaceDN w:val="0"/>
                    <w:jc w:val="center"/>
                    <w:rPr>
                      <w:rFonts w:hint="default" w:ascii="Times New Roman" w:hAnsi="Times New Roman" w:eastAsia="宋体" w:cs="Times New Roman"/>
                      <w:color w:val="auto"/>
                      <w:kern w:val="0"/>
                      <w:sz w:val="21"/>
                      <w:szCs w:val="21"/>
                      <w:vertAlign w:val="baseline"/>
                      <w:lang w:val="en-US" w:eastAsia="zh-CN"/>
                    </w:rPr>
                  </w:pPr>
                  <w:r>
                    <w:rPr>
                      <w:rFonts w:hint="eastAsia" w:ascii="Times New Roman" w:hAnsi="Times New Roman" w:eastAsia="宋体" w:cs="Times New Roman"/>
                      <w:color w:val="auto"/>
                      <w:kern w:val="0"/>
                      <w:sz w:val="21"/>
                      <w:szCs w:val="21"/>
                      <w:vertAlign w:val="baseline"/>
                      <w:lang w:val="en-US" w:eastAsia="zh-CN"/>
                    </w:rPr>
                    <w:t>符合</w:t>
                  </w:r>
                </w:p>
              </w:tc>
            </w:tr>
            <w:tr w14:paraId="6F7FA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8" w:type="dxa"/>
                  <w:vAlign w:val="center"/>
                </w:tcPr>
                <w:p w14:paraId="40B01495">
                  <w:pPr>
                    <w:keepNext w:val="0"/>
                    <w:keepLines w:val="0"/>
                    <w:widowControl/>
                    <w:suppressLineNumbers w:val="0"/>
                    <w:jc w:val="left"/>
                    <w:rPr>
                      <w:rFonts w:hint="default" w:ascii="Times New Roman" w:hAnsi="Times New Roman" w:eastAsia="宋体" w:cs="Times New Roman"/>
                      <w:color w:val="auto"/>
                      <w:kern w:val="0"/>
                      <w:sz w:val="21"/>
                      <w:szCs w:val="21"/>
                      <w:vertAlign w:val="baseline"/>
                      <w:lang w:val="en-US" w:eastAsia="zh-CN"/>
                    </w:rPr>
                  </w:pPr>
                  <w:r>
                    <w:rPr>
                      <w:rFonts w:hint="eastAsia" w:ascii="宋体" w:hAnsi="宋体" w:eastAsia="宋体" w:cs="宋体"/>
                      <w:color w:val="auto"/>
                      <w:kern w:val="0"/>
                      <w:sz w:val="21"/>
                      <w:szCs w:val="21"/>
                      <w:lang w:val="en-US" w:eastAsia="zh-CN" w:bidi="ar"/>
                    </w:rPr>
                    <w:t>总体格局：</w:t>
                  </w:r>
                  <w:r>
                    <w:rPr>
                      <w:rFonts w:hint="default" w:ascii="Times New Roman" w:hAnsi="Times New Roman" w:eastAsia="宋体" w:cs="Times New Roman"/>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一心一核三节点、两轴三区多廊道</w:t>
                  </w:r>
                  <w:r>
                    <w:rPr>
                      <w:rFonts w:hint="default" w:ascii="Times New Roman" w:hAnsi="Times New Roman" w:eastAsia="宋体" w:cs="Times New Roman"/>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的国土空间格局。</w:t>
                  </w:r>
                </w:p>
              </w:tc>
              <w:tc>
                <w:tcPr>
                  <w:tcW w:w="1514" w:type="dxa"/>
                  <w:vAlign w:val="center"/>
                </w:tcPr>
                <w:p w14:paraId="66930069">
                  <w:pPr>
                    <w:autoSpaceDE w:val="0"/>
                    <w:autoSpaceDN w:val="0"/>
                    <w:jc w:val="left"/>
                    <w:rPr>
                      <w:rFonts w:hint="default" w:ascii="Times New Roman" w:hAnsi="Times New Roman" w:eastAsia="宋体" w:cs="Times New Roman"/>
                      <w:color w:val="auto"/>
                      <w:kern w:val="0"/>
                      <w:sz w:val="21"/>
                      <w:szCs w:val="21"/>
                      <w:vertAlign w:val="baseline"/>
                      <w:lang w:val="en-US" w:eastAsia="zh-CN"/>
                    </w:rPr>
                  </w:pPr>
                  <w:r>
                    <w:rPr>
                      <w:rFonts w:hint="default" w:ascii="Times New Roman" w:hAnsi="Times New Roman" w:eastAsia="宋体" w:cs="Times New Roman"/>
                      <w:color w:val="auto"/>
                      <w:kern w:val="0"/>
                      <w:sz w:val="21"/>
                      <w:szCs w:val="21"/>
                      <w:vertAlign w:val="baseline"/>
                      <w:lang w:val="en-US" w:eastAsia="zh-CN"/>
                    </w:rPr>
                    <w:t>本项目位于内蒙古自治区锡林郭勒盟镶黄旗</w:t>
                  </w:r>
                  <w:r>
                    <w:rPr>
                      <w:rFonts w:hint="eastAsia" w:ascii="Times New Roman" w:hAnsi="Times New Roman" w:eastAsia="宋体" w:cs="Times New Roman"/>
                      <w:color w:val="auto"/>
                      <w:kern w:val="0"/>
                      <w:sz w:val="21"/>
                      <w:szCs w:val="21"/>
                      <w:vertAlign w:val="baseline"/>
                      <w:lang w:val="en-US" w:eastAsia="zh-CN"/>
                    </w:rPr>
                    <w:t>新宝拉格镇</w:t>
                  </w:r>
                  <w:r>
                    <w:rPr>
                      <w:rFonts w:hint="eastAsia" w:cs="Times New Roman"/>
                      <w:color w:val="auto"/>
                      <w:kern w:val="0"/>
                      <w:sz w:val="21"/>
                      <w:szCs w:val="21"/>
                      <w:vertAlign w:val="baseline"/>
                      <w:lang w:val="en-US" w:eastAsia="zh-CN"/>
                    </w:rPr>
                    <w:t>，</w:t>
                  </w:r>
                  <w:r>
                    <w:rPr>
                      <w:rFonts w:hint="default" w:ascii="Times New Roman" w:hAnsi="Times New Roman" w:eastAsia="宋体" w:cs="Times New Roman"/>
                      <w:color w:val="auto"/>
                      <w:kern w:val="0"/>
                      <w:sz w:val="21"/>
                      <w:szCs w:val="21"/>
                      <w:vertAlign w:val="baseline"/>
                      <w:lang w:val="en-US" w:eastAsia="zh-CN"/>
                    </w:rPr>
                    <w:t>属于牧业空间格局中的牧业发展重点片区</w:t>
                  </w:r>
                  <w:r>
                    <w:rPr>
                      <w:rFonts w:hint="eastAsia" w:cs="Times New Roman"/>
                      <w:color w:val="auto"/>
                      <w:kern w:val="0"/>
                      <w:sz w:val="21"/>
                      <w:szCs w:val="21"/>
                      <w:vertAlign w:val="baseline"/>
                      <w:lang w:val="en-US" w:eastAsia="zh-CN"/>
                    </w:rPr>
                    <w:t>，作为</w:t>
                  </w:r>
                  <w:r>
                    <w:rPr>
                      <w:rFonts w:hint="default" w:ascii="Times New Roman" w:hAnsi="Times New Roman" w:eastAsia="宋体" w:cs="Times New Roman"/>
                      <w:color w:val="auto"/>
                      <w:kern w:val="0"/>
                      <w:sz w:val="21"/>
                      <w:szCs w:val="21"/>
                      <w:vertAlign w:val="baseline"/>
                      <w:lang w:val="en-US" w:eastAsia="zh-CN"/>
                    </w:rPr>
                    <w:t>畜产品加工项目，符合畜产品加工。</w:t>
                  </w:r>
                </w:p>
              </w:tc>
              <w:tc>
                <w:tcPr>
                  <w:tcW w:w="921" w:type="dxa"/>
                  <w:vAlign w:val="center"/>
                </w:tcPr>
                <w:p w14:paraId="689C9F05">
                  <w:pPr>
                    <w:autoSpaceDE w:val="0"/>
                    <w:autoSpaceDN w:val="0"/>
                    <w:jc w:val="center"/>
                    <w:rPr>
                      <w:rFonts w:hint="default" w:ascii="Times New Roman" w:hAnsi="Times New Roman" w:eastAsia="宋体" w:cs="Times New Roman"/>
                      <w:color w:val="auto"/>
                      <w:kern w:val="0"/>
                      <w:sz w:val="21"/>
                      <w:szCs w:val="21"/>
                      <w:vertAlign w:val="baseline"/>
                      <w:lang w:val="en-US" w:eastAsia="zh-CN"/>
                    </w:rPr>
                  </w:pPr>
                  <w:r>
                    <w:rPr>
                      <w:rFonts w:hint="eastAsia" w:ascii="Times New Roman" w:hAnsi="Times New Roman" w:eastAsia="宋体" w:cs="Times New Roman"/>
                      <w:color w:val="auto"/>
                      <w:kern w:val="0"/>
                      <w:sz w:val="21"/>
                      <w:szCs w:val="21"/>
                      <w:vertAlign w:val="baseline"/>
                      <w:lang w:val="en-US" w:eastAsia="zh-CN"/>
                    </w:rPr>
                    <w:t>符合</w:t>
                  </w:r>
                </w:p>
              </w:tc>
            </w:tr>
            <w:tr w14:paraId="2F073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68" w:type="dxa"/>
                  <w:vAlign w:val="center"/>
                </w:tcPr>
                <w:p w14:paraId="24B8F013">
                  <w:pPr>
                    <w:keepNext w:val="0"/>
                    <w:keepLines w:val="0"/>
                    <w:widowControl/>
                    <w:suppressLineNumbers w:val="0"/>
                    <w:jc w:val="left"/>
                    <w:rPr>
                      <w:rFonts w:hint="default" w:ascii="Times New Roman" w:hAnsi="Times New Roman" w:eastAsia="宋体" w:cs="Times New Roman"/>
                      <w:color w:val="auto"/>
                      <w:kern w:val="0"/>
                      <w:sz w:val="21"/>
                      <w:szCs w:val="21"/>
                      <w:vertAlign w:val="baseline"/>
                      <w:lang w:val="en-US" w:eastAsia="zh-CN"/>
                    </w:rPr>
                  </w:pPr>
                  <w:r>
                    <w:rPr>
                      <w:rFonts w:hint="eastAsia" w:ascii="宋体" w:hAnsi="宋体" w:eastAsia="宋体" w:cs="宋体"/>
                      <w:color w:val="auto"/>
                      <w:kern w:val="0"/>
                      <w:sz w:val="21"/>
                      <w:szCs w:val="21"/>
                      <w:lang w:val="en-US" w:eastAsia="zh-CN" w:bidi="ar"/>
                    </w:rPr>
                    <w:t>城镇村体系：</w:t>
                  </w:r>
                  <w:r>
                    <w:rPr>
                      <w:rFonts w:hint="default" w:ascii="Times New Roman" w:hAnsi="Times New Roman" w:eastAsia="宋体" w:cs="Times New Roman"/>
                      <w:color w:val="auto"/>
                      <w:kern w:val="0"/>
                      <w:sz w:val="21"/>
                      <w:szCs w:val="21"/>
                      <w:lang w:val="en-US" w:eastAsia="zh-CN" w:bidi="ar"/>
                    </w:rPr>
                    <w:t>“1+3+N”</w:t>
                  </w:r>
                  <w:r>
                    <w:rPr>
                      <w:rFonts w:hint="eastAsia" w:ascii="宋体" w:hAnsi="宋体" w:eastAsia="宋体" w:cs="宋体"/>
                      <w:color w:val="auto"/>
                      <w:kern w:val="0"/>
                      <w:sz w:val="21"/>
                      <w:szCs w:val="21"/>
                      <w:lang w:val="en-US" w:eastAsia="zh-CN" w:bidi="ar"/>
                    </w:rPr>
                    <w:t>三级城镇规模等级：</w:t>
                  </w:r>
                  <w:r>
                    <w:rPr>
                      <w:rFonts w:hint="default" w:ascii="Times New Roman" w:hAnsi="Times New Roman" w:eastAsia="宋体" w:cs="Times New Roman"/>
                      <w:color w:val="auto"/>
                      <w:kern w:val="0"/>
                      <w:sz w:val="21"/>
                      <w:szCs w:val="21"/>
                      <w:lang w:val="en-US" w:eastAsia="zh-CN" w:bidi="ar"/>
                    </w:rPr>
                    <w:t>1</w:t>
                  </w:r>
                  <w:r>
                    <w:rPr>
                      <w:rFonts w:hint="eastAsia" w:ascii="宋体" w:hAnsi="宋体" w:eastAsia="宋体" w:cs="宋体"/>
                      <w:color w:val="auto"/>
                      <w:kern w:val="0"/>
                      <w:sz w:val="21"/>
                      <w:szCs w:val="21"/>
                      <w:lang w:val="en-US" w:eastAsia="zh-CN" w:bidi="ar"/>
                    </w:rPr>
                    <w:t>：综合服务型：新宝拉格镇；</w:t>
                  </w:r>
                  <w:r>
                    <w:rPr>
                      <w:rFonts w:hint="default" w:ascii="Times New Roman" w:hAnsi="Times New Roman" w:eastAsia="宋体" w:cs="Times New Roman"/>
                      <w:color w:val="auto"/>
                      <w:kern w:val="0"/>
                      <w:sz w:val="21"/>
                      <w:szCs w:val="21"/>
                      <w:lang w:val="en-US" w:eastAsia="zh-CN" w:bidi="ar"/>
                    </w:rPr>
                    <w:t>3</w:t>
                  </w:r>
                  <w:r>
                    <w:rPr>
                      <w:rFonts w:hint="eastAsia" w:ascii="宋体" w:hAnsi="宋体" w:eastAsia="宋体" w:cs="宋体"/>
                      <w:color w:val="auto"/>
                      <w:kern w:val="0"/>
                      <w:sz w:val="21"/>
                      <w:szCs w:val="21"/>
                      <w:lang w:val="en-US" w:eastAsia="zh-CN" w:bidi="ar"/>
                    </w:rPr>
                    <w:t>：畜牧业、旅游型城镇：翁贡乌拉苏木、宝格达音高勒苏木；工业、畜牧业、旅游型城镇：巴音塔拉镇；</w:t>
                  </w:r>
                  <w:r>
                    <w:rPr>
                      <w:rFonts w:hint="default" w:ascii="Times New Roman" w:hAnsi="Times New Roman" w:eastAsia="宋体" w:cs="Times New Roman"/>
                      <w:color w:val="auto"/>
                      <w:kern w:val="0"/>
                      <w:sz w:val="21"/>
                      <w:szCs w:val="21"/>
                      <w:lang w:val="en-US" w:eastAsia="zh-CN" w:bidi="ar"/>
                    </w:rPr>
                    <w:t>N</w:t>
                  </w:r>
                  <w:r>
                    <w:rPr>
                      <w:rFonts w:hint="eastAsia" w:ascii="宋体" w:hAnsi="宋体" w:eastAsia="宋体" w:cs="宋体"/>
                      <w:color w:val="auto"/>
                      <w:kern w:val="0"/>
                      <w:sz w:val="21"/>
                      <w:szCs w:val="21"/>
                      <w:lang w:val="en-US" w:eastAsia="zh-CN" w:bidi="ar"/>
                    </w:rPr>
                    <w:t>：综合性村庄：</w:t>
                  </w:r>
                  <w:r>
                    <w:rPr>
                      <w:rFonts w:hint="default" w:ascii="Times New Roman" w:hAnsi="Times New Roman" w:eastAsia="宋体" w:cs="Times New Roman"/>
                      <w:color w:val="auto"/>
                      <w:kern w:val="0"/>
                      <w:sz w:val="21"/>
                      <w:szCs w:val="21"/>
                      <w:lang w:val="en-US" w:eastAsia="zh-CN" w:bidi="ar"/>
                    </w:rPr>
                    <w:t xml:space="preserve">10 </w:t>
                  </w:r>
                  <w:r>
                    <w:rPr>
                      <w:rFonts w:hint="eastAsia" w:ascii="宋体" w:hAnsi="宋体" w:eastAsia="宋体" w:cs="宋体"/>
                      <w:color w:val="auto"/>
                      <w:kern w:val="0"/>
                      <w:sz w:val="21"/>
                      <w:szCs w:val="21"/>
                      <w:lang w:val="en-US" w:eastAsia="zh-CN" w:bidi="ar"/>
                    </w:rPr>
                    <w:t>个重点嘎查村。</w:t>
                  </w:r>
                </w:p>
              </w:tc>
              <w:tc>
                <w:tcPr>
                  <w:tcW w:w="1514" w:type="dxa"/>
                  <w:vAlign w:val="center"/>
                </w:tcPr>
                <w:p w14:paraId="78EBFD31">
                  <w:pPr>
                    <w:autoSpaceDE w:val="0"/>
                    <w:autoSpaceDN w:val="0"/>
                    <w:jc w:val="left"/>
                    <w:rPr>
                      <w:rFonts w:hint="default" w:ascii="Times New Roman" w:hAnsi="Times New Roman" w:eastAsia="宋体" w:cs="Times New Roman"/>
                      <w:color w:val="auto"/>
                      <w:kern w:val="0"/>
                      <w:sz w:val="21"/>
                      <w:szCs w:val="21"/>
                      <w:vertAlign w:val="baseline"/>
                      <w:lang w:val="en-US" w:eastAsia="zh-CN"/>
                    </w:rPr>
                  </w:pPr>
                  <w:r>
                    <w:rPr>
                      <w:rFonts w:hint="eastAsia" w:ascii="Times New Roman" w:hAnsi="Times New Roman" w:eastAsia="宋体" w:cs="Times New Roman"/>
                      <w:color w:val="auto"/>
                      <w:kern w:val="0"/>
                      <w:sz w:val="21"/>
                      <w:szCs w:val="21"/>
                      <w:vertAlign w:val="baseline"/>
                      <w:lang w:val="en-US" w:eastAsia="zh-CN"/>
                    </w:rPr>
                    <w:t>本项目位于新宝拉格镇，属于畜产品加工项目，符合规划。</w:t>
                  </w:r>
                </w:p>
              </w:tc>
              <w:tc>
                <w:tcPr>
                  <w:tcW w:w="921" w:type="dxa"/>
                  <w:vAlign w:val="center"/>
                </w:tcPr>
                <w:p w14:paraId="0D88B6F6">
                  <w:pPr>
                    <w:autoSpaceDE w:val="0"/>
                    <w:autoSpaceDN w:val="0"/>
                    <w:jc w:val="center"/>
                    <w:rPr>
                      <w:rFonts w:hint="default" w:ascii="Times New Roman" w:hAnsi="Times New Roman" w:eastAsia="宋体" w:cs="Times New Roman"/>
                      <w:color w:val="auto"/>
                      <w:kern w:val="0"/>
                      <w:sz w:val="21"/>
                      <w:szCs w:val="21"/>
                      <w:vertAlign w:val="baseline"/>
                      <w:lang w:val="en-US" w:eastAsia="zh-CN"/>
                    </w:rPr>
                  </w:pPr>
                  <w:r>
                    <w:rPr>
                      <w:rFonts w:hint="eastAsia" w:ascii="Times New Roman" w:hAnsi="Times New Roman" w:eastAsia="宋体" w:cs="Times New Roman"/>
                      <w:color w:val="auto"/>
                      <w:kern w:val="0"/>
                      <w:sz w:val="21"/>
                      <w:szCs w:val="21"/>
                      <w:vertAlign w:val="baseline"/>
                      <w:lang w:val="en-US" w:eastAsia="zh-CN"/>
                    </w:rPr>
                    <w:t>符合</w:t>
                  </w:r>
                </w:p>
              </w:tc>
            </w:tr>
          </w:tbl>
          <w:p w14:paraId="3FDAF720">
            <w:pPr>
              <w:numPr>
                <w:ilvl w:val="0"/>
                <w:numId w:val="0"/>
              </w:numPr>
              <w:autoSpaceDE w:val="0"/>
              <w:autoSpaceDN w:val="0"/>
              <w:spacing w:line="360" w:lineRule="auto"/>
              <w:ind w:firstLine="480" w:firstLineChars="200"/>
              <w:rPr>
                <w:rFonts w:hint="eastAsia"/>
                <w:color w:val="auto"/>
                <w:kern w:val="0"/>
                <w:sz w:val="24"/>
                <w:lang w:val="en-US" w:eastAsia="zh-CN"/>
              </w:rPr>
            </w:pPr>
            <w:r>
              <w:rPr>
                <w:rFonts w:hint="eastAsia" w:cs="Times New Roman"/>
                <w:color w:val="auto"/>
                <w:kern w:val="0"/>
                <w:sz w:val="24"/>
                <w:szCs w:val="24"/>
                <w:lang w:val="en-US" w:eastAsia="zh-CN" w:bidi="ar-SA"/>
              </w:rPr>
              <w:t>2</w:t>
            </w:r>
            <w:r>
              <w:rPr>
                <w:rFonts w:hint="eastAsia" w:ascii="Times New Roman" w:hAnsi="Times New Roman" w:eastAsia="宋体" w:cs="Times New Roman"/>
                <w:color w:val="auto"/>
                <w:kern w:val="0"/>
                <w:sz w:val="24"/>
                <w:szCs w:val="24"/>
                <w:lang w:val="en-US" w:eastAsia="zh-CN" w:bidi="ar-SA"/>
              </w:rPr>
              <w:t>、</w:t>
            </w:r>
            <w:r>
              <w:rPr>
                <w:rFonts w:hint="eastAsia" w:cs="Times New Roman"/>
                <w:color w:val="auto"/>
                <w:kern w:val="0"/>
                <w:sz w:val="24"/>
                <w:szCs w:val="24"/>
                <w:lang w:val="en-US" w:eastAsia="zh-CN" w:bidi="ar-SA"/>
              </w:rPr>
              <w:t>与</w:t>
            </w:r>
            <w:r>
              <w:rPr>
                <w:rFonts w:hint="eastAsia"/>
                <w:color w:val="auto"/>
                <w:kern w:val="0"/>
                <w:sz w:val="24"/>
                <w:lang w:val="en-US" w:eastAsia="zh-CN"/>
              </w:rPr>
              <w:t>《镶黄旗新宝拉格镇城市总体规划（2015-2030）》符合性分析：</w:t>
            </w:r>
          </w:p>
          <w:p w14:paraId="38A169E1">
            <w:pPr>
              <w:numPr>
                <w:ilvl w:val="0"/>
                <w:numId w:val="0"/>
              </w:numPr>
              <w:autoSpaceDE w:val="0"/>
              <w:autoSpaceDN w:val="0"/>
              <w:spacing w:line="360" w:lineRule="auto"/>
              <w:ind w:firstLine="480" w:firstLineChars="200"/>
              <w:rPr>
                <w:rFonts w:hint="eastAsia"/>
                <w:color w:val="auto"/>
                <w:kern w:val="0"/>
                <w:sz w:val="24"/>
                <w:lang w:val="en-US" w:eastAsia="zh-CN"/>
              </w:rPr>
            </w:pPr>
            <w:r>
              <w:rPr>
                <w:rFonts w:hint="eastAsia"/>
                <w:color w:val="auto"/>
                <w:kern w:val="0"/>
                <w:sz w:val="24"/>
                <w:lang w:val="en-US" w:eastAsia="zh-CN"/>
              </w:rPr>
              <w:t>根据《镶黄旗新宝拉格镇城市总体规划（2015-2030）》，规划城市空间布局结构为“一带、两轴、六片、三心、多点”。其中“六片”为公共服务片区、行政办公片区、工业片区、居住片区以及文教医疗片区、文化展示片区。</w:t>
            </w:r>
          </w:p>
          <w:p w14:paraId="3AB68689">
            <w:pPr>
              <w:numPr>
                <w:ilvl w:val="0"/>
                <w:numId w:val="0"/>
              </w:numPr>
              <w:autoSpaceDE w:val="0"/>
              <w:autoSpaceDN w:val="0"/>
              <w:spacing w:line="360" w:lineRule="auto"/>
              <w:ind w:firstLine="480" w:firstLineChars="200"/>
              <w:rPr>
                <w:rFonts w:hint="eastAsia"/>
                <w:color w:val="auto"/>
                <w:kern w:val="0"/>
                <w:sz w:val="24"/>
                <w:lang w:val="en-US" w:eastAsia="zh-CN"/>
              </w:rPr>
            </w:pPr>
            <w:r>
              <w:rPr>
                <w:rFonts w:hint="eastAsia"/>
                <w:color w:val="auto"/>
                <w:kern w:val="0"/>
                <w:sz w:val="24"/>
                <w:lang w:val="en-US" w:eastAsia="zh-CN"/>
              </w:rPr>
              <w:t>工业片区：城区东北部和东部集中布置工业用地及仓储用地，形成工业片区。城区工业用地在新宝拉格镇东北部集中分布，形成一定规模的工业园区。镇区中也散布有少量二类工业用地。</w:t>
            </w:r>
          </w:p>
          <w:p w14:paraId="560B57E7">
            <w:pPr>
              <w:numPr>
                <w:ilvl w:val="0"/>
                <w:numId w:val="0"/>
              </w:numPr>
              <w:autoSpaceDE w:val="0"/>
              <w:autoSpaceDN w:val="0"/>
              <w:spacing w:line="360" w:lineRule="auto"/>
              <w:ind w:firstLine="480" w:firstLineChars="200"/>
              <w:rPr>
                <w:rFonts w:hint="eastAsia"/>
                <w:color w:val="auto"/>
                <w:kern w:val="0"/>
                <w:sz w:val="24"/>
                <w:lang w:val="en-US" w:eastAsia="zh-CN"/>
              </w:rPr>
            </w:pPr>
            <w:r>
              <w:rPr>
                <w:rFonts w:hint="eastAsia"/>
                <w:color w:val="auto"/>
                <w:kern w:val="0"/>
                <w:sz w:val="24"/>
                <w:lang w:val="en-US" w:eastAsia="zh-CN"/>
              </w:rPr>
              <w:t>本项目位于镶黄旗工业聚集区内，用地类型为工业用地。属于《镶黄旗新宝拉格镇城市总体规划（2015-2030）》空间布局结构中“工业片区”，项目建设符合《镶黄旗新宝拉格镇城市总体规划（2015-2030）》中用地布局及相关规划。</w:t>
            </w:r>
          </w:p>
          <w:p w14:paraId="2CBC0553">
            <w:pPr>
              <w:numPr>
                <w:ilvl w:val="0"/>
                <w:numId w:val="0"/>
              </w:numPr>
              <w:autoSpaceDE w:val="0"/>
              <w:autoSpaceDN w:val="0"/>
              <w:spacing w:line="360" w:lineRule="auto"/>
              <w:ind w:firstLine="480" w:firstLineChars="200"/>
              <w:rPr>
                <w:rFonts w:hint="eastAsia"/>
                <w:color w:val="auto"/>
                <w:kern w:val="0"/>
                <w:sz w:val="24"/>
                <w:lang w:val="en-US" w:eastAsia="zh-CN"/>
              </w:rPr>
            </w:pPr>
            <w:r>
              <w:rPr>
                <w:rFonts w:hint="eastAsia" w:cs="Times New Roman"/>
                <w:color w:val="auto"/>
                <w:kern w:val="0"/>
                <w:sz w:val="24"/>
                <w:szCs w:val="24"/>
                <w:lang w:val="en-US" w:eastAsia="zh-CN" w:bidi="ar-SA"/>
              </w:rPr>
              <w:t>3</w:t>
            </w:r>
            <w:r>
              <w:rPr>
                <w:rFonts w:hint="eastAsia" w:ascii="Times New Roman" w:hAnsi="Times New Roman" w:eastAsia="宋体" w:cs="Times New Roman"/>
                <w:color w:val="auto"/>
                <w:kern w:val="0"/>
                <w:sz w:val="24"/>
                <w:szCs w:val="24"/>
                <w:lang w:val="en-US" w:eastAsia="zh-CN" w:bidi="ar-SA"/>
              </w:rPr>
              <w:t>、</w:t>
            </w:r>
            <w:r>
              <w:rPr>
                <w:rFonts w:hint="eastAsia" w:cs="Times New Roman"/>
                <w:color w:val="auto"/>
                <w:kern w:val="0"/>
                <w:sz w:val="24"/>
                <w:szCs w:val="24"/>
                <w:lang w:val="en-US" w:eastAsia="zh-CN" w:bidi="ar-SA"/>
              </w:rPr>
              <w:t>与</w:t>
            </w:r>
            <w:r>
              <w:rPr>
                <w:rFonts w:hint="eastAsia"/>
                <w:color w:val="auto"/>
                <w:kern w:val="0"/>
                <w:sz w:val="24"/>
                <w:lang w:val="en-US" w:eastAsia="zh-CN"/>
              </w:rPr>
              <w:t>《锡林郭勒盟国土空间总体规划（2021-2035）》符合性分析：</w:t>
            </w:r>
          </w:p>
          <w:p w14:paraId="4958C67E">
            <w:pPr>
              <w:numPr>
                <w:ilvl w:val="0"/>
                <w:numId w:val="0"/>
              </w:numPr>
              <w:autoSpaceDE w:val="0"/>
              <w:autoSpaceDN w:val="0"/>
              <w:spacing w:line="360" w:lineRule="auto"/>
              <w:ind w:firstLine="480" w:firstLineChars="200"/>
              <w:rPr>
                <w:rFonts w:hint="eastAsia"/>
                <w:color w:val="auto"/>
                <w:kern w:val="0"/>
                <w:sz w:val="24"/>
                <w:lang w:val="en-US" w:eastAsia="zh-CN"/>
              </w:rPr>
            </w:pPr>
            <w:r>
              <w:rPr>
                <w:rFonts w:hint="eastAsia"/>
                <w:color w:val="auto"/>
                <w:kern w:val="0"/>
                <w:sz w:val="24"/>
                <w:lang w:val="en-US" w:eastAsia="zh-CN"/>
              </w:rPr>
              <w:t>规划提出要发挥农牧资源优势，提升农牧区产能，优化锡林郭勒草原畜牧区和阴山沿麓农牧区空间布局，严格保护耕地和永久基本农田，保障粮食和重要农畜产品安全供给。本项目牛肉干和牛羊肉罐头产业以当地丰富的牛羊养殖资源为基础，是对农牧产品的精深加工，符合规划中提升农牧区产能、保障重要农畜产品供给的要求，有利于将当地的农牧资源优势转化为经济优势，促进农牧区经济发展。</w:t>
            </w:r>
          </w:p>
        </w:tc>
      </w:tr>
      <w:tr w14:paraId="6D11E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20" w:hRule="atLeast"/>
        </w:trPr>
        <w:tc>
          <w:tcPr>
            <w:tcW w:w="1193" w:type="dxa"/>
            <w:vAlign w:val="center"/>
          </w:tcPr>
          <w:p w14:paraId="6B969AE2">
            <w:pPr>
              <w:autoSpaceDE w:val="0"/>
              <w:autoSpaceDN w:val="0"/>
              <w:jc w:val="center"/>
              <w:rPr>
                <w:color w:val="auto"/>
                <w:kern w:val="0"/>
                <w:sz w:val="24"/>
              </w:rPr>
            </w:pPr>
            <w:r>
              <w:rPr>
                <w:color w:val="auto"/>
                <w:kern w:val="0"/>
                <w:sz w:val="24"/>
              </w:rPr>
              <w:t>其他符合性分析</w:t>
            </w:r>
          </w:p>
        </w:tc>
        <w:tc>
          <w:tcPr>
            <w:tcW w:w="7329" w:type="dxa"/>
            <w:gridSpan w:val="4"/>
          </w:tcPr>
          <w:p w14:paraId="6D4E3B3F">
            <w:pPr>
              <w:pStyle w:val="5"/>
              <w:spacing w:before="0" w:after="0" w:line="360" w:lineRule="auto"/>
              <w:rPr>
                <w:rFonts w:ascii="Times New Roman" w:hAnsi="Times New Roman" w:eastAsia="宋体"/>
                <w:color w:val="auto"/>
                <w:sz w:val="24"/>
                <w:szCs w:val="24"/>
              </w:rPr>
            </w:pPr>
            <w:r>
              <w:rPr>
                <w:rFonts w:ascii="Times New Roman" w:hAnsi="Times New Roman" w:eastAsia="宋体"/>
                <w:color w:val="auto"/>
                <w:sz w:val="24"/>
                <w:szCs w:val="24"/>
              </w:rPr>
              <w:t>1、“三线一单”符合性分析</w:t>
            </w:r>
          </w:p>
          <w:p w14:paraId="343BE8C7">
            <w:pPr>
              <w:pStyle w:val="43"/>
              <w:keepNext w:val="0"/>
              <w:keepLines w:val="0"/>
              <w:pageBreakBefore w:val="0"/>
              <w:widowControl w:val="0"/>
              <w:kinsoku/>
              <w:wordWrap/>
              <w:overflowPunct/>
              <w:topLinePunct w:val="0"/>
              <w:autoSpaceDE/>
              <w:autoSpaceDN/>
              <w:bidi w:val="0"/>
              <w:adjustRightInd w:val="0"/>
              <w:snapToGrid w:val="0"/>
              <w:spacing w:line="360" w:lineRule="auto"/>
              <w:ind w:firstLine="0" w:firstLineChars="0"/>
              <w:textAlignment w:val="auto"/>
              <w:rPr>
                <w:b/>
                <w:color w:val="auto"/>
                <w:sz w:val="21"/>
                <w:szCs w:val="21"/>
              </w:rPr>
            </w:pPr>
            <w:r>
              <w:rPr>
                <w:b/>
                <w:color w:val="auto"/>
                <w:sz w:val="21"/>
                <w:szCs w:val="21"/>
              </w:rPr>
              <w:t>表1</w:t>
            </w:r>
            <w:r>
              <w:rPr>
                <w:rFonts w:hint="eastAsia"/>
                <w:b/>
                <w:color w:val="auto"/>
                <w:sz w:val="21"/>
                <w:szCs w:val="21"/>
              </w:rPr>
              <w:t>-</w:t>
            </w:r>
            <w:r>
              <w:rPr>
                <w:rFonts w:hint="eastAsia"/>
                <w:b/>
                <w:color w:val="auto"/>
                <w:sz w:val="21"/>
                <w:szCs w:val="21"/>
                <w:lang w:val="en-US" w:eastAsia="zh-CN"/>
              </w:rPr>
              <w:t>2</w:t>
            </w:r>
            <w:r>
              <w:rPr>
                <w:b/>
                <w:color w:val="auto"/>
                <w:sz w:val="21"/>
                <w:szCs w:val="21"/>
              </w:rPr>
              <w:t xml:space="preserve">   </w:t>
            </w:r>
            <w:r>
              <w:rPr>
                <w:rFonts w:hint="eastAsia"/>
                <w:b/>
                <w:color w:val="auto"/>
                <w:sz w:val="21"/>
                <w:szCs w:val="21"/>
                <w:lang w:val="en-US" w:eastAsia="zh-CN"/>
              </w:rPr>
              <w:t>与</w:t>
            </w:r>
            <w:r>
              <w:rPr>
                <w:b/>
                <w:color w:val="auto"/>
                <w:sz w:val="21"/>
                <w:szCs w:val="21"/>
              </w:rPr>
              <w:t>“三线一单”符合性分析</w:t>
            </w:r>
          </w:p>
          <w:tbl>
            <w:tblPr>
              <w:tblStyle w:val="31"/>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
              <w:gridCol w:w="6062"/>
            </w:tblGrid>
            <w:tr w14:paraId="66D10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2" w:type="pct"/>
                  <w:tcBorders>
                    <w:tl2br w:val="nil"/>
                    <w:tr2bl w:val="nil"/>
                  </w:tcBorders>
                  <w:vAlign w:val="center"/>
                </w:tcPr>
                <w:p w14:paraId="763DAEA5">
                  <w:pPr>
                    <w:jc w:val="center"/>
                    <w:rPr>
                      <w:b/>
                      <w:bCs/>
                      <w:color w:val="auto"/>
                      <w:szCs w:val="21"/>
                    </w:rPr>
                  </w:pPr>
                  <w:r>
                    <w:rPr>
                      <w:b/>
                      <w:bCs/>
                      <w:color w:val="auto"/>
                      <w:szCs w:val="21"/>
                    </w:rPr>
                    <w:t>内容</w:t>
                  </w:r>
                </w:p>
              </w:tc>
              <w:tc>
                <w:tcPr>
                  <w:tcW w:w="4267" w:type="pct"/>
                  <w:tcBorders>
                    <w:tl2br w:val="nil"/>
                    <w:tr2bl w:val="nil"/>
                  </w:tcBorders>
                  <w:vAlign w:val="center"/>
                </w:tcPr>
                <w:p w14:paraId="75261538">
                  <w:pPr>
                    <w:jc w:val="center"/>
                    <w:rPr>
                      <w:b/>
                      <w:bCs/>
                      <w:color w:val="auto"/>
                      <w:szCs w:val="21"/>
                    </w:rPr>
                  </w:pPr>
                  <w:r>
                    <w:rPr>
                      <w:b/>
                      <w:bCs/>
                      <w:color w:val="auto"/>
                      <w:szCs w:val="21"/>
                    </w:rPr>
                    <w:t>符合性分析</w:t>
                  </w:r>
                </w:p>
              </w:tc>
            </w:tr>
            <w:tr w14:paraId="1E60C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2" w:type="pct"/>
                  <w:tcBorders>
                    <w:tl2br w:val="nil"/>
                    <w:tr2bl w:val="nil"/>
                  </w:tcBorders>
                  <w:vAlign w:val="center"/>
                </w:tcPr>
                <w:p w14:paraId="629A018B">
                  <w:pPr>
                    <w:jc w:val="center"/>
                    <w:rPr>
                      <w:color w:val="auto"/>
                      <w:szCs w:val="21"/>
                    </w:rPr>
                  </w:pPr>
                  <w:r>
                    <w:rPr>
                      <w:color w:val="auto"/>
                      <w:szCs w:val="21"/>
                    </w:rPr>
                    <w:t>生态保护红线</w:t>
                  </w:r>
                </w:p>
              </w:tc>
              <w:tc>
                <w:tcPr>
                  <w:tcW w:w="4267" w:type="pct"/>
                  <w:tcBorders>
                    <w:tl2br w:val="nil"/>
                    <w:tr2bl w:val="nil"/>
                  </w:tcBorders>
                  <w:vAlign w:val="center"/>
                </w:tcPr>
                <w:p w14:paraId="509D68DE">
                  <w:pPr>
                    <w:jc w:val="left"/>
                    <w:rPr>
                      <w:color w:val="auto"/>
                      <w:szCs w:val="21"/>
                    </w:rPr>
                  </w:pPr>
                  <w:r>
                    <w:rPr>
                      <w:rFonts w:hint="default"/>
                      <w:color w:val="auto"/>
                      <w:szCs w:val="21"/>
                      <w:lang w:val="en-US" w:eastAsia="zh-CN"/>
                    </w:rPr>
                    <w:t>根据《锡林郭勒盟生态环境保护委员会办公室关于印发锡林郭勒盟</w:t>
                  </w:r>
                  <w:r>
                    <w:rPr>
                      <w:rFonts w:hint="eastAsia"/>
                      <w:color w:val="auto"/>
                      <w:szCs w:val="21"/>
                      <w:lang w:val="en-US" w:eastAsia="zh-CN"/>
                    </w:rPr>
                    <w:t>“</w:t>
                  </w:r>
                  <w:r>
                    <w:rPr>
                      <w:rFonts w:hint="default"/>
                      <w:color w:val="auto"/>
                      <w:szCs w:val="21"/>
                      <w:lang w:val="en-US" w:eastAsia="zh-CN"/>
                    </w:rPr>
                    <w:t>三线一单</w:t>
                  </w:r>
                  <w:r>
                    <w:rPr>
                      <w:rFonts w:hint="eastAsia"/>
                      <w:color w:val="auto"/>
                      <w:szCs w:val="21"/>
                      <w:lang w:val="en-US" w:eastAsia="zh-CN"/>
                    </w:rPr>
                    <w:t>”</w:t>
                  </w:r>
                  <w:r>
                    <w:rPr>
                      <w:rFonts w:hint="default"/>
                      <w:color w:val="auto"/>
                      <w:szCs w:val="21"/>
                      <w:lang w:val="en-US" w:eastAsia="zh-CN"/>
                    </w:rPr>
                    <w:t>生态环境分区管控意见修改单和锡林郭勒盟生态环境准入清单的通知（锡环委办发〔2024〕1号）》，锡林郭勒盟共划分环境管控单元157个，包括优先保护单元、重点管控单元、一般管控单元三类，实施分类管控。</w:t>
                  </w:r>
                </w:p>
                <w:p w14:paraId="4B24353D">
                  <w:pPr>
                    <w:jc w:val="left"/>
                    <w:rPr>
                      <w:rFonts w:hint="eastAsia"/>
                      <w:color w:val="auto"/>
                    </w:rPr>
                  </w:pPr>
                  <w:r>
                    <w:rPr>
                      <w:rFonts w:hint="eastAsia"/>
                      <w:color w:val="auto"/>
                      <w:lang w:val="en-US" w:eastAsia="zh-CN"/>
                    </w:rPr>
                    <w:t>本项目位于</w:t>
                  </w:r>
                  <w:r>
                    <w:rPr>
                      <w:rFonts w:hint="eastAsia"/>
                      <w:color w:val="auto"/>
                      <w:lang w:eastAsia="zh-CN"/>
                    </w:rPr>
                    <w:t>内蒙古自治区锡林郭勒盟镶黄旗工业聚集区</w:t>
                  </w:r>
                  <w:r>
                    <w:rPr>
                      <w:rFonts w:hint="eastAsia"/>
                      <w:color w:val="auto"/>
                      <w:lang w:val="en-US" w:eastAsia="zh-CN"/>
                    </w:rPr>
                    <w:t>，本项目区域不涉及自然保护区、水源保护区、文物古迹等特殊环境敏感区；无省级以上公路，无水库和国家珍稀动植物；项目区不在生态保护红线范围内，符合生态保护红线要求。</w:t>
                  </w:r>
                </w:p>
                <w:p w14:paraId="57FBFE2C">
                  <w:pPr>
                    <w:jc w:val="left"/>
                    <w:rPr>
                      <w:color w:val="auto"/>
                      <w:szCs w:val="21"/>
                    </w:rPr>
                  </w:pPr>
                  <w:r>
                    <w:rPr>
                      <w:rFonts w:hint="eastAsia"/>
                      <w:color w:val="auto"/>
                    </w:rPr>
                    <w:t>项目与</w:t>
                  </w:r>
                  <w:r>
                    <w:rPr>
                      <w:rFonts w:hint="eastAsia"/>
                      <w:color w:val="auto"/>
                      <w:lang w:val="en-US" w:eastAsia="zh-CN"/>
                    </w:rPr>
                    <w:t>锡林郭勒盟</w:t>
                  </w:r>
                  <w:r>
                    <w:rPr>
                      <w:rFonts w:hint="eastAsia"/>
                      <w:color w:val="auto"/>
                    </w:rPr>
                    <w:t>生态保护红线位置关系图详见</w:t>
                  </w:r>
                  <w:r>
                    <w:rPr>
                      <w:rFonts w:hint="eastAsia"/>
                      <w:color w:val="auto"/>
                      <w:lang w:val="en-US" w:eastAsia="zh-CN"/>
                    </w:rPr>
                    <w:t>附</w:t>
                  </w:r>
                  <w:r>
                    <w:rPr>
                      <w:rFonts w:hint="eastAsia"/>
                      <w:color w:val="auto"/>
                    </w:rPr>
                    <w:t>图</w:t>
                  </w:r>
                  <w:r>
                    <w:rPr>
                      <w:rFonts w:hint="eastAsia"/>
                      <w:color w:val="auto"/>
                      <w:lang w:val="en-US" w:eastAsia="zh-CN"/>
                    </w:rPr>
                    <w:t>一</w:t>
                  </w:r>
                  <w:r>
                    <w:rPr>
                      <w:rFonts w:hint="eastAsia"/>
                      <w:color w:val="auto"/>
                    </w:rPr>
                    <w:t>。</w:t>
                  </w:r>
                </w:p>
              </w:tc>
            </w:tr>
            <w:tr w14:paraId="2411E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2" w:type="pct"/>
                  <w:tcBorders>
                    <w:tl2br w:val="nil"/>
                    <w:tr2bl w:val="nil"/>
                  </w:tcBorders>
                  <w:vAlign w:val="center"/>
                </w:tcPr>
                <w:p w14:paraId="324C6984">
                  <w:pPr>
                    <w:jc w:val="center"/>
                    <w:rPr>
                      <w:color w:val="auto"/>
                      <w:szCs w:val="21"/>
                    </w:rPr>
                  </w:pPr>
                  <w:r>
                    <w:rPr>
                      <w:color w:val="auto"/>
                      <w:szCs w:val="21"/>
                    </w:rPr>
                    <w:t>资源利用上线</w:t>
                  </w:r>
                </w:p>
              </w:tc>
              <w:tc>
                <w:tcPr>
                  <w:tcW w:w="4267" w:type="pct"/>
                  <w:tcBorders>
                    <w:tl2br w:val="nil"/>
                    <w:tr2bl w:val="nil"/>
                  </w:tcBorders>
                  <w:vAlign w:val="center"/>
                </w:tcPr>
                <w:p w14:paraId="10DDB5FA">
                  <w:pPr>
                    <w:rPr>
                      <w:color w:val="auto"/>
                      <w:szCs w:val="21"/>
                      <w:highlight w:val="yellow"/>
                    </w:rPr>
                  </w:pPr>
                  <w:r>
                    <w:rPr>
                      <w:bCs/>
                      <w:color w:val="auto"/>
                      <w:szCs w:val="21"/>
                    </w:rPr>
                    <w:t>本项目营运过程中消耗一定量的</w:t>
                  </w:r>
                  <w:r>
                    <w:rPr>
                      <w:rFonts w:hint="eastAsia"/>
                      <w:bCs/>
                      <w:color w:val="auto"/>
                      <w:szCs w:val="21"/>
                      <w:lang w:eastAsia="zh-CN"/>
                    </w:rPr>
                    <w:t>电能</w:t>
                  </w:r>
                  <w:r>
                    <w:rPr>
                      <w:bCs/>
                      <w:color w:val="auto"/>
                      <w:szCs w:val="21"/>
                    </w:rPr>
                    <w:t>、水资源等，但项目资源消耗相对区域资源利用总量较少，符合资源利用上限要求。</w:t>
                  </w:r>
                </w:p>
              </w:tc>
            </w:tr>
            <w:tr w14:paraId="4F46B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2" w:type="pct"/>
                  <w:tcBorders>
                    <w:tl2br w:val="nil"/>
                    <w:tr2bl w:val="nil"/>
                  </w:tcBorders>
                  <w:vAlign w:val="center"/>
                </w:tcPr>
                <w:p w14:paraId="13546A3C">
                  <w:pPr>
                    <w:jc w:val="center"/>
                    <w:rPr>
                      <w:color w:val="auto"/>
                      <w:szCs w:val="21"/>
                    </w:rPr>
                  </w:pPr>
                  <w:r>
                    <w:rPr>
                      <w:color w:val="auto"/>
                      <w:szCs w:val="21"/>
                    </w:rPr>
                    <w:t>环境质量底线</w:t>
                  </w:r>
                </w:p>
              </w:tc>
              <w:tc>
                <w:tcPr>
                  <w:tcW w:w="4267" w:type="pct"/>
                  <w:tcBorders>
                    <w:tl2br w:val="nil"/>
                    <w:tr2bl w:val="nil"/>
                  </w:tcBorders>
                  <w:vAlign w:val="center"/>
                </w:tcPr>
                <w:p w14:paraId="3550C10E">
                  <w:pPr>
                    <w:rPr>
                      <w:bCs/>
                      <w:color w:val="auto"/>
                      <w:szCs w:val="21"/>
                    </w:rPr>
                  </w:pPr>
                  <w:r>
                    <w:rPr>
                      <w:rFonts w:hint="eastAsia"/>
                      <w:bCs/>
                      <w:color w:val="auto"/>
                      <w:szCs w:val="21"/>
                    </w:rPr>
                    <w:t>项目区域环境空气属于《环境空气质量标准》（GB3095-2012）中</w:t>
                  </w:r>
                  <w:r>
                    <w:rPr>
                      <w:rFonts w:hint="eastAsia"/>
                      <w:bCs/>
                      <w:color w:val="auto"/>
                      <w:szCs w:val="21"/>
                      <w:lang w:val="en-US" w:eastAsia="zh-CN"/>
                    </w:rPr>
                    <w:t>二</w:t>
                  </w:r>
                  <w:r>
                    <w:rPr>
                      <w:rFonts w:hint="eastAsia"/>
                      <w:bCs/>
                      <w:color w:val="auto"/>
                      <w:szCs w:val="21"/>
                    </w:rPr>
                    <w:t>类功能区，根据内蒙古自治区环境保护厅发布的《2023年内蒙古自治区生态环境状况公报》，本项目所在区域锡林郭勒盟为环境空气质量达标区；声环境属于《声环境质量标准》（GB3096-2008）三类功能区（因本项目以工业生产为主要</w:t>
                  </w:r>
                  <w:r>
                    <w:rPr>
                      <w:rFonts w:hint="eastAsia"/>
                      <w:bCs/>
                      <w:color w:val="auto"/>
                      <w:szCs w:val="21"/>
                      <w:lang w:eastAsia="zh-CN"/>
                    </w:rPr>
                    <w:t>功能</w:t>
                  </w:r>
                  <w:r>
                    <w:rPr>
                      <w:rFonts w:hint="eastAsia"/>
                      <w:bCs/>
                      <w:color w:val="auto"/>
                      <w:szCs w:val="21"/>
                    </w:rPr>
                    <w:t>，根据标准要求属于三类功能区）。区域环境质量现状较好，具有环境容量，本工程采取合理的治理措施后，在正常情况下，各项污染物均能达标排放，不会明显降低区域环境质量现状，符合环境质量底线要求。</w:t>
                  </w:r>
                </w:p>
              </w:tc>
            </w:tr>
            <w:tr w14:paraId="169E8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32" w:type="pct"/>
                  <w:tcBorders>
                    <w:tl2br w:val="nil"/>
                    <w:tr2bl w:val="nil"/>
                  </w:tcBorders>
                  <w:vAlign w:val="center"/>
                </w:tcPr>
                <w:p w14:paraId="2F7C7377">
                  <w:pPr>
                    <w:jc w:val="center"/>
                    <w:rPr>
                      <w:color w:val="auto"/>
                      <w:szCs w:val="21"/>
                    </w:rPr>
                  </w:pPr>
                  <w:r>
                    <w:rPr>
                      <w:color w:val="auto"/>
                      <w:szCs w:val="21"/>
                    </w:rPr>
                    <w:t>生态环境准入清单</w:t>
                  </w:r>
                </w:p>
              </w:tc>
              <w:tc>
                <w:tcPr>
                  <w:tcW w:w="4267" w:type="pct"/>
                  <w:tcBorders>
                    <w:tl2br w:val="nil"/>
                    <w:tr2bl w:val="nil"/>
                  </w:tcBorders>
                  <w:vAlign w:val="center"/>
                </w:tcPr>
                <w:p w14:paraId="3715CD29">
                  <w:pPr>
                    <w:rPr>
                      <w:color w:val="auto"/>
                      <w:highlight w:val="yellow"/>
                    </w:rPr>
                  </w:pPr>
                  <w:r>
                    <w:rPr>
                      <w:rFonts w:hint="default"/>
                      <w:bCs/>
                      <w:color w:val="auto"/>
                      <w:szCs w:val="21"/>
                      <w:lang w:val="en-US" w:eastAsia="zh-CN"/>
                    </w:rPr>
                    <w:t>本项目位于</w:t>
                  </w:r>
                  <w:r>
                    <w:rPr>
                      <w:rFonts w:hint="eastAsia"/>
                      <w:bCs/>
                      <w:color w:val="auto"/>
                      <w:szCs w:val="21"/>
                      <w:lang w:eastAsia="zh-CN"/>
                    </w:rPr>
                    <w:t>锡林郭勒盟镶黄旗工业聚集区</w:t>
                  </w:r>
                  <w:r>
                    <w:rPr>
                      <w:rFonts w:hint="default"/>
                      <w:bCs/>
                      <w:color w:val="auto"/>
                      <w:szCs w:val="21"/>
                      <w:lang w:val="en-US" w:eastAsia="zh-CN"/>
                    </w:rPr>
                    <w:t>，依据《锡林郭勒盟生态环境准入清单》（2023年版）中“锡林郭勒盟生态环境准入清单”：</w:t>
                  </w:r>
                  <w:r>
                    <w:rPr>
                      <w:rFonts w:hint="eastAsia"/>
                      <w:bCs/>
                      <w:color w:val="auto"/>
                      <w:szCs w:val="21"/>
                      <w:lang w:val="en-US" w:eastAsia="zh-CN"/>
                    </w:rPr>
                    <w:t>经查询可知，确定</w:t>
                  </w:r>
                  <w:r>
                    <w:rPr>
                      <w:rFonts w:hint="default"/>
                      <w:bCs/>
                      <w:color w:val="auto"/>
                      <w:szCs w:val="21"/>
                      <w:lang w:val="en-US" w:eastAsia="zh-CN"/>
                    </w:rPr>
                    <w:t>本项目区域环境管控单元名称</w:t>
                  </w:r>
                  <w:r>
                    <w:rPr>
                      <w:rFonts w:hint="default"/>
                      <w:bCs/>
                      <w:color w:val="auto"/>
                      <w:szCs w:val="21"/>
                    </w:rPr>
                    <w:t>为</w:t>
                  </w:r>
                  <w:r>
                    <w:rPr>
                      <w:rFonts w:hint="default"/>
                      <w:bCs/>
                      <w:color w:val="auto"/>
                      <w:szCs w:val="21"/>
                      <w:lang w:eastAsia="zh-CN"/>
                    </w:rPr>
                    <w:t>“镶黄旗城镇开发边界”</w:t>
                  </w:r>
                  <w:r>
                    <w:rPr>
                      <w:rFonts w:hint="default"/>
                      <w:bCs/>
                      <w:color w:val="auto"/>
                      <w:szCs w:val="21"/>
                    </w:rPr>
                    <w:t>，管控单元类别为</w:t>
                  </w:r>
                  <w:r>
                    <w:rPr>
                      <w:rFonts w:hint="default"/>
                      <w:bCs/>
                      <w:color w:val="auto"/>
                      <w:szCs w:val="21"/>
                      <w:lang w:eastAsia="zh-CN"/>
                    </w:rPr>
                    <w:t>“重点管控</w:t>
                  </w:r>
                  <w:r>
                    <w:rPr>
                      <w:rFonts w:hint="default"/>
                      <w:bCs/>
                      <w:color w:val="auto"/>
                      <w:szCs w:val="21"/>
                    </w:rPr>
                    <w:t>单元</w:t>
                  </w:r>
                  <w:r>
                    <w:rPr>
                      <w:rFonts w:hint="default"/>
                      <w:bCs/>
                      <w:color w:val="auto"/>
                      <w:szCs w:val="21"/>
                      <w:lang w:eastAsia="zh-CN"/>
                    </w:rPr>
                    <w:t>”</w:t>
                  </w:r>
                  <w:r>
                    <w:rPr>
                      <w:rFonts w:hint="default"/>
                      <w:bCs/>
                      <w:color w:val="auto"/>
                      <w:szCs w:val="21"/>
                    </w:rPr>
                    <w:t>，环境管控单元编码为</w:t>
                  </w:r>
                  <w:r>
                    <w:rPr>
                      <w:rFonts w:hint="default"/>
                      <w:bCs/>
                      <w:color w:val="auto"/>
                      <w:szCs w:val="21"/>
                      <w:lang w:eastAsia="zh-CN"/>
                    </w:rPr>
                    <w:t>“</w:t>
                  </w:r>
                  <w:r>
                    <w:rPr>
                      <w:rFonts w:hint="default"/>
                      <w:bCs/>
                      <w:color w:val="auto"/>
                      <w:szCs w:val="21"/>
                    </w:rPr>
                    <w:t>ZH15252820001</w:t>
                  </w:r>
                  <w:r>
                    <w:rPr>
                      <w:rFonts w:hint="default"/>
                      <w:bCs/>
                      <w:color w:val="auto"/>
                      <w:szCs w:val="21"/>
                      <w:lang w:eastAsia="zh-CN"/>
                    </w:rPr>
                    <w:t>”</w:t>
                  </w:r>
                  <w:r>
                    <w:rPr>
                      <w:rFonts w:hint="default"/>
                      <w:bCs/>
                      <w:color w:val="auto"/>
                      <w:szCs w:val="21"/>
                      <w:lang w:val="en-US" w:eastAsia="zh-CN"/>
                    </w:rPr>
                    <w:t>。本项目符合该环境管控单元的空间布局约束、污染物排放管控、环境风险防控、资源利用效率要求等管控要求</w:t>
                  </w:r>
                  <w:r>
                    <w:rPr>
                      <w:rFonts w:hint="eastAsia"/>
                      <w:bCs/>
                      <w:color w:val="auto"/>
                      <w:szCs w:val="21"/>
                      <w:lang w:val="en-US" w:eastAsia="zh-CN"/>
                    </w:rPr>
                    <w:t>，</w:t>
                  </w:r>
                  <w:r>
                    <w:rPr>
                      <w:rFonts w:hint="eastAsia"/>
                      <w:bCs/>
                      <w:color w:val="auto"/>
                      <w:szCs w:val="21"/>
                      <w:lang w:val="en-GB"/>
                    </w:rPr>
                    <w:t>因此</w:t>
                  </w:r>
                  <w:r>
                    <w:rPr>
                      <w:rFonts w:hint="eastAsia"/>
                      <w:bCs/>
                      <w:color w:val="auto"/>
                      <w:szCs w:val="21"/>
                      <w:lang w:val="en-GB" w:eastAsia="zh-CN"/>
                    </w:rPr>
                    <w:t>，</w:t>
                  </w:r>
                  <w:r>
                    <w:rPr>
                      <w:bCs/>
                      <w:color w:val="auto"/>
                      <w:szCs w:val="21"/>
                    </w:rPr>
                    <w:t>本项目的建设符合</w:t>
                  </w:r>
                  <w:r>
                    <w:rPr>
                      <w:rFonts w:hint="eastAsia"/>
                      <w:bCs/>
                      <w:color w:val="auto"/>
                      <w:szCs w:val="21"/>
                      <w:lang w:val="en-US" w:eastAsia="zh-CN"/>
                    </w:rPr>
                    <w:t>锡林郭勒盟生态环境准入</w:t>
                  </w:r>
                  <w:r>
                    <w:rPr>
                      <w:bCs/>
                      <w:color w:val="auto"/>
                      <w:szCs w:val="21"/>
                    </w:rPr>
                    <w:t>要求</w:t>
                  </w:r>
                  <w:r>
                    <w:rPr>
                      <w:rFonts w:hint="eastAsia"/>
                      <w:bCs/>
                      <w:color w:val="auto"/>
                      <w:szCs w:val="21"/>
                      <w:lang w:eastAsia="zh-CN"/>
                    </w:rPr>
                    <w:t>。</w:t>
                  </w:r>
                </w:p>
              </w:tc>
            </w:tr>
          </w:tbl>
          <w:p w14:paraId="38D57D4A">
            <w:pPr>
              <w:pStyle w:val="161"/>
              <w:keepNext w:val="0"/>
              <w:keepLines w:val="0"/>
              <w:pageBreakBefore w:val="0"/>
              <w:widowControl w:val="0"/>
              <w:kinsoku/>
              <w:wordWrap/>
              <w:overflowPunct/>
              <w:topLinePunct w:val="0"/>
              <w:autoSpaceDE/>
              <w:autoSpaceDN/>
              <w:bidi w:val="0"/>
              <w:adjustRightInd w:val="0"/>
              <w:snapToGrid w:val="0"/>
              <w:spacing w:line="360" w:lineRule="auto"/>
              <w:textAlignment w:val="auto"/>
              <w:rPr>
                <w:bCs/>
                <w:snapToGrid/>
                <w:color w:val="auto"/>
                <w:sz w:val="21"/>
                <w:szCs w:val="21"/>
              </w:rPr>
            </w:pPr>
            <w:r>
              <w:rPr>
                <w:bCs/>
                <w:snapToGrid/>
                <w:color w:val="auto"/>
                <w:sz w:val="21"/>
                <w:szCs w:val="21"/>
              </w:rPr>
              <w:t>表1-</w:t>
            </w:r>
            <w:r>
              <w:rPr>
                <w:rFonts w:hint="eastAsia"/>
                <w:bCs/>
                <w:snapToGrid/>
                <w:color w:val="auto"/>
                <w:sz w:val="21"/>
                <w:szCs w:val="21"/>
                <w:lang w:val="en-US" w:eastAsia="zh-CN"/>
              </w:rPr>
              <w:t>3</w:t>
            </w:r>
            <w:r>
              <w:rPr>
                <w:bCs/>
                <w:snapToGrid/>
                <w:color w:val="auto"/>
                <w:sz w:val="21"/>
                <w:szCs w:val="21"/>
              </w:rPr>
              <w:t xml:space="preserve">  与</w:t>
            </w:r>
            <w:r>
              <w:rPr>
                <w:bCs/>
                <w:color w:val="auto"/>
                <w:sz w:val="21"/>
                <w:szCs w:val="21"/>
              </w:rPr>
              <w:t>《</w:t>
            </w:r>
            <w:r>
              <w:rPr>
                <w:rFonts w:hint="eastAsia"/>
                <w:bCs/>
                <w:color w:val="auto"/>
                <w:sz w:val="21"/>
                <w:szCs w:val="21"/>
                <w:lang w:val="en-US" w:eastAsia="zh-CN"/>
              </w:rPr>
              <w:t>锡林郭勒盟</w:t>
            </w:r>
            <w:r>
              <w:rPr>
                <w:bCs/>
                <w:color w:val="auto"/>
                <w:sz w:val="21"/>
                <w:szCs w:val="21"/>
              </w:rPr>
              <w:t>生态环境准入清单》</w:t>
            </w:r>
            <w:r>
              <w:rPr>
                <w:bCs/>
                <w:snapToGrid/>
                <w:color w:val="auto"/>
                <w:sz w:val="21"/>
                <w:szCs w:val="21"/>
              </w:rPr>
              <w:t xml:space="preserve">符合性一览表 </w:t>
            </w:r>
          </w:p>
          <w:tbl>
            <w:tblPr>
              <w:tblStyle w:val="32"/>
              <w:tblW w:w="497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3"/>
              <w:gridCol w:w="588"/>
              <w:gridCol w:w="329"/>
              <w:gridCol w:w="90"/>
              <w:gridCol w:w="29"/>
              <w:gridCol w:w="2540"/>
              <w:gridCol w:w="1956"/>
              <w:gridCol w:w="560"/>
            </w:tblGrid>
            <w:tr w14:paraId="382B4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8" w:type="pct"/>
                  <w:tcBorders>
                    <w:tl2br w:val="nil"/>
                    <w:tr2bl w:val="nil"/>
                  </w:tcBorders>
                  <w:noWrap w:val="0"/>
                  <w:vAlign w:val="center"/>
                </w:tcPr>
                <w:p w14:paraId="7D33278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b/>
                      <w:bCs/>
                      <w:i w:val="0"/>
                      <w:color w:val="auto"/>
                      <w:kern w:val="0"/>
                      <w:sz w:val="21"/>
                      <w:szCs w:val="21"/>
                      <w:highlight w:val="none"/>
                      <w:u w:val="none"/>
                      <w:lang w:val="en-US" w:eastAsia="zh-CN" w:bidi="ar"/>
                    </w:rPr>
                  </w:pPr>
                  <w:r>
                    <w:rPr>
                      <w:rFonts w:hint="default" w:ascii="Times New Roman" w:hAnsi="Times New Roman" w:eastAsia="宋体" w:cs="Times New Roman"/>
                      <w:b/>
                      <w:bCs/>
                      <w:i w:val="0"/>
                      <w:color w:val="auto"/>
                      <w:kern w:val="0"/>
                      <w:sz w:val="21"/>
                      <w:szCs w:val="21"/>
                      <w:highlight w:val="none"/>
                      <w:u w:val="none"/>
                      <w:lang w:val="en-US" w:eastAsia="zh-CN" w:bidi="ar"/>
                    </w:rPr>
                    <w:t>管控单元名称</w:t>
                  </w:r>
                </w:p>
              </w:tc>
              <w:tc>
                <w:tcPr>
                  <w:tcW w:w="2530" w:type="pct"/>
                  <w:gridSpan w:val="5"/>
                  <w:tcBorders>
                    <w:tl2br w:val="nil"/>
                    <w:tr2bl w:val="nil"/>
                  </w:tcBorders>
                  <w:noWrap w:val="0"/>
                  <w:vAlign w:val="center"/>
                </w:tcPr>
                <w:p w14:paraId="1B3BE6F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b/>
                      <w:bCs/>
                      <w:i w:val="0"/>
                      <w:color w:val="auto"/>
                      <w:kern w:val="0"/>
                      <w:sz w:val="21"/>
                      <w:szCs w:val="21"/>
                      <w:highlight w:val="none"/>
                      <w:u w:val="none"/>
                      <w:lang w:val="en-US" w:eastAsia="zh-CN" w:bidi="ar"/>
                    </w:rPr>
                  </w:pPr>
                  <w:r>
                    <w:rPr>
                      <w:rFonts w:hint="default" w:ascii="Times New Roman" w:hAnsi="Times New Roman" w:eastAsia="宋体" w:cs="Times New Roman"/>
                      <w:b/>
                      <w:bCs/>
                      <w:i w:val="0"/>
                      <w:color w:val="auto"/>
                      <w:kern w:val="0"/>
                      <w:sz w:val="21"/>
                      <w:szCs w:val="21"/>
                      <w:highlight w:val="none"/>
                      <w:u w:val="none"/>
                      <w:lang w:val="en-US" w:eastAsia="zh-CN" w:bidi="ar"/>
                    </w:rPr>
                    <w:t>管控要求</w:t>
                  </w:r>
                </w:p>
              </w:tc>
              <w:tc>
                <w:tcPr>
                  <w:tcW w:w="1384" w:type="pct"/>
                  <w:tcBorders>
                    <w:tl2br w:val="nil"/>
                    <w:tr2bl w:val="nil"/>
                  </w:tcBorders>
                  <w:noWrap w:val="0"/>
                  <w:vAlign w:val="center"/>
                </w:tcPr>
                <w:p w14:paraId="3B944D3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b/>
                      <w:bCs/>
                      <w:i w:val="0"/>
                      <w:color w:val="auto"/>
                      <w:kern w:val="0"/>
                      <w:sz w:val="21"/>
                      <w:szCs w:val="21"/>
                      <w:highlight w:val="none"/>
                      <w:u w:val="none"/>
                      <w:lang w:val="en-US" w:eastAsia="zh-CN" w:bidi="ar"/>
                    </w:rPr>
                  </w:pPr>
                  <w:r>
                    <w:rPr>
                      <w:rFonts w:hint="default" w:ascii="Times New Roman" w:hAnsi="Times New Roman" w:eastAsia="宋体" w:cs="Times New Roman"/>
                      <w:b/>
                      <w:bCs/>
                      <w:i w:val="0"/>
                      <w:color w:val="auto"/>
                      <w:kern w:val="0"/>
                      <w:sz w:val="21"/>
                      <w:szCs w:val="21"/>
                      <w:highlight w:val="none"/>
                      <w:u w:val="none"/>
                      <w:lang w:val="en-US" w:eastAsia="zh-CN" w:bidi="ar"/>
                    </w:rPr>
                    <w:t>本项目</w:t>
                  </w:r>
                </w:p>
              </w:tc>
              <w:tc>
                <w:tcPr>
                  <w:tcW w:w="396" w:type="pct"/>
                  <w:tcBorders>
                    <w:tl2br w:val="nil"/>
                    <w:tr2bl w:val="nil"/>
                  </w:tcBorders>
                  <w:noWrap w:val="0"/>
                  <w:vAlign w:val="center"/>
                </w:tcPr>
                <w:p w14:paraId="0A99239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Times New Roman" w:hAnsi="Times New Roman" w:eastAsia="宋体" w:cs="Times New Roman"/>
                      <w:b/>
                      <w:bCs/>
                      <w:i w:val="0"/>
                      <w:color w:val="auto"/>
                      <w:kern w:val="0"/>
                      <w:sz w:val="21"/>
                      <w:szCs w:val="21"/>
                      <w:highlight w:val="none"/>
                      <w:u w:val="none"/>
                      <w:lang w:val="en-US" w:eastAsia="zh-CN" w:bidi="ar"/>
                    </w:rPr>
                  </w:pPr>
                  <w:r>
                    <w:rPr>
                      <w:rFonts w:hint="default" w:ascii="Times New Roman" w:hAnsi="Times New Roman" w:eastAsia="宋体" w:cs="Times New Roman"/>
                      <w:b/>
                      <w:bCs/>
                      <w:i w:val="0"/>
                      <w:color w:val="auto"/>
                      <w:kern w:val="0"/>
                      <w:sz w:val="21"/>
                      <w:szCs w:val="21"/>
                      <w:highlight w:val="none"/>
                      <w:u w:val="none"/>
                      <w:lang w:val="en-US" w:eastAsia="zh-CN" w:bidi="ar"/>
                    </w:rPr>
                    <w:t>符合性</w:t>
                  </w:r>
                </w:p>
              </w:tc>
            </w:tr>
            <w:tr w14:paraId="7E68E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restart"/>
                  <w:tcBorders>
                    <w:tl2br w:val="nil"/>
                    <w:tr2bl w:val="nil"/>
                  </w:tcBorders>
                  <w:noWrap w:val="0"/>
                  <w:vAlign w:val="center"/>
                </w:tcPr>
                <w:p w14:paraId="388DD02B">
                  <w:pPr>
                    <w:widowControl/>
                    <w:jc w:val="left"/>
                    <w:rPr>
                      <w:rFonts w:hint="default" w:ascii="Times New Roman" w:hAnsi="Times New Roman" w:eastAsia="宋体" w:cs="Times New Roman"/>
                      <w:b w:val="0"/>
                      <w:bCs w:val="0"/>
                      <w:i w:val="0"/>
                      <w:color w:val="auto"/>
                      <w:kern w:val="0"/>
                      <w:sz w:val="21"/>
                      <w:szCs w:val="21"/>
                      <w:highlight w:val="none"/>
                      <w:u w:val="none"/>
                      <w:lang w:val="en-US" w:eastAsia="zh-CN" w:bidi="ar"/>
                    </w:rPr>
                  </w:pPr>
                  <w:r>
                    <w:rPr>
                      <w:rFonts w:hint="default" w:ascii="Times New Roman" w:hAnsi="Times New Roman" w:eastAsia="宋体" w:cs="Times New Roman"/>
                      <w:color w:val="auto"/>
                      <w:kern w:val="0"/>
                      <w:sz w:val="21"/>
                      <w:szCs w:val="21"/>
                      <w:highlight w:val="none"/>
                      <w:lang w:eastAsia="zh-CN" w:bidi="ar"/>
                    </w:rPr>
                    <w:t>镶黄旗城镇开发边界</w:t>
                  </w:r>
                </w:p>
              </w:tc>
              <w:tc>
                <w:tcPr>
                  <w:tcW w:w="416" w:type="pct"/>
                  <w:vMerge w:val="restart"/>
                  <w:tcBorders>
                    <w:tl2br w:val="nil"/>
                    <w:tr2bl w:val="nil"/>
                  </w:tcBorders>
                  <w:noWrap w:val="0"/>
                  <w:vAlign w:val="center"/>
                </w:tcPr>
                <w:p w14:paraId="39798946">
                  <w:pPr>
                    <w:widowControl/>
                    <w:jc w:val="center"/>
                    <w:textAlignment w:val="center"/>
                    <w:rPr>
                      <w:rFonts w:hint="default" w:ascii="Times New Roman" w:hAnsi="Times New Roman" w:eastAsia="宋体" w:cs="Times New Roman"/>
                      <w:b w:val="0"/>
                      <w:bCs w:val="0"/>
                      <w:i w:val="0"/>
                      <w:color w:val="auto"/>
                      <w:kern w:val="0"/>
                      <w:sz w:val="21"/>
                      <w:szCs w:val="21"/>
                      <w:highlight w:val="none"/>
                      <w:u w:val="none"/>
                      <w:lang w:val="en-US" w:eastAsia="zh-CN" w:bidi="ar"/>
                    </w:rPr>
                  </w:pPr>
                  <w:r>
                    <w:rPr>
                      <w:rFonts w:hint="default" w:ascii="Times New Roman" w:hAnsi="Times New Roman" w:eastAsia="宋体" w:cs="Times New Roman"/>
                      <w:color w:val="auto"/>
                      <w:kern w:val="0"/>
                      <w:sz w:val="21"/>
                      <w:szCs w:val="21"/>
                      <w:highlight w:val="none"/>
                      <w:lang w:bidi="ar"/>
                    </w:rPr>
                    <w:t>空间布局约束</w:t>
                  </w:r>
                </w:p>
              </w:tc>
              <w:tc>
                <w:tcPr>
                  <w:tcW w:w="317" w:type="pct"/>
                  <w:gridSpan w:val="3"/>
                  <w:vMerge w:val="restart"/>
                  <w:tcBorders>
                    <w:tl2br w:val="nil"/>
                    <w:tr2bl w:val="nil"/>
                  </w:tcBorders>
                  <w:noWrap w:val="0"/>
                  <w:vAlign w:val="center"/>
                </w:tcPr>
                <w:p w14:paraId="4FF3AB38">
                  <w:pPr>
                    <w:keepNext w:val="0"/>
                    <w:keepLines w:val="0"/>
                    <w:pageBreakBefore w:val="0"/>
                    <w:widowControl/>
                    <w:suppressLineNumbers w:val="0"/>
                    <w:kinsoku/>
                    <w:wordWrap w:val="0"/>
                    <w:overflowPunct/>
                    <w:topLinePunct/>
                    <w:autoSpaceDE/>
                    <w:autoSpaceDN/>
                    <w:bidi w:val="0"/>
                    <w:adjustRightInd/>
                    <w:snapToGrid/>
                    <w:jc w:val="both"/>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w:t>
                  </w:r>
                  <w:r>
                    <w:rPr>
                      <w:rFonts w:hint="default" w:ascii="Times New Roman" w:hAnsi="Times New Roman" w:eastAsia="宋体" w:cs="Times New Roman"/>
                      <w:color w:val="auto"/>
                      <w:kern w:val="0"/>
                      <w:sz w:val="21"/>
                      <w:szCs w:val="21"/>
                      <w:highlight w:val="none"/>
                      <w:lang w:val="en-US" w:eastAsia="zh-CN" w:bidi="ar"/>
                    </w:rPr>
                    <w:t>执行锡林郭勒盟总体准入要求中第一条关于空间布局约束的准入要求。</w:t>
                  </w:r>
                </w:p>
              </w:tc>
              <w:tc>
                <w:tcPr>
                  <w:tcW w:w="1797" w:type="pct"/>
                  <w:tcBorders>
                    <w:tl2br w:val="nil"/>
                    <w:tr2bl w:val="nil"/>
                  </w:tcBorders>
                  <w:noWrap w:val="0"/>
                  <w:vAlign w:val="center"/>
                </w:tcPr>
                <w:p w14:paraId="643BADBB">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禁止布局现有化工园区以外新的化工园区。禁止在海河流域内蒙古锡林郭勒盟段及主要支流岸线1公里范围内扩大现有园区的面积。</w:t>
                  </w:r>
                </w:p>
              </w:tc>
              <w:tc>
                <w:tcPr>
                  <w:tcW w:w="1384" w:type="pct"/>
                  <w:tcBorders>
                    <w:tl2br w:val="nil"/>
                    <w:tr2bl w:val="nil"/>
                  </w:tcBorders>
                  <w:noWrap w:val="0"/>
                  <w:vAlign w:val="center"/>
                </w:tcPr>
                <w:p w14:paraId="30441FEF">
                  <w:pPr>
                    <w:keepNext w:val="0"/>
                    <w:keepLines w:val="0"/>
                    <w:pageBreakBefore w:val="0"/>
                    <w:widowControl/>
                    <w:numPr>
                      <w:ilvl w:val="0"/>
                      <w:numId w:val="0"/>
                    </w:numPr>
                    <w:kinsoku/>
                    <w:wordWrap w:val="0"/>
                    <w:overflowPunct/>
                    <w:topLinePunct/>
                    <w:autoSpaceDE/>
                    <w:autoSpaceDN/>
                    <w:bidi w:val="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lang w:val="en-US" w:eastAsia="zh-CN" w:bidi="ar"/>
                    </w:rPr>
                    <w:t>本项目不涉及。</w:t>
                  </w:r>
                </w:p>
              </w:tc>
              <w:tc>
                <w:tcPr>
                  <w:tcW w:w="396" w:type="pct"/>
                  <w:vMerge w:val="restart"/>
                  <w:tcBorders>
                    <w:tl2br w:val="nil"/>
                    <w:tr2bl w:val="nil"/>
                  </w:tcBorders>
                  <w:noWrap w:val="0"/>
                  <w:vAlign w:val="center"/>
                </w:tcPr>
                <w:p w14:paraId="44D2B1A6">
                  <w:pPr>
                    <w:widowControl/>
                    <w:jc w:val="center"/>
                    <w:textAlignment w:val="center"/>
                    <w:rPr>
                      <w:rFonts w:hint="default" w:ascii="Times New Roman" w:hAnsi="Times New Roman" w:eastAsia="宋体" w:cs="Times New Roman"/>
                      <w:b w:val="0"/>
                      <w:bCs w:val="0"/>
                      <w:i w:val="0"/>
                      <w:color w:val="auto"/>
                      <w:kern w:val="0"/>
                      <w:sz w:val="21"/>
                      <w:szCs w:val="21"/>
                      <w:highlight w:val="none"/>
                      <w:u w:val="none"/>
                      <w:lang w:val="en-US" w:eastAsia="zh-CN" w:bidi="ar"/>
                    </w:rPr>
                  </w:pPr>
                  <w:r>
                    <w:rPr>
                      <w:rFonts w:hint="default" w:ascii="Times New Roman" w:hAnsi="Times New Roman" w:eastAsia="宋体" w:cs="Times New Roman"/>
                      <w:color w:val="auto"/>
                      <w:kern w:val="0"/>
                      <w:sz w:val="21"/>
                      <w:szCs w:val="21"/>
                      <w:highlight w:val="none"/>
                      <w:lang w:bidi="ar"/>
                    </w:rPr>
                    <w:t>符合</w:t>
                  </w:r>
                </w:p>
              </w:tc>
            </w:tr>
            <w:tr w14:paraId="0FA56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continue"/>
                  <w:tcBorders>
                    <w:tl2br w:val="nil"/>
                    <w:tr2bl w:val="nil"/>
                  </w:tcBorders>
                  <w:noWrap w:val="0"/>
                  <w:vAlign w:val="center"/>
                </w:tcPr>
                <w:p w14:paraId="70258DB9">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6903B223">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317" w:type="pct"/>
                  <w:gridSpan w:val="3"/>
                  <w:vMerge w:val="continue"/>
                  <w:tcBorders>
                    <w:tl2br w:val="nil"/>
                    <w:tr2bl w:val="nil"/>
                  </w:tcBorders>
                  <w:noWrap w:val="0"/>
                  <w:vAlign w:val="center"/>
                </w:tcPr>
                <w:p w14:paraId="030ED883">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1797" w:type="pct"/>
                  <w:tcBorders>
                    <w:tl2br w:val="nil"/>
                    <w:tr2bl w:val="nil"/>
                  </w:tcBorders>
                  <w:noWrap w:val="0"/>
                  <w:vAlign w:val="center"/>
                </w:tcPr>
                <w:p w14:paraId="32BCB977">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新(改、扩)建化工项目必须符合规划环评及审查意见相关要求，必须与居民区或城市规划的居住用地保持足够的缓冲距离。</w:t>
                  </w:r>
                </w:p>
              </w:tc>
              <w:tc>
                <w:tcPr>
                  <w:tcW w:w="1384" w:type="pct"/>
                  <w:tcBorders>
                    <w:tl2br w:val="nil"/>
                    <w:tr2bl w:val="nil"/>
                  </w:tcBorders>
                  <w:noWrap w:val="0"/>
                  <w:vAlign w:val="center"/>
                </w:tcPr>
                <w:p w14:paraId="3383C805">
                  <w:pPr>
                    <w:keepNext w:val="0"/>
                    <w:keepLines w:val="0"/>
                    <w:pageBreakBefore w:val="0"/>
                    <w:widowControl/>
                    <w:suppressLineNumbers w:val="0"/>
                    <w:kinsoku/>
                    <w:wordWrap w:val="0"/>
                    <w:overflowPunct/>
                    <w:topLinePunct/>
                    <w:autoSpaceDE/>
                    <w:autoSpaceDN/>
                    <w:bidi w:val="0"/>
                    <w:adjustRightInd/>
                    <w:snapToGrid/>
                    <w:jc w:val="center"/>
                    <w:textAlignment w:val="auto"/>
                    <w:rPr>
                      <w:color w:val="auto"/>
                    </w:rPr>
                  </w:pPr>
                  <w:r>
                    <w:rPr>
                      <w:rFonts w:hint="eastAsia" w:cs="Times New Roman"/>
                      <w:color w:val="auto"/>
                      <w:kern w:val="0"/>
                      <w:sz w:val="21"/>
                      <w:szCs w:val="21"/>
                      <w:lang w:val="en-US" w:eastAsia="zh-CN" w:bidi="ar"/>
                    </w:rPr>
                    <w:t>本项目不涉及。</w:t>
                  </w:r>
                </w:p>
              </w:tc>
              <w:tc>
                <w:tcPr>
                  <w:tcW w:w="396" w:type="pct"/>
                  <w:vMerge w:val="continue"/>
                  <w:tcBorders>
                    <w:tl2br w:val="nil"/>
                    <w:tr2bl w:val="nil"/>
                  </w:tcBorders>
                  <w:noWrap w:val="0"/>
                  <w:vAlign w:val="center"/>
                </w:tcPr>
                <w:p w14:paraId="6E2A54DE">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r>
            <w:tr w14:paraId="19793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continue"/>
                  <w:tcBorders>
                    <w:tl2br w:val="nil"/>
                    <w:tr2bl w:val="nil"/>
                  </w:tcBorders>
                  <w:noWrap w:val="0"/>
                  <w:vAlign w:val="center"/>
                </w:tcPr>
                <w:p w14:paraId="101F95FD">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377E3851">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317" w:type="pct"/>
                  <w:gridSpan w:val="3"/>
                  <w:vMerge w:val="continue"/>
                  <w:tcBorders>
                    <w:tl2br w:val="nil"/>
                    <w:tr2bl w:val="nil"/>
                  </w:tcBorders>
                  <w:noWrap w:val="0"/>
                  <w:vAlign w:val="center"/>
                </w:tcPr>
                <w:p w14:paraId="49A7812C">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1797" w:type="pct"/>
                  <w:tcBorders>
                    <w:tl2br w:val="nil"/>
                    <w:tr2bl w:val="nil"/>
                  </w:tcBorders>
                  <w:noWrap w:val="0"/>
                  <w:vAlign w:val="center"/>
                </w:tcPr>
                <w:p w14:paraId="2631194E">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严禁水泥、电解铝、平板玻璃等行业新增产能，对确有必要新建的项目实行等量或减量置换。</w:t>
                  </w:r>
                </w:p>
              </w:tc>
              <w:tc>
                <w:tcPr>
                  <w:tcW w:w="1384" w:type="pct"/>
                  <w:tcBorders>
                    <w:tl2br w:val="nil"/>
                    <w:tr2bl w:val="nil"/>
                  </w:tcBorders>
                  <w:noWrap w:val="0"/>
                  <w:vAlign w:val="center"/>
                </w:tcPr>
                <w:p w14:paraId="5C6BE6C6">
                  <w:pPr>
                    <w:keepNext w:val="0"/>
                    <w:keepLines w:val="0"/>
                    <w:pageBreakBefore w:val="0"/>
                    <w:widowControl/>
                    <w:suppressLineNumbers w:val="0"/>
                    <w:kinsoku/>
                    <w:wordWrap w:val="0"/>
                    <w:overflowPunct/>
                    <w:topLinePunct/>
                    <w:autoSpaceDE/>
                    <w:autoSpaceDN/>
                    <w:bidi w:val="0"/>
                    <w:adjustRightInd/>
                    <w:snapToGrid/>
                    <w:jc w:val="center"/>
                    <w:textAlignment w:val="auto"/>
                    <w:rPr>
                      <w:color w:val="auto"/>
                    </w:rPr>
                  </w:pPr>
                  <w:r>
                    <w:rPr>
                      <w:rFonts w:hint="eastAsia" w:cs="Times New Roman"/>
                      <w:color w:val="auto"/>
                      <w:kern w:val="0"/>
                      <w:sz w:val="21"/>
                      <w:szCs w:val="21"/>
                      <w:lang w:val="en-US" w:eastAsia="zh-CN" w:bidi="ar"/>
                    </w:rPr>
                    <w:t>本项目不涉及。</w:t>
                  </w:r>
                </w:p>
              </w:tc>
              <w:tc>
                <w:tcPr>
                  <w:tcW w:w="396" w:type="pct"/>
                  <w:vMerge w:val="continue"/>
                  <w:tcBorders>
                    <w:tl2br w:val="nil"/>
                    <w:tr2bl w:val="nil"/>
                  </w:tcBorders>
                  <w:noWrap w:val="0"/>
                  <w:vAlign w:val="center"/>
                </w:tcPr>
                <w:p w14:paraId="62CB9B48">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r>
            <w:tr w14:paraId="32A71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continue"/>
                  <w:tcBorders>
                    <w:tl2br w:val="nil"/>
                    <w:tr2bl w:val="nil"/>
                  </w:tcBorders>
                  <w:noWrap w:val="0"/>
                  <w:vAlign w:val="center"/>
                </w:tcPr>
                <w:p w14:paraId="21EEA7DF">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42DFD42D">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317" w:type="pct"/>
                  <w:gridSpan w:val="3"/>
                  <w:vMerge w:val="continue"/>
                  <w:tcBorders>
                    <w:tl2br w:val="nil"/>
                    <w:tr2bl w:val="nil"/>
                  </w:tcBorders>
                  <w:noWrap w:val="0"/>
                  <w:vAlign w:val="center"/>
                </w:tcPr>
                <w:p w14:paraId="2D4AE100">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1797" w:type="pct"/>
                  <w:tcBorders>
                    <w:tl2br w:val="nil"/>
                    <w:tr2bl w:val="nil"/>
                  </w:tcBorders>
                  <w:noWrap w:val="0"/>
                  <w:vAlign w:val="center"/>
                </w:tcPr>
                <w:p w14:paraId="2CF83BAD">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全盟各旗县市(区)及以上城市建成区基本淘汰每小时10蒸吨及以下燃煤锅炉及茶浴炉、经营性炉灶、储粮烘干设备等燃煤设施，原则上不再新建每小时35蒸吨以下的燃煤锅炉，其他地区原则上不再新建每小时10蒸吨以下的燃煤锅炉。</w:t>
                  </w:r>
                </w:p>
              </w:tc>
              <w:tc>
                <w:tcPr>
                  <w:tcW w:w="1384" w:type="pct"/>
                  <w:tcBorders>
                    <w:tl2br w:val="nil"/>
                    <w:tr2bl w:val="nil"/>
                  </w:tcBorders>
                  <w:noWrap w:val="0"/>
                  <w:vAlign w:val="center"/>
                </w:tcPr>
                <w:p w14:paraId="20DEACE0">
                  <w:pPr>
                    <w:keepNext w:val="0"/>
                    <w:keepLines w:val="0"/>
                    <w:pageBreakBefore w:val="0"/>
                    <w:widowControl/>
                    <w:suppressLineNumbers w:val="0"/>
                    <w:kinsoku/>
                    <w:wordWrap w:val="0"/>
                    <w:overflowPunct/>
                    <w:topLinePunct/>
                    <w:autoSpaceDE/>
                    <w:autoSpaceDN/>
                    <w:bidi w:val="0"/>
                    <w:adjustRightInd/>
                    <w:snapToGrid/>
                    <w:jc w:val="center"/>
                    <w:textAlignment w:val="auto"/>
                    <w:rPr>
                      <w:rFonts w:hint="default"/>
                      <w:color w:val="auto"/>
                      <w:lang w:val="en-US"/>
                    </w:rPr>
                  </w:pPr>
                  <w:r>
                    <w:rPr>
                      <w:rFonts w:hint="eastAsia" w:cs="Times New Roman"/>
                      <w:color w:val="auto"/>
                      <w:kern w:val="0"/>
                      <w:sz w:val="21"/>
                      <w:szCs w:val="21"/>
                      <w:lang w:val="en-US" w:eastAsia="zh-CN" w:bidi="ar"/>
                    </w:rPr>
                    <w:t>本项目不涉及锅炉建设。</w:t>
                  </w:r>
                </w:p>
              </w:tc>
              <w:tc>
                <w:tcPr>
                  <w:tcW w:w="396" w:type="pct"/>
                  <w:vMerge w:val="continue"/>
                  <w:tcBorders>
                    <w:tl2br w:val="nil"/>
                    <w:tr2bl w:val="nil"/>
                  </w:tcBorders>
                  <w:noWrap w:val="0"/>
                  <w:vAlign w:val="center"/>
                </w:tcPr>
                <w:p w14:paraId="65BCCD96">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r>
            <w:tr w14:paraId="6FAA0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continue"/>
                  <w:tcBorders>
                    <w:tl2br w:val="nil"/>
                    <w:tr2bl w:val="nil"/>
                  </w:tcBorders>
                  <w:noWrap w:val="0"/>
                  <w:vAlign w:val="center"/>
                </w:tcPr>
                <w:p w14:paraId="6B2B53F8">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6E6F36A8">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317" w:type="pct"/>
                  <w:gridSpan w:val="3"/>
                  <w:vMerge w:val="continue"/>
                  <w:tcBorders>
                    <w:tl2br w:val="nil"/>
                    <w:tr2bl w:val="nil"/>
                  </w:tcBorders>
                  <w:noWrap w:val="0"/>
                  <w:vAlign w:val="center"/>
                </w:tcPr>
                <w:p w14:paraId="3CDF7FF5">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1797" w:type="pct"/>
                  <w:tcBorders>
                    <w:tl2br w:val="nil"/>
                    <w:tr2bl w:val="nil"/>
                  </w:tcBorders>
                  <w:noWrap w:val="0"/>
                  <w:vAlign w:val="center"/>
                </w:tcPr>
                <w:p w14:paraId="3E159A5E">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禁止在城市主导风向上风向新建涉气重污染项目。</w:t>
                  </w:r>
                </w:p>
              </w:tc>
              <w:tc>
                <w:tcPr>
                  <w:tcW w:w="1384" w:type="pct"/>
                  <w:tcBorders>
                    <w:tl2br w:val="nil"/>
                    <w:tr2bl w:val="nil"/>
                  </w:tcBorders>
                  <w:noWrap w:val="0"/>
                  <w:vAlign w:val="center"/>
                </w:tcPr>
                <w:p w14:paraId="4E6DA521">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default" w:ascii="Times New Roman" w:hAnsi="Times New Roman" w:eastAsia="宋体" w:cs="Times New Roman"/>
                      <w:color w:val="auto"/>
                      <w:sz w:val="21"/>
                      <w:szCs w:val="21"/>
                      <w:highlight w:val="none"/>
                      <w:vertAlign w:val="baseline"/>
                      <w:lang w:val="en-US" w:eastAsia="zh-CN"/>
                    </w:rPr>
                    <w:t>本项目不属于涉气重污染项目</w:t>
                  </w:r>
                  <w:r>
                    <w:rPr>
                      <w:rFonts w:hint="eastAsia" w:cs="Times New Roman"/>
                      <w:color w:val="auto"/>
                      <w:sz w:val="21"/>
                      <w:szCs w:val="21"/>
                      <w:highlight w:val="none"/>
                      <w:vertAlign w:val="baseline"/>
                      <w:lang w:val="en-US" w:eastAsia="zh-CN"/>
                    </w:rPr>
                    <w:t>。</w:t>
                  </w:r>
                </w:p>
              </w:tc>
              <w:tc>
                <w:tcPr>
                  <w:tcW w:w="396" w:type="pct"/>
                  <w:vMerge w:val="continue"/>
                  <w:tcBorders>
                    <w:tl2br w:val="nil"/>
                    <w:tr2bl w:val="nil"/>
                  </w:tcBorders>
                  <w:noWrap w:val="0"/>
                  <w:vAlign w:val="center"/>
                </w:tcPr>
                <w:p w14:paraId="07CA8229">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r>
            <w:tr w14:paraId="009C4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continue"/>
                  <w:tcBorders>
                    <w:tl2br w:val="nil"/>
                    <w:tr2bl w:val="nil"/>
                  </w:tcBorders>
                  <w:noWrap w:val="0"/>
                  <w:vAlign w:val="center"/>
                </w:tcPr>
                <w:p w14:paraId="3C6EBB2C">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3671CD60">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317" w:type="pct"/>
                  <w:gridSpan w:val="3"/>
                  <w:vMerge w:val="continue"/>
                  <w:tcBorders>
                    <w:tl2br w:val="nil"/>
                    <w:tr2bl w:val="nil"/>
                  </w:tcBorders>
                  <w:noWrap w:val="0"/>
                  <w:vAlign w:val="center"/>
                </w:tcPr>
                <w:p w14:paraId="53B7DCE8">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1797" w:type="pct"/>
                  <w:tcBorders>
                    <w:tl2br w:val="nil"/>
                    <w:tr2bl w:val="nil"/>
                  </w:tcBorders>
                  <w:noWrap w:val="0"/>
                  <w:vAlign w:val="center"/>
                </w:tcPr>
                <w:p w14:paraId="3D3BD449">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重大项目原则上布局在优化开发区和重点开发区，并符合城乡规划和土地利用总体规划。推进企业向工业集聚区集中，并实施工业集聚区生态化改造。严禁地下水超采区新建高耗水、高污染项目，已建项目要采用先进节水技术，提高用水水平。</w:t>
                  </w:r>
                </w:p>
              </w:tc>
              <w:tc>
                <w:tcPr>
                  <w:tcW w:w="1384" w:type="pct"/>
                  <w:tcBorders>
                    <w:tl2br w:val="nil"/>
                    <w:tr2bl w:val="nil"/>
                  </w:tcBorders>
                  <w:noWrap w:val="0"/>
                  <w:vAlign w:val="center"/>
                </w:tcPr>
                <w:p w14:paraId="22A307B3">
                  <w:pPr>
                    <w:keepNext w:val="0"/>
                    <w:keepLines w:val="0"/>
                    <w:pageBreakBefore w:val="0"/>
                    <w:widowControl/>
                    <w:suppressLineNumbers w:val="0"/>
                    <w:kinsoku/>
                    <w:wordWrap w:val="0"/>
                    <w:overflowPunct/>
                    <w:topLinePunct/>
                    <w:autoSpaceDE/>
                    <w:autoSpaceDN/>
                    <w:bidi w:val="0"/>
                    <w:adjustRightInd/>
                    <w:snapToGrid/>
                    <w:jc w:val="both"/>
                    <w:textAlignment w:val="auto"/>
                    <w:rPr>
                      <w:rFonts w:hint="eastAsia" w:eastAsia="宋体"/>
                      <w:color w:val="auto"/>
                      <w:lang w:eastAsia="zh-CN"/>
                    </w:rPr>
                  </w:pPr>
                  <w:r>
                    <w:rPr>
                      <w:rFonts w:hint="eastAsia"/>
                      <w:color w:val="auto"/>
                    </w:rPr>
                    <w:t>本项目不属于重大项目</w:t>
                  </w:r>
                  <w:r>
                    <w:rPr>
                      <w:rFonts w:hint="eastAsia"/>
                      <w:color w:val="auto"/>
                      <w:lang w:eastAsia="zh-CN"/>
                    </w:rPr>
                    <w:t>。</w:t>
                  </w:r>
                </w:p>
              </w:tc>
              <w:tc>
                <w:tcPr>
                  <w:tcW w:w="396" w:type="pct"/>
                  <w:vMerge w:val="continue"/>
                  <w:tcBorders>
                    <w:tl2br w:val="nil"/>
                    <w:tr2bl w:val="nil"/>
                  </w:tcBorders>
                  <w:noWrap w:val="0"/>
                  <w:vAlign w:val="center"/>
                </w:tcPr>
                <w:p w14:paraId="6531A43C">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r>
            <w:tr w14:paraId="060D6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continue"/>
                  <w:tcBorders>
                    <w:tl2br w:val="nil"/>
                    <w:tr2bl w:val="nil"/>
                  </w:tcBorders>
                  <w:noWrap w:val="0"/>
                  <w:vAlign w:val="center"/>
                </w:tcPr>
                <w:p w14:paraId="58315CC9">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620DC424">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317" w:type="pct"/>
                  <w:gridSpan w:val="3"/>
                  <w:vMerge w:val="continue"/>
                  <w:tcBorders>
                    <w:tl2br w:val="nil"/>
                    <w:tr2bl w:val="nil"/>
                  </w:tcBorders>
                  <w:noWrap w:val="0"/>
                  <w:vAlign w:val="center"/>
                </w:tcPr>
                <w:p w14:paraId="1C0030CB">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1797" w:type="pct"/>
                  <w:tcBorders>
                    <w:tl2br w:val="nil"/>
                    <w:tr2bl w:val="nil"/>
                  </w:tcBorders>
                  <w:noWrap w:val="0"/>
                  <w:vAlign w:val="center"/>
                </w:tcPr>
                <w:p w14:paraId="5F22AB49">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新建、改扩建《管控目录》中的“两高”项目，项目选址必须进园区，工艺技术装备须达到同行业先进水平，符合新增产能管控。</w:t>
                  </w:r>
                </w:p>
              </w:tc>
              <w:tc>
                <w:tcPr>
                  <w:tcW w:w="1384" w:type="pct"/>
                  <w:tcBorders>
                    <w:tl2br w:val="nil"/>
                    <w:tr2bl w:val="nil"/>
                  </w:tcBorders>
                  <w:noWrap w:val="0"/>
                  <w:vAlign w:val="center"/>
                </w:tcPr>
                <w:p w14:paraId="7BFBBC15">
                  <w:pPr>
                    <w:keepNext w:val="0"/>
                    <w:keepLines w:val="0"/>
                    <w:pageBreakBefore w:val="0"/>
                    <w:widowControl/>
                    <w:suppressLineNumbers w:val="0"/>
                    <w:kinsoku/>
                    <w:wordWrap w:val="0"/>
                    <w:overflowPunct/>
                    <w:topLinePunct/>
                    <w:autoSpaceDE/>
                    <w:autoSpaceDN/>
                    <w:bidi w:val="0"/>
                    <w:adjustRightInd/>
                    <w:snapToGrid/>
                    <w:jc w:val="both"/>
                    <w:textAlignment w:val="auto"/>
                    <w:rPr>
                      <w:rFonts w:hint="eastAsia" w:eastAsia="宋体"/>
                      <w:color w:val="auto"/>
                      <w:lang w:eastAsia="zh-CN"/>
                    </w:rPr>
                  </w:pPr>
                  <w:r>
                    <w:rPr>
                      <w:rFonts w:hint="eastAsia"/>
                      <w:color w:val="auto"/>
                    </w:rPr>
                    <w:t>本项目不属于</w:t>
                  </w:r>
                  <w:r>
                    <w:rPr>
                      <w:rFonts w:hint="eastAsia"/>
                      <w:color w:val="auto"/>
                      <w:lang w:val="en-US" w:eastAsia="zh-CN"/>
                    </w:rPr>
                    <w:t>两高</w:t>
                  </w:r>
                  <w:r>
                    <w:rPr>
                      <w:rFonts w:hint="eastAsia"/>
                      <w:color w:val="auto"/>
                    </w:rPr>
                    <w:t>项目</w:t>
                  </w:r>
                  <w:r>
                    <w:rPr>
                      <w:rFonts w:hint="eastAsia"/>
                      <w:color w:val="auto"/>
                      <w:lang w:eastAsia="zh-CN"/>
                    </w:rPr>
                    <w:t>。</w:t>
                  </w:r>
                </w:p>
              </w:tc>
              <w:tc>
                <w:tcPr>
                  <w:tcW w:w="396" w:type="pct"/>
                  <w:vMerge w:val="continue"/>
                  <w:tcBorders>
                    <w:tl2br w:val="nil"/>
                    <w:tr2bl w:val="nil"/>
                  </w:tcBorders>
                  <w:noWrap w:val="0"/>
                  <w:vAlign w:val="center"/>
                </w:tcPr>
                <w:p w14:paraId="7030DBA2">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r>
            <w:tr w14:paraId="23DE0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continue"/>
                  <w:tcBorders>
                    <w:tl2br w:val="nil"/>
                    <w:tr2bl w:val="nil"/>
                  </w:tcBorders>
                  <w:noWrap w:val="0"/>
                  <w:vAlign w:val="center"/>
                </w:tcPr>
                <w:p w14:paraId="120C54A2">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0D03CD90">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317" w:type="pct"/>
                  <w:gridSpan w:val="3"/>
                  <w:vMerge w:val="continue"/>
                  <w:tcBorders>
                    <w:tl2br w:val="nil"/>
                    <w:tr2bl w:val="nil"/>
                  </w:tcBorders>
                  <w:noWrap w:val="0"/>
                  <w:vAlign w:val="center"/>
                </w:tcPr>
                <w:p w14:paraId="1BF7BC88">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1797" w:type="pct"/>
                  <w:tcBorders>
                    <w:tl2br w:val="nil"/>
                    <w:tr2bl w:val="nil"/>
                  </w:tcBorders>
                  <w:noWrap w:val="0"/>
                  <w:vAlign w:val="center"/>
                </w:tcPr>
                <w:p w14:paraId="10D8EB39">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禁止在燃气管网和集中供热管网覆盖的区域新建、改建、扩建分散燃烧煤炭、重油、渣油的集中供热设施；已建成的不能达标排放的集中供热设施应当在规定的期限内拆除。</w:t>
                  </w:r>
                </w:p>
              </w:tc>
              <w:tc>
                <w:tcPr>
                  <w:tcW w:w="1384" w:type="pct"/>
                  <w:tcBorders>
                    <w:tl2br w:val="nil"/>
                    <w:tr2bl w:val="nil"/>
                  </w:tcBorders>
                  <w:noWrap w:val="0"/>
                  <w:vAlign w:val="center"/>
                </w:tcPr>
                <w:p w14:paraId="65B3A447">
                  <w:pPr>
                    <w:keepNext w:val="0"/>
                    <w:keepLines w:val="0"/>
                    <w:pageBreakBefore w:val="0"/>
                    <w:widowControl/>
                    <w:suppressLineNumbers w:val="0"/>
                    <w:kinsoku/>
                    <w:wordWrap w:val="0"/>
                    <w:overflowPunct/>
                    <w:topLinePunct/>
                    <w:autoSpaceDE/>
                    <w:autoSpaceDN/>
                    <w:bidi w:val="0"/>
                    <w:adjustRightInd/>
                    <w:snapToGrid/>
                    <w:jc w:val="center"/>
                    <w:textAlignment w:val="auto"/>
                    <w:rPr>
                      <w:color w:val="auto"/>
                    </w:rPr>
                  </w:pPr>
                  <w:r>
                    <w:rPr>
                      <w:rFonts w:hint="eastAsia" w:cs="Times New Roman"/>
                      <w:color w:val="auto"/>
                      <w:kern w:val="0"/>
                      <w:sz w:val="21"/>
                      <w:szCs w:val="21"/>
                      <w:lang w:val="en-US" w:eastAsia="zh-CN" w:bidi="ar"/>
                    </w:rPr>
                    <w:t>本项目不涉及。</w:t>
                  </w:r>
                </w:p>
              </w:tc>
              <w:tc>
                <w:tcPr>
                  <w:tcW w:w="396" w:type="pct"/>
                  <w:vMerge w:val="continue"/>
                  <w:tcBorders>
                    <w:tl2br w:val="nil"/>
                    <w:tr2bl w:val="nil"/>
                  </w:tcBorders>
                  <w:noWrap w:val="0"/>
                  <w:vAlign w:val="center"/>
                </w:tcPr>
                <w:p w14:paraId="7E5DD278">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r>
            <w:tr w14:paraId="75E3F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continue"/>
                  <w:tcBorders>
                    <w:tl2br w:val="nil"/>
                    <w:tr2bl w:val="nil"/>
                  </w:tcBorders>
                  <w:noWrap w:val="0"/>
                  <w:vAlign w:val="center"/>
                </w:tcPr>
                <w:p w14:paraId="4B1215C8">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1924F634">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317" w:type="pct"/>
                  <w:gridSpan w:val="3"/>
                  <w:vMerge w:val="continue"/>
                  <w:tcBorders>
                    <w:tl2br w:val="nil"/>
                    <w:tr2bl w:val="nil"/>
                  </w:tcBorders>
                  <w:noWrap w:val="0"/>
                  <w:vAlign w:val="center"/>
                </w:tcPr>
                <w:p w14:paraId="4BBD9E6D">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1797" w:type="pct"/>
                  <w:tcBorders>
                    <w:tl2br w:val="nil"/>
                    <w:tr2bl w:val="nil"/>
                  </w:tcBorders>
                  <w:noWrap w:val="0"/>
                  <w:vAlign w:val="center"/>
                </w:tcPr>
                <w:p w14:paraId="7BA75BEC">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禁止在自然保护区、饮用水水源保护区、风景名胜区等敏感区域内新建、扩建、改建工业炉窑。</w:t>
                  </w:r>
                </w:p>
              </w:tc>
              <w:tc>
                <w:tcPr>
                  <w:tcW w:w="1384" w:type="pct"/>
                  <w:tcBorders>
                    <w:tl2br w:val="nil"/>
                    <w:tr2bl w:val="nil"/>
                  </w:tcBorders>
                  <w:noWrap w:val="0"/>
                  <w:vAlign w:val="center"/>
                </w:tcPr>
                <w:p w14:paraId="6F6B6B1A">
                  <w:pPr>
                    <w:keepNext w:val="0"/>
                    <w:keepLines w:val="0"/>
                    <w:pageBreakBefore w:val="0"/>
                    <w:widowControl/>
                    <w:suppressLineNumbers w:val="0"/>
                    <w:kinsoku/>
                    <w:wordWrap w:val="0"/>
                    <w:overflowPunct/>
                    <w:topLinePunct/>
                    <w:autoSpaceDE/>
                    <w:autoSpaceDN/>
                    <w:bidi w:val="0"/>
                    <w:adjustRightInd/>
                    <w:snapToGrid/>
                    <w:jc w:val="center"/>
                    <w:textAlignment w:val="auto"/>
                    <w:rPr>
                      <w:color w:val="auto"/>
                    </w:rPr>
                  </w:pPr>
                  <w:r>
                    <w:rPr>
                      <w:rFonts w:hint="eastAsia" w:cs="Times New Roman"/>
                      <w:color w:val="auto"/>
                      <w:kern w:val="0"/>
                      <w:sz w:val="21"/>
                      <w:szCs w:val="21"/>
                      <w:lang w:val="en-US" w:eastAsia="zh-CN" w:bidi="ar"/>
                    </w:rPr>
                    <w:t>本项目不涉及。</w:t>
                  </w:r>
                </w:p>
              </w:tc>
              <w:tc>
                <w:tcPr>
                  <w:tcW w:w="396" w:type="pct"/>
                  <w:vMerge w:val="continue"/>
                  <w:tcBorders>
                    <w:tl2br w:val="nil"/>
                    <w:tr2bl w:val="nil"/>
                  </w:tcBorders>
                  <w:noWrap w:val="0"/>
                  <w:vAlign w:val="center"/>
                </w:tcPr>
                <w:p w14:paraId="2B1A332B">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r>
            <w:tr w14:paraId="64515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continue"/>
                  <w:tcBorders>
                    <w:tl2br w:val="nil"/>
                    <w:tr2bl w:val="nil"/>
                  </w:tcBorders>
                  <w:noWrap w:val="0"/>
                  <w:vAlign w:val="center"/>
                </w:tcPr>
                <w:p w14:paraId="43F8682B">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7D128EB7">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317" w:type="pct"/>
                  <w:gridSpan w:val="3"/>
                  <w:vMerge w:val="continue"/>
                  <w:tcBorders>
                    <w:tl2br w:val="nil"/>
                    <w:tr2bl w:val="nil"/>
                  </w:tcBorders>
                  <w:noWrap w:val="0"/>
                  <w:vAlign w:val="center"/>
                </w:tcPr>
                <w:p w14:paraId="1F78313A">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1797" w:type="pct"/>
                  <w:tcBorders>
                    <w:tl2br w:val="nil"/>
                    <w:tr2bl w:val="nil"/>
                  </w:tcBorders>
                  <w:noWrap w:val="0"/>
                  <w:vAlign w:val="center"/>
                </w:tcPr>
                <w:p w14:paraId="229BBCDF">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禁止在河湖管理范围内向河湖排放、倾倒、处置油类、酸液、碱液或者剧毒废液污染物等；禁止新建、改建、扩建围堤、阻水渠道、阻水道路；禁止弃置、倾倒、堆放、掩埋固体废物。</w:t>
                  </w:r>
                </w:p>
              </w:tc>
              <w:tc>
                <w:tcPr>
                  <w:tcW w:w="1384" w:type="pct"/>
                  <w:tcBorders>
                    <w:tl2br w:val="nil"/>
                    <w:tr2bl w:val="nil"/>
                  </w:tcBorders>
                  <w:noWrap w:val="0"/>
                  <w:vAlign w:val="center"/>
                </w:tcPr>
                <w:p w14:paraId="354AED73">
                  <w:pPr>
                    <w:keepNext w:val="0"/>
                    <w:keepLines w:val="0"/>
                    <w:pageBreakBefore w:val="0"/>
                    <w:widowControl/>
                    <w:suppressLineNumbers w:val="0"/>
                    <w:kinsoku/>
                    <w:wordWrap w:val="0"/>
                    <w:overflowPunct/>
                    <w:topLinePunct/>
                    <w:autoSpaceDE/>
                    <w:autoSpaceDN/>
                    <w:bidi w:val="0"/>
                    <w:adjustRightInd/>
                    <w:snapToGrid/>
                    <w:jc w:val="center"/>
                    <w:textAlignment w:val="auto"/>
                    <w:rPr>
                      <w:color w:val="auto"/>
                    </w:rPr>
                  </w:pPr>
                  <w:r>
                    <w:rPr>
                      <w:rFonts w:hint="eastAsia" w:cs="Times New Roman"/>
                      <w:color w:val="auto"/>
                      <w:kern w:val="0"/>
                      <w:sz w:val="21"/>
                      <w:szCs w:val="21"/>
                      <w:lang w:val="en-US" w:eastAsia="zh-CN" w:bidi="ar"/>
                    </w:rPr>
                    <w:t>本项目不涉及。</w:t>
                  </w:r>
                </w:p>
              </w:tc>
              <w:tc>
                <w:tcPr>
                  <w:tcW w:w="396" w:type="pct"/>
                  <w:vMerge w:val="continue"/>
                  <w:tcBorders>
                    <w:tl2br w:val="nil"/>
                    <w:tr2bl w:val="nil"/>
                  </w:tcBorders>
                  <w:noWrap w:val="0"/>
                  <w:vAlign w:val="center"/>
                </w:tcPr>
                <w:p w14:paraId="672F6C88">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r>
            <w:tr w14:paraId="05443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continue"/>
                  <w:tcBorders>
                    <w:tl2br w:val="nil"/>
                    <w:tr2bl w:val="nil"/>
                  </w:tcBorders>
                  <w:noWrap w:val="0"/>
                  <w:vAlign w:val="center"/>
                </w:tcPr>
                <w:p w14:paraId="77B8D1CC">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764D9DAF">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317" w:type="pct"/>
                  <w:gridSpan w:val="3"/>
                  <w:vMerge w:val="continue"/>
                  <w:tcBorders>
                    <w:tl2br w:val="nil"/>
                    <w:tr2bl w:val="nil"/>
                  </w:tcBorders>
                  <w:noWrap w:val="0"/>
                  <w:vAlign w:val="center"/>
                </w:tcPr>
                <w:p w14:paraId="10C6865D">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1797" w:type="pct"/>
                  <w:tcBorders>
                    <w:tl2br w:val="nil"/>
                    <w:tr2bl w:val="nil"/>
                  </w:tcBorders>
                  <w:noWrap w:val="0"/>
                  <w:vAlign w:val="center"/>
                </w:tcPr>
                <w:p w14:paraId="5E76FF20">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禁止在崩塌、滑坡危险区和泥石流易发区从事取土、挖砂、采石等可能造成水土流失的活动。永久基本农田集中区域不得新建可能造成土壤污染的建设项目。</w:t>
                  </w:r>
                </w:p>
              </w:tc>
              <w:tc>
                <w:tcPr>
                  <w:tcW w:w="1384" w:type="pct"/>
                  <w:tcBorders>
                    <w:tl2br w:val="nil"/>
                    <w:tr2bl w:val="nil"/>
                  </w:tcBorders>
                  <w:noWrap w:val="0"/>
                  <w:vAlign w:val="center"/>
                </w:tcPr>
                <w:p w14:paraId="72248BBD">
                  <w:pPr>
                    <w:keepNext w:val="0"/>
                    <w:keepLines w:val="0"/>
                    <w:pageBreakBefore w:val="0"/>
                    <w:widowControl/>
                    <w:suppressLineNumbers w:val="0"/>
                    <w:kinsoku/>
                    <w:wordWrap w:val="0"/>
                    <w:overflowPunct/>
                    <w:topLinePunct/>
                    <w:autoSpaceDE/>
                    <w:autoSpaceDN/>
                    <w:bidi w:val="0"/>
                    <w:adjustRightInd/>
                    <w:snapToGrid/>
                    <w:jc w:val="left"/>
                    <w:textAlignment w:val="auto"/>
                    <w:rPr>
                      <w:rFonts w:hint="default"/>
                      <w:color w:val="auto"/>
                      <w:lang w:val="en-US"/>
                    </w:rPr>
                  </w:pPr>
                  <w:r>
                    <w:rPr>
                      <w:rFonts w:hint="eastAsia" w:cs="Times New Roman"/>
                      <w:color w:val="auto"/>
                      <w:kern w:val="0"/>
                      <w:sz w:val="21"/>
                      <w:szCs w:val="21"/>
                      <w:lang w:val="en-US" w:eastAsia="zh-CN" w:bidi="ar"/>
                    </w:rPr>
                    <w:t>本项目不涉及基本农田。</w:t>
                  </w:r>
                </w:p>
              </w:tc>
              <w:tc>
                <w:tcPr>
                  <w:tcW w:w="396" w:type="pct"/>
                  <w:vMerge w:val="continue"/>
                  <w:tcBorders>
                    <w:tl2br w:val="nil"/>
                    <w:tr2bl w:val="nil"/>
                  </w:tcBorders>
                  <w:noWrap w:val="0"/>
                  <w:vAlign w:val="center"/>
                </w:tcPr>
                <w:p w14:paraId="0FCEBE87">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r>
            <w:tr w14:paraId="680E6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continue"/>
                  <w:tcBorders>
                    <w:tl2br w:val="nil"/>
                    <w:tr2bl w:val="nil"/>
                  </w:tcBorders>
                  <w:noWrap w:val="0"/>
                  <w:vAlign w:val="center"/>
                </w:tcPr>
                <w:p w14:paraId="17E238FC">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0A9FCD01">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317" w:type="pct"/>
                  <w:gridSpan w:val="3"/>
                  <w:vMerge w:val="continue"/>
                  <w:tcBorders>
                    <w:tl2br w:val="nil"/>
                    <w:tr2bl w:val="nil"/>
                  </w:tcBorders>
                  <w:noWrap w:val="0"/>
                  <w:vAlign w:val="center"/>
                </w:tcPr>
                <w:p w14:paraId="42F8C5E8">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1797" w:type="pct"/>
                  <w:tcBorders>
                    <w:tl2br w:val="nil"/>
                    <w:tr2bl w:val="nil"/>
                  </w:tcBorders>
                  <w:noWrap w:val="0"/>
                  <w:vAlign w:val="center"/>
                </w:tcPr>
                <w:p w14:paraId="4B0F502C">
                  <w:pPr>
                    <w:keepNext w:val="0"/>
                    <w:keepLines w:val="0"/>
                    <w:pageBreakBefore w:val="0"/>
                    <w:widowControl/>
                    <w:suppressLineNumbers w:val="0"/>
                    <w:kinsoku/>
                    <w:wordWrap w:val="0"/>
                    <w:overflowPunct/>
                    <w:topLinePunct/>
                    <w:autoSpaceDE/>
                    <w:autoSpaceDN/>
                    <w:bidi w:val="0"/>
                    <w:adjustRightInd/>
                    <w:snapToGrid/>
                    <w:jc w:val="both"/>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在饮用水水源准保护区内，禁止下列行为：（一）新建、扩建化工、生物发酵、电镀、皮革、冶炼、放射性、炼油、炼焦以及其他严重污染水体的建设项目，改建增加排污量的项目；（二）进行可能严重影响饮用水水源水质和水量的矿产勘查、采选等活动；（三）倾倒、堆放工业废渣、垃圾、粪便以及其他废弃物；（四）破坏水源涵养林、护岸林以及水源保护相关植被的活动；（五）法律、法规规定的其他可能污染饮用水水源的行为。在饮用水水源二级保护区内，除饮用水水源准保护区内禁止的行为外，禁止下列行为：（一）设置排污口；（二）新建、改建、扩建排放污染物的建设项目或者其他设施；（三）影响水源补给的活动以及与饮用水供水无关的勘查、开采活动；（四）新建、扩建油库、加油站；（五）建立火葬场、墓地；（六）设置畜禽养殖场、养殖小区；（七）利用未经净化处理达标的污水灌溉农田；（八）超过标准使用农药、化肥、含磷洗涤剂；</w:t>
                  </w:r>
                </w:p>
                <w:p w14:paraId="5A0264BA">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九）掩埋、弃置动物尸体；（十）法律、法规规定的其他可能污染饮用水水源的行为。在饮用水水源一级保护区内，除饮用水水源准保护区、二级保护区内禁止的行为外，还禁止下列行为：（一）新建、改建、扩建与供水设施和保护水源无关的建设项目；（二）从事网箱养殖、旅游、游泳、垂钓或者其他可能污染饮用水水体的行为。</w:t>
                  </w:r>
                </w:p>
              </w:tc>
              <w:tc>
                <w:tcPr>
                  <w:tcW w:w="1384" w:type="pct"/>
                  <w:tcBorders>
                    <w:tl2br w:val="nil"/>
                    <w:tr2bl w:val="nil"/>
                  </w:tcBorders>
                  <w:noWrap w:val="0"/>
                  <w:vAlign w:val="center"/>
                </w:tcPr>
                <w:p w14:paraId="1FF42360">
                  <w:pPr>
                    <w:keepNext w:val="0"/>
                    <w:keepLines w:val="0"/>
                    <w:pageBreakBefore w:val="0"/>
                    <w:widowControl/>
                    <w:suppressLineNumbers w:val="0"/>
                    <w:kinsoku/>
                    <w:wordWrap w:val="0"/>
                    <w:overflowPunct/>
                    <w:topLinePunct/>
                    <w:autoSpaceDE/>
                    <w:autoSpaceDN/>
                    <w:bidi w:val="0"/>
                    <w:adjustRightInd/>
                    <w:snapToGrid/>
                    <w:jc w:val="left"/>
                    <w:textAlignment w:val="auto"/>
                    <w:rPr>
                      <w:color w:val="auto"/>
                    </w:rPr>
                  </w:pPr>
                  <w:r>
                    <w:rPr>
                      <w:rFonts w:hint="eastAsia" w:cs="Times New Roman"/>
                      <w:color w:val="auto"/>
                      <w:kern w:val="0"/>
                      <w:sz w:val="21"/>
                      <w:szCs w:val="21"/>
                      <w:lang w:val="en-US" w:eastAsia="zh-CN" w:bidi="ar"/>
                    </w:rPr>
                    <w:t>本项目不涉及饮用水水源保护区。</w:t>
                  </w:r>
                </w:p>
              </w:tc>
              <w:tc>
                <w:tcPr>
                  <w:tcW w:w="396" w:type="pct"/>
                  <w:vMerge w:val="continue"/>
                  <w:tcBorders>
                    <w:tl2br w:val="nil"/>
                    <w:tr2bl w:val="nil"/>
                  </w:tcBorders>
                  <w:noWrap w:val="0"/>
                  <w:vAlign w:val="center"/>
                </w:tcPr>
                <w:p w14:paraId="57220FDC">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r>
            <w:tr w14:paraId="4AB96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continue"/>
                  <w:tcBorders>
                    <w:tl2br w:val="nil"/>
                    <w:tr2bl w:val="nil"/>
                  </w:tcBorders>
                  <w:noWrap w:val="0"/>
                  <w:vAlign w:val="center"/>
                </w:tcPr>
                <w:p w14:paraId="3DF3473B">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5DCBCEB5">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4146CDAD">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2.</w:t>
                  </w:r>
                  <w:r>
                    <w:rPr>
                      <w:rFonts w:hint="default" w:ascii="Times New Roman" w:hAnsi="Times New Roman" w:eastAsia="宋体" w:cs="Times New Roman"/>
                      <w:color w:val="auto"/>
                      <w:kern w:val="0"/>
                      <w:sz w:val="21"/>
                      <w:szCs w:val="21"/>
                      <w:highlight w:val="none"/>
                      <w:lang w:val="en-US" w:eastAsia="zh-CN" w:bidi="ar"/>
                    </w:rPr>
                    <w:t>旗县（市、区）及以上城市建成区基本淘汰每小时10蒸吨及以下燃煤锅炉及茶水炉、经营性炉灶等燃煤设施，不再新建每小时35蒸吨以下的燃煤锅炉。</w:t>
                  </w:r>
                </w:p>
              </w:tc>
              <w:tc>
                <w:tcPr>
                  <w:tcW w:w="1384" w:type="pct"/>
                  <w:tcBorders>
                    <w:tl2br w:val="nil"/>
                    <w:tr2bl w:val="nil"/>
                  </w:tcBorders>
                  <w:noWrap w:val="0"/>
                  <w:vAlign w:val="center"/>
                </w:tcPr>
                <w:p w14:paraId="178C69A7">
                  <w:pPr>
                    <w:keepNext w:val="0"/>
                    <w:keepLines w:val="0"/>
                    <w:pageBreakBefore w:val="0"/>
                    <w:widowControl/>
                    <w:numPr>
                      <w:ilvl w:val="0"/>
                      <w:numId w:val="0"/>
                    </w:numPr>
                    <w:kinsoku/>
                    <w:wordWrap w:val="0"/>
                    <w:overflowPunct/>
                    <w:topLinePunct/>
                    <w:autoSpaceDE/>
                    <w:autoSpaceDN/>
                    <w:bidi w:val="0"/>
                    <w:adjustRightInd/>
                    <w:snapToGrid/>
                    <w:jc w:val="both"/>
                    <w:textAlignment w:val="center"/>
                    <w:rPr>
                      <w:color w:val="auto"/>
                    </w:rPr>
                  </w:pPr>
                  <w:r>
                    <w:rPr>
                      <w:rFonts w:hint="default" w:ascii="Times New Roman" w:hAnsi="Times New Roman" w:eastAsia="宋体" w:cs="Times New Roman"/>
                      <w:color w:val="auto"/>
                      <w:kern w:val="0"/>
                      <w:sz w:val="21"/>
                      <w:szCs w:val="21"/>
                      <w:lang w:val="en-US" w:eastAsia="zh-CN" w:bidi="ar"/>
                    </w:rPr>
                    <w:t>2.</w:t>
                  </w:r>
                  <w:r>
                    <w:rPr>
                      <w:rFonts w:hint="default" w:ascii="Times New Roman" w:hAnsi="Times New Roman" w:eastAsia="宋体" w:cs="Times New Roman"/>
                      <w:color w:val="auto"/>
                      <w:kern w:val="0"/>
                      <w:sz w:val="21"/>
                      <w:szCs w:val="21"/>
                      <w:highlight w:val="none"/>
                      <w:lang w:val="en-US" w:eastAsia="zh-CN" w:bidi="ar"/>
                    </w:rPr>
                    <w:t>本项目</w:t>
                  </w:r>
                  <w:r>
                    <w:rPr>
                      <w:rFonts w:hint="eastAsia" w:cs="Times New Roman"/>
                      <w:color w:val="auto"/>
                      <w:sz w:val="21"/>
                      <w:szCs w:val="21"/>
                      <w:highlight w:val="none"/>
                      <w:lang w:val="en-US" w:eastAsia="zh-CN"/>
                    </w:rPr>
                    <w:t>不涉及锅炉</w:t>
                  </w:r>
                  <w:r>
                    <w:rPr>
                      <w:rFonts w:hint="default" w:ascii="Times New Roman" w:hAnsi="Times New Roman" w:cs="Times New Roman"/>
                      <w:color w:val="auto"/>
                      <w:sz w:val="21"/>
                      <w:szCs w:val="21"/>
                      <w:highlight w:val="none"/>
                      <w:lang w:eastAsia="zh-CN"/>
                    </w:rPr>
                    <w:t>。</w:t>
                  </w:r>
                </w:p>
              </w:tc>
              <w:tc>
                <w:tcPr>
                  <w:tcW w:w="396" w:type="pct"/>
                  <w:vMerge w:val="continue"/>
                  <w:tcBorders>
                    <w:tl2br w:val="nil"/>
                    <w:tr2bl w:val="nil"/>
                  </w:tcBorders>
                  <w:noWrap w:val="0"/>
                  <w:vAlign w:val="center"/>
                </w:tcPr>
                <w:p w14:paraId="73567D91">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r>
            <w:tr w14:paraId="0BADB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continue"/>
                  <w:tcBorders>
                    <w:tl2br w:val="nil"/>
                    <w:tr2bl w:val="nil"/>
                  </w:tcBorders>
                  <w:noWrap w:val="0"/>
                  <w:vAlign w:val="center"/>
                </w:tcPr>
                <w:p w14:paraId="6CF537F5">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5F3FE828">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02242E3C">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3.</w:t>
                  </w:r>
                  <w:r>
                    <w:rPr>
                      <w:rFonts w:hint="default" w:ascii="Times New Roman" w:hAnsi="Times New Roman" w:eastAsia="宋体" w:cs="Times New Roman"/>
                      <w:color w:val="auto"/>
                      <w:kern w:val="0"/>
                      <w:sz w:val="21"/>
                      <w:szCs w:val="21"/>
                      <w:highlight w:val="none"/>
                      <w:lang w:val="en-US" w:eastAsia="zh-CN" w:bidi="ar"/>
                    </w:rPr>
                    <w:t>禁止在城市主导风向上风向新建涉气重污染项目，形成有利于大气污染物扩散的城市空间布局。</w:t>
                  </w:r>
                </w:p>
              </w:tc>
              <w:tc>
                <w:tcPr>
                  <w:tcW w:w="1384" w:type="pct"/>
                  <w:tcBorders>
                    <w:tl2br w:val="nil"/>
                    <w:tr2bl w:val="nil"/>
                  </w:tcBorders>
                  <w:noWrap w:val="0"/>
                  <w:vAlign w:val="center"/>
                </w:tcPr>
                <w:p w14:paraId="727E2844">
                  <w:pPr>
                    <w:keepNext w:val="0"/>
                    <w:keepLines w:val="0"/>
                    <w:pageBreakBefore w:val="0"/>
                    <w:widowControl/>
                    <w:numPr>
                      <w:ilvl w:val="0"/>
                      <w:numId w:val="0"/>
                    </w:numPr>
                    <w:kinsoku/>
                    <w:wordWrap w:val="0"/>
                    <w:overflowPunct/>
                    <w:topLinePunct/>
                    <w:autoSpaceDE/>
                    <w:autoSpaceDN/>
                    <w:bidi w:val="0"/>
                    <w:adjustRightInd/>
                    <w:snapToGrid/>
                    <w:jc w:val="both"/>
                    <w:textAlignment w:val="center"/>
                    <w:rPr>
                      <w:color w:val="auto"/>
                    </w:rPr>
                  </w:pPr>
                  <w:r>
                    <w:rPr>
                      <w:rFonts w:hint="default" w:ascii="Times New Roman" w:hAnsi="Times New Roman" w:eastAsia="宋体" w:cs="Times New Roman"/>
                      <w:color w:val="auto"/>
                      <w:kern w:val="0"/>
                      <w:sz w:val="21"/>
                      <w:szCs w:val="21"/>
                      <w:lang w:val="en-US" w:eastAsia="zh-CN" w:bidi="ar"/>
                    </w:rPr>
                    <w:t>3.</w:t>
                  </w:r>
                  <w:r>
                    <w:rPr>
                      <w:rFonts w:hint="default" w:ascii="Times New Roman" w:hAnsi="Times New Roman" w:eastAsia="宋体" w:cs="Times New Roman"/>
                      <w:color w:val="auto"/>
                      <w:kern w:val="0"/>
                      <w:sz w:val="21"/>
                      <w:szCs w:val="21"/>
                      <w:highlight w:val="none"/>
                      <w:lang w:val="en-US" w:eastAsia="zh-CN" w:bidi="ar"/>
                    </w:rPr>
                    <w:t>本项目位于城市主导风向下风向侧向，</w:t>
                  </w:r>
                  <w:r>
                    <w:rPr>
                      <w:rFonts w:hint="eastAsia" w:cs="Times New Roman"/>
                      <w:color w:val="auto"/>
                      <w:kern w:val="0"/>
                      <w:sz w:val="21"/>
                      <w:szCs w:val="21"/>
                      <w:highlight w:val="none"/>
                      <w:lang w:val="en-US" w:eastAsia="zh-CN" w:bidi="ar"/>
                    </w:rPr>
                    <w:t>且本项目</w:t>
                  </w:r>
                  <w:r>
                    <w:rPr>
                      <w:rFonts w:hint="default" w:ascii="Times New Roman" w:hAnsi="Times New Roman" w:eastAsia="宋体" w:cs="Times New Roman"/>
                      <w:b w:val="0"/>
                      <w:bCs w:val="0"/>
                      <w:i w:val="0"/>
                      <w:color w:val="auto"/>
                      <w:kern w:val="0"/>
                      <w:sz w:val="21"/>
                      <w:szCs w:val="21"/>
                      <w:highlight w:val="none"/>
                      <w:u w:val="none"/>
                      <w:lang w:val="en-US" w:eastAsia="zh-CN" w:bidi="ar"/>
                    </w:rPr>
                    <w:t>不属于涉气重污染项目。</w:t>
                  </w:r>
                </w:p>
              </w:tc>
              <w:tc>
                <w:tcPr>
                  <w:tcW w:w="396" w:type="pct"/>
                  <w:vMerge w:val="continue"/>
                  <w:tcBorders>
                    <w:tl2br w:val="nil"/>
                    <w:tr2bl w:val="nil"/>
                  </w:tcBorders>
                  <w:noWrap w:val="0"/>
                  <w:vAlign w:val="center"/>
                </w:tcPr>
                <w:p w14:paraId="427863E7">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r>
            <w:tr w14:paraId="065DC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continue"/>
                  <w:tcBorders>
                    <w:tl2br w:val="nil"/>
                    <w:tr2bl w:val="nil"/>
                  </w:tcBorders>
                  <w:noWrap w:val="0"/>
                  <w:vAlign w:val="center"/>
                </w:tcPr>
                <w:p w14:paraId="4D7D09C5">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34601B57">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7A9CEB05">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4.</w:t>
                  </w:r>
                  <w:r>
                    <w:rPr>
                      <w:rFonts w:hint="default" w:ascii="Times New Roman" w:hAnsi="Times New Roman" w:eastAsia="宋体" w:cs="Times New Roman"/>
                      <w:color w:val="auto"/>
                      <w:kern w:val="0"/>
                      <w:sz w:val="21"/>
                      <w:szCs w:val="21"/>
                      <w:highlight w:val="none"/>
                      <w:lang w:val="en-US" w:eastAsia="zh-CN" w:bidi="ar"/>
                    </w:rPr>
                    <w:t>推进城市建成区重污染企业退城入园，对位于城市建成区范围内的污染严重企业，限期完成搬迁、改造，逾期不退城的依法予以停产。</w:t>
                  </w:r>
                </w:p>
              </w:tc>
              <w:tc>
                <w:tcPr>
                  <w:tcW w:w="1384" w:type="pct"/>
                  <w:tcBorders>
                    <w:tl2br w:val="nil"/>
                    <w:tr2bl w:val="nil"/>
                  </w:tcBorders>
                  <w:noWrap w:val="0"/>
                  <w:vAlign w:val="center"/>
                </w:tcPr>
                <w:p w14:paraId="6036D04F">
                  <w:pPr>
                    <w:keepNext w:val="0"/>
                    <w:keepLines w:val="0"/>
                    <w:pageBreakBefore w:val="0"/>
                    <w:widowControl/>
                    <w:numPr>
                      <w:ilvl w:val="0"/>
                      <w:numId w:val="0"/>
                    </w:numPr>
                    <w:kinsoku/>
                    <w:wordWrap w:val="0"/>
                    <w:overflowPunct/>
                    <w:topLinePunct/>
                    <w:autoSpaceDE/>
                    <w:autoSpaceDN/>
                    <w:bidi w:val="0"/>
                    <w:adjustRightInd/>
                    <w:snapToGrid/>
                    <w:jc w:val="both"/>
                    <w:textAlignment w:val="center"/>
                    <w:rPr>
                      <w:color w:val="auto"/>
                    </w:rPr>
                  </w:pPr>
                  <w:r>
                    <w:rPr>
                      <w:rFonts w:hint="default" w:ascii="Times New Roman" w:hAnsi="Times New Roman" w:eastAsia="宋体" w:cs="Times New Roman"/>
                      <w:color w:val="auto"/>
                      <w:kern w:val="0"/>
                      <w:sz w:val="21"/>
                      <w:szCs w:val="21"/>
                      <w:lang w:val="en-US" w:eastAsia="zh-CN" w:bidi="ar"/>
                    </w:rPr>
                    <w:t>4.</w:t>
                  </w:r>
                  <w:r>
                    <w:rPr>
                      <w:rFonts w:hint="default" w:ascii="Times New Roman" w:hAnsi="Times New Roman" w:eastAsia="宋体" w:cs="Times New Roman"/>
                      <w:b w:val="0"/>
                      <w:bCs w:val="0"/>
                      <w:i w:val="0"/>
                      <w:color w:val="auto"/>
                      <w:kern w:val="0"/>
                      <w:sz w:val="21"/>
                      <w:szCs w:val="21"/>
                      <w:highlight w:val="none"/>
                      <w:u w:val="none"/>
                      <w:lang w:val="en-US" w:eastAsia="zh-CN" w:bidi="ar"/>
                    </w:rPr>
                    <w:t>本项目位于</w:t>
                  </w:r>
                  <w:r>
                    <w:rPr>
                      <w:rFonts w:hint="default" w:ascii="Times New Roman" w:hAnsi="Times New Roman" w:eastAsia="宋体" w:cs="Times New Roman"/>
                      <w:color w:val="auto"/>
                      <w:kern w:val="0"/>
                      <w:sz w:val="21"/>
                      <w:szCs w:val="21"/>
                      <w:highlight w:val="none"/>
                      <w:lang w:val="en-US" w:eastAsia="zh-CN" w:bidi="ar"/>
                    </w:rPr>
                    <w:t>镶黄旗工业聚集区，</w:t>
                  </w:r>
                  <w:r>
                    <w:rPr>
                      <w:rFonts w:hint="default" w:ascii="Times New Roman" w:hAnsi="Times New Roman" w:cs="Times New Roman"/>
                      <w:color w:val="auto"/>
                      <w:sz w:val="21"/>
                      <w:szCs w:val="21"/>
                      <w:highlight w:val="none"/>
                      <w:lang w:eastAsia="zh-CN"/>
                    </w:rPr>
                    <w:t>不属于城市建成区。</w:t>
                  </w:r>
                </w:p>
              </w:tc>
              <w:tc>
                <w:tcPr>
                  <w:tcW w:w="396" w:type="pct"/>
                  <w:vMerge w:val="continue"/>
                  <w:tcBorders>
                    <w:tl2br w:val="nil"/>
                    <w:tr2bl w:val="nil"/>
                  </w:tcBorders>
                  <w:noWrap w:val="0"/>
                  <w:vAlign w:val="center"/>
                </w:tcPr>
                <w:p w14:paraId="458AE7B3">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r>
            <w:tr w14:paraId="64557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continue"/>
                  <w:tcBorders>
                    <w:tl2br w:val="nil"/>
                    <w:tr2bl w:val="nil"/>
                  </w:tcBorders>
                  <w:noWrap w:val="0"/>
                  <w:vAlign w:val="center"/>
                </w:tcPr>
                <w:p w14:paraId="3B99BB7C">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111075E7">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5927AF9E">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5.</w:t>
                  </w:r>
                  <w:r>
                    <w:rPr>
                      <w:rFonts w:hint="default" w:ascii="Times New Roman" w:hAnsi="Times New Roman" w:eastAsia="宋体" w:cs="Times New Roman"/>
                      <w:color w:val="auto"/>
                      <w:kern w:val="0"/>
                      <w:sz w:val="21"/>
                      <w:szCs w:val="21"/>
                      <w:highlight w:val="none"/>
                      <w:lang w:val="en-US" w:eastAsia="zh-CN" w:bidi="ar"/>
                    </w:rPr>
                    <w:t>大气环境受体敏感区内，加大区域大气污染物减排力度，严格控制“两高”项目建设。</w:t>
                  </w:r>
                </w:p>
              </w:tc>
              <w:tc>
                <w:tcPr>
                  <w:tcW w:w="1384" w:type="pct"/>
                  <w:tcBorders>
                    <w:tl2br w:val="nil"/>
                    <w:tr2bl w:val="nil"/>
                  </w:tcBorders>
                  <w:noWrap w:val="0"/>
                  <w:vAlign w:val="center"/>
                </w:tcPr>
                <w:p w14:paraId="41AA6265">
                  <w:pPr>
                    <w:keepNext w:val="0"/>
                    <w:keepLines w:val="0"/>
                    <w:pageBreakBefore w:val="0"/>
                    <w:widowControl/>
                    <w:numPr>
                      <w:ilvl w:val="0"/>
                      <w:numId w:val="0"/>
                    </w:numPr>
                    <w:kinsoku/>
                    <w:wordWrap w:val="0"/>
                    <w:overflowPunct/>
                    <w:topLinePunct/>
                    <w:autoSpaceDE/>
                    <w:autoSpaceDN/>
                    <w:bidi w:val="0"/>
                    <w:adjustRightInd/>
                    <w:snapToGrid/>
                    <w:jc w:val="left"/>
                    <w:textAlignment w:val="center"/>
                    <w:rPr>
                      <w:color w:val="auto"/>
                    </w:rPr>
                  </w:pPr>
                  <w:r>
                    <w:rPr>
                      <w:rFonts w:hint="default" w:ascii="Times New Roman" w:hAnsi="Times New Roman" w:eastAsia="宋体" w:cs="Times New Roman"/>
                      <w:color w:val="auto"/>
                      <w:kern w:val="0"/>
                      <w:sz w:val="21"/>
                      <w:szCs w:val="21"/>
                      <w:lang w:val="en-US" w:eastAsia="zh-CN" w:bidi="ar"/>
                    </w:rPr>
                    <w:t>5.</w:t>
                  </w:r>
                  <w:r>
                    <w:rPr>
                      <w:rFonts w:hint="default" w:ascii="Times New Roman" w:hAnsi="Times New Roman" w:eastAsia="宋体" w:cs="Times New Roman"/>
                      <w:b w:val="0"/>
                      <w:bCs w:val="0"/>
                      <w:i w:val="0"/>
                      <w:color w:val="auto"/>
                      <w:kern w:val="0"/>
                      <w:sz w:val="21"/>
                      <w:szCs w:val="21"/>
                      <w:highlight w:val="none"/>
                      <w:u w:val="none"/>
                      <w:lang w:val="en-US" w:eastAsia="zh-CN" w:bidi="ar"/>
                    </w:rPr>
                    <w:t>本项目</w:t>
                  </w:r>
                  <w:r>
                    <w:rPr>
                      <w:rFonts w:hint="eastAsia" w:cs="Times New Roman"/>
                      <w:b w:val="0"/>
                      <w:bCs w:val="0"/>
                      <w:i w:val="0"/>
                      <w:color w:val="auto"/>
                      <w:kern w:val="0"/>
                      <w:sz w:val="21"/>
                      <w:szCs w:val="21"/>
                      <w:highlight w:val="none"/>
                      <w:u w:val="none"/>
                      <w:lang w:val="en-US" w:eastAsia="zh-CN" w:bidi="ar"/>
                    </w:rPr>
                    <w:t>所在位置不位于</w:t>
                  </w:r>
                  <w:r>
                    <w:rPr>
                      <w:rFonts w:hint="default" w:ascii="Times New Roman" w:hAnsi="Times New Roman" w:eastAsia="宋体" w:cs="Times New Roman"/>
                      <w:b w:val="0"/>
                      <w:bCs w:val="0"/>
                      <w:i w:val="0"/>
                      <w:color w:val="auto"/>
                      <w:kern w:val="0"/>
                      <w:sz w:val="21"/>
                      <w:szCs w:val="21"/>
                      <w:highlight w:val="none"/>
                      <w:u w:val="none"/>
                      <w:lang w:val="en-US" w:eastAsia="zh-CN" w:bidi="ar"/>
                    </w:rPr>
                    <w:t>大气环境受体敏感区</w:t>
                  </w:r>
                  <w:r>
                    <w:rPr>
                      <w:rFonts w:hint="eastAsia" w:cs="Times New Roman"/>
                      <w:b w:val="0"/>
                      <w:bCs w:val="0"/>
                      <w:i w:val="0"/>
                      <w:color w:val="auto"/>
                      <w:kern w:val="0"/>
                      <w:sz w:val="21"/>
                      <w:szCs w:val="21"/>
                      <w:highlight w:val="none"/>
                      <w:u w:val="none"/>
                      <w:lang w:val="en-US" w:eastAsia="zh-CN" w:bidi="ar"/>
                    </w:rPr>
                    <w:t>，且本项目不属于两高项目</w:t>
                  </w:r>
                  <w:r>
                    <w:rPr>
                      <w:rFonts w:hint="default" w:ascii="Times New Roman" w:hAnsi="Times New Roman" w:eastAsia="宋体" w:cs="Times New Roman"/>
                      <w:b w:val="0"/>
                      <w:bCs w:val="0"/>
                      <w:i w:val="0"/>
                      <w:color w:val="auto"/>
                      <w:kern w:val="0"/>
                      <w:sz w:val="21"/>
                      <w:szCs w:val="21"/>
                      <w:highlight w:val="none"/>
                      <w:u w:val="none"/>
                      <w:lang w:val="en-US" w:eastAsia="zh-CN" w:bidi="ar"/>
                    </w:rPr>
                    <w:t>。</w:t>
                  </w:r>
                </w:p>
              </w:tc>
              <w:tc>
                <w:tcPr>
                  <w:tcW w:w="396" w:type="pct"/>
                  <w:vMerge w:val="continue"/>
                  <w:tcBorders>
                    <w:tl2br w:val="nil"/>
                    <w:tr2bl w:val="nil"/>
                  </w:tcBorders>
                  <w:noWrap w:val="0"/>
                  <w:vAlign w:val="center"/>
                </w:tcPr>
                <w:p w14:paraId="17A0C5F1">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r>
            <w:tr w14:paraId="4EA6F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continue"/>
                  <w:tcBorders>
                    <w:tl2br w:val="nil"/>
                    <w:tr2bl w:val="nil"/>
                  </w:tcBorders>
                  <w:noWrap w:val="0"/>
                  <w:vAlign w:val="center"/>
                </w:tcPr>
                <w:p w14:paraId="4D69B349">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41202155">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2B4AAD1B">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6.</w:t>
                  </w:r>
                  <w:r>
                    <w:rPr>
                      <w:rFonts w:hint="default" w:ascii="Times New Roman" w:hAnsi="Times New Roman" w:eastAsia="宋体" w:cs="Times New Roman"/>
                      <w:color w:val="auto"/>
                      <w:kern w:val="0"/>
                      <w:sz w:val="21"/>
                      <w:szCs w:val="21"/>
                      <w:highlight w:val="none"/>
                      <w:lang w:val="en-US" w:eastAsia="zh-CN" w:bidi="ar"/>
                    </w:rPr>
                    <w:t>禁止不符合园区产业定位及规划环评等要求的项目入园；国家明令淘汰的落后产能和不符合国家产业政策的项目，禁止向工业园区转移。</w:t>
                  </w:r>
                </w:p>
              </w:tc>
              <w:tc>
                <w:tcPr>
                  <w:tcW w:w="1384" w:type="pct"/>
                  <w:tcBorders>
                    <w:tl2br w:val="nil"/>
                    <w:tr2bl w:val="nil"/>
                  </w:tcBorders>
                  <w:noWrap w:val="0"/>
                  <w:vAlign w:val="center"/>
                </w:tcPr>
                <w:p w14:paraId="74A32662">
                  <w:pPr>
                    <w:keepNext w:val="0"/>
                    <w:keepLines w:val="0"/>
                    <w:pageBreakBefore w:val="0"/>
                    <w:widowControl/>
                    <w:numPr>
                      <w:ilvl w:val="0"/>
                      <w:numId w:val="0"/>
                    </w:numPr>
                    <w:kinsoku/>
                    <w:wordWrap w:val="0"/>
                    <w:overflowPunct/>
                    <w:topLinePunct/>
                    <w:autoSpaceDE/>
                    <w:autoSpaceDN/>
                    <w:bidi w:val="0"/>
                    <w:adjustRightInd/>
                    <w:snapToGrid/>
                    <w:jc w:val="left"/>
                    <w:textAlignment w:val="center"/>
                    <w:rPr>
                      <w:color w:val="auto"/>
                    </w:rPr>
                  </w:pPr>
                  <w:r>
                    <w:rPr>
                      <w:rFonts w:hint="default" w:ascii="Times New Roman" w:hAnsi="Times New Roman" w:eastAsia="宋体" w:cs="Times New Roman"/>
                      <w:color w:val="auto"/>
                      <w:kern w:val="0"/>
                      <w:sz w:val="21"/>
                      <w:szCs w:val="21"/>
                      <w:lang w:val="en-US" w:eastAsia="zh-CN" w:bidi="ar"/>
                    </w:rPr>
                    <w:t>6.</w:t>
                  </w:r>
                  <w:r>
                    <w:rPr>
                      <w:rFonts w:hint="default" w:ascii="Times New Roman" w:hAnsi="Times New Roman" w:eastAsia="宋体" w:cs="Times New Roman"/>
                      <w:color w:val="auto"/>
                      <w:kern w:val="0"/>
                      <w:sz w:val="21"/>
                      <w:szCs w:val="21"/>
                      <w:highlight w:val="none"/>
                      <w:lang w:val="en-US" w:eastAsia="zh-CN" w:bidi="ar"/>
                    </w:rPr>
                    <w:t>本项目位于镶黄旗工业聚集区内，根据《内蒙古自治区开发区审核公告目录》镶黄旗工业区已撤销，不属于工业园区，不属于国家明令淘汰的落后产能和不符合国家产业政策的项目。</w:t>
                  </w:r>
                </w:p>
              </w:tc>
              <w:tc>
                <w:tcPr>
                  <w:tcW w:w="396" w:type="pct"/>
                  <w:vMerge w:val="continue"/>
                  <w:tcBorders>
                    <w:tl2br w:val="nil"/>
                    <w:tr2bl w:val="nil"/>
                  </w:tcBorders>
                  <w:noWrap w:val="0"/>
                  <w:vAlign w:val="center"/>
                </w:tcPr>
                <w:p w14:paraId="10019C5A">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r>
            <w:tr w14:paraId="30FBF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688" w:type="pct"/>
                  <w:vMerge w:val="continue"/>
                  <w:tcBorders>
                    <w:tl2br w:val="nil"/>
                    <w:tr2bl w:val="nil"/>
                  </w:tcBorders>
                  <w:noWrap w:val="0"/>
                  <w:vAlign w:val="center"/>
                </w:tcPr>
                <w:p w14:paraId="2F7CB39F">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2A8373F3">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1E912195">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7.</w:t>
                  </w:r>
                  <w:r>
                    <w:rPr>
                      <w:rFonts w:hint="default" w:ascii="Times New Roman" w:hAnsi="Times New Roman" w:eastAsia="宋体" w:cs="Times New Roman"/>
                      <w:color w:val="auto"/>
                      <w:kern w:val="0"/>
                      <w:sz w:val="21"/>
                      <w:szCs w:val="21"/>
                      <w:highlight w:val="none"/>
                      <w:lang w:val="en-US" w:eastAsia="zh-CN" w:bidi="ar"/>
                    </w:rPr>
                    <w:t>高污染燃料禁燃区范围内禁止新建、改建、扩建燃用高污染燃料的设施；高污染燃料禁燃区范围内禁止销售、燃用高污染燃料，已建成使用高污染燃料设施的工业企业拆除高污染燃料设施或改用天然气、液化气、电等清洁能源，已使用天然气、液化气、电等清洁能源的各类设施严禁改用民用洁净型燃料或生物质成型燃料等燃料。高污染燃料禁燃区范围内居民生活类高污染燃料设施应加快改造，改用电、太阳能、天然气、民用洁净型燃料等清洁能源。</w:t>
                  </w:r>
                </w:p>
              </w:tc>
              <w:tc>
                <w:tcPr>
                  <w:tcW w:w="1384" w:type="pct"/>
                  <w:tcBorders>
                    <w:tl2br w:val="nil"/>
                    <w:tr2bl w:val="nil"/>
                  </w:tcBorders>
                  <w:noWrap w:val="0"/>
                  <w:vAlign w:val="center"/>
                </w:tcPr>
                <w:p w14:paraId="4246FF10">
                  <w:pPr>
                    <w:keepNext w:val="0"/>
                    <w:keepLines w:val="0"/>
                    <w:pageBreakBefore w:val="0"/>
                    <w:widowControl/>
                    <w:numPr>
                      <w:ilvl w:val="0"/>
                      <w:numId w:val="0"/>
                    </w:numPr>
                    <w:kinsoku/>
                    <w:wordWrap w:val="0"/>
                    <w:overflowPunct/>
                    <w:topLinePunct/>
                    <w:autoSpaceDE/>
                    <w:autoSpaceDN/>
                    <w:bidi w:val="0"/>
                    <w:adjustRightInd/>
                    <w:snapToGrid/>
                    <w:jc w:val="left"/>
                    <w:textAlignment w:val="center"/>
                    <w:rPr>
                      <w:color w:val="auto"/>
                    </w:rPr>
                  </w:pPr>
                  <w:r>
                    <w:rPr>
                      <w:rFonts w:hint="default" w:ascii="Times New Roman" w:hAnsi="Times New Roman" w:eastAsia="宋体" w:cs="Times New Roman"/>
                      <w:color w:val="auto"/>
                      <w:kern w:val="0"/>
                      <w:sz w:val="21"/>
                      <w:szCs w:val="21"/>
                      <w:lang w:val="en-US" w:eastAsia="zh-CN" w:bidi="ar"/>
                    </w:rPr>
                    <w:t>7.</w:t>
                  </w:r>
                  <w:r>
                    <w:rPr>
                      <w:rFonts w:hint="default" w:ascii="Times New Roman" w:hAnsi="Times New Roman" w:eastAsia="宋体" w:cs="Times New Roman"/>
                      <w:b w:val="0"/>
                      <w:bCs w:val="0"/>
                      <w:i w:val="0"/>
                      <w:color w:val="auto"/>
                      <w:kern w:val="0"/>
                      <w:sz w:val="21"/>
                      <w:szCs w:val="21"/>
                      <w:highlight w:val="none"/>
                      <w:u w:val="none"/>
                      <w:lang w:val="en-US" w:eastAsia="zh-CN" w:bidi="ar"/>
                    </w:rPr>
                    <w:t>本项目所在区域</w:t>
                  </w:r>
                  <w:r>
                    <w:rPr>
                      <w:rFonts w:hint="eastAsia" w:cs="Times New Roman"/>
                      <w:b w:val="0"/>
                      <w:bCs w:val="0"/>
                      <w:i w:val="0"/>
                      <w:color w:val="auto"/>
                      <w:kern w:val="0"/>
                      <w:sz w:val="21"/>
                      <w:szCs w:val="21"/>
                      <w:highlight w:val="none"/>
                      <w:u w:val="none"/>
                      <w:lang w:val="en-US" w:eastAsia="zh-CN" w:bidi="ar"/>
                    </w:rPr>
                    <w:t>不属于</w:t>
                  </w:r>
                  <w:r>
                    <w:rPr>
                      <w:rFonts w:hint="default" w:ascii="Times New Roman" w:hAnsi="Times New Roman" w:eastAsia="宋体" w:cs="Times New Roman"/>
                      <w:b w:val="0"/>
                      <w:bCs w:val="0"/>
                      <w:i w:val="0"/>
                      <w:color w:val="auto"/>
                      <w:kern w:val="0"/>
                      <w:sz w:val="21"/>
                      <w:szCs w:val="21"/>
                      <w:highlight w:val="none"/>
                      <w:u w:val="none"/>
                      <w:lang w:val="en-US" w:eastAsia="zh-CN" w:bidi="ar"/>
                    </w:rPr>
                    <w:t>高污染燃料禁燃区。</w:t>
                  </w:r>
                </w:p>
              </w:tc>
              <w:tc>
                <w:tcPr>
                  <w:tcW w:w="396" w:type="pct"/>
                  <w:vMerge w:val="continue"/>
                  <w:tcBorders>
                    <w:tl2br w:val="nil"/>
                    <w:tr2bl w:val="nil"/>
                  </w:tcBorders>
                  <w:noWrap w:val="0"/>
                  <w:vAlign w:val="center"/>
                </w:tcPr>
                <w:p w14:paraId="3FD5249E">
                  <w:pPr>
                    <w:keepNext w:val="0"/>
                    <w:keepLines w:val="0"/>
                    <w:pageBreakBefore w:val="0"/>
                    <w:widowControl/>
                    <w:suppressLineNumbers w:val="0"/>
                    <w:kinsoku/>
                    <w:wordWrap w:val="0"/>
                    <w:overflowPunct/>
                    <w:topLinePunct/>
                    <w:autoSpaceDE/>
                    <w:autoSpaceDN/>
                    <w:bidi w:val="0"/>
                    <w:adjustRightInd/>
                    <w:snapToGrid/>
                    <w:jc w:val="both"/>
                    <w:textAlignment w:val="auto"/>
                    <w:rPr>
                      <w:color w:val="auto"/>
                    </w:rPr>
                  </w:pPr>
                </w:p>
              </w:tc>
            </w:tr>
            <w:tr w14:paraId="7FFA9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1B73ED82">
                  <w:pPr>
                    <w:widowControl/>
                    <w:jc w:val="left"/>
                    <w:rPr>
                      <w:rFonts w:hint="default" w:ascii="Times New Roman" w:hAnsi="Times New Roman" w:eastAsia="宋体" w:cs="Times New Roman"/>
                      <w:color w:val="auto"/>
                      <w:kern w:val="0"/>
                      <w:sz w:val="21"/>
                      <w:szCs w:val="21"/>
                      <w:highlight w:val="none"/>
                      <w:lang w:eastAsia="zh-CN" w:bidi="ar"/>
                    </w:rPr>
                  </w:pPr>
                </w:p>
              </w:tc>
              <w:tc>
                <w:tcPr>
                  <w:tcW w:w="416" w:type="pct"/>
                  <w:vMerge w:val="restart"/>
                  <w:tcBorders>
                    <w:tl2br w:val="nil"/>
                    <w:tr2bl w:val="nil"/>
                  </w:tcBorders>
                  <w:noWrap w:val="0"/>
                  <w:vAlign w:val="center"/>
                </w:tcPr>
                <w:p w14:paraId="781578AD">
                  <w:pPr>
                    <w:widowControl/>
                    <w:jc w:val="center"/>
                    <w:textAlignment w:val="center"/>
                    <w:rPr>
                      <w:rFonts w:hint="default" w:ascii="Times New Roman" w:hAnsi="Times New Roman" w:eastAsia="宋体" w:cs="Times New Roman"/>
                      <w:color w:val="auto"/>
                      <w:kern w:val="0"/>
                      <w:sz w:val="21"/>
                      <w:szCs w:val="21"/>
                      <w:highlight w:val="none"/>
                      <w:lang w:bidi="ar"/>
                    </w:rPr>
                  </w:pPr>
                  <w:r>
                    <w:rPr>
                      <w:rFonts w:hint="default" w:ascii="Times New Roman" w:hAnsi="Times New Roman" w:eastAsia="宋体" w:cs="Times New Roman"/>
                      <w:color w:val="auto"/>
                      <w:kern w:val="0"/>
                      <w:sz w:val="21"/>
                      <w:szCs w:val="21"/>
                      <w:highlight w:val="none"/>
                      <w:lang w:bidi="ar"/>
                    </w:rPr>
                    <w:t>污染物排</w:t>
                  </w:r>
                </w:p>
                <w:p w14:paraId="44426D57">
                  <w:pPr>
                    <w:widowControl/>
                    <w:jc w:val="center"/>
                    <w:textAlignment w:val="center"/>
                    <w:rPr>
                      <w:rFonts w:hint="default" w:ascii="Times New Roman" w:hAnsi="Times New Roman" w:eastAsia="宋体" w:cs="Times New Roman"/>
                      <w:color w:val="auto"/>
                      <w:kern w:val="0"/>
                      <w:sz w:val="21"/>
                      <w:szCs w:val="21"/>
                      <w:highlight w:val="none"/>
                      <w:lang w:bidi="ar"/>
                    </w:rPr>
                  </w:pPr>
                  <w:r>
                    <w:rPr>
                      <w:rFonts w:hint="default" w:ascii="Times New Roman" w:hAnsi="Times New Roman" w:eastAsia="宋体" w:cs="Times New Roman"/>
                      <w:color w:val="auto"/>
                      <w:kern w:val="0"/>
                      <w:sz w:val="21"/>
                      <w:szCs w:val="21"/>
                      <w:highlight w:val="none"/>
                      <w:lang w:bidi="ar"/>
                    </w:rPr>
                    <w:t>放管控</w:t>
                  </w:r>
                </w:p>
              </w:tc>
              <w:tc>
                <w:tcPr>
                  <w:tcW w:w="296" w:type="pct"/>
                  <w:gridSpan w:val="2"/>
                  <w:vMerge w:val="restart"/>
                  <w:tcBorders>
                    <w:tl2br w:val="nil"/>
                    <w:tr2bl w:val="nil"/>
                  </w:tcBorders>
                  <w:noWrap w:val="0"/>
                  <w:vAlign w:val="center"/>
                </w:tcPr>
                <w:p w14:paraId="0D2BA089">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1.执行锡林郭勒盟总体准入要求中第二条关于污染物排放管控的准入要求。</w:t>
                  </w:r>
                </w:p>
                <w:p w14:paraId="4F5533BC">
                  <w:pPr>
                    <w:keepNext w:val="0"/>
                    <w:keepLines w:val="0"/>
                    <w:pageBreakBefore w:val="0"/>
                    <w:widowControl/>
                    <w:suppressLineNumbers w:val="0"/>
                    <w:kinsoku/>
                    <w:wordWrap/>
                    <w:overflowPunct/>
                    <w:topLinePunct w:val="0"/>
                    <w:autoSpaceDE/>
                    <w:autoSpaceDN/>
                    <w:bidi w:val="0"/>
                    <w:adjustRightInd/>
                    <w:snapToGrid/>
                    <w:jc w:val="both"/>
                    <w:textAlignment w:val="auto"/>
                    <w:rPr>
                      <w:rFonts w:hint="default" w:ascii="Times New Roman" w:hAnsi="Times New Roman" w:eastAsia="宋体" w:cs="Times New Roman"/>
                      <w:color w:val="auto"/>
                      <w:kern w:val="0"/>
                      <w:sz w:val="21"/>
                      <w:szCs w:val="21"/>
                      <w:highlight w:val="none"/>
                      <w:lang w:val="en-US" w:eastAsia="zh-CN" w:bidi="ar"/>
                    </w:rPr>
                  </w:pPr>
                </w:p>
              </w:tc>
              <w:tc>
                <w:tcPr>
                  <w:tcW w:w="1818" w:type="pct"/>
                  <w:gridSpan w:val="2"/>
                  <w:tcBorders>
                    <w:tl2br w:val="nil"/>
                    <w:tr2bl w:val="nil"/>
                  </w:tcBorders>
                  <w:noWrap w:val="0"/>
                  <w:vAlign w:val="center"/>
                </w:tcPr>
                <w:p w14:paraId="60B5590B">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 xml:space="preserve">严格落实污染物排放总量控制制度，把主要污染物排放总量指标作为环评审批的前置条件。对未完成上一年度主要污染物总量减排目标的地区或企业、环境质量未达到环境功能区划要求、被实施区域限批的地区及未进行排污权交易的工业企业建设项目暂停新增主要污染物排放建设项目的总量审批。 </w:t>
                  </w:r>
                </w:p>
              </w:tc>
              <w:tc>
                <w:tcPr>
                  <w:tcW w:w="1384" w:type="pct"/>
                  <w:tcBorders>
                    <w:tl2br w:val="nil"/>
                    <w:tr2bl w:val="nil"/>
                  </w:tcBorders>
                  <w:noWrap w:val="0"/>
                  <w:vAlign w:val="center"/>
                </w:tcPr>
                <w:p w14:paraId="47A25D09">
                  <w:pPr>
                    <w:keepNext w:val="0"/>
                    <w:keepLines w:val="0"/>
                    <w:pageBreakBefore w:val="0"/>
                    <w:widowControl/>
                    <w:kinsoku/>
                    <w:wordWrap/>
                    <w:overflowPunct/>
                    <w:topLinePunct w:val="0"/>
                    <w:autoSpaceDE/>
                    <w:autoSpaceDN/>
                    <w:bidi w:val="0"/>
                    <w:adjustRightInd/>
                    <w:snapToGrid/>
                    <w:jc w:val="both"/>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本项目不涉及总量申请，本项目不在限批区域</w:t>
                  </w:r>
                  <w:r>
                    <w:rPr>
                      <w:rFonts w:hint="eastAsia" w:cs="Times New Roman"/>
                      <w:color w:val="auto"/>
                      <w:kern w:val="0"/>
                      <w:sz w:val="21"/>
                      <w:szCs w:val="21"/>
                      <w:highlight w:val="none"/>
                      <w:lang w:val="en-US" w:eastAsia="zh-CN" w:bidi="ar"/>
                    </w:rPr>
                    <w:t>。</w:t>
                  </w:r>
                </w:p>
              </w:tc>
              <w:tc>
                <w:tcPr>
                  <w:tcW w:w="396" w:type="pct"/>
                  <w:vMerge w:val="restart"/>
                  <w:tcBorders>
                    <w:tl2br w:val="nil"/>
                    <w:tr2bl w:val="nil"/>
                  </w:tcBorders>
                  <w:noWrap w:val="0"/>
                  <w:vAlign w:val="center"/>
                </w:tcPr>
                <w:p w14:paraId="1E42AA8B">
                  <w:pPr>
                    <w:widowControl/>
                    <w:jc w:val="center"/>
                    <w:textAlignment w:val="center"/>
                    <w:rPr>
                      <w:rFonts w:hint="default" w:ascii="Times New Roman" w:hAnsi="Times New Roman" w:eastAsia="宋体" w:cs="Times New Roman"/>
                      <w:color w:val="auto"/>
                      <w:kern w:val="0"/>
                      <w:sz w:val="21"/>
                      <w:szCs w:val="21"/>
                      <w:highlight w:val="none"/>
                      <w:lang w:bidi="ar"/>
                    </w:rPr>
                  </w:pPr>
                  <w:r>
                    <w:rPr>
                      <w:rFonts w:hint="eastAsia" w:ascii="Times New Roman" w:hAnsi="Times New Roman" w:eastAsia="宋体" w:cs="Times New Roman"/>
                      <w:color w:val="auto"/>
                      <w:kern w:val="0"/>
                      <w:sz w:val="21"/>
                      <w:szCs w:val="21"/>
                      <w:highlight w:val="none"/>
                      <w:lang w:eastAsia="zh-CN" w:bidi="ar"/>
                    </w:rPr>
                    <w:t>符合</w:t>
                  </w:r>
                </w:p>
              </w:tc>
            </w:tr>
            <w:tr w14:paraId="73529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75F3FE1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677E5A7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96" w:type="pct"/>
                  <w:gridSpan w:val="2"/>
                  <w:vMerge w:val="continue"/>
                  <w:tcBorders>
                    <w:tl2br w:val="nil"/>
                    <w:tr2bl w:val="nil"/>
                  </w:tcBorders>
                  <w:noWrap w:val="0"/>
                  <w:vAlign w:val="center"/>
                </w:tcPr>
                <w:p w14:paraId="7F0B878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18" w:type="pct"/>
                  <w:gridSpan w:val="2"/>
                  <w:tcBorders>
                    <w:tl2br w:val="nil"/>
                    <w:tr2bl w:val="nil"/>
                  </w:tcBorders>
                  <w:noWrap w:val="0"/>
                  <w:vAlign w:val="center"/>
                </w:tcPr>
                <w:p w14:paraId="29B83D30">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 xml:space="preserve">45米以上高架源纳入自治区重点污染源在线监控并实现与生态环境部门联网。 </w:t>
                  </w:r>
                </w:p>
              </w:tc>
              <w:tc>
                <w:tcPr>
                  <w:tcW w:w="1384" w:type="pct"/>
                  <w:tcBorders>
                    <w:tl2br w:val="nil"/>
                    <w:tr2bl w:val="nil"/>
                  </w:tcBorders>
                  <w:noWrap w:val="0"/>
                  <w:vAlign w:val="center"/>
                </w:tcPr>
                <w:p w14:paraId="1C5C5771">
                  <w:pPr>
                    <w:keepNext w:val="0"/>
                    <w:keepLines w:val="0"/>
                    <w:pageBreakBefore w:val="0"/>
                    <w:widowControl/>
                    <w:suppressLineNumbers w:val="0"/>
                    <w:kinsoku/>
                    <w:wordWrap/>
                    <w:overflowPunct/>
                    <w:topLinePunct w:val="0"/>
                    <w:autoSpaceDE/>
                    <w:autoSpaceDN/>
                    <w:bidi w:val="0"/>
                    <w:adjustRightInd/>
                    <w:snapToGrid/>
                    <w:jc w:val="center"/>
                    <w:textAlignment w:val="auto"/>
                    <w:rPr>
                      <w:color w:val="auto"/>
                    </w:rPr>
                  </w:pPr>
                  <w:r>
                    <w:rPr>
                      <w:rFonts w:hint="eastAsia"/>
                      <w:color w:val="auto"/>
                      <w:lang w:val="en-US" w:eastAsia="zh-CN"/>
                    </w:rPr>
                    <w:t>本项目不涉及。</w:t>
                  </w:r>
                </w:p>
              </w:tc>
              <w:tc>
                <w:tcPr>
                  <w:tcW w:w="396" w:type="pct"/>
                  <w:vMerge w:val="continue"/>
                  <w:tcBorders>
                    <w:tl2br w:val="nil"/>
                    <w:tr2bl w:val="nil"/>
                  </w:tcBorders>
                  <w:noWrap w:val="0"/>
                  <w:vAlign w:val="center"/>
                </w:tcPr>
                <w:p w14:paraId="262577AD">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2FD98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73B0BED6">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0C650A0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96" w:type="pct"/>
                  <w:gridSpan w:val="2"/>
                  <w:vMerge w:val="continue"/>
                  <w:tcBorders>
                    <w:tl2br w:val="nil"/>
                    <w:tr2bl w:val="nil"/>
                  </w:tcBorders>
                  <w:noWrap w:val="0"/>
                  <w:vAlign w:val="center"/>
                </w:tcPr>
                <w:p w14:paraId="12E893B0">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18" w:type="pct"/>
                  <w:gridSpan w:val="2"/>
                  <w:tcBorders>
                    <w:tl2br w:val="nil"/>
                    <w:tr2bl w:val="nil"/>
                  </w:tcBorders>
                  <w:noWrap w:val="0"/>
                  <w:vAlign w:val="center"/>
                </w:tcPr>
                <w:p w14:paraId="630C4C30">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 xml:space="preserve">加强矿山开采污染治理。强化矿山开采、储存、装卸、运输过程的污染防治，确保粉尘达标排放。 </w:t>
                  </w:r>
                </w:p>
              </w:tc>
              <w:tc>
                <w:tcPr>
                  <w:tcW w:w="1384" w:type="pct"/>
                  <w:tcBorders>
                    <w:tl2br w:val="nil"/>
                    <w:tr2bl w:val="nil"/>
                  </w:tcBorders>
                  <w:noWrap w:val="0"/>
                  <w:vAlign w:val="center"/>
                </w:tcPr>
                <w:p w14:paraId="5406E53F">
                  <w:pPr>
                    <w:keepNext w:val="0"/>
                    <w:keepLines w:val="0"/>
                    <w:pageBreakBefore w:val="0"/>
                    <w:widowControl/>
                    <w:suppressLineNumbers w:val="0"/>
                    <w:kinsoku/>
                    <w:wordWrap/>
                    <w:overflowPunct/>
                    <w:topLinePunct w:val="0"/>
                    <w:autoSpaceDE/>
                    <w:autoSpaceDN/>
                    <w:bidi w:val="0"/>
                    <w:adjustRightInd/>
                    <w:snapToGrid/>
                    <w:jc w:val="center"/>
                    <w:textAlignment w:val="auto"/>
                    <w:rPr>
                      <w:color w:val="auto"/>
                    </w:rPr>
                  </w:pPr>
                  <w:r>
                    <w:rPr>
                      <w:rFonts w:hint="eastAsia"/>
                      <w:color w:val="auto"/>
                      <w:lang w:val="en-US" w:eastAsia="zh-CN"/>
                    </w:rPr>
                    <w:t>本项目不涉及。</w:t>
                  </w:r>
                </w:p>
              </w:tc>
              <w:tc>
                <w:tcPr>
                  <w:tcW w:w="396" w:type="pct"/>
                  <w:vMerge w:val="continue"/>
                  <w:tcBorders>
                    <w:tl2br w:val="nil"/>
                    <w:tr2bl w:val="nil"/>
                  </w:tcBorders>
                  <w:noWrap w:val="0"/>
                  <w:vAlign w:val="center"/>
                </w:tcPr>
                <w:p w14:paraId="7BD0B960">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36888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3C2F58EE">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1BD74BA3">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96" w:type="pct"/>
                  <w:gridSpan w:val="2"/>
                  <w:vMerge w:val="continue"/>
                  <w:tcBorders>
                    <w:tl2br w:val="nil"/>
                    <w:tr2bl w:val="nil"/>
                  </w:tcBorders>
                  <w:noWrap w:val="0"/>
                  <w:vAlign w:val="center"/>
                </w:tcPr>
                <w:p w14:paraId="7B343F7D">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18" w:type="pct"/>
                  <w:gridSpan w:val="2"/>
                  <w:tcBorders>
                    <w:tl2br w:val="nil"/>
                    <w:tr2bl w:val="nil"/>
                  </w:tcBorders>
                  <w:noWrap w:val="0"/>
                  <w:vAlign w:val="center"/>
                </w:tcPr>
                <w:p w14:paraId="09511ED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 xml:space="preserve">重点行业粉状物料堆场必须进行全封闭，块状物料必须安装抑尘设施。 </w:t>
                  </w:r>
                </w:p>
              </w:tc>
              <w:tc>
                <w:tcPr>
                  <w:tcW w:w="1384" w:type="pct"/>
                  <w:tcBorders>
                    <w:tl2br w:val="nil"/>
                    <w:tr2bl w:val="nil"/>
                  </w:tcBorders>
                  <w:noWrap w:val="0"/>
                  <w:vAlign w:val="center"/>
                </w:tcPr>
                <w:p w14:paraId="2E82FEE9">
                  <w:pPr>
                    <w:keepNext w:val="0"/>
                    <w:keepLines w:val="0"/>
                    <w:pageBreakBefore w:val="0"/>
                    <w:widowControl/>
                    <w:suppressLineNumbers w:val="0"/>
                    <w:kinsoku/>
                    <w:wordWrap/>
                    <w:overflowPunct/>
                    <w:topLinePunct w:val="0"/>
                    <w:autoSpaceDE/>
                    <w:autoSpaceDN/>
                    <w:bidi w:val="0"/>
                    <w:adjustRightInd/>
                    <w:snapToGrid/>
                    <w:jc w:val="center"/>
                    <w:textAlignment w:val="auto"/>
                    <w:rPr>
                      <w:color w:val="auto"/>
                    </w:rPr>
                  </w:pPr>
                  <w:r>
                    <w:rPr>
                      <w:rFonts w:hint="eastAsia"/>
                      <w:color w:val="auto"/>
                      <w:lang w:val="en-US" w:eastAsia="zh-CN"/>
                    </w:rPr>
                    <w:t>本项目不涉及。</w:t>
                  </w:r>
                </w:p>
              </w:tc>
              <w:tc>
                <w:tcPr>
                  <w:tcW w:w="396" w:type="pct"/>
                  <w:vMerge w:val="continue"/>
                  <w:tcBorders>
                    <w:tl2br w:val="nil"/>
                    <w:tr2bl w:val="nil"/>
                  </w:tcBorders>
                  <w:noWrap w:val="0"/>
                  <w:vAlign w:val="center"/>
                </w:tcPr>
                <w:p w14:paraId="1940645C">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76C53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7D984A4E">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35D88C24">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96" w:type="pct"/>
                  <w:gridSpan w:val="2"/>
                  <w:vMerge w:val="continue"/>
                  <w:tcBorders>
                    <w:tl2br w:val="nil"/>
                    <w:tr2bl w:val="nil"/>
                  </w:tcBorders>
                  <w:noWrap w:val="0"/>
                  <w:vAlign w:val="center"/>
                </w:tcPr>
                <w:p w14:paraId="140AE5BC">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18" w:type="pct"/>
                  <w:gridSpan w:val="2"/>
                  <w:tcBorders>
                    <w:tl2br w:val="nil"/>
                    <w:tr2bl w:val="nil"/>
                  </w:tcBorders>
                  <w:noWrap w:val="0"/>
                  <w:vAlign w:val="center"/>
                </w:tcPr>
                <w:p w14:paraId="2C32B558">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 xml:space="preserve">所有新建城镇污水处理设施要执行一级A排放标准。 </w:t>
                  </w:r>
                </w:p>
              </w:tc>
              <w:tc>
                <w:tcPr>
                  <w:tcW w:w="1384" w:type="pct"/>
                  <w:tcBorders>
                    <w:tl2br w:val="nil"/>
                    <w:tr2bl w:val="nil"/>
                  </w:tcBorders>
                  <w:noWrap w:val="0"/>
                  <w:vAlign w:val="center"/>
                </w:tcPr>
                <w:p w14:paraId="69334433">
                  <w:pPr>
                    <w:keepNext w:val="0"/>
                    <w:keepLines w:val="0"/>
                    <w:pageBreakBefore w:val="0"/>
                    <w:widowControl/>
                    <w:suppressLineNumbers w:val="0"/>
                    <w:kinsoku/>
                    <w:wordWrap/>
                    <w:overflowPunct/>
                    <w:topLinePunct w:val="0"/>
                    <w:autoSpaceDE/>
                    <w:autoSpaceDN/>
                    <w:bidi w:val="0"/>
                    <w:adjustRightInd/>
                    <w:snapToGrid/>
                    <w:jc w:val="center"/>
                    <w:textAlignment w:val="auto"/>
                    <w:rPr>
                      <w:color w:val="auto"/>
                    </w:rPr>
                  </w:pPr>
                  <w:r>
                    <w:rPr>
                      <w:rFonts w:hint="eastAsia"/>
                      <w:color w:val="auto"/>
                      <w:lang w:val="en-US" w:eastAsia="zh-CN"/>
                    </w:rPr>
                    <w:t>本项目不涉及。</w:t>
                  </w:r>
                </w:p>
              </w:tc>
              <w:tc>
                <w:tcPr>
                  <w:tcW w:w="396" w:type="pct"/>
                  <w:vMerge w:val="continue"/>
                  <w:tcBorders>
                    <w:tl2br w:val="nil"/>
                    <w:tr2bl w:val="nil"/>
                  </w:tcBorders>
                  <w:noWrap w:val="0"/>
                  <w:vAlign w:val="center"/>
                </w:tcPr>
                <w:p w14:paraId="0D1B3314">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271E9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314FB424">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4461C956">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96" w:type="pct"/>
                  <w:gridSpan w:val="2"/>
                  <w:vMerge w:val="continue"/>
                  <w:tcBorders>
                    <w:tl2br w:val="nil"/>
                    <w:tr2bl w:val="nil"/>
                  </w:tcBorders>
                  <w:noWrap w:val="0"/>
                  <w:vAlign w:val="center"/>
                </w:tcPr>
                <w:p w14:paraId="4A7419E4">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18" w:type="pct"/>
                  <w:gridSpan w:val="2"/>
                  <w:tcBorders>
                    <w:tl2br w:val="nil"/>
                    <w:tr2bl w:val="nil"/>
                  </w:tcBorders>
                  <w:noWrap w:val="0"/>
                  <w:vAlign w:val="center"/>
                </w:tcPr>
                <w:p w14:paraId="23FB6B22">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 xml:space="preserve">加大对纯凝机组和热电联产机组技术改造力度，加快供热管网建设，推进老旧管网改造，降低系统能耗，充分释放和提高供热能力，淘汰管网覆盖范围内的燃煤锅炉和散煤。 </w:t>
                  </w:r>
                </w:p>
              </w:tc>
              <w:tc>
                <w:tcPr>
                  <w:tcW w:w="1384" w:type="pct"/>
                  <w:tcBorders>
                    <w:tl2br w:val="nil"/>
                    <w:tr2bl w:val="nil"/>
                  </w:tcBorders>
                  <w:noWrap w:val="0"/>
                  <w:vAlign w:val="center"/>
                </w:tcPr>
                <w:p w14:paraId="2446136B">
                  <w:pPr>
                    <w:keepNext w:val="0"/>
                    <w:keepLines w:val="0"/>
                    <w:pageBreakBefore w:val="0"/>
                    <w:widowControl/>
                    <w:suppressLineNumbers w:val="0"/>
                    <w:kinsoku/>
                    <w:wordWrap/>
                    <w:overflowPunct/>
                    <w:topLinePunct w:val="0"/>
                    <w:autoSpaceDE/>
                    <w:autoSpaceDN/>
                    <w:bidi w:val="0"/>
                    <w:adjustRightInd/>
                    <w:snapToGrid/>
                    <w:jc w:val="center"/>
                    <w:textAlignment w:val="auto"/>
                    <w:rPr>
                      <w:color w:val="auto"/>
                    </w:rPr>
                  </w:pPr>
                  <w:r>
                    <w:rPr>
                      <w:rFonts w:hint="eastAsia"/>
                      <w:color w:val="auto"/>
                      <w:lang w:val="en-US" w:eastAsia="zh-CN"/>
                    </w:rPr>
                    <w:t>本项目不涉及。</w:t>
                  </w:r>
                </w:p>
              </w:tc>
              <w:tc>
                <w:tcPr>
                  <w:tcW w:w="396" w:type="pct"/>
                  <w:vMerge w:val="continue"/>
                  <w:tcBorders>
                    <w:tl2br w:val="nil"/>
                    <w:tr2bl w:val="nil"/>
                  </w:tcBorders>
                  <w:noWrap w:val="0"/>
                  <w:vAlign w:val="center"/>
                </w:tcPr>
                <w:p w14:paraId="237F0ABC">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1A154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0ABFE557">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1167EF72">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96" w:type="pct"/>
                  <w:gridSpan w:val="2"/>
                  <w:vMerge w:val="continue"/>
                  <w:tcBorders>
                    <w:tl2br w:val="nil"/>
                    <w:tr2bl w:val="nil"/>
                  </w:tcBorders>
                  <w:noWrap w:val="0"/>
                  <w:vAlign w:val="center"/>
                </w:tcPr>
                <w:p w14:paraId="6447F2FD">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18" w:type="pct"/>
                  <w:gridSpan w:val="2"/>
                  <w:tcBorders>
                    <w:tl2br w:val="nil"/>
                    <w:tr2bl w:val="nil"/>
                  </w:tcBorders>
                  <w:noWrap w:val="0"/>
                  <w:vAlign w:val="center"/>
                </w:tcPr>
                <w:p w14:paraId="251B2802">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 xml:space="preserve">对新发现的小型造纸、制革、印染、染料、炼焦、炼硫、炼砷、炼油、电镀、农药等严重污染水环境的“十小”企业坚决依 </w:t>
                  </w:r>
                </w:p>
                <w:p w14:paraId="7CD9EDF1">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 xml:space="preserve">法予以取缔。 </w:t>
                  </w:r>
                </w:p>
              </w:tc>
              <w:tc>
                <w:tcPr>
                  <w:tcW w:w="1384" w:type="pct"/>
                  <w:tcBorders>
                    <w:tl2br w:val="nil"/>
                    <w:tr2bl w:val="nil"/>
                  </w:tcBorders>
                  <w:noWrap w:val="0"/>
                  <w:vAlign w:val="center"/>
                </w:tcPr>
                <w:p w14:paraId="76D0C07F">
                  <w:pPr>
                    <w:keepNext w:val="0"/>
                    <w:keepLines w:val="0"/>
                    <w:pageBreakBefore w:val="0"/>
                    <w:widowControl/>
                    <w:suppressLineNumbers w:val="0"/>
                    <w:kinsoku/>
                    <w:wordWrap/>
                    <w:overflowPunct/>
                    <w:topLinePunct w:val="0"/>
                    <w:autoSpaceDE/>
                    <w:autoSpaceDN/>
                    <w:bidi w:val="0"/>
                    <w:adjustRightInd/>
                    <w:snapToGrid/>
                    <w:jc w:val="center"/>
                    <w:textAlignment w:val="auto"/>
                    <w:rPr>
                      <w:color w:val="auto"/>
                    </w:rPr>
                  </w:pPr>
                  <w:r>
                    <w:rPr>
                      <w:rFonts w:hint="eastAsia"/>
                      <w:color w:val="auto"/>
                      <w:lang w:val="en-US" w:eastAsia="zh-CN"/>
                    </w:rPr>
                    <w:t>本项目不涉及。</w:t>
                  </w:r>
                </w:p>
              </w:tc>
              <w:tc>
                <w:tcPr>
                  <w:tcW w:w="396" w:type="pct"/>
                  <w:vMerge w:val="continue"/>
                  <w:tcBorders>
                    <w:tl2br w:val="nil"/>
                    <w:tr2bl w:val="nil"/>
                  </w:tcBorders>
                  <w:noWrap w:val="0"/>
                  <w:vAlign w:val="center"/>
                </w:tcPr>
                <w:p w14:paraId="0D2DEC28">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4B77B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56501EF6">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1EC1398D">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96" w:type="pct"/>
                  <w:gridSpan w:val="2"/>
                  <w:vMerge w:val="continue"/>
                  <w:tcBorders>
                    <w:tl2br w:val="nil"/>
                    <w:tr2bl w:val="nil"/>
                  </w:tcBorders>
                  <w:noWrap w:val="0"/>
                  <w:vAlign w:val="center"/>
                </w:tcPr>
                <w:p w14:paraId="75F7656E">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18" w:type="pct"/>
                  <w:gridSpan w:val="2"/>
                  <w:tcBorders>
                    <w:tl2br w:val="nil"/>
                    <w:tr2bl w:val="nil"/>
                  </w:tcBorders>
                  <w:noWrap w:val="0"/>
                  <w:vAlign w:val="center"/>
                </w:tcPr>
                <w:p w14:paraId="085D7DFE">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 xml:space="preserve">贮存煤炭、煤矸石、煤渣、煤灰等易产生煤尘的物料应当密闭；不能密闭的，应当设置不低于堆放物高度的严密围挡，并采取有效覆盖措施防治煤尘污染。 </w:t>
                  </w:r>
                </w:p>
              </w:tc>
              <w:tc>
                <w:tcPr>
                  <w:tcW w:w="1384" w:type="pct"/>
                  <w:tcBorders>
                    <w:tl2br w:val="nil"/>
                    <w:tr2bl w:val="nil"/>
                  </w:tcBorders>
                  <w:noWrap w:val="0"/>
                  <w:vAlign w:val="center"/>
                </w:tcPr>
                <w:p w14:paraId="50B5903B">
                  <w:pPr>
                    <w:keepNext w:val="0"/>
                    <w:keepLines w:val="0"/>
                    <w:pageBreakBefore w:val="0"/>
                    <w:widowControl/>
                    <w:suppressLineNumbers w:val="0"/>
                    <w:kinsoku/>
                    <w:wordWrap/>
                    <w:overflowPunct/>
                    <w:topLinePunct w:val="0"/>
                    <w:autoSpaceDE/>
                    <w:autoSpaceDN/>
                    <w:bidi w:val="0"/>
                    <w:adjustRightInd/>
                    <w:snapToGrid/>
                    <w:jc w:val="center"/>
                    <w:textAlignment w:val="auto"/>
                    <w:rPr>
                      <w:color w:val="auto"/>
                    </w:rPr>
                  </w:pPr>
                  <w:r>
                    <w:rPr>
                      <w:rFonts w:hint="eastAsia"/>
                      <w:color w:val="auto"/>
                      <w:lang w:val="en-US" w:eastAsia="zh-CN"/>
                    </w:rPr>
                    <w:t>本项目不涉及。</w:t>
                  </w:r>
                </w:p>
              </w:tc>
              <w:tc>
                <w:tcPr>
                  <w:tcW w:w="396" w:type="pct"/>
                  <w:vMerge w:val="continue"/>
                  <w:tcBorders>
                    <w:tl2br w:val="nil"/>
                    <w:tr2bl w:val="nil"/>
                  </w:tcBorders>
                  <w:noWrap w:val="0"/>
                  <w:vAlign w:val="center"/>
                </w:tcPr>
                <w:p w14:paraId="36179C09">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3A707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0CCE41FD">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57556B82">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96" w:type="pct"/>
                  <w:gridSpan w:val="2"/>
                  <w:vMerge w:val="continue"/>
                  <w:tcBorders>
                    <w:tl2br w:val="nil"/>
                    <w:tr2bl w:val="nil"/>
                  </w:tcBorders>
                  <w:noWrap w:val="0"/>
                  <w:vAlign w:val="center"/>
                </w:tcPr>
                <w:p w14:paraId="4310E888">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18" w:type="pct"/>
                  <w:gridSpan w:val="2"/>
                  <w:tcBorders>
                    <w:tl2br w:val="nil"/>
                    <w:tr2bl w:val="nil"/>
                  </w:tcBorders>
                  <w:noWrap w:val="0"/>
                  <w:vAlign w:val="center"/>
                </w:tcPr>
                <w:p w14:paraId="5148CE36">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 xml:space="preserve">禁止露天焚烧沥青、油毡、橡胶、塑料、皮革、垃圾以及其他产生有毒有害烟尘和恶臭气体的物质；确需焚烧处理的，应当采用专用焚烧装置。 </w:t>
                  </w:r>
                </w:p>
              </w:tc>
              <w:tc>
                <w:tcPr>
                  <w:tcW w:w="1384" w:type="pct"/>
                  <w:tcBorders>
                    <w:tl2br w:val="nil"/>
                    <w:tr2bl w:val="nil"/>
                  </w:tcBorders>
                  <w:noWrap w:val="0"/>
                  <w:vAlign w:val="center"/>
                </w:tcPr>
                <w:p w14:paraId="7F786E6F">
                  <w:pPr>
                    <w:keepNext w:val="0"/>
                    <w:keepLines w:val="0"/>
                    <w:pageBreakBefore w:val="0"/>
                    <w:widowControl/>
                    <w:suppressLineNumbers w:val="0"/>
                    <w:kinsoku/>
                    <w:wordWrap/>
                    <w:overflowPunct/>
                    <w:topLinePunct w:val="0"/>
                    <w:autoSpaceDE/>
                    <w:autoSpaceDN/>
                    <w:bidi w:val="0"/>
                    <w:adjustRightInd/>
                    <w:snapToGrid/>
                    <w:jc w:val="center"/>
                    <w:textAlignment w:val="auto"/>
                    <w:rPr>
                      <w:color w:val="auto"/>
                    </w:rPr>
                  </w:pPr>
                  <w:r>
                    <w:rPr>
                      <w:rFonts w:hint="eastAsia"/>
                      <w:color w:val="auto"/>
                      <w:lang w:val="en-US" w:eastAsia="zh-CN"/>
                    </w:rPr>
                    <w:t>本项目不涉及。</w:t>
                  </w:r>
                </w:p>
              </w:tc>
              <w:tc>
                <w:tcPr>
                  <w:tcW w:w="396" w:type="pct"/>
                  <w:vMerge w:val="continue"/>
                  <w:tcBorders>
                    <w:tl2br w:val="nil"/>
                    <w:tr2bl w:val="nil"/>
                  </w:tcBorders>
                  <w:noWrap w:val="0"/>
                  <w:vAlign w:val="center"/>
                </w:tcPr>
                <w:p w14:paraId="58877EF1">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54CF3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70B9E00A">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4C434448">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96" w:type="pct"/>
                  <w:gridSpan w:val="2"/>
                  <w:vMerge w:val="continue"/>
                  <w:tcBorders>
                    <w:tl2br w:val="nil"/>
                    <w:tr2bl w:val="nil"/>
                  </w:tcBorders>
                  <w:noWrap w:val="0"/>
                  <w:vAlign w:val="center"/>
                </w:tcPr>
                <w:p w14:paraId="771AD5F5">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18" w:type="pct"/>
                  <w:gridSpan w:val="2"/>
                  <w:tcBorders>
                    <w:tl2br w:val="nil"/>
                    <w:tr2bl w:val="nil"/>
                  </w:tcBorders>
                  <w:noWrap w:val="0"/>
                  <w:vAlign w:val="center"/>
                </w:tcPr>
                <w:p w14:paraId="75BD491E">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 xml:space="preserve">禁止在居民住宅楼、未配套设立专用烟道的商住综合楼以及商住综合楼内与居住层相邻的商业楼层内新建、改建、扩建产生油烟、异味、废气的餐饮服务项目。 </w:t>
                  </w:r>
                </w:p>
              </w:tc>
              <w:tc>
                <w:tcPr>
                  <w:tcW w:w="1384" w:type="pct"/>
                  <w:tcBorders>
                    <w:tl2br w:val="nil"/>
                    <w:tr2bl w:val="nil"/>
                  </w:tcBorders>
                  <w:noWrap w:val="0"/>
                  <w:vAlign w:val="center"/>
                </w:tcPr>
                <w:p w14:paraId="7B6BBC03">
                  <w:pPr>
                    <w:keepNext w:val="0"/>
                    <w:keepLines w:val="0"/>
                    <w:pageBreakBefore w:val="0"/>
                    <w:widowControl/>
                    <w:suppressLineNumbers w:val="0"/>
                    <w:kinsoku/>
                    <w:wordWrap/>
                    <w:overflowPunct/>
                    <w:topLinePunct w:val="0"/>
                    <w:autoSpaceDE/>
                    <w:autoSpaceDN/>
                    <w:bidi w:val="0"/>
                    <w:adjustRightInd/>
                    <w:snapToGrid/>
                    <w:jc w:val="center"/>
                    <w:textAlignment w:val="auto"/>
                    <w:rPr>
                      <w:color w:val="auto"/>
                    </w:rPr>
                  </w:pPr>
                  <w:r>
                    <w:rPr>
                      <w:rFonts w:hint="eastAsia"/>
                      <w:color w:val="auto"/>
                      <w:lang w:val="en-US" w:eastAsia="zh-CN"/>
                    </w:rPr>
                    <w:t>本项目不涉及。</w:t>
                  </w:r>
                </w:p>
              </w:tc>
              <w:tc>
                <w:tcPr>
                  <w:tcW w:w="396" w:type="pct"/>
                  <w:vMerge w:val="continue"/>
                  <w:tcBorders>
                    <w:tl2br w:val="nil"/>
                    <w:tr2bl w:val="nil"/>
                  </w:tcBorders>
                  <w:noWrap w:val="0"/>
                  <w:vAlign w:val="center"/>
                </w:tcPr>
                <w:p w14:paraId="384BB8F2">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70FB4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581B4F94">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143D0EF0">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96" w:type="pct"/>
                  <w:gridSpan w:val="2"/>
                  <w:vMerge w:val="continue"/>
                  <w:tcBorders>
                    <w:tl2br w:val="nil"/>
                    <w:tr2bl w:val="nil"/>
                  </w:tcBorders>
                  <w:noWrap w:val="0"/>
                  <w:vAlign w:val="center"/>
                </w:tcPr>
                <w:p w14:paraId="7F394C3D">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18" w:type="pct"/>
                  <w:gridSpan w:val="2"/>
                  <w:tcBorders>
                    <w:tl2br w:val="nil"/>
                    <w:tr2bl w:val="nil"/>
                  </w:tcBorders>
                  <w:noWrap w:val="0"/>
                  <w:vAlign w:val="center"/>
                </w:tcPr>
                <w:p w14:paraId="62343443">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 xml:space="preserve">排放工业废水的企业应当采取有效措施，收集和处理产生的全部废水，应当达标排放。含有毒有害水污染物的工业废水应当分类收集和处理，禁止稀释排放。 </w:t>
                  </w:r>
                </w:p>
              </w:tc>
              <w:tc>
                <w:tcPr>
                  <w:tcW w:w="1384" w:type="pct"/>
                  <w:tcBorders>
                    <w:tl2br w:val="nil"/>
                    <w:tr2bl w:val="nil"/>
                  </w:tcBorders>
                  <w:noWrap w:val="0"/>
                  <w:vAlign w:val="center"/>
                </w:tcPr>
                <w:p w14:paraId="1785C588">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color w:val="auto"/>
                    </w:rPr>
                    <w:t>生产废水经厂内污水处理设施处理后，排入市政污水管网。</w:t>
                  </w:r>
                </w:p>
              </w:tc>
              <w:tc>
                <w:tcPr>
                  <w:tcW w:w="396" w:type="pct"/>
                  <w:vMerge w:val="continue"/>
                  <w:tcBorders>
                    <w:tl2br w:val="nil"/>
                    <w:tr2bl w:val="nil"/>
                  </w:tcBorders>
                  <w:noWrap w:val="0"/>
                  <w:vAlign w:val="center"/>
                </w:tcPr>
                <w:p w14:paraId="68A0F705">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2EB5C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72121919">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1FAE634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96" w:type="pct"/>
                  <w:gridSpan w:val="2"/>
                  <w:vMerge w:val="continue"/>
                  <w:tcBorders>
                    <w:tl2br w:val="nil"/>
                    <w:tr2bl w:val="nil"/>
                  </w:tcBorders>
                  <w:noWrap w:val="0"/>
                  <w:vAlign w:val="center"/>
                </w:tcPr>
                <w:p w14:paraId="26BC99C9">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18" w:type="pct"/>
                  <w:gridSpan w:val="2"/>
                  <w:tcBorders>
                    <w:tl2br w:val="nil"/>
                    <w:tr2bl w:val="nil"/>
                  </w:tcBorders>
                  <w:noWrap w:val="0"/>
                  <w:vAlign w:val="center"/>
                </w:tcPr>
                <w:p w14:paraId="3EAF0B90">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 xml:space="preserve">禁止餐饮、洗浴、洗涤、洗车经营者直接向雨水排放系统、河道等外环境排放污水。 </w:t>
                  </w:r>
                </w:p>
              </w:tc>
              <w:tc>
                <w:tcPr>
                  <w:tcW w:w="1384" w:type="pct"/>
                  <w:tcBorders>
                    <w:tl2br w:val="nil"/>
                    <w:tr2bl w:val="nil"/>
                  </w:tcBorders>
                  <w:noWrap w:val="0"/>
                  <w:vAlign w:val="center"/>
                </w:tcPr>
                <w:p w14:paraId="588DBD8A">
                  <w:pPr>
                    <w:keepNext w:val="0"/>
                    <w:keepLines w:val="0"/>
                    <w:pageBreakBefore w:val="0"/>
                    <w:widowControl/>
                    <w:suppressLineNumbers w:val="0"/>
                    <w:kinsoku/>
                    <w:wordWrap/>
                    <w:overflowPunct/>
                    <w:topLinePunct w:val="0"/>
                    <w:autoSpaceDE/>
                    <w:autoSpaceDN/>
                    <w:bidi w:val="0"/>
                    <w:adjustRightInd/>
                    <w:snapToGrid/>
                    <w:jc w:val="center"/>
                    <w:textAlignment w:val="auto"/>
                    <w:rPr>
                      <w:color w:val="auto"/>
                    </w:rPr>
                  </w:pPr>
                  <w:r>
                    <w:rPr>
                      <w:rFonts w:hint="eastAsia"/>
                      <w:color w:val="auto"/>
                      <w:lang w:val="en-US" w:eastAsia="zh-CN"/>
                    </w:rPr>
                    <w:t>本项目不涉及。</w:t>
                  </w:r>
                </w:p>
              </w:tc>
              <w:tc>
                <w:tcPr>
                  <w:tcW w:w="396" w:type="pct"/>
                  <w:vMerge w:val="continue"/>
                  <w:tcBorders>
                    <w:tl2br w:val="nil"/>
                    <w:tr2bl w:val="nil"/>
                  </w:tcBorders>
                  <w:noWrap w:val="0"/>
                  <w:vAlign w:val="center"/>
                </w:tcPr>
                <w:p w14:paraId="17583DC7">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65DBA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1B174BD7">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6B02F1CC">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96" w:type="pct"/>
                  <w:gridSpan w:val="2"/>
                  <w:vMerge w:val="continue"/>
                  <w:tcBorders>
                    <w:tl2br w:val="nil"/>
                    <w:tr2bl w:val="nil"/>
                  </w:tcBorders>
                  <w:noWrap w:val="0"/>
                  <w:vAlign w:val="center"/>
                </w:tcPr>
                <w:p w14:paraId="0FF5E6C4">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18" w:type="pct"/>
                  <w:gridSpan w:val="2"/>
                  <w:tcBorders>
                    <w:tl2br w:val="nil"/>
                    <w:tr2bl w:val="nil"/>
                  </w:tcBorders>
                  <w:noWrap w:val="0"/>
                  <w:vAlign w:val="center"/>
                </w:tcPr>
                <w:p w14:paraId="3CFA8AC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 xml:space="preserve">禁止含酚废水作为煤气水封水、冲渣水。 </w:t>
                  </w:r>
                </w:p>
              </w:tc>
              <w:tc>
                <w:tcPr>
                  <w:tcW w:w="1384" w:type="pct"/>
                  <w:tcBorders>
                    <w:tl2br w:val="nil"/>
                    <w:tr2bl w:val="nil"/>
                  </w:tcBorders>
                  <w:noWrap w:val="0"/>
                  <w:vAlign w:val="center"/>
                </w:tcPr>
                <w:p w14:paraId="48CDC576">
                  <w:pPr>
                    <w:keepNext w:val="0"/>
                    <w:keepLines w:val="0"/>
                    <w:pageBreakBefore w:val="0"/>
                    <w:widowControl/>
                    <w:suppressLineNumbers w:val="0"/>
                    <w:kinsoku/>
                    <w:wordWrap/>
                    <w:overflowPunct/>
                    <w:topLinePunct w:val="0"/>
                    <w:autoSpaceDE/>
                    <w:autoSpaceDN/>
                    <w:bidi w:val="0"/>
                    <w:adjustRightInd/>
                    <w:snapToGrid/>
                    <w:jc w:val="center"/>
                    <w:textAlignment w:val="auto"/>
                    <w:rPr>
                      <w:color w:val="auto"/>
                    </w:rPr>
                  </w:pPr>
                  <w:r>
                    <w:rPr>
                      <w:rFonts w:hint="eastAsia"/>
                      <w:color w:val="auto"/>
                      <w:lang w:val="en-US" w:eastAsia="zh-CN"/>
                    </w:rPr>
                    <w:t>本项目不涉及。</w:t>
                  </w:r>
                </w:p>
              </w:tc>
              <w:tc>
                <w:tcPr>
                  <w:tcW w:w="396" w:type="pct"/>
                  <w:vMerge w:val="continue"/>
                  <w:tcBorders>
                    <w:tl2br w:val="nil"/>
                    <w:tr2bl w:val="nil"/>
                  </w:tcBorders>
                  <w:noWrap w:val="0"/>
                  <w:vAlign w:val="center"/>
                </w:tcPr>
                <w:p w14:paraId="2B657995">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0F9AD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787931F2">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53C5E6C1">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96" w:type="pct"/>
                  <w:gridSpan w:val="2"/>
                  <w:vMerge w:val="continue"/>
                  <w:tcBorders>
                    <w:tl2br w:val="nil"/>
                    <w:tr2bl w:val="nil"/>
                  </w:tcBorders>
                  <w:noWrap w:val="0"/>
                  <w:vAlign w:val="center"/>
                </w:tcPr>
                <w:p w14:paraId="43971A12">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18" w:type="pct"/>
                  <w:gridSpan w:val="2"/>
                  <w:tcBorders>
                    <w:tl2br w:val="nil"/>
                    <w:tr2bl w:val="nil"/>
                  </w:tcBorders>
                  <w:noWrap w:val="0"/>
                  <w:vAlign w:val="center"/>
                </w:tcPr>
                <w:p w14:paraId="7C4A7583">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 xml:space="preserve">禁止生产、销售、使用不符合国家标准的农用薄膜。禁止将危险废物混入生活垃圾或者其他废物贮存、运输。 </w:t>
                  </w:r>
                </w:p>
              </w:tc>
              <w:tc>
                <w:tcPr>
                  <w:tcW w:w="1384" w:type="pct"/>
                  <w:tcBorders>
                    <w:tl2br w:val="nil"/>
                    <w:tr2bl w:val="nil"/>
                  </w:tcBorders>
                  <w:noWrap w:val="0"/>
                  <w:vAlign w:val="center"/>
                </w:tcPr>
                <w:p w14:paraId="62B01BD6">
                  <w:pPr>
                    <w:keepNext w:val="0"/>
                    <w:keepLines w:val="0"/>
                    <w:pageBreakBefore w:val="0"/>
                    <w:widowControl/>
                    <w:suppressLineNumbers w:val="0"/>
                    <w:kinsoku/>
                    <w:wordWrap/>
                    <w:overflowPunct/>
                    <w:topLinePunct w:val="0"/>
                    <w:autoSpaceDE/>
                    <w:autoSpaceDN/>
                    <w:bidi w:val="0"/>
                    <w:adjustRightInd/>
                    <w:snapToGrid/>
                    <w:jc w:val="center"/>
                    <w:textAlignment w:val="auto"/>
                    <w:rPr>
                      <w:color w:val="auto"/>
                    </w:rPr>
                  </w:pPr>
                  <w:r>
                    <w:rPr>
                      <w:rFonts w:hint="eastAsia"/>
                      <w:color w:val="auto"/>
                      <w:lang w:val="en-US" w:eastAsia="zh-CN"/>
                    </w:rPr>
                    <w:t>本项目不涉及。</w:t>
                  </w:r>
                </w:p>
              </w:tc>
              <w:tc>
                <w:tcPr>
                  <w:tcW w:w="396" w:type="pct"/>
                  <w:vMerge w:val="continue"/>
                  <w:tcBorders>
                    <w:tl2br w:val="nil"/>
                    <w:tr2bl w:val="nil"/>
                  </w:tcBorders>
                  <w:noWrap w:val="0"/>
                  <w:vAlign w:val="center"/>
                </w:tcPr>
                <w:p w14:paraId="20DD18CD">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48F82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442A64F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71066589">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96" w:type="pct"/>
                  <w:gridSpan w:val="2"/>
                  <w:vMerge w:val="continue"/>
                  <w:tcBorders>
                    <w:tl2br w:val="nil"/>
                    <w:tr2bl w:val="nil"/>
                  </w:tcBorders>
                  <w:noWrap w:val="0"/>
                  <w:vAlign w:val="center"/>
                </w:tcPr>
                <w:p w14:paraId="10B7D94A">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18" w:type="pct"/>
                  <w:gridSpan w:val="2"/>
                  <w:tcBorders>
                    <w:tl2br w:val="nil"/>
                    <w:tr2bl w:val="nil"/>
                  </w:tcBorders>
                  <w:noWrap w:val="0"/>
                  <w:vAlign w:val="center"/>
                </w:tcPr>
                <w:p w14:paraId="6D5E49BD">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禁止以任何方式进口固体废物。禁止境外的固体废物进境倾倒、堆放、处置。</w:t>
                  </w:r>
                </w:p>
              </w:tc>
              <w:tc>
                <w:tcPr>
                  <w:tcW w:w="1384" w:type="pct"/>
                  <w:tcBorders>
                    <w:tl2br w:val="nil"/>
                    <w:tr2bl w:val="nil"/>
                  </w:tcBorders>
                  <w:noWrap w:val="0"/>
                  <w:vAlign w:val="center"/>
                </w:tcPr>
                <w:p w14:paraId="39DCBDE6">
                  <w:pPr>
                    <w:keepNext w:val="0"/>
                    <w:keepLines w:val="0"/>
                    <w:pageBreakBefore w:val="0"/>
                    <w:widowControl/>
                    <w:suppressLineNumbers w:val="0"/>
                    <w:kinsoku/>
                    <w:wordWrap/>
                    <w:overflowPunct/>
                    <w:topLinePunct w:val="0"/>
                    <w:autoSpaceDE/>
                    <w:autoSpaceDN/>
                    <w:bidi w:val="0"/>
                    <w:adjustRightInd/>
                    <w:snapToGrid/>
                    <w:jc w:val="center"/>
                    <w:textAlignment w:val="auto"/>
                    <w:rPr>
                      <w:color w:val="auto"/>
                    </w:rPr>
                  </w:pPr>
                  <w:r>
                    <w:rPr>
                      <w:rFonts w:hint="eastAsia"/>
                      <w:color w:val="auto"/>
                      <w:lang w:val="en-US" w:eastAsia="zh-CN"/>
                    </w:rPr>
                    <w:t>本项目不涉及。</w:t>
                  </w:r>
                </w:p>
              </w:tc>
              <w:tc>
                <w:tcPr>
                  <w:tcW w:w="396" w:type="pct"/>
                  <w:vMerge w:val="continue"/>
                  <w:tcBorders>
                    <w:tl2br w:val="nil"/>
                    <w:tr2bl w:val="nil"/>
                  </w:tcBorders>
                  <w:noWrap w:val="0"/>
                  <w:vAlign w:val="center"/>
                </w:tcPr>
                <w:p w14:paraId="46EEABA8">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0D714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597A01FE">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5257DA83">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0E4A4ED9">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2.所有新建城镇污水处理设施要执行一级A排放标准。</w:t>
                  </w:r>
                </w:p>
              </w:tc>
              <w:tc>
                <w:tcPr>
                  <w:tcW w:w="1384" w:type="pct"/>
                  <w:tcBorders>
                    <w:tl2br w:val="nil"/>
                    <w:tr2bl w:val="nil"/>
                  </w:tcBorders>
                  <w:noWrap w:val="0"/>
                  <w:vAlign w:val="center"/>
                </w:tcPr>
                <w:p w14:paraId="0FDE2B03">
                  <w:pPr>
                    <w:keepNext w:val="0"/>
                    <w:keepLines w:val="0"/>
                    <w:pageBreakBefore w:val="0"/>
                    <w:widowControl/>
                    <w:kinsoku/>
                    <w:wordWrap/>
                    <w:overflowPunct/>
                    <w:topLinePunct w:val="0"/>
                    <w:autoSpaceDE/>
                    <w:autoSpaceDN/>
                    <w:bidi w:val="0"/>
                    <w:adjustRightInd/>
                    <w:snapToGrid/>
                    <w:jc w:val="both"/>
                    <w:textAlignment w:val="center"/>
                    <w:rPr>
                      <w:color w:val="auto"/>
                    </w:rPr>
                  </w:pPr>
                  <w:r>
                    <w:rPr>
                      <w:rFonts w:hint="eastAsia" w:ascii="Times New Roman" w:hAnsi="Times New Roman" w:eastAsia="宋体" w:cs="Times New Roman"/>
                      <w:b w:val="0"/>
                      <w:bCs w:val="0"/>
                      <w:i w:val="0"/>
                      <w:color w:val="auto"/>
                      <w:kern w:val="0"/>
                      <w:sz w:val="21"/>
                      <w:szCs w:val="21"/>
                      <w:highlight w:val="none"/>
                      <w:u w:val="none"/>
                      <w:lang w:val="en-US" w:eastAsia="zh-CN" w:bidi="ar"/>
                    </w:rPr>
                    <w:t>2.本项目不</w:t>
                  </w:r>
                  <w:r>
                    <w:rPr>
                      <w:rFonts w:hint="eastAsia" w:cs="Times New Roman"/>
                      <w:b w:val="0"/>
                      <w:bCs w:val="0"/>
                      <w:i w:val="0"/>
                      <w:color w:val="auto"/>
                      <w:kern w:val="0"/>
                      <w:sz w:val="21"/>
                      <w:szCs w:val="21"/>
                      <w:highlight w:val="none"/>
                      <w:u w:val="none"/>
                      <w:lang w:val="en-US" w:eastAsia="zh-CN" w:bidi="ar"/>
                    </w:rPr>
                    <w:t>涉及</w:t>
                  </w:r>
                  <w:r>
                    <w:rPr>
                      <w:rFonts w:hint="eastAsia" w:ascii="Times New Roman" w:hAnsi="Times New Roman" w:eastAsia="宋体" w:cs="Times New Roman"/>
                      <w:color w:val="auto"/>
                      <w:kern w:val="0"/>
                      <w:sz w:val="21"/>
                      <w:szCs w:val="21"/>
                      <w:highlight w:val="none"/>
                      <w:lang w:val="en-US" w:eastAsia="zh-CN" w:bidi="ar"/>
                    </w:rPr>
                    <w:t>新建城镇污水处理设施</w:t>
                  </w:r>
                  <w:r>
                    <w:rPr>
                      <w:rFonts w:hint="eastAsia" w:ascii="Times New Roman" w:hAnsi="Times New Roman" w:eastAsia="宋体" w:cs="Times New Roman"/>
                      <w:b w:val="0"/>
                      <w:bCs w:val="0"/>
                      <w:i w:val="0"/>
                      <w:color w:val="auto"/>
                      <w:kern w:val="0"/>
                      <w:sz w:val="21"/>
                      <w:szCs w:val="21"/>
                      <w:highlight w:val="none"/>
                      <w:u w:val="none"/>
                      <w:lang w:val="en-US" w:eastAsia="zh-CN" w:bidi="ar"/>
                    </w:rPr>
                    <w:t>。</w:t>
                  </w:r>
                </w:p>
              </w:tc>
              <w:tc>
                <w:tcPr>
                  <w:tcW w:w="396" w:type="pct"/>
                  <w:vMerge w:val="continue"/>
                  <w:tcBorders>
                    <w:tl2br w:val="nil"/>
                    <w:tr2bl w:val="nil"/>
                  </w:tcBorders>
                  <w:noWrap w:val="0"/>
                  <w:vAlign w:val="center"/>
                </w:tcPr>
                <w:p w14:paraId="37A60FC6">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4340F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30CED472">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3137DACB">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0E2BC211">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3.新建排放重金属污染物的建设项目全面执行重金属重点污染物排放限值要求。</w:t>
                  </w:r>
                </w:p>
              </w:tc>
              <w:tc>
                <w:tcPr>
                  <w:tcW w:w="1384" w:type="pct"/>
                  <w:tcBorders>
                    <w:tl2br w:val="nil"/>
                    <w:tr2bl w:val="nil"/>
                  </w:tcBorders>
                  <w:noWrap w:val="0"/>
                  <w:vAlign w:val="center"/>
                </w:tcPr>
                <w:p w14:paraId="68A8C1AA">
                  <w:pPr>
                    <w:keepNext w:val="0"/>
                    <w:keepLines w:val="0"/>
                    <w:pageBreakBefore w:val="0"/>
                    <w:widowControl/>
                    <w:kinsoku/>
                    <w:wordWrap/>
                    <w:overflowPunct/>
                    <w:topLinePunct w:val="0"/>
                    <w:autoSpaceDE/>
                    <w:autoSpaceDN/>
                    <w:bidi w:val="0"/>
                    <w:adjustRightInd/>
                    <w:snapToGrid/>
                    <w:jc w:val="both"/>
                    <w:textAlignment w:val="center"/>
                    <w:rPr>
                      <w:color w:val="auto"/>
                    </w:rPr>
                  </w:pPr>
                  <w:r>
                    <w:rPr>
                      <w:rFonts w:hint="eastAsia" w:ascii="Times New Roman" w:hAnsi="Times New Roman" w:eastAsia="宋体" w:cs="Times New Roman"/>
                      <w:b w:val="0"/>
                      <w:bCs w:val="0"/>
                      <w:i w:val="0"/>
                      <w:color w:val="auto"/>
                      <w:kern w:val="0"/>
                      <w:sz w:val="21"/>
                      <w:szCs w:val="21"/>
                      <w:highlight w:val="none"/>
                      <w:u w:val="none"/>
                      <w:lang w:val="en-US" w:eastAsia="zh-CN" w:bidi="ar"/>
                    </w:rPr>
                    <w:t>3.本项目不属于</w:t>
                  </w:r>
                  <w:r>
                    <w:rPr>
                      <w:rFonts w:hint="eastAsia" w:ascii="Times New Roman" w:hAnsi="Times New Roman" w:eastAsia="宋体" w:cs="Times New Roman"/>
                      <w:color w:val="auto"/>
                      <w:kern w:val="0"/>
                      <w:sz w:val="21"/>
                      <w:szCs w:val="21"/>
                      <w:highlight w:val="none"/>
                      <w:lang w:val="en-US" w:eastAsia="zh-CN" w:bidi="ar"/>
                    </w:rPr>
                    <w:t>排放重金属污染物的建设项目</w:t>
                  </w:r>
                  <w:r>
                    <w:rPr>
                      <w:rFonts w:hint="eastAsia" w:cs="Times New Roman"/>
                      <w:color w:val="auto"/>
                      <w:kern w:val="0"/>
                      <w:sz w:val="21"/>
                      <w:szCs w:val="21"/>
                      <w:highlight w:val="none"/>
                      <w:lang w:val="en-US" w:eastAsia="zh-CN" w:bidi="ar"/>
                    </w:rPr>
                    <w:t>。</w:t>
                  </w:r>
                </w:p>
              </w:tc>
              <w:tc>
                <w:tcPr>
                  <w:tcW w:w="396" w:type="pct"/>
                  <w:vMerge w:val="continue"/>
                  <w:tcBorders>
                    <w:tl2br w:val="nil"/>
                    <w:tr2bl w:val="nil"/>
                  </w:tcBorders>
                  <w:noWrap w:val="0"/>
                  <w:vAlign w:val="center"/>
                </w:tcPr>
                <w:p w14:paraId="5D0FBF1D">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3991C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0ED0A298">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04B6FFA3">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4D1EAC56">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4.入区企业必须采用先进的、密封性能好的生产设备、化学物料存贮容器和输送管道，最大限度减少无组织废气排放；同时还要采用先进的治理和回收技术，严格按照有关规定，实现达标排放。</w:t>
                  </w:r>
                </w:p>
              </w:tc>
              <w:tc>
                <w:tcPr>
                  <w:tcW w:w="1384" w:type="pct"/>
                  <w:tcBorders>
                    <w:tl2br w:val="nil"/>
                    <w:tr2bl w:val="nil"/>
                  </w:tcBorders>
                  <w:noWrap w:val="0"/>
                  <w:vAlign w:val="center"/>
                </w:tcPr>
                <w:p w14:paraId="46E2B9BC">
                  <w:pPr>
                    <w:keepNext w:val="0"/>
                    <w:keepLines w:val="0"/>
                    <w:pageBreakBefore w:val="0"/>
                    <w:widowControl/>
                    <w:kinsoku/>
                    <w:wordWrap/>
                    <w:overflowPunct/>
                    <w:topLinePunct w:val="0"/>
                    <w:autoSpaceDE/>
                    <w:autoSpaceDN/>
                    <w:bidi w:val="0"/>
                    <w:adjustRightInd/>
                    <w:snapToGrid/>
                    <w:jc w:val="both"/>
                    <w:textAlignment w:val="center"/>
                    <w:rPr>
                      <w:color w:val="auto"/>
                    </w:rPr>
                  </w:pPr>
                  <w:r>
                    <w:rPr>
                      <w:rFonts w:hint="eastAsia" w:ascii="Times New Roman" w:hAnsi="Times New Roman" w:eastAsia="宋体" w:cs="Times New Roman"/>
                      <w:color w:val="auto"/>
                      <w:kern w:val="0"/>
                      <w:sz w:val="21"/>
                      <w:szCs w:val="21"/>
                      <w:highlight w:val="none"/>
                      <w:lang w:val="en-US" w:eastAsia="zh-CN" w:bidi="ar"/>
                    </w:rPr>
                    <w:t>4.项目采用先进的、密封性能好的生产设备，最大限度减少无组织废气排放。采用先进的治理技术，并达标排放。污水处理单元除臭密闭收集后经</w:t>
                  </w:r>
                  <w:r>
                    <w:rPr>
                      <w:rFonts w:hint="eastAsia" w:cs="Times New Roman"/>
                      <w:color w:val="auto"/>
                      <w:kern w:val="0"/>
                      <w:sz w:val="21"/>
                      <w:szCs w:val="21"/>
                      <w:highlight w:val="none"/>
                      <w:lang w:val="en-US" w:eastAsia="zh-CN" w:bidi="ar"/>
                    </w:rPr>
                    <w:t>活性炭吸附</w:t>
                  </w:r>
                  <w:r>
                    <w:rPr>
                      <w:rFonts w:hint="eastAsia" w:ascii="Times New Roman" w:hAnsi="Times New Roman" w:eastAsia="宋体" w:cs="Times New Roman"/>
                      <w:color w:val="auto"/>
                      <w:kern w:val="0"/>
                      <w:sz w:val="21"/>
                      <w:szCs w:val="21"/>
                      <w:highlight w:val="none"/>
                      <w:lang w:val="en-US" w:eastAsia="zh-CN" w:bidi="ar"/>
                    </w:rPr>
                    <w:t>后</w:t>
                  </w:r>
                  <w:r>
                    <w:rPr>
                      <w:rFonts w:hint="eastAsia" w:cs="Times New Roman"/>
                      <w:color w:val="auto"/>
                      <w:kern w:val="0"/>
                      <w:sz w:val="21"/>
                      <w:szCs w:val="21"/>
                      <w:highlight w:val="none"/>
                      <w:lang w:val="en-US" w:eastAsia="zh-CN" w:bidi="ar"/>
                    </w:rPr>
                    <w:t>由</w:t>
                  </w:r>
                  <w:r>
                    <w:rPr>
                      <w:rFonts w:hint="eastAsia" w:ascii="Times New Roman" w:hAnsi="Times New Roman" w:eastAsia="宋体" w:cs="Times New Roman"/>
                      <w:color w:val="auto"/>
                      <w:kern w:val="0"/>
                      <w:sz w:val="21"/>
                      <w:szCs w:val="21"/>
                      <w:highlight w:val="none"/>
                      <w:lang w:val="en-US" w:eastAsia="zh-CN" w:bidi="ar"/>
                    </w:rPr>
                    <w:t>15m高排气筒（DA001）排放；油烟废气收集后经油烟净化装置处理由屋顶排气筒排放；制冷系统废气定期对制冷系统密封检查和检测，及时更换老化阀门和管道。</w:t>
                  </w:r>
                </w:p>
              </w:tc>
              <w:tc>
                <w:tcPr>
                  <w:tcW w:w="396" w:type="pct"/>
                  <w:vMerge w:val="continue"/>
                  <w:tcBorders>
                    <w:tl2br w:val="nil"/>
                    <w:tr2bl w:val="nil"/>
                  </w:tcBorders>
                  <w:noWrap w:val="0"/>
                  <w:vAlign w:val="center"/>
                </w:tcPr>
                <w:p w14:paraId="39FAD850">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10DCE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459075F3">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12D7C6BA">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002C7544">
                  <w:pPr>
                    <w:keepNext w:val="0"/>
                    <w:keepLines w:val="0"/>
                    <w:pageBreakBefore w:val="0"/>
                    <w:widowControl/>
                    <w:kinsoku/>
                    <w:wordWrap/>
                    <w:overflowPunct/>
                    <w:topLinePunct w:val="0"/>
                    <w:autoSpaceDE/>
                    <w:autoSpaceDN/>
                    <w:bidi w:val="0"/>
                    <w:adjustRightInd/>
                    <w:snapToGrid/>
                    <w:jc w:val="both"/>
                    <w:textAlignment w:val="center"/>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5.优先引进污染轻、技术先进、生产规模大的项目。</w:t>
                  </w:r>
                </w:p>
              </w:tc>
              <w:tc>
                <w:tcPr>
                  <w:tcW w:w="1384" w:type="pct"/>
                  <w:tcBorders>
                    <w:tl2br w:val="nil"/>
                    <w:tr2bl w:val="nil"/>
                  </w:tcBorders>
                  <w:noWrap w:val="0"/>
                  <w:vAlign w:val="center"/>
                </w:tcPr>
                <w:p w14:paraId="499023B5">
                  <w:pPr>
                    <w:keepNext w:val="0"/>
                    <w:keepLines w:val="0"/>
                    <w:pageBreakBefore w:val="0"/>
                    <w:widowControl/>
                    <w:kinsoku/>
                    <w:wordWrap/>
                    <w:overflowPunct/>
                    <w:topLinePunct w:val="0"/>
                    <w:autoSpaceDE/>
                    <w:autoSpaceDN/>
                    <w:bidi w:val="0"/>
                    <w:adjustRightInd/>
                    <w:snapToGrid/>
                    <w:jc w:val="both"/>
                    <w:textAlignment w:val="center"/>
                    <w:rPr>
                      <w:color w:val="auto"/>
                    </w:rPr>
                  </w:pPr>
                  <w:r>
                    <w:rPr>
                      <w:rFonts w:hint="eastAsia" w:ascii="Times New Roman" w:hAnsi="Times New Roman" w:eastAsia="宋体" w:cs="Times New Roman"/>
                      <w:color w:val="auto"/>
                      <w:kern w:val="0"/>
                      <w:sz w:val="21"/>
                      <w:szCs w:val="21"/>
                      <w:highlight w:val="none"/>
                      <w:lang w:val="en-US" w:eastAsia="zh-CN" w:bidi="ar"/>
                    </w:rPr>
                    <w:t>5.</w:t>
                  </w:r>
                  <w:r>
                    <w:rPr>
                      <w:rFonts w:hint="eastAsia" w:cs="Times New Roman"/>
                      <w:color w:val="auto"/>
                      <w:kern w:val="0"/>
                      <w:sz w:val="21"/>
                      <w:szCs w:val="21"/>
                      <w:highlight w:val="none"/>
                      <w:lang w:val="en-US" w:eastAsia="zh-CN" w:bidi="ar"/>
                    </w:rPr>
                    <w:t>本项目属于食品制造和农副产品加工项目，</w:t>
                  </w:r>
                  <w:r>
                    <w:rPr>
                      <w:rFonts w:hint="eastAsia" w:ascii="Times New Roman" w:hAnsi="Times New Roman" w:eastAsia="宋体" w:cs="Times New Roman"/>
                      <w:color w:val="auto"/>
                      <w:kern w:val="0"/>
                      <w:sz w:val="21"/>
                      <w:szCs w:val="21"/>
                      <w:highlight w:val="none"/>
                      <w:lang w:val="en-US" w:eastAsia="zh-CN" w:bidi="ar"/>
                    </w:rPr>
                    <w:t>属于技术先进、生产规模大的项目。</w:t>
                  </w:r>
                </w:p>
              </w:tc>
              <w:tc>
                <w:tcPr>
                  <w:tcW w:w="396" w:type="pct"/>
                  <w:vMerge w:val="continue"/>
                  <w:tcBorders>
                    <w:tl2br w:val="nil"/>
                    <w:tr2bl w:val="nil"/>
                  </w:tcBorders>
                  <w:noWrap w:val="0"/>
                  <w:vAlign w:val="center"/>
                </w:tcPr>
                <w:p w14:paraId="613B5323">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582CF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597109A5">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05B02CEE">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77884621">
                  <w:pPr>
                    <w:keepNext w:val="0"/>
                    <w:keepLines w:val="0"/>
                    <w:pageBreakBefore w:val="0"/>
                    <w:widowControl/>
                    <w:kinsoku/>
                    <w:wordWrap/>
                    <w:overflowPunct/>
                    <w:topLinePunct w:val="0"/>
                    <w:autoSpaceDE/>
                    <w:autoSpaceDN/>
                    <w:bidi w:val="0"/>
                    <w:adjustRightInd/>
                    <w:snapToGrid/>
                    <w:jc w:val="both"/>
                    <w:textAlignment w:val="center"/>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6.入区企业提出明确的废气污染源治理要求，必须确保其达标排放后才可批准生产。同时确保“三同时”制度的执行，对污染物排放量进行全过程控制。</w:t>
                  </w:r>
                </w:p>
              </w:tc>
              <w:tc>
                <w:tcPr>
                  <w:tcW w:w="1384" w:type="pct"/>
                  <w:tcBorders>
                    <w:tl2br w:val="nil"/>
                    <w:tr2bl w:val="nil"/>
                  </w:tcBorders>
                  <w:noWrap w:val="0"/>
                  <w:vAlign w:val="center"/>
                </w:tcPr>
                <w:p w14:paraId="531D4206">
                  <w:pPr>
                    <w:keepNext w:val="0"/>
                    <w:keepLines w:val="0"/>
                    <w:pageBreakBefore w:val="0"/>
                    <w:widowControl/>
                    <w:kinsoku/>
                    <w:wordWrap/>
                    <w:overflowPunct/>
                    <w:topLinePunct w:val="0"/>
                    <w:autoSpaceDE/>
                    <w:autoSpaceDN/>
                    <w:bidi w:val="0"/>
                    <w:adjustRightInd/>
                    <w:snapToGrid/>
                    <w:jc w:val="both"/>
                    <w:textAlignment w:val="center"/>
                    <w:rPr>
                      <w:color w:val="auto"/>
                    </w:rPr>
                  </w:pPr>
                  <w:r>
                    <w:rPr>
                      <w:rFonts w:hint="eastAsia" w:ascii="Times New Roman" w:hAnsi="Times New Roman" w:eastAsia="宋体" w:cs="Times New Roman"/>
                      <w:color w:val="auto"/>
                      <w:kern w:val="0"/>
                      <w:sz w:val="21"/>
                      <w:szCs w:val="21"/>
                      <w:highlight w:val="none"/>
                      <w:lang w:val="en-US" w:eastAsia="zh-CN" w:bidi="ar"/>
                    </w:rPr>
                    <w:t>6.</w:t>
                  </w:r>
                  <w:r>
                    <w:rPr>
                      <w:rFonts w:hint="eastAsia" w:ascii="Times New Roman" w:hAnsi="Times New Roman" w:eastAsia="宋体" w:cs="Times New Roman"/>
                      <w:b w:val="0"/>
                      <w:bCs w:val="0"/>
                      <w:i w:val="0"/>
                      <w:color w:val="auto"/>
                      <w:kern w:val="0"/>
                      <w:sz w:val="21"/>
                      <w:szCs w:val="21"/>
                      <w:highlight w:val="none"/>
                      <w:u w:val="none"/>
                      <w:lang w:val="en-US" w:eastAsia="zh-CN" w:bidi="ar"/>
                    </w:rPr>
                    <w:t>项目采取环评提出的环保措施后可达标排放，执行</w:t>
                  </w:r>
                  <w:r>
                    <w:rPr>
                      <w:rFonts w:hint="default" w:ascii="Times New Roman" w:hAnsi="Times New Roman" w:eastAsia="宋体" w:cs="Times New Roman"/>
                      <w:b w:val="0"/>
                      <w:bCs w:val="0"/>
                      <w:i w:val="0"/>
                      <w:color w:val="auto"/>
                      <w:kern w:val="0"/>
                      <w:sz w:val="21"/>
                      <w:szCs w:val="21"/>
                      <w:highlight w:val="none"/>
                      <w:u w:val="none"/>
                      <w:lang w:val="en-US" w:eastAsia="zh-CN" w:bidi="ar"/>
                    </w:rPr>
                    <w:t>“</w:t>
                  </w:r>
                  <w:r>
                    <w:rPr>
                      <w:rFonts w:hint="eastAsia" w:ascii="Times New Roman" w:hAnsi="Times New Roman" w:eastAsia="宋体" w:cs="Times New Roman"/>
                      <w:b w:val="0"/>
                      <w:bCs w:val="0"/>
                      <w:i w:val="0"/>
                      <w:color w:val="auto"/>
                      <w:kern w:val="0"/>
                      <w:sz w:val="21"/>
                      <w:szCs w:val="21"/>
                      <w:highlight w:val="none"/>
                      <w:u w:val="none"/>
                      <w:lang w:val="en-US" w:eastAsia="zh-CN" w:bidi="ar"/>
                    </w:rPr>
                    <w:t>三同时</w:t>
                  </w:r>
                  <w:r>
                    <w:rPr>
                      <w:rFonts w:hint="default" w:ascii="Times New Roman" w:hAnsi="Times New Roman" w:eastAsia="宋体" w:cs="Times New Roman"/>
                      <w:b w:val="0"/>
                      <w:bCs w:val="0"/>
                      <w:i w:val="0"/>
                      <w:color w:val="auto"/>
                      <w:kern w:val="0"/>
                      <w:sz w:val="21"/>
                      <w:szCs w:val="21"/>
                      <w:highlight w:val="none"/>
                      <w:u w:val="none"/>
                      <w:lang w:val="en-US" w:eastAsia="zh-CN" w:bidi="ar"/>
                    </w:rPr>
                    <w:t>”</w:t>
                  </w:r>
                  <w:r>
                    <w:rPr>
                      <w:rFonts w:hint="eastAsia" w:ascii="Times New Roman" w:hAnsi="Times New Roman" w:eastAsia="宋体" w:cs="Times New Roman"/>
                      <w:b w:val="0"/>
                      <w:bCs w:val="0"/>
                      <w:i w:val="0"/>
                      <w:color w:val="auto"/>
                      <w:kern w:val="0"/>
                      <w:sz w:val="21"/>
                      <w:szCs w:val="21"/>
                      <w:highlight w:val="none"/>
                      <w:u w:val="none"/>
                      <w:lang w:val="en-US" w:eastAsia="zh-CN" w:bidi="ar"/>
                    </w:rPr>
                    <w:t>制度，对污染物排放量进行全过程控制。</w:t>
                  </w:r>
                </w:p>
              </w:tc>
              <w:tc>
                <w:tcPr>
                  <w:tcW w:w="396" w:type="pct"/>
                  <w:vMerge w:val="continue"/>
                  <w:tcBorders>
                    <w:tl2br w:val="nil"/>
                    <w:tr2bl w:val="nil"/>
                  </w:tcBorders>
                  <w:noWrap w:val="0"/>
                  <w:vAlign w:val="center"/>
                </w:tcPr>
                <w:p w14:paraId="643C6404">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64E5D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52EF1D9A">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69C3AD23">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3BD01D4F">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7.未达到国Ⅳ排放标准限值的货车禁止进入市区“禁限行”区域和路段通行。</w:t>
                  </w:r>
                </w:p>
              </w:tc>
              <w:tc>
                <w:tcPr>
                  <w:tcW w:w="1384" w:type="pct"/>
                  <w:tcBorders>
                    <w:tl2br w:val="nil"/>
                    <w:tr2bl w:val="nil"/>
                  </w:tcBorders>
                  <w:noWrap w:val="0"/>
                  <w:vAlign w:val="center"/>
                </w:tcPr>
                <w:p w14:paraId="378E28BC">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7.本项目使用的</w:t>
                  </w:r>
                  <w:r>
                    <w:rPr>
                      <w:rFonts w:hint="eastAsia" w:cs="Times New Roman"/>
                      <w:color w:val="auto"/>
                      <w:kern w:val="0"/>
                      <w:sz w:val="21"/>
                      <w:szCs w:val="21"/>
                      <w:highlight w:val="none"/>
                      <w:lang w:val="en-US" w:eastAsia="zh-CN" w:bidi="ar"/>
                    </w:rPr>
                    <w:t>运输车</w:t>
                  </w:r>
                  <w:r>
                    <w:rPr>
                      <w:rFonts w:hint="eastAsia" w:ascii="Times New Roman" w:hAnsi="Times New Roman" w:eastAsia="宋体" w:cs="Times New Roman"/>
                      <w:color w:val="auto"/>
                      <w:kern w:val="0"/>
                      <w:sz w:val="21"/>
                      <w:szCs w:val="21"/>
                      <w:highlight w:val="none"/>
                      <w:lang w:val="en-US" w:eastAsia="zh-CN" w:bidi="ar"/>
                    </w:rPr>
                    <w:t>均能达到“国四”排放标准限值。</w:t>
                  </w:r>
                </w:p>
              </w:tc>
              <w:tc>
                <w:tcPr>
                  <w:tcW w:w="396" w:type="pct"/>
                  <w:vMerge w:val="continue"/>
                  <w:tcBorders>
                    <w:tl2br w:val="nil"/>
                    <w:tr2bl w:val="nil"/>
                  </w:tcBorders>
                  <w:noWrap w:val="0"/>
                  <w:vAlign w:val="center"/>
                </w:tcPr>
                <w:p w14:paraId="0117E69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172F2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688" w:type="pct"/>
                  <w:vMerge w:val="continue"/>
                  <w:tcBorders>
                    <w:tl2br w:val="nil"/>
                    <w:tr2bl w:val="nil"/>
                  </w:tcBorders>
                  <w:noWrap w:val="0"/>
                  <w:vAlign w:val="center"/>
                </w:tcPr>
                <w:p w14:paraId="611AE863">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394C7AA3">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319882B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8.高排放非道路移动机械禁用区范围内禁止使用《非道路移动机械用柴油机排气污染物排放限值及测量方法（中国第Ⅰ、Ⅱ阶段）》（GB20891-2007）中的国Ⅲ以前标准的非道路移动机械。</w:t>
                  </w:r>
                </w:p>
              </w:tc>
              <w:tc>
                <w:tcPr>
                  <w:tcW w:w="1384" w:type="pct"/>
                  <w:tcBorders>
                    <w:tl2br w:val="nil"/>
                    <w:tr2bl w:val="nil"/>
                  </w:tcBorders>
                  <w:noWrap w:val="0"/>
                  <w:vAlign w:val="center"/>
                </w:tcPr>
                <w:p w14:paraId="1931F7B3">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8.本项目</w:t>
                  </w:r>
                  <w:r>
                    <w:rPr>
                      <w:rFonts w:hint="eastAsia" w:cs="Times New Roman"/>
                      <w:color w:val="auto"/>
                      <w:kern w:val="0"/>
                      <w:sz w:val="21"/>
                      <w:szCs w:val="21"/>
                      <w:highlight w:val="none"/>
                      <w:lang w:val="en-US" w:eastAsia="zh-CN" w:bidi="ar"/>
                    </w:rPr>
                    <w:t>不涉及</w:t>
                  </w:r>
                  <w:r>
                    <w:rPr>
                      <w:rFonts w:hint="eastAsia" w:ascii="Times New Roman" w:hAnsi="Times New Roman" w:eastAsia="宋体" w:cs="Times New Roman"/>
                      <w:color w:val="auto"/>
                      <w:kern w:val="0"/>
                      <w:sz w:val="21"/>
                      <w:szCs w:val="21"/>
                      <w:highlight w:val="none"/>
                      <w:lang w:val="en-US" w:eastAsia="zh-CN" w:bidi="ar"/>
                    </w:rPr>
                    <w:t>高排放非道路移动机械</w:t>
                  </w:r>
                  <w:r>
                    <w:rPr>
                      <w:rFonts w:hint="eastAsia" w:cs="Times New Roman"/>
                      <w:color w:val="auto"/>
                      <w:kern w:val="0"/>
                      <w:sz w:val="21"/>
                      <w:szCs w:val="21"/>
                      <w:highlight w:val="none"/>
                      <w:lang w:val="en-US" w:eastAsia="zh-CN" w:bidi="ar"/>
                    </w:rPr>
                    <w:t>。</w:t>
                  </w:r>
                </w:p>
              </w:tc>
              <w:tc>
                <w:tcPr>
                  <w:tcW w:w="396" w:type="pct"/>
                  <w:vMerge w:val="continue"/>
                  <w:tcBorders>
                    <w:tl2br w:val="nil"/>
                    <w:tr2bl w:val="nil"/>
                  </w:tcBorders>
                  <w:noWrap w:val="0"/>
                  <w:vAlign w:val="center"/>
                </w:tcPr>
                <w:p w14:paraId="4F022B61">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24074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688" w:type="pct"/>
                  <w:vMerge w:val="continue"/>
                  <w:tcBorders>
                    <w:tl2br w:val="nil"/>
                    <w:tr2bl w:val="nil"/>
                  </w:tcBorders>
                  <w:noWrap w:val="0"/>
                  <w:vAlign w:val="center"/>
                </w:tcPr>
                <w:p w14:paraId="23C5E81F">
                  <w:pPr>
                    <w:widowControl/>
                    <w:jc w:val="left"/>
                    <w:rPr>
                      <w:rFonts w:hint="default" w:ascii="Times New Roman" w:hAnsi="Times New Roman" w:eastAsia="宋体" w:cs="Times New Roman"/>
                      <w:color w:val="auto"/>
                      <w:kern w:val="0"/>
                      <w:sz w:val="21"/>
                      <w:szCs w:val="21"/>
                      <w:highlight w:val="none"/>
                      <w:lang w:eastAsia="zh-CN" w:bidi="ar"/>
                    </w:rPr>
                  </w:pPr>
                </w:p>
              </w:tc>
              <w:tc>
                <w:tcPr>
                  <w:tcW w:w="416" w:type="pct"/>
                  <w:vMerge w:val="restart"/>
                  <w:tcBorders>
                    <w:tl2br w:val="nil"/>
                    <w:tr2bl w:val="nil"/>
                  </w:tcBorders>
                  <w:noWrap w:val="0"/>
                  <w:vAlign w:val="center"/>
                </w:tcPr>
                <w:p w14:paraId="0141F969">
                  <w:pPr>
                    <w:widowControl/>
                    <w:jc w:val="center"/>
                    <w:textAlignment w:val="center"/>
                    <w:rPr>
                      <w:rFonts w:hint="default" w:ascii="Times New Roman" w:hAnsi="Times New Roman" w:eastAsia="宋体" w:cs="Times New Roman"/>
                      <w:color w:val="auto"/>
                      <w:kern w:val="0"/>
                      <w:sz w:val="21"/>
                      <w:szCs w:val="21"/>
                      <w:highlight w:val="none"/>
                      <w:lang w:bidi="ar"/>
                    </w:rPr>
                  </w:pPr>
                  <w:r>
                    <w:rPr>
                      <w:rFonts w:hint="default" w:ascii="Times New Roman" w:hAnsi="Times New Roman" w:eastAsia="宋体" w:cs="Times New Roman"/>
                      <w:color w:val="auto"/>
                      <w:kern w:val="0"/>
                      <w:sz w:val="21"/>
                      <w:szCs w:val="21"/>
                      <w:highlight w:val="none"/>
                      <w:lang w:bidi="ar"/>
                    </w:rPr>
                    <w:t>环境风险</w:t>
                  </w:r>
                </w:p>
                <w:p w14:paraId="39206D06">
                  <w:pPr>
                    <w:widowControl/>
                    <w:jc w:val="center"/>
                    <w:textAlignment w:val="center"/>
                    <w:rPr>
                      <w:rFonts w:hint="default" w:ascii="Times New Roman" w:hAnsi="Times New Roman" w:eastAsia="宋体" w:cs="Times New Roman"/>
                      <w:color w:val="auto"/>
                      <w:kern w:val="0"/>
                      <w:sz w:val="21"/>
                      <w:szCs w:val="21"/>
                      <w:highlight w:val="none"/>
                      <w:lang w:bidi="ar"/>
                    </w:rPr>
                  </w:pPr>
                  <w:r>
                    <w:rPr>
                      <w:rFonts w:hint="default" w:ascii="Times New Roman" w:hAnsi="Times New Roman" w:eastAsia="宋体" w:cs="Times New Roman"/>
                      <w:color w:val="auto"/>
                      <w:kern w:val="0"/>
                      <w:sz w:val="21"/>
                      <w:szCs w:val="21"/>
                      <w:highlight w:val="none"/>
                      <w:lang w:bidi="ar"/>
                    </w:rPr>
                    <w:t>防控</w:t>
                  </w:r>
                </w:p>
              </w:tc>
              <w:tc>
                <w:tcPr>
                  <w:tcW w:w="232" w:type="pct"/>
                  <w:vMerge w:val="restart"/>
                  <w:tcBorders>
                    <w:tl2br w:val="nil"/>
                    <w:tr2bl w:val="nil"/>
                  </w:tcBorders>
                  <w:noWrap w:val="0"/>
                  <w:vAlign w:val="center"/>
                </w:tcPr>
                <w:p w14:paraId="1E6CF985">
                  <w:pPr>
                    <w:keepNext w:val="0"/>
                    <w:keepLines w:val="0"/>
                    <w:pageBreakBefore w:val="0"/>
                    <w:widowControl/>
                    <w:suppressLineNumbers w:val="0"/>
                    <w:kinsoku/>
                    <w:wordWrap/>
                    <w:overflowPunct/>
                    <w:topLinePunct w:val="0"/>
                    <w:autoSpaceDE/>
                    <w:autoSpaceDN/>
                    <w:bidi w:val="0"/>
                    <w:adjustRightInd/>
                    <w:snapToGrid/>
                    <w:jc w:val="both"/>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1.执行锡林郭勒盟总体准入要求中第三条关于环境风险防控的准入要求</w:t>
                  </w:r>
                </w:p>
              </w:tc>
              <w:tc>
                <w:tcPr>
                  <w:tcW w:w="1881" w:type="pct"/>
                  <w:gridSpan w:val="3"/>
                  <w:tcBorders>
                    <w:tl2br w:val="nil"/>
                    <w:tr2bl w:val="nil"/>
                  </w:tcBorders>
                  <w:noWrap w:val="0"/>
                  <w:vAlign w:val="center"/>
                </w:tcPr>
                <w:p w14:paraId="3DB4F33F">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建立重污染天气预警体系。完善重度及以上污染天气的区域联合预警机制</w:t>
                  </w:r>
                  <w:r>
                    <w:rPr>
                      <w:rFonts w:hint="eastAsia" w:cs="Times New Roman"/>
                      <w:color w:val="auto"/>
                      <w:kern w:val="0"/>
                      <w:sz w:val="21"/>
                      <w:szCs w:val="21"/>
                      <w:highlight w:val="none"/>
                      <w:lang w:val="en-US" w:eastAsia="zh-CN" w:bidi="ar"/>
                    </w:rPr>
                    <w:t>，在</w:t>
                  </w:r>
                  <w:r>
                    <w:rPr>
                      <w:rFonts w:hint="eastAsia" w:ascii="Times New Roman" w:hAnsi="Times New Roman" w:eastAsia="宋体" w:cs="Times New Roman"/>
                      <w:color w:val="auto"/>
                      <w:kern w:val="0"/>
                      <w:sz w:val="21"/>
                      <w:szCs w:val="21"/>
                      <w:highlight w:val="none"/>
                      <w:lang w:val="en-US" w:eastAsia="zh-CN" w:bidi="ar"/>
                    </w:rPr>
                    <w:t>预测到区域将出现大范围重污染天气时，各相关地区按级别启动应急响应措施，实施区域应急联动。</w:t>
                  </w:r>
                </w:p>
              </w:tc>
              <w:tc>
                <w:tcPr>
                  <w:tcW w:w="1384" w:type="pct"/>
                  <w:tcBorders>
                    <w:tl2br w:val="nil"/>
                    <w:tr2bl w:val="nil"/>
                  </w:tcBorders>
                  <w:noWrap w:val="0"/>
                  <w:vAlign w:val="center"/>
                </w:tcPr>
                <w:p w14:paraId="661443F2">
                  <w:pPr>
                    <w:keepNext w:val="0"/>
                    <w:keepLines w:val="0"/>
                    <w:pageBreakBefore w:val="0"/>
                    <w:widowControl/>
                    <w:suppressLineNumbers w:val="0"/>
                    <w:kinsoku/>
                    <w:wordWrap/>
                    <w:overflowPunct/>
                    <w:topLinePunct w:val="0"/>
                    <w:autoSpaceDE/>
                    <w:autoSpaceDN/>
                    <w:bidi w:val="0"/>
                    <w:adjustRightInd/>
                    <w:snapToGrid/>
                    <w:jc w:val="both"/>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b w:val="0"/>
                      <w:bCs w:val="0"/>
                      <w:i w:val="0"/>
                      <w:color w:val="auto"/>
                      <w:kern w:val="0"/>
                      <w:sz w:val="21"/>
                      <w:szCs w:val="21"/>
                      <w:highlight w:val="none"/>
                      <w:u w:val="none"/>
                      <w:lang w:val="en-US" w:eastAsia="zh-CN" w:bidi="ar"/>
                    </w:rPr>
                    <w:t>按照政府发布的重污染天气预案要求执行</w:t>
                  </w:r>
                  <w:r>
                    <w:rPr>
                      <w:rFonts w:hint="eastAsia" w:cs="Times New Roman"/>
                      <w:b w:val="0"/>
                      <w:bCs w:val="0"/>
                      <w:i w:val="0"/>
                      <w:color w:val="auto"/>
                      <w:kern w:val="0"/>
                      <w:sz w:val="21"/>
                      <w:szCs w:val="21"/>
                      <w:highlight w:val="none"/>
                      <w:u w:val="none"/>
                      <w:lang w:val="en-US" w:eastAsia="zh-CN" w:bidi="ar"/>
                    </w:rPr>
                    <w:t>。</w:t>
                  </w:r>
                </w:p>
              </w:tc>
              <w:tc>
                <w:tcPr>
                  <w:tcW w:w="396" w:type="pct"/>
                  <w:vMerge w:val="restart"/>
                  <w:tcBorders>
                    <w:tl2br w:val="nil"/>
                    <w:tr2bl w:val="nil"/>
                  </w:tcBorders>
                  <w:noWrap w:val="0"/>
                  <w:vAlign w:val="center"/>
                </w:tcPr>
                <w:p w14:paraId="644DD99D">
                  <w:pPr>
                    <w:widowControl/>
                    <w:jc w:val="center"/>
                    <w:textAlignment w:val="center"/>
                    <w:rPr>
                      <w:rFonts w:hint="default" w:ascii="Times New Roman" w:hAnsi="Times New Roman" w:eastAsia="宋体" w:cs="Times New Roman"/>
                      <w:color w:val="auto"/>
                      <w:kern w:val="0"/>
                      <w:sz w:val="21"/>
                      <w:szCs w:val="21"/>
                      <w:highlight w:val="none"/>
                      <w:lang w:bidi="ar"/>
                    </w:rPr>
                  </w:pPr>
                  <w:r>
                    <w:rPr>
                      <w:rFonts w:hint="eastAsia" w:ascii="Times New Roman" w:hAnsi="Times New Roman" w:eastAsia="宋体" w:cs="Times New Roman"/>
                      <w:color w:val="auto"/>
                      <w:kern w:val="0"/>
                      <w:sz w:val="21"/>
                      <w:szCs w:val="21"/>
                      <w:highlight w:val="none"/>
                      <w:lang w:eastAsia="zh-CN" w:bidi="ar"/>
                    </w:rPr>
                    <w:t>符合</w:t>
                  </w:r>
                </w:p>
              </w:tc>
            </w:tr>
            <w:tr w14:paraId="44E83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688" w:type="pct"/>
                  <w:vMerge w:val="continue"/>
                  <w:tcBorders>
                    <w:tl2br w:val="nil"/>
                    <w:tr2bl w:val="nil"/>
                  </w:tcBorders>
                  <w:noWrap w:val="0"/>
                  <w:vAlign w:val="center"/>
                </w:tcPr>
                <w:p w14:paraId="2850998E">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5C89019B">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32" w:type="pct"/>
                  <w:vMerge w:val="continue"/>
                  <w:tcBorders>
                    <w:tl2br w:val="nil"/>
                    <w:tr2bl w:val="nil"/>
                  </w:tcBorders>
                  <w:noWrap w:val="0"/>
                  <w:vAlign w:val="center"/>
                </w:tcPr>
                <w:p w14:paraId="5B390D89">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81" w:type="pct"/>
                  <w:gridSpan w:val="3"/>
                  <w:tcBorders>
                    <w:tl2br w:val="nil"/>
                    <w:tr2bl w:val="nil"/>
                  </w:tcBorders>
                  <w:noWrap w:val="0"/>
                  <w:vAlign w:val="center"/>
                </w:tcPr>
                <w:p w14:paraId="336B1A2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严格高能耗、高物耗和产能过剩、低水平重复建设项目，以及涉及其他具有重大环境风险建设项目的环评审批。</w:t>
                  </w:r>
                </w:p>
              </w:tc>
              <w:tc>
                <w:tcPr>
                  <w:tcW w:w="1384" w:type="pct"/>
                  <w:tcBorders>
                    <w:tl2br w:val="nil"/>
                    <w:tr2bl w:val="nil"/>
                  </w:tcBorders>
                  <w:noWrap w:val="0"/>
                  <w:vAlign w:val="center"/>
                </w:tcPr>
                <w:p w14:paraId="14D9AF76">
                  <w:pPr>
                    <w:keepNext w:val="0"/>
                    <w:keepLines w:val="0"/>
                    <w:pageBreakBefore w:val="0"/>
                    <w:widowControl/>
                    <w:suppressLineNumbers w:val="0"/>
                    <w:kinsoku/>
                    <w:wordWrap/>
                    <w:overflowPunct/>
                    <w:topLinePunct w:val="0"/>
                    <w:autoSpaceDE/>
                    <w:autoSpaceDN/>
                    <w:bidi w:val="0"/>
                    <w:adjustRightInd/>
                    <w:snapToGrid/>
                    <w:jc w:val="center"/>
                    <w:textAlignment w:val="auto"/>
                    <w:rPr>
                      <w:color w:val="auto"/>
                    </w:rPr>
                  </w:pPr>
                  <w:r>
                    <w:rPr>
                      <w:rFonts w:hint="eastAsia"/>
                      <w:color w:val="auto"/>
                      <w:lang w:val="en-US" w:eastAsia="zh-CN"/>
                    </w:rPr>
                    <w:t>本项目不涉及。</w:t>
                  </w:r>
                </w:p>
              </w:tc>
              <w:tc>
                <w:tcPr>
                  <w:tcW w:w="396" w:type="pct"/>
                  <w:vMerge w:val="continue"/>
                  <w:tcBorders>
                    <w:tl2br w:val="nil"/>
                    <w:tr2bl w:val="nil"/>
                  </w:tcBorders>
                  <w:noWrap w:val="0"/>
                  <w:vAlign w:val="center"/>
                </w:tcPr>
                <w:p w14:paraId="74B9743D">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4952D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688" w:type="pct"/>
                  <w:vMerge w:val="continue"/>
                  <w:tcBorders>
                    <w:tl2br w:val="nil"/>
                    <w:tr2bl w:val="nil"/>
                  </w:tcBorders>
                  <w:noWrap w:val="0"/>
                  <w:vAlign w:val="center"/>
                </w:tcPr>
                <w:p w14:paraId="0A9FC318">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0F02D7C0">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32" w:type="pct"/>
                  <w:vMerge w:val="continue"/>
                  <w:tcBorders>
                    <w:tl2br w:val="nil"/>
                    <w:tr2bl w:val="nil"/>
                  </w:tcBorders>
                  <w:noWrap w:val="0"/>
                  <w:vAlign w:val="center"/>
                </w:tcPr>
                <w:p w14:paraId="43FA7D91">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81" w:type="pct"/>
                  <w:gridSpan w:val="3"/>
                  <w:tcBorders>
                    <w:tl2br w:val="nil"/>
                    <w:tr2bl w:val="nil"/>
                  </w:tcBorders>
                  <w:noWrap w:val="0"/>
                  <w:vAlign w:val="center"/>
                </w:tcPr>
                <w:p w14:paraId="67C5C0BE">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对高风险化学品生产、使用进行严格限制，并逐步淘汰替代。</w:t>
                  </w:r>
                </w:p>
              </w:tc>
              <w:tc>
                <w:tcPr>
                  <w:tcW w:w="1384" w:type="pct"/>
                  <w:tcBorders>
                    <w:tl2br w:val="nil"/>
                    <w:tr2bl w:val="nil"/>
                  </w:tcBorders>
                  <w:noWrap w:val="0"/>
                  <w:vAlign w:val="center"/>
                </w:tcPr>
                <w:p w14:paraId="5D501E1C">
                  <w:pPr>
                    <w:keepNext w:val="0"/>
                    <w:keepLines w:val="0"/>
                    <w:pageBreakBefore w:val="0"/>
                    <w:widowControl/>
                    <w:suppressLineNumbers w:val="0"/>
                    <w:kinsoku/>
                    <w:wordWrap/>
                    <w:overflowPunct/>
                    <w:topLinePunct w:val="0"/>
                    <w:autoSpaceDE/>
                    <w:autoSpaceDN/>
                    <w:bidi w:val="0"/>
                    <w:adjustRightInd/>
                    <w:snapToGrid/>
                    <w:jc w:val="center"/>
                    <w:textAlignment w:val="auto"/>
                    <w:rPr>
                      <w:color w:val="auto"/>
                    </w:rPr>
                  </w:pPr>
                  <w:r>
                    <w:rPr>
                      <w:rFonts w:hint="eastAsia"/>
                      <w:color w:val="auto"/>
                      <w:lang w:val="en-US" w:eastAsia="zh-CN"/>
                    </w:rPr>
                    <w:t>本项目不涉及。</w:t>
                  </w:r>
                </w:p>
              </w:tc>
              <w:tc>
                <w:tcPr>
                  <w:tcW w:w="396" w:type="pct"/>
                  <w:vMerge w:val="continue"/>
                  <w:tcBorders>
                    <w:tl2br w:val="nil"/>
                    <w:tr2bl w:val="nil"/>
                  </w:tcBorders>
                  <w:noWrap w:val="0"/>
                  <w:vAlign w:val="center"/>
                </w:tcPr>
                <w:p w14:paraId="4D27FFB0">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24668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688" w:type="pct"/>
                  <w:vMerge w:val="continue"/>
                  <w:tcBorders>
                    <w:tl2br w:val="nil"/>
                    <w:tr2bl w:val="nil"/>
                  </w:tcBorders>
                  <w:noWrap w:val="0"/>
                  <w:vAlign w:val="center"/>
                </w:tcPr>
                <w:p w14:paraId="263553AE">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3F0041FD">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32" w:type="pct"/>
                  <w:vMerge w:val="continue"/>
                  <w:tcBorders>
                    <w:tl2br w:val="nil"/>
                    <w:tr2bl w:val="nil"/>
                  </w:tcBorders>
                  <w:noWrap w:val="0"/>
                  <w:vAlign w:val="center"/>
                </w:tcPr>
                <w:p w14:paraId="0EF6DADE">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81" w:type="pct"/>
                  <w:gridSpan w:val="3"/>
                  <w:tcBorders>
                    <w:tl2br w:val="nil"/>
                    <w:tr2bl w:val="nil"/>
                  </w:tcBorders>
                  <w:noWrap w:val="0"/>
                  <w:vAlign w:val="center"/>
                </w:tcPr>
                <w:p w14:paraId="652E0FB9">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严格控制有毒有害物质排放，按年度向所在地盟行政公署、设区的市人民政府生态环境主管部门报告排放情况。</w:t>
                  </w:r>
                </w:p>
              </w:tc>
              <w:tc>
                <w:tcPr>
                  <w:tcW w:w="1384" w:type="pct"/>
                  <w:tcBorders>
                    <w:tl2br w:val="nil"/>
                    <w:tr2bl w:val="nil"/>
                  </w:tcBorders>
                  <w:noWrap w:val="0"/>
                  <w:vAlign w:val="center"/>
                </w:tcPr>
                <w:p w14:paraId="4238BA98">
                  <w:pPr>
                    <w:keepNext w:val="0"/>
                    <w:keepLines w:val="0"/>
                    <w:pageBreakBefore w:val="0"/>
                    <w:widowControl/>
                    <w:suppressLineNumbers w:val="0"/>
                    <w:kinsoku/>
                    <w:wordWrap/>
                    <w:overflowPunct/>
                    <w:topLinePunct w:val="0"/>
                    <w:autoSpaceDE/>
                    <w:autoSpaceDN/>
                    <w:bidi w:val="0"/>
                    <w:adjustRightInd/>
                    <w:snapToGrid/>
                    <w:jc w:val="left"/>
                    <w:textAlignment w:val="auto"/>
                    <w:rPr>
                      <w:rFonts w:hint="default"/>
                      <w:color w:val="auto"/>
                      <w:lang w:val="en-US"/>
                    </w:rPr>
                  </w:pPr>
                  <w:r>
                    <w:rPr>
                      <w:rFonts w:hint="eastAsia"/>
                      <w:color w:val="auto"/>
                      <w:lang w:val="en-US" w:eastAsia="zh-CN"/>
                    </w:rPr>
                    <w:t>本项目不涉及有毒有害物质排放。</w:t>
                  </w:r>
                </w:p>
              </w:tc>
              <w:tc>
                <w:tcPr>
                  <w:tcW w:w="396" w:type="pct"/>
                  <w:vMerge w:val="continue"/>
                  <w:tcBorders>
                    <w:tl2br w:val="nil"/>
                    <w:tr2bl w:val="nil"/>
                  </w:tcBorders>
                  <w:noWrap w:val="0"/>
                  <w:vAlign w:val="center"/>
                </w:tcPr>
                <w:p w14:paraId="0FCE7EBC">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76742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688" w:type="pct"/>
                  <w:vMerge w:val="continue"/>
                  <w:tcBorders>
                    <w:tl2br w:val="nil"/>
                    <w:tr2bl w:val="nil"/>
                  </w:tcBorders>
                  <w:noWrap w:val="0"/>
                  <w:vAlign w:val="center"/>
                </w:tcPr>
                <w:p w14:paraId="260F42DB">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12A8CFE4">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32" w:type="pct"/>
                  <w:vMerge w:val="continue"/>
                  <w:tcBorders>
                    <w:tl2br w:val="nil"/>
                    <w:tr2bl w:val="nil"/>
                  </w:tcBorders>
                  <w:noWrap w:val="0"/>
                  <w:vAlign w:val="center"/>
                </w:tcPr>
                <w:p w14:paraId="04A73C5B">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1881" w:type="pct"/>
                  <w:gridSpan w:val="3"/>
                  <w:tcBorders>
                    <w:tl2br w:val="nil"/>
                    <w:tr2bl w:val="nil"/>
                  </w:tcBorders>
                  <w:noWrap w:val="0"/>
                  <w:vAlign w:val="center"/>
                </w:tcPr>
                <w:p w14:paraId="3B2C1C0A">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建立并实施土壤污染隐患排查制度，定期对重点区域、重点设施开展隐患排查，发现污染隐患的，应当制定整改方案，采取措施消除隐患，保证持续有效防止有毒有害物质渗漏、流失、扬散。</w:t>
                  </w:r>
                </w:p>
              </w:tc>
              <w:tc>
                <w:tcPr>
                  <w:tcW w:w="1384" w:type="pct"/>
                  <w:tcBorders>
                    <w:tl2br w:val="nil"/>
                    <w:tr2bl w:val="nil"/>
                  </w:tcBorders>
                  <w:noWrap w:val="0"/>
                  <w:vAlign w:val="center"/>
                </w:tcPr>
                <w:p w14:paraId="7672D6EF">
                  <w:pPr>
                    <w:keepNext w:val="0"/>
                    <w:keepLines w:val="0"/>
                    <w:pageBreakBefore w:val="0"/>
                    <w:widowControl/>
                    <w:suppressLineNumbers w:val="0"/>
                    <w:kinsoku/>
                    <w:wordWrap/>
                    <w:overflowPunct/>
                    <w:topLinePunct w:val="0"/>
                    <w:autoSpaceDE/>
                    <w:autoSpaceDN/>
                    <w:bidi w:val="0"/>
                    <w:adjustRightInd/>
                    <w:snapToGrid/>
                    <w:jc w:val="center"/>
                    <w:textAlignment w:val="auto"/>
                    <w:rPr>
                      <w:color w:val="auto"/>
                    </w:rPr>
                  </w:pPr>
                  <w:r>
                    <w:rPr>
                      <w:rFonts w:hint="eastAsia"/>
                      <w:color w:val="auto"/>
                      <w:lang w:val="en-US" w:eastAsia="zh-CN"/>
                    </w:rPr>
                    <w:t>本项目不涉及。</w:t>
                  </w:r>
                </w:p>
              </w:tc>
              <w:tc>
                <w:tcPr>
                  <w:tcW w:w="396" w:type="pct"/>
                  <w:vMerge w:val="continue"/>
                  <w:tcBorders>
                    <w:tl2br w:val="nil"/>
                    <w:tr2bl w:val="nil"/>
                  </w:tcBorders>
                  <w:noWrap w:val="0"/>
                  <w:vAlign w:val="center"/>
                </w:tcPr>
                <w:p w14:paraId="2A1517A5">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1B2E2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688" w:type="pct"/>
                  <w:vMerge w:val="continue"/>
                  <w:tcBorders>
                    <w:tl2br w:val="nil"/>
                    <w:tr2bl w:val="nil"/>
                  </w:tcBorders>
                  <w:noWrap w:val="0"/>
                  <w:vAlign w:val="center"/>
                </w:tcPr>
                <w:p w14:paraId="019201C7">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405D18E8">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130ACE1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2.严格高能耗、高物耗和产能过剩、低水平重复建设项目，以及涉及其他具有重大环境风险建设项目的环评审批。</w:t>
                  </w:r>
                </w:p>
              </w:tc>
              <w:tc>
                <w:tcPr>
                  <w:tcW w:w="1384" w:type="pct"/>
                  <w:tcBorders>
                    <w:tl2br w:val="nil"/>
                    <w:tr2bl w:val="nil"/>
                  </w:tcBorders>
                  <w:noWrap w:val="0"/>
                  <w:vAlign w:val="center"/>
                </w:tcPr>
                <w:p w14:paraId="335487EE">
                  <w:pPr>
                    <w:keepNext w:val="0"/>
                    <w:keepLines w:val="0"/>
                    <w:pageBreakBefore w:val="0"/>
                    <w:widowControl/>
                    <w:kinsoku/>
                    <w:wordWrap/>
                    <w:overflowPunct/>
                    <w:topLinePunct w:val="0"/>
                    <w:autoSpaceDE/>
                    <w:autoSpaceDN/>
                    <w:bidi w:val="0"/>
                    <w:adjustRightInd/>
                    <w:snapToGrid/>
                    <w:jc w:val="both"/>
                    <w:textAlignment w:val="center"/>
                    <w:rPr>
                      <w:color w:val="auto"/>
                    </w:rPr>
                  </w:pPr>
                  <w:r>
                    <w:rPr>
                      <w:rFonts w:hint="eastAsia" w:ascii="Times New Roman" w:hAnsi="Times New Roman" w:eastAsia="宋体" w:cs="Times New Roman"/>
                      <w:b w:val="0"/>
                      <w:bCs w:val="0"/>
                      <w:i w:val="0"/>
                      <w:color w:val="auto"/>
                      <w:kern w:val="0"/>
                      <w:sz w:val="21"/>
                      <w:szCs w:val="21"/>
                      <w:highlight w:val="none"/>
                      <w:u w:val="none"/>
                      <w:lang w:val="en-US" w:eastAsia="zh-CN" w:bidi="ar"/>
                    </w:rPr>
                    <w:t>2.</w:t>
                  </w:r>
                  <w:r>
                    <w:rPr>
                      <w:rFonts w:hint="default" w:ascii="Times New Roman" w:hAnsi="Times New Roman" w:eastAsia="宋体" w:cs="Times New Roman"/>
                      <w:color w:val="auto"/>
                      <w:kern w:val="2"/>
                      <w:sz w:val="21"/>
                      <w:szCs w:val="22"/>
                      <w:highlight w:val="none"/>
                      <w:lang w:val="en-US" w:eastAsia="zh-CN" w:bidi="ar-SA"/>
                    </w:rPr>
                    <w:t>本项目环境风险等级为简单分析，不属于重大环境风险项目</w:t>
                  </w:r>
                  <w:r>
                    <w:rPr>
                      <w:rFonts w:hint="eastAsia" w:cs="Times New Roman"/>
                      <w:color w:val="auto"/>
                      <w:kern w:val="0"/>
                      <w:sz w:val="21"/>
                      <w:szCs w:val="21"/>
                      <w:highlight w:val="none"/>
                      <w:lang w:val="en-US" w:eastAsia="zh-CN" w:bidi="ar"/>
                    </w:rPr>
                    <w:t>。</w:t>
                  </w:r>
                </w:p>
              </w:tc>
              <w:tc>
                <w:tcPr>
                  <w:tcW w:w="396" w:type="pct"/>
                  <w:vMerge w:val="continue"/>
                  <w:tcBorders>
                    <w:tl2br w:val="nil"/>
                    <w:tr2bl w:val="nil"/>
                  </w:tcBorders>
                  <w:noWrap w:val="0"/>
                  <w:vAlign w:val="center"/>
                </w:tcPr>
                <w:p w14:paraId="2BA9B1B5">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10600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688" w:type="pct"/>
                  <w:vMerge w:val="continue"/>
                  <w:tcBorders>
                    <w:tl2br w:val="nil"/>
                    <w:tr2bl w:val="nil"/>
                  </w:tcBorders>
                  <w:noWrap w:val="0"/>
                  <w:vAlign w:val="center"/>
                </w:tcPr>
                <w:p w14:paraId="5A517500">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00894D24">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7E03AB9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3.积极推进区域联防联控工作，开展空气质量中长期趋势预测，完善重度及以上污染天气的区域联合预警机制，加强各级环保与气象部门业务合作和信息共享。当预测到区域将出现大范围重污染天气时，统一发布预警信息、各地按级别启动应急响应措施，实施区域应急联动。</w:t>
                  </w:r>
                </w:p>
              </w:tc>
              <w:tc>
                <w:tcPr>
                  <w:tcW w:w="1384" w:type="pct"/>
                  <w:tcBorders>
                    <w:tl2br w:val="nil"/>
                    <w:tr2bl w:val="nil"/>
                  </w:tcBorders>
                  <w:noWrap w:val="0"/>
                  <w:vAlign w:val="center"/>
                </w:tcPr>
                <w:p w14:paraId="02A03644">
                  <w:pPr>
                    <w:keepNext w:val="0"/>
                    <w:keepLines w:val="0"/>
                    <w:pageBreakBefore w:val="0"/>
                    <w:widowControl/>
                    <w:kinsoku/>
                    <w:wordWrap/>
                    <w:overflowPunct/>
                    <w:topLinePunct w:val="0"/>
                    <w:autoSpaceDE/>
                    <w:autoSpaceDN/>
                    <w:bidi w:val="0"/>
                    <w:adjustRightInd/>
                    <w:snapToGrid/>
                    <w:jc w:val="both"/>
                    <w:textAlignment w:val="center"/>
                    <w:rPr>
                      <w:color w:val="auto"/>
                    </w:rPr>
                  </w:pPr>
                  <w:r>
                    <w:rPr>
                      <w:rFonts w:hint="eastAsia" w:ascii="Times New Roman" w:hAnsi="Times New Roman" w:eastAsia="宋体" w:cs="Times New Roman"/>
                      <w:color w:val="auto"/>
                      <w:kern w:val="0"/>
                      <w:sz w:val="21"/>
                      <w:szCs w:val="21"/>
                      <w:highlight w:val="none"/>
                      <w:lang w:val="en-US" w:eastAsia="zh-CN" w:bidi="ar"/>
                    </w:rPr>
                    <w:t>3.</w:t>
                  </w:r>
                  <w:r>
                    <w:rPr>
                      <w:rFonts w:hint="eastAsia" w:ascii="Times New Roman" w:hAnsi="Times New Roman" w:eastAsia="宋体" w:cs="Times New Roman"/>
                      <w:color w:val="auto"/>
                      <w:kern w:val="2"/>
                      <w:sz w:val="21"/>
                      <w:szCs w:val="22"/>
                      <w:highlight w:val="none"/>
                      <w:lang w:val="en-US" w:eastAsia="zh-CN" w:bidi="ar-SA"/>
                    </w:rPr>
                    <w:t>按照政府发布的重污染天气预案要求执行。</w:t>
                  </w:r>
                </w:p>
              </w:tc>
              <w:tc>
                <w:tcPr>
                  <w:tcW w:w="396" w:type="pct"/>
                  <w:vMerge w:val="continue"/>
                  <w:tcBorders>
                    <w:tl2br w:val="nil"/>
                    <w:tr2bl w:val="nil"/>
                  </w:tcBorders>
                  <w:noWrap w:val="0"/>
                  <w:vAlign w:val="center"/>
                </w:tcPr>
                <w:p w14:paraId="5B70D991">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2E4FE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688" w:type="pct"/>
                  <w:vMerge w:val="continue"/>
                  <w:tcBorders>
                    <w:tl2br w:val="nil"/>
                    <w:tr2bl w:val="nil"/>
                  </w:tcBorders>
                  <w:noWrap w:val="0"/>
                  <w:vAlign w:val="center"/>
                </w:tcPr>
                <w:p w14:paraId="420D2D26">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0C7AFDA4">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04977054">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4.园区应建立突发环境事件应急防控体系，增强突发环境事件处置能力。</w:t>
                  </w:r>
                </w:p>
              </w:tc>
              <w:tc>
                <w:tcPr>
                  <w:tcW w:w="1384" w:type="pct"/>
                  <w:tcBorders>
                    <w:tl2br w:val="nil"/>
                    <w:tr2bl w:val="nil"/>
                  </w:tcBorders>
                  <w:noWrap w:val="0"/>
                  <w:vAlign w:val="center"/>
                </w:tcPr>
                <w:p w14:paraId="264EEC78">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2"/>
                      <w:sz w:val="21"/>
                      <w:szCs w:val="22"/>
                      <w:highlight w:val="none"/>
                      <w:lang w:val="en-US" w:eastAsia="zh-CN" w:bidi="ar-SA"/>
                    </w:rPr>
                    <w:t>4.</w:t>
                  </w:r>
                  <w:r>
                    <w:rPr>
                      <w:rFonts w:hint="eastAsia" w:cs="Times New Roman"/>
                      <w:color w:val="auto"/>
                      <w:kern w:val="0"/>
                      <w:sz w:val="21"/>
                      <w:szCs w:val="21"/>
                      <w:highlight w:val="none"/>
                      <w:lang w:val="en-US" w:eastAsia="zh-CN" w:bidi="ar"/>
                    </w:rPr>
                    <w:t>本项目不涉及</w:t>
                  </w:r>
                  <w:r>
                    <w:rPr>
                      <w:rFonts w:hint="eastAsia" w:ascii="Times New Roman" w:hAnsi="Times New Roman" w:eastAsia="宋体" w:cs="Times New Roman"/>
                      <w:color w:val="auto"/>
                      <w:kern w:val="0"/>
                      <w:sz w:val="21"/>
                      <w:szCs w:val="21"/>
                      <w:highlight w:val="none"/>
                      <w:lang w:val="en-US" w:eastAsia="zh-CN" w:bidi="ar"/>
                    </w:rPr>
                    <w:t>。</w:t>
                  </w:r>
                </w:p>
              </w:tc>
              <w:tc>
                <w:tcPr>
                  <w:tcW w:w="396" w:type="pct"/>
                  <w:vMerge w:val="continue"/>
                  <w:tcBorders>
                    <w:tl2br w:val="nil"/>
                    <w:tr2bl w:val="nil"/>
                  </w:tcBorders>
                  <w:noWrap w:val="0"/>
                  <w:vAlign w:val="center"/>
                </w:tcPr>
                <w:p w14:paraId="2BE38FF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6AAEE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688" w:type="pct"/>
                  <w:vMerge w:val="continue"/>
                  <w:tcBorders>
                    <w:tl2br w:val="nil"/>
                    <w:tr2bl w:val="nil"/>
                  </w:tcBorders>
                  <w:noWrap w:val="0"/>
                  <w:vAlign w:val="center"/>
                </w:tcPr>
                <w:p w14:paraId="3955FF6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1C0B1932">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07EAB27C">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5.严格落实工业集聚区环境风险各项防控措施。对高风险化学品生产、使用进行严格限制，并逐步淘汰替代。</w:t>
                  </w:r>
                </w:p>
              </w:tc>
              <w:tc>
                <w:tcPr>
                  <w:tcW w:w="1384" w:type="pct"/>
                  <w:tcBorders>
                    <w:tl2br w:val="nil"/>
                    <w:tr2bl w:val="nil"/>
                  </w:tcBorders>
                  <w:noWrap w:val="0"/>
                  <w:vAlign w:val="center"/>
                </w:tcPr>
                <w:p w14:paraId="46D916B8">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5.</w:t>
                  </w:r>
                  <w:r>
                    <w:rPr>
                      <w:rFonts w:hint="eastAsia" w:ascii="Times New Roman" w:hAnsi="Times New Roman" w:eastAsia="宋体" w:cs="Times New Roman"/>
                      <w:b w:val="0"/>
                      <w:bCs w:val="0"/>
                      <w:i w:val="0"/>
                      <w:color w:val="auto"/>
                      <w:kern w:val="0"/>
                      <w:sz w:val="21"/>
                      <w:szCs w:val="21"/>
                      <w:highlight w:val="none"/>
                      <w:u w:val="none"/>
                      <w:lang w:val="en-US" w:eastAsia="zh-CN" w:bidi="ar"/>
                    </w:rPr>
                    <w:t>本项目不涉及高风险化学品生产、使用。</w:t>
                  </w:r>
                </w:p>
              </w:tc>
              <w:tc>
                <w:tcPr>
                  <w:tcW w:w="396" w:type="pct"/>
                  <w:vMerge w:val="continue"/>
                  <w:tcBorders>
                    <w:tl2br w:val="nil"/>
                    <w:tr2bl w:val="nil"/>
                  </w:tcBorders>
                  <w:noWrap w:val="0"/>
                  <w:vAlign w:val="center"/>
                </w:tcPr>
                <w:p w14:paraId="02F00B32">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2BC5C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688" w:type="pct"/>
                  <w:vMerge w:val="continue"/>
                  <w:tcBorders>
                    <w:tl2br w:val="nil"/>
                    <w:tr2bl w:val="nil"/>
                  </w:tcBorders>
                  <w:noWrap w:val="0"/>
                  <w:vAlign w:val="center"/>
                </w:tcPr>
                <w:p w14:paraId="6C5C4474">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436A19C2">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75D74DCC">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6.开展涉危涉化企业、有风险隐患的渣场等风险排查和整改工作，及时消除隐患。</w:t>
                  </w:r>
                </w:p>
              </w:tc>
              <w:tc>
                <w:tcPr>
                  <w:tcW w:w="1384" w:type="pct"/>
                  <w:tcBorders>
                    <w:tl2br w:val="nil"/>
                    <w:tr2bl w:val="nil"/>
                  </w:tcBorders>
                  <w:noWrap w:val="0"/>
                  <w:vAlign w:val="center"/>
                </w:tcPr>
                <w:p w14:paraId="07EE7C46">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b w:val="0"/>
                      <w:bCs w:val="0"/>
                      <w:i w:val="0"/>
                      <w:color w:val="auto"/>
                      <w:kern w:val="0"/>
                      <w:sz w:val="21"/>
                      <w:szCs w:val="21"/>
                      <w:highlight w:val="none"/>
                      <w:u w:val="none"/>
                      <w:lang w:val="en-US" w:eastAsia="zh-CN" w:bidi="ar"/>
                    </w:rPr>
                    <w:t>6.本项目不属于涉危涉化企业。</w:t>
                  </w:r>
                </w:p>
              </w:tc>
              <w:tc>
                <w:tcPr>
                  <w:tcW w:w="396" w:type="pct"/>
                  <w:vMerge w:val="continue"/>
                  <w:tcBorders>
                    <w:tl2br w:val="nil"/>
                    <w:tr2bl w:val="nil"/>
                  </w:tcBorders>
                  <w:noWrap w:val="0"/>
                  <w:vAlign w:val="center"/>
                </w:tcPr>
                <w:p w14:paraId="28B82D18">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0AA58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688" w:type="pct"/>
                  <w:vMerge w:val="continue"/>
                  <w:tcBorders>
                    <w:tl2br w:val="nil"/>
                    <w:tr2bl w:val="nil"/>
                  </w:tcBorders>
                  <w:noWrap w:val="0"/>
                  <w:vAlign w:val="center"/>
                </w:tcPr>
                <w:p w14:paraId="4246D7A9">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7E31352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52A77DB7">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7.按要求建设园区隔离带、绿化防护带等设施。</w:t>
                  </w:r>
                </w:p>
              </w:tc>
              <w:tc>
                <w:tcPr>
                  <w:tcW w:w="1384" w:type="pct"/>
                  <w:tcBorders>
                    <w:tl2br w:val="nil"/>
                    <w:tr2bl w:val="nil"/>
                  </w:tcBorders>
                  <w:noWrap w:val="0"/>
                  <w:vAlign w:val="center"/>
                </w:tcPr>
                <w:p w14:paraId="6F40E92D">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b w:val="0"/>
                      <w:bCs w:val="0"/>
                      <w:i w:val="0"/>
                      <w:color w:val="auto"/>
                      <w:kern w:val="0"/>
                      <w:sz w:val="21"/>
                      <w:szCs w:val="21"/>
                      <w:highlight w:val="none"/>
                      <w:u w:val="none"/>
                      <w:lang w:val="en-US" w:eastAsia="zh-CN" w:bidi="ar"/>
                    </w:rPr>
                    <w:t>7.</w:t>
                  </w:r>
                  <w:r>
                    <w:rPr>
                      <w:rFonts w:hint="eastAsia" w:cs="Times New Roman"/>
                      <w:b w:val="0"/>
                      <w:bCs w:val="0"/>
                      <w:i w:val="0"/>
                      <w:color w:val="auto"/>
                      <w:kern w:val="0"/>
                      <w:sz w:val="21"/>
                      <w:szCs w:val="21"/>
                      <w:highlight w:val="none"/>
                      <w:u w:val="none"/>
                      <w:lang w:val="en-US" w:eastAsia="zh-CN" w:bidi="ar"/>
                    </w:rPr>
                    <w:t>本项目不涉及。</w:t>
                  </w:r>
                </w:p>
              </w:tc>
              <w:tc>
                <w:tcPr>
                  <w:tcW w:w="396" w:type="pct"/>
                  <w:vMerge w:val="continue"/>
                  <w:tcBorders>
                    <w:tl2br w:val="nil"/>
                    <w:tr2bl w:val="nil"/>
                  </w:tcBorders>
                  <w:noWrap w:val="0"/>
                  <w:vAlign w:val="center"/>
                </w:tcPr>
                <w:p w14:paraId="64C8DA34">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1123D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688" w:type="pct"/>
                  <w:vMerge w:val="continue"/>
                  <w:tcBorders>
                    <w:tl2br w:val="nil"/>
                    <w:tr2bl w:val="nil"/>
                  </w:tcBorders>
                  <w:noWrap w:val="0"/>
                  <w:vAlign w:val="center"/>
                </w:tcPr>
                <w:p w14:paraId="38E46E0E">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3589DAA2">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1CC2E265">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8.建立完备的事故废水调储系统。厂区分区防渗；建立区域土壤及地下水监测监控体系</w:t>
                  </w:r>
                  <w:r>
                    <w:rPr>
                      <w:rFonts w:hint="eastAsia" w:cs="Times New Roman"/>
                      <w:color w:val="auto"/>
                      <w:kern w:val="0"/>
                      <w:sz w:val="21"/>
                      <w:szCs w:val="21"/>
                      <w:highlight w:val="none"/>
                      <w:lang w:val="en-US" w:eastAsia="zh-CN" w:bidi="ar"/>
                    </w:rPr>
                    <w:t>。</w:t>
                  </w:r>
                </w:p>
              </w:tc>
              <w:tc>
                <w:tcPr>
                  <w:tcW w:w="1384" w:type="pct"/>
                  <w:tcBorders>
                    <w:tl2br w:val="nil"/>
                    <w:tr2bl w:val="nil"/>
                  </w:tcBorders>
                  <w:noWrap w:val="0"/>
                  <w:vAlign w:val="center"/>
                </w:tcPr>
                <w:p w14:paraId="0A83019E">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ascii="Times New Roman" w:hAnsi="Times New Roman" w:eastAsia="宋体" w:cs="Times New Roman"/>
                      <w:color w:val="auto"/>
                      <w:kern w:val="0"/>
                      <w:sz w:val="21"/>
                      <w:szCs w:val="21"/>
                      <w:highlight w:val="none"/>
                      <w:lang w:val="en-US" w:eastAsia="zh-CN" w:bidi="ar"/>
                    </w:rPr>
                    <w:t>8.</w:t>
                  </w:r>
                  <w:r>
                    <w:rPr>
                      <w:rFonts w:hint="eastAsia" w:ascii="Times New Roman" w:hAnsi="Times New Roman" w:eastAsia="宋体" w:cs="Times New Roman"/>
                      <w:b w:val="0"/>
                      <w:bCs w:val="0"/>
                      <w:i w:val="0"/>
                      <w:color w:val="auto"/>
                      <w:kern w:val="0"/>
                      <w:sz w:val="21"/>
                      <w:szCs w:val="21"/>
                      <w:highlight w:val="none"/>
                      <w:u w:val="none"/>
                      <w:lang w:val="en-US" w:eastAsia="zh-CN" w:bidi="ar"/>
                    </w:rPr>
                    <w:t>厂区已做分区防渗措施</w:t>
                  </w:r>
                  <w:r>
                    <w:rPr>
                      <w:rFonts w:hint="eastAsia" w:cs="Times New Roman"/>
                      <w:b w:val="0"/>
                      <w:bCs w:val="0"/>
                      <w:i w:val="0"/>
                      <w:color w:val="auto"/>
                      <w:kern w:val="0"/>
                      <w:sz w:val="21"/>
                      <w:szCs w:val="21"/>
                      <w:highlight w:val="none"/>
                      <w:u w:val="none"/>
                      <w:lang w:val="en-US" w:eastAsia="zh-CN" w:bidi="ar"/>
                    </w:rPr>
                    <w:t>。</w:t>
                  </w:r>
                </w:p>
              </w:tc>
              <w:tc>
                <w:tcPr>
                  <w:tcW w:w="396" w:type="pct"/>
                  <w:vMerge w:val="continue"/>
                  <w:tcBorders>
                    <w:tl2br w:val="nil"/>
                    <w:tr2bl w:val="nil"/>
                  </w:tcBorders>
                  <w:noWrap w:val="0"/>
                  <w:vAlign w:val="center"/>
                </w:tcPr>
                <w:p w14:paraId="75685C1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1A9D8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88" w:type="pct"/>
                  <w:vMerge w:val="continue"/>
                  <w:tcBorders>
                    <w:tl2br w:val="nil"/>
                    <w:tr2bl w:val="nil"/>
                  </w:tcBorders>
                  <w:noWrap w:val="0"/>
                  <w:vAlign w:val="center"/>
                </w:tcPr>
                <w:p w14:paraId="166926B7">
                  <w:pPr>
                    <w:widowControl/>
                    <w:jc w:val="left"/>
                    <w:rPr>
                      <w:rFonts w:hint="default" w:ascii="Times New Roman" w:hAnsi="Times New Roman" w:eastAsia="宋体" w:cs="Times New Roman"/>
                      <w:color w:val="auto"/>
                      <w:kern w:val="0"/>
                      <w:sz w:val="21"/>
                      <w:szCs w:val="21"/>
                      <w:highlight w:val="none"/>
                      <w:lang w:eastAsia="zh-CN" w:bidi="ar"/>
                    </w:rPr>
                  </w:pPr>
                </w:p>
              </w:tc>
              <w:tc>
                <w:tcPr>
                  <w:tcW w:w="416" w:type="pct"/>
                  <w:vMerge w:val="restart"/>
                  <w:tcBorders>
                    <w:tl2br w:val="nil"/>
                    <w:tr2bl w:val="nil"/>
                  </w:tcBorders>
                  <w:noWrap w:val="0"/>
                  <w:vAlign w:val="center"/>
                </w:tcPr>
                <w:p w14:paraId="5EFD103E">
                  <w:pPr>
                    <w:widowControl/>
                    <w:jc w:val="center"/>
                    <w:textAlignment w:val="center"/>
                    <w:rPr>
                      <w:rFonts w:hint="default" w:ascii="Times New Roman" w:hAnsi="Times New Roman" w:eastAsia="宋体" w:cs="Times New Roman"/>
                      <w:color w:val="auto"/>
                      <w:kern w:val="0"/>
                      <w:sz w:val="21"/>
                      <w:szCs w:val="21"/>
                      <w:highlight w:val="none"/>
                      <w:lang w:bidi="ar"/>
                    </w:rPr>
                  </w:pPr>
                  <w:r>
                    <w:rPr>
                      <w:rFonts w:hint="default" w:ascii="Times New Roman" w:hAnsi="Times New Roman" w:eastAsia="宋体" w:cs="Times New Roman"/>
                      <w:color w:val="auto"/>
                      <w:kern w:val="0"/>
                      <w:sz w:val="21"/>
                      <w:szCs w:val="21"/>
                      <w:highlight w:val="none"/>
                      <w:lang w:bidi="ar"/>
                    </w:rPr>
                    <w:t>资源利用</w:t>
                  </w:r>
                </w:p>
                <w:p w14:paraId="39A7B6E2">
                  <w:pPr>
                    <w:widowControl/>
                    <w:jc w:val="center"/>
                    <w:textAlignment w:val="center"/>
                    <w:rPr>
                      <w:rFonts w:hint="default" w:ascii="Times New Roman" w:hAnsi="Times New Roman" w:eastAsia="宋体" w:cs="Times New Roman"/>
                      <w:color w:val="auto"/>
                      <w:kern w:val="0"/>
                      <w:sz w:val="21"/>
                      <w:szCs w:val="21"/>
                      <w:highlight w:val="none"/>
                      <w:lang w:bidi="ar"/>
                    </w:rPr>
                  </w:pPr>
                  <w:r>
                    <w:rPr>
                      <w:rFonts w:hint="default" w:ascii="Times New Roman" w:hAnsi="Times New Roman" w:eastAsia="宋体" w:cs="Times New Roman"/>
                      <w:color w:val="auto"/>
                      <w:kern w:val="0"/>
                      <w:sz w:val="21"/>
                      <w:szCs w:val="21"/>
                      <w:highlight w:val="none"/>
                      <w:lang w:bidi="ar"/>
                    </w:rPr>
                    <w:t>效率要求</w:t>
                  </w:r>
                </w:p>
              </w:tc>
              <w:tc>
                <w:tcPr>
                  <w:tcW w:w="2114" w:type="pct"/>
                  <w:gridSpan w:val="4"/>
                  <w:tcBorders>
                    <w:tl2br w:val="nil"/>
                    <w:tr2bl w:val="nil"/>
                  </w:tcBorders>
                  <w:shd w:val="clear" w:color="auto" w:fill="auto"/>
                  <w:noWrap w:val="0"/>
                  <w:vAlign w:val="center"/>
                </w:tcPr>
                <w:p w14:paraId="4990BF0A">
                  <w:pPr>
                    <w:keepNext w:val="0"/>
                    <w:keepLines w:val="0"/>
                    <w:pageBreakBefore w:val="0"/>
                    <w:widowControl/>
                    <w:suppressLineNumbers w:val="0"/>
                    <w:kinsoku/>
                    <w:wordWrap/>
                    <w:overflowPunct/>
                    <w:topLinePunct w:val="0"/>
                    <w:autoSpaceDE/>
                    <w:autoSpaceDN/>
                    <w:bidi w:val="0"/>
                    <w:adjustRightInd/>
                    <w:snapToGrid/>
                    <w:jc w:val="both"/>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1</w:t>
                  </w:r>
                  <w:r>
                    <w:rPr>
                      <w:rFonts w:hint="eastAsia" w:ascii="Times New Roman" w:hAnsi="Times New Roman" w:eastAsia="宋体" w:cs="Times New Roman"/>
                      <w:color w:val="auto"/>
                      <w:kern w:val="0"/>
                      <w:sz w:val="21"/>
                      <w:szCs w:val="21"/>
                      <w:highlight w:val="none"/>
                      <w:lang w:val="en-US" w:eastAsia="zh-CN" w:bidi="ar"/>
                    </w:rPr>
                    <w:t>.严控地下水超采。严格执行《地下水超采区和重要地下水水源地水位与水量双控方案》，落实压减灌溉面积、节水改造、水源置换及监测等各项措施，超采区内不予审批工农业生产及服务业新增取用地下水。</w:t>
                  </w:r>
                </w:p>
              </w:tc>
              <w:tc>
                <w:tcPr>
                  <w:tcW w:w="1384" w:type="pct"/>
                  <w:tcBorders>
                    <w:tl2br w:val="nil"/>
                    <w:tr2bl w:val="nil"/>
                  </w:tcBorders>
                  <w:shd w:val="clear" w:color="auto" w:fill="auto"/>
                  <w:noWrap w:val="0"/>
                  <w:vAlign w:val="center"/>
                </w:tcPr>
                <w:p w14:paraId="6856ECAC">
                  <w:pPr>
                    <w:widowControl/>
                    <w:jc w:val="both"/>
                    <w:textAlignment w:val="center"/>
                    <w:rPr>
                      <w:rFonts w:hint="default" w:ascii="Times New Roman" w:hAnsi="Times New Roman" w:eastAsia="宋体" w:cs="Times New Roman"/>
                      <w:color w:val="auto"/>
                      <w:kern w:val="2"/>
                      <w:sz w:val="21"/>
                      <w:szCs w:val="24"/>
                      <w:lang w:val="en-US" w:eastAsia="zh-CN" w:bidi="ar-SA"/>
                    </w:rPr>
                  </w:pPr>
                  <w:r>
                    <w:rPr>
                      <w:rFonts w:hint="eastAsia" w:cs="Times New Roman"/>
                      <w:b w:val="0"/>
                      <w:bCs w:val="0"/>
                      <w:i w:val="0"/>
                      <w:color w:val="auto"/>
                      <w:kern w:val="0"/>
                      <w:sz w:val="21"/>
                      <w:szCs w:val="21"/>
                      <w:highlight w:val="none"/>
                      <w:u w:val="none"/>
                      <w:lang w:val="en-US" w:eastAsia="zh-CN" w:bidi="ar"/>
                    </w:rPr>
                    <w:t>1</w:t>
                  </w:r>
                  <w:r>
                    <w:rPr>
                      <w:rFonts w:hint="eastAsia" w:ascii="Times New Roman" w:hAnsi="Times New Roman" w:eastAsia="宋体" w:cs="Times New Roman"/>
                      <w:b w:val="0"/>
                      <w:bCs w:val="0"/>
                      <w:i w:val="0"/>
                      <w:color w:val="auto"/>
                      <w:kern w:val="0"/>
                      <w:sz w:val="21"/>
                      <w:szCs w:val="21"/>
                      <w:highlight w:val="none"/>
                      <w:u w:val="none"/>
                      <w:lang w:val="en-US" w:eastAsia="zh-CN" w:bidi="ar"/>
                    </w:rPr>
                    <w:t>.本项目</w:t>
                  </w:r>
                  <w:r>
                    <w:rPr>
                      <w:rFonts w:hint="eastAsia" w:ascii="Times New Roman" w:hAnsi="Times New Roman" w:eastAsia="宋体" w:cs="Times New Roman"/>
                      <w:color w:val="auto"/>
                      <w:kern w:val="0"/>
                      <w:sz w:val="21"/>
                      <w:szCs w:val="21"/>
                      <w:highlight w:val="none"/>
                      <w:lang w:val="en-US" w:eastAsia="zh-CN" w:bidi="ar"/>
                    </w:rPr>
                    <w:t>不涉及地下水开发利用。</w:t>
                  </w:r>
                </w:p>
              </w:tc>
              <w:tc>
                <w:tcPr>
                  <w:tcW w:w="396" w:type="pct"/>
                  <w:vMerge w:val="restart"/>
                  <w:tcBorders>
                    <w:tl2br w:val="nil"/>
                    <w:tr2bl w:val="nil"/>
                  </w:tcBorders>
                  <w:noWrap w:val="0"/>
                  <w:vAlign w:val="center"/>
                </w:tcPr>
                <w:p w14:paraId="1DC00765">
                  <w:pPr>
                    <w:widowControl/>
                    <w:jc w:val="center"/>
                    <w:textAlignment w:val="center"/>
                    <w:rPr>
                      <w:rFonts w:hint="eastAsia" w:ascii="Times New Roman" w:hAnsi="Times New Roman" w:eastAsia="宋体" w:cs="Times New Roman"/>
                      <w:color w:val="auto"/>
                      <w:kern w:val="0"/>
                      <w:sz w:val="21"/>
                      <w:szCs w:val="21"/>
                      <w:highlight w:val="none"/>
                      <w:lang w:eastAsia="zh-CN" w:bidi="ar"/>
                    </w:rPr>
                  </w:pPr>
                  <w:r>
                    <w:rPr>
                      <w:rFonts w:hint="eastAsia" w:ascii="Times New Roman" w:hAnsi="Times New Roman" w:eastAsia="宋体" w:cs="Times New Roman"/>
                      <w:color w:val="auto"/>
                      <w:kern w:val="0"/>
                      <w:sz w:val="21"/>
                      <w:szCs w:val="21"/>
                      <w:highlight w:val="none"/>
                      <w:lang w:eastAsia="zh-CN" w:bidi="ar"/>
                    </w:rPr>
                    <w:t>符合</w:t>
                  </w:r>
                </w:p>
              </w:tc>
            </w:tr>
            <w:tr w14:paraId="39D22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688" w:type="pct"/>
                  <w:vMerge w:val="continue"/>
                  <w:tcBorders>
                    <w:tl2br w:val="nil"/>
                    <w:tr2bl w:val="nil"/>
                  </w:tcBorders>
                  <w:noWrap w:val="0"/>
                  <w:vAlign w:val="center"/>
                </w:tcPr>
                <w:p w14:paraId="610A68D2">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0B2103CF">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6C3E2C07">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2</w:t>
                  </w:r>
                  <w:r>
                    <w:rPr>
                      <w:rFonts w:hint="eastAsia" w:ascii="Times New Roman" w:hAnsi="Times New Roman" w:eastAsia="宋体" w:cs="Times New Roman"/>
                      <w:color w:val="auto"/>
                      <w:kern w:val="0"/>
                      <w:sz w:val="21"/>
                      <w:szCs w:val="21"/>
                      <w:highlight w:val="none"/>
                      <w:lang w:val="en-US" w:eastAsia="zh-CN" w:bidi="ar"/>
                    </w:rPr>
                    <w:t>.加强超采区压采和替代水源建设，确保按治理方案落实压减灌溉面积、节水改造、水源置换及监测等各项措施。</w:t>
                  </w:r>
                </w:p>
              </w:tc>
              <w:tc>
                <w:tcPr>
                  <w:tcW w:w="1384" w:type="pct"/>
                  <w:tcBorders>
                    <w:tl2br w:val="nil"/>
                    <w:tr2bl w:val="nil"/>
                  </w:tcBorders>
                  <w:noWrap w:val="0"/>
                  <w:vAlign w:val="center"/>
                </w:tcPr>
                <w:p w14:paraId="00493A59">
                  <w:pPr>
                    <w:widowControl/>
                    <w:jc w:val="both"/>
                    <w:textAlignment w:val="center"/>
                    <w:rPr>
                      <w:color w:val="auto"/>
                    </w:rPr>
                  </w:pPr>
                  <w:r>
                    <w:rPr>
                      <w:rFonts w:hint="eastAsia" w:cs="Times New Roman"/>
                      <w:color w:val="auto"/>
                      <w:kern w:val="0"/>
                      <w:sz w:val="21"/>
                      <w:szCs w:val="21"/>
                      <w:highlight w:val="none"/>
                      <w:lang w:val="en-US" w:eastAsia="zh-CN" w:bidi="ar"/>
                    </w:rPr>
                    <w:t>2</w:t>
                  </w:r>
                  <w:r>
                    <w:rPr>
                      <w:rFonts w:hint="eastAsia" w:ascii="Times New Roman" w:hAnsi="Times New Roman" w:eastAsia="宋体" w:cs="Times New Roman"/>
                      <w:color w:val="auto"/>
                      <w:kern w:val="0"/>
                      <w:sz w:val="21"/>
                      <w:szCs w:val="21"/>
                      <w:highlight w:val="none"/>
                      <w:lang w:val="en-US" w:eastAsia="zh-CN" w:bidi="ar"/>
                    </w:rPr>
                    <w:t>.本项目不</w:t>
                  </w:r>
                  <w:r>
                    <w:rPr>
                      <w:rFonts w:hint="eastAsia" w:cs="Times New Roman"/>
                      <w:color w:val="auto"/>
                      <w:kern w:val="0"/>
                      <w:sz w:val="21"/>
                      <w:szCs w:val="21"/>
                      <w:highlight w:val="none"/>
                      <w:lang w:val="en-US" w:eastAsia="zh-CN" w:bidi="ar"/>
                    </w:rPr>
                    <w:t>涉及。</w:t>
                  </w:r>
                </w:p>
              </w:tc>
              <w:tc>
                <w:tcPr>
                  <w:tcW w:w="396" w:type="pct"/>
                  <w:vMerge w:val="continue"/>
                  <w:tcBorders>
                    <w:tl2br w:val="nil"/>
                    <w:tr2bl w:val="nil"/>
                  </w:tcBorders>
                  <w:noWrap w:val="0"/>
                  <w:vAlign w:val="center"/>
                </w:tcPr>
                <w:p w14:paraId="59ECF13D">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26854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688" w:type="pct"/>
                  <w:vMerge w:val="continue"/>
                  <w:tcBorders>
                    <w:tl2br w:val="nil"/>
                    <w:tr2bl w:val="nil"/>
                  </w:tcBorders>
                  <w:noWrap w:val="0"/>
                  <w:vAlign w:val="center"/>
                </w:tcPr>
                <w:p w14:paraId="17EE59FE">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692325C8">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712BBA84">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3</w:t>
                  </w:r>
                  <w:r>
                    <w:rPr>
                      <w:rFonts w:hint="eastAsia" w:ascii="Times New Roman" w:hAnsi="Times New Roman" w:eastAsia="宋体" w:cs="Times New Roman"/>
                      <w:color w:val="auto"/>
                      <w:kern w:val="0"/>
                      <w:sz w:val="21"/>
                      <w:szCs w:val="21"/>
                      <w:highlight w:val="none"/>
                      <w:lang w:val="en-US" w:eastAsia="zh-CN" w:bidi="ar"/>
                    </w:rPr>
                    <w:t>.实行地下水“五控”制度。“五控”即严格管控地下水开发利用总量、水位、用途、水质及机电井数量。</w:t>
                  </w:r>
                </w:p>
              </w:tc>
              <w:tc>
                <w:tcPr>
                  <w:tcW w:w="1384" w:type="pct"/>
                  <w:tcBorders>
                    <w:tl2br w:val="nil"/>
                    <w:tr2bl w:val="nil"/>
                  </w:tcBorders>
                  <w:noWrap w:val="0"/>
                  <w:vAlign w:val="center"/>
                </w:tcPr>
                <w:p w14:paraId="09DB83F0">
                  <w:pPr>
                    <w:widowControl/>
                    <w:jc w:val="both"/>
                    <w:textAlignment w:val="center"/>
                    <w:rPr>
                      <w:color w:val="auto"/>
                    </w:rPr>
                  </w:pPr>
                  <w:r>
                    <w:rPr>
                      <w:rFonts w:hint="eastAsia" w:cs="Times New Roman"/>
                      <w:color w:val="auto"/>
                      <w:kern w:val="0"/>
                      <w:sz w:val="21"/>
                      <w:szCs w:val="21"/>
                      <w:highlight w:val="none"/>
                      <w:lang w:val="en-US" w:eastAsia="zh-CN" w:bidi="ar"/>
                    </w:rPr>
                    <w:t>3</w:t>
                  </w:r>
                  <w:r>
                    <w:rPr>
                      <w:rFonts w:hint="eastAsia" w:ascii="Times New Roman" w:hAnsi="Times New Roman" w:eastAsia="宋体" w:cs="Times New Roman"/>
                      <w:color w:val="auto"/>
                      <w:kern w:val="0"/>
                      <w:sz w:val="21"/>
                      <w:szCs w:val="21"/>
                      <w:highlight w:val="none"/>
                      <w:lang w:val="en-US" w:eastAsia="zh-CN" w:bidi="ar"/>
                    </w:rPr>
                    <w:t>.</w:t>
                  </w:r>
                  <w:r>
                    <w:rPr>
                      <w:rFonts w:hint="eastAsia" w:ascii="Times New Roman" w:hAnsi="Times New Roman" w:eastAsia="宋体" w:cs="Times New Roman"/>
                      <w:b w:val="0"/>
                      <w:bCs w:val="0"/>
                      <w:i w:val="0"/>
                      <w:color w:val="auto"/>
                      <w:kern w:val="0"/>
                      <w:sz w:val="21"/>
                      <w:szCs w:val="21"/>
                      <w:highlight w:val="none"/>
                      <w:u w:val="none"/>
                      <w:lang w:val="en-US" w:eastAsia="zh-CN" w:bidi="ar"/>
                    </w:rPr>
                    <w:t>本项目</w:t>
                  </w:r>
                  <w:r>
                    <w:rPr>
                      <w:rFonts w:hint="eastAsia" w:ascii="Times New Roman" w:hAnsi="Times New Roman" w:eastAsia="宋体" w:cs="Times New Roman"/>
                      <w:color w:val="auto"/>
                      <w:kern w:val="0"/>
                      <w:sz w:val="21"/>
                      <w:szCs w:val="21"/>
                      <w:highlight w:val="none"/>
                      <w:lang w:val="en-US" w:eastAsia="zh-CN" w:bidi="ar"/>
                    </w:rPr>
                    <w:t>不涉及地下水开发利用</w:t>
                  </w:r>
                  <w:r>
                    <w:rPr>
                      <w:rFonts w:hint="eastAsia" w:cs="Times New Roman"/>
                      <w:color w:val="auto"/>
                      <w:kern w:val="0"/>
                      <w:sz w:val="21"/>
                      <w:szCs w:val="21"/>
                      <w:highlight w:val="none"/>
                      <w:lang w:val="en-US" w:eastAsia="zh-CN" w:bidi="ar"/>
                    </w:rPr>
                    <w:t>。</w:t>
                  </w:r>
                </w:p>
              </w:tc>
              <w:tc>
                <w:tcPr>
                  <w:tcW w:w="396" w:type="pct"/>
                  <w:vMerge w:val="continue"/>
                  <w:tcBorders>
                    <w:tl2br w:val="nil"/>
                    <w:tr2bl w:val="nil"/>
                  </w:tcBorders>
                  <w:noWrap w:val="0"/>
                  <w:vAlign w:val="center"/>
                </w:tcPr>
                <w:p w14:paraId="157BE704">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74C86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688" w:type="pct"/>
                  <w:vMerge w:val="continue"/>
                  <w:tcBorders>
                    <w:tl2br w:val="nil"/>
                    <w:tr2bl w:val="nil"/>
                  </w:tcBorders>
                  <w:noWrap w:val="0"/>
                  <w:vAlign w:val="center"/>
                </w:tcPr>
                <w:p w14:paraId="5B4C3857">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430E1886">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4A6D99C5">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4</w:t>
                  </w:r>
                  <w:r>
                    <w:rPr>
                      <w:rFonts w:hint="eastAsia" w:ascii="Times New Roman" w:hAnsi="Times New Roman" w:eastAsia="宋体" w:cs="Times New Roman"/>
                      <w:color w:val="auto"/>
                      <w:kern w:val="0"/>
                      <w:sz w:val="21"/>
                      <w:szCs w:val="21"/>
                      <w:highlight w:val="none"/>
                      <w:lang w:val="en-US" w:eastAsia="zh-CN" w:bidi="ar"/>
                    </w:rPr>
                    <w:t>.加强城镇节约用水。推广节水器具和节水产品，加强城镇供水管网改造、降低公共供水管网漏损率。推进城镇生活、绿化、水景观及第三产业节水改造。城镇园林绿化要选用节水耐旱型植物，注重雨水的回收利用，提倡使用再生水浇灌，采用微喷、滴灌等节水设施。积极开展公共机构节水型单位创建工作。</w:t>
                  </w:r>
                </w:p>
              </w:tc>
              <w:tc>
                <w:tcPr>
                  <w:tcW w:w="1384" w:type="pct"/>
                  <w:tcBorders>
                    <w:tl2br w:val="nil"/>
                    <w:tr2bl w:val="nil"/>
                  </w:tcBorders>
                  <w:noWrap w:val="0"/>
                  <w:vAlign w:val="center"/>
                </w:tcPr>
                <w:p w14:paraId="2AC4AB96">
                  <w:pPr>
                    <w:widowControl/>
                    <w:jc w:val="both"/>
                    <w:textAlignment w:val="center"/>
                    <w:rPr>
                      <w:color w:val="auto"/>
                    </w:rPr>
                  </w:pPr>
                  <w:r>
                    <w:rPr>
                      <w:rFonts w:hint="eastAsia" w:cs="Times New Roman"/>
                      <w:color w:val="auto"/>
                      <w:kern w:val="0"/>
                      <w:sz w:val="21"/>
                      <w:szCs w:val="21"/>
                      <w:highlight w:val="none"/>
                      <w:lang w:val="en-US" w:eastAsia="zh-CN" w:bidi="ar"/>
                    </w:rPr>
                    <w:t>4</w:t>
                  </w:r>
                  <w:r>
                    <w:rPr>
                      <w:rFonts w:hint="eastAsia" w:ascii="Times New Roman" w:hAnsi="Times New Roman" w:eastAsia="宋体" w:cs="Times New Roman"/>
                      <w:color w:val="auto"/>
                      <w:kern w:val="0"/>
                      <w:sz w:val="21"/>
                      <w:szCs w:val="21"/>
                      <w:highlight w:val="none"/>
                      <w:lang w:val="en-US" w:eastAsia="zh-CN" w:bidi="ar"/>
                    </w:rPr>
                    <w:t>.</w:t>
                  </w:r>
                  <w:r>
                    <w:rPr>
                      <w:rFonts w:hint="default" w:ascii="Times New Roman" w:hAnsi="Times New Roman" w:eastAsia="宋体" w:cs="Times New Roman"/>
                      <w:b w:val="0"/>
                      <w:bCs w:val="0"/>
                      <w:i w:val="0"/>
                      <w:color w:val="auto"/>
                      <w:kern w:val="0"/>
                      <w:sz w:val="21"/>
                      <w:szCs w:val="21"/>
                      <w:u w:val="none"/>
                      <w:lang w:val="en-US" w:eastAsia="zh-CN" w:bidi="ar"/>
                    </w:rPr>
                    <w:t>本项目</w:t>
                  </w:r>
                  <w:r>
                    <w:rPr>
                      <w:rFonts w:hint="eastAsia" w:ascii="Times New Roman" w:hAnsi="Times New Roman" w:eastAsia="宋体" w:cs="Times New Roman"/>
                      <w:b w:val="0"/>
                      <w:bCs w:val="0"/>
                      <w:i w:val="0"/>
                      <w:color w:val="auto"/>
                      <w:kern w:val="0"/>
                      <w:sz w:val="21"/>
                      <w:szCs w:val="21"/>
                      <w:u w:val="none"/>
                      <w:lang w:val="en-US" w:eastAsia="zh-CN" w:bidi="ar"/>
                    </w:rPr>
                    <w:t>用水</w:t>
                  </w:r>
                  <w:r>
                    <w:rPr>
                      <w:rFonts w:hint="eastAsia"/>
                      <w:color w:val="auto"/>
                      <w:sz w:val="21"/>
                      <w:szCs w:val="21"/>
                    </w:rPr>
                    <w:t>由</w:t>
                  </w:r>
                  <w:r>
                    <w:rPr>
                      <w:rFonts w:hint="eastAsia"/>
                      <w:color w:val="auto"/>
                      <w:sz w:val="21"/>
                      <w:szCs w:val="21"/>
                      <w:lang w:val="en-US" w:eastAsia="zh-CN"/>
                    </w:rPr>
                    <w:t>市政供水管网</w:t>
                  </w:r>
                  <w:r>
                    <w:rPr>
                      <w:rFonts w:hint="eastAsia"/>
                      <w:color w:val="auto"/>
                      <w:sz w:val="21"/>
                      <w:szCs w:val="21"/>
                    </w:rPr>
                    <w:t>供给</w:t>
                  </w:r>
                  <w:r>
                    <w:rPr>
                      <w:rFonts w:hint="eastAsia"/>
                      <w:color w:val="auto"/>
                      <w:sz w:val="21"/>
                      <w:szCs w:val="21"/>
                      <w:lang w:eastAsia="zh-CN"/>
                    </w:rPr>
                    <w:t>，</w:t>
                  </w:r>
                  <w:r>
                    <w:rPr>
                      <w:rFonts w:hint="default" w:ascii="Times New Roman" w:hAnsi="Times New Roman" w:eastAsia="宋体" w:cs="Times New Roman"/>
                      <w:b w:val="0"/>
                      <w:bCs w:val="0"/>
                      <w:i w:val="0"/>
                      <w:color w:val="auto"/>
                      <w:kern w:val="0"/>
                      <w:sz w:val="21"/>
                      <w:szCs w:val="21"/>
                      <w:u w:val="none"/>
                      <w:lang w:val="en-US" w:eastAsia="zh-CN" w:bidi="ar"/>
                    </w:rPr>
                    <w:t>禁止浪费情况产生</w:t>
                  </w:r>
                  <w:r>
                    <w:rPr>
                      <w:rFonts w:hint="eastAsia" w:cs="Times New Roman"/>
                      <w:b w:val="0"/>
                      <w:bCs w:val="0"/>
                      <w:i w:val="0"/>
                      <w:color w:val="auto"/>
                      <w:kern w:val="0"/>
                      <w:sz w:val="21"/>
                      <w:szCs w:val="21"/>
                      <w:u w:val="none"/>
                      <w:lang w:val="en-US" w:eastAsia="zh-CN" w:bidi="ar"/>
                    </w:rPr>
                    <w:t>。</w:t>
                  </w:r>
                </w:p>
              </w:tc>
              <w:tc>
                <w:tcPr>
                  <w:tcW w:w="396" w:type="pct"/>
                  <w:vMerge w:val="continue"/>
                  <w:tcBorders>
                    <w:tl2br w:val="nil"/>
                    <w:tr2bl w:val="nil"/>
                  </w:tcBorders>
                  <w:noWrap w:val="0"/>
                  <w:vAlign w:val="center"/>
                </w:tcPr>
                <w:p w14:paraId="4DD4A0AA">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r w14:paraId="3229D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688" w:type="pct"/>
                  <w:vMerge w:val="continue"/>
                  <w:tcBorders>
                    <w:tl2br w:val="nil"/>
                    <w:tr2bl w:val="nil"/>
                  </w:tcBorders>
                  <w:noWrap w:val="0"/>
                  <w:vAlign w:val="center"/>
                </w:tcPr>
                <w:p w14:paraId="0E48C041">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416" w:type="pct"/>
                  <w:vMerge w:val="continue"/>
                  <w:tcBorders>
                    <w:tl2br w:val="nil"/>
                    <w:tr2bl w:val="nil"/>
                  </w:tcBorders>
                  <w:noWrap w:val="0"/>
                  <w:vAlign w:val="center"/>
                </w:tcPr>
                <w:p w14:paraId="51381BC6">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c>
                <w:tcPr>
                  <w:tcW w:w="2114" w:type="pct"/>
                  <w:gridSpan w:val="4"/>
                  <w:tcBorders>
                    <w:tl2br w:val="nil"/>
                    <w:tr2bl w:val="nil"/>
                  </w:tcBorders>
                  <w:noWrap w:val="0"/>
                  <w:vAlign w:val="center"/>
                </w:tcPr>
                <w:p w14:paraId="518F81F3">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cs="Times New Roman"/>
                      <w:color w:val="auto"/>
                      <w:kern w:val="0"/>
                      <w:sz w:val="21"/>
                      <w:szCs w:val="21"/>
                      <w:highlight w:val="none"/>
                      <w:lang w:val="en-US" w:eastAsia="zh-CN" w:bidi="ar"/>
                    </w:rPr>
                    <w:t>5</w:t>
                  </w:r>
                  <w:r>
                    <w:rPr>
                      <w:rFonts w:hint="eastAsia" w:ascii="Times New Roman" w:hAnsi="Times New Roman" w:eastAsia="宋体" w:cs="Times New Roman"/>
                      <w:color w:val="auto"/>
                      <w:kern w:val="0"/>
                      <w:sz w:val="21"/>
                      <w:szCs w:val="21"/>
                      <w:highlight w:val="none"/>
                      <w:lang w:val="en-US" w:eastAsia="zh-CN" w:bidi="ar"/>
                    </w:rPr>
                    <w:t>.严格落实节水“三同时”制度。新建、改建、扩建的高耗水工业项目，禁止擅自使用地下水。已建高耗水工业项目使用地下水的，应当采取节水措施，逐步减少地下水开采量。有条件的，应当将地下水水源替换为非常规水源或者地表水水源。食品、制药等符合取用地下水的项目，须经有管理权限的水行政主管部门批准。</w:t>
                  </w:r>
                </w:p>
              </w:tc>
              <w:tc>
                <w:tcPr>
                  <w:tcW w:w="1384" w:type="pct"/>
                  <w:tcBorders>
                    <w:tl2br w:val="nil"/>
                    <w:tr2bl w:val="nil"/>
                  </w:tcBorders>
                  <w:noWrap w:val="0"/>
                  <w:vAlign w:val="center"/>
                </w:tcPr>
                <w:p w14:paraId="2FDF8CD1">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r>
                    <w:rPr>
                      <w:rFonts w:hint="eastAsia" w:cs="Times New Roman"/>
                      <w:b w:val="0"/>
                      <w:bCs w:val="0"/>
                      <w:i w:val="0"/>
                      <w:color w:val="auto"/>
                      <w:kern w:val="0"/>
                      <w:sz w:val="21"/>
                      <w:szCs w:val="21"/>
                      <w:u w:val="none"/>
                      <w:lang w:val="en-US" w:eastAsia="zh-CN" w:bidi="ar"/>
                    </w:rPr>
                    <w:t>5</w:t>
                  </w:r>
                  <w:r>
                    <w:rPr>
                      <w:rFonts w:hint="eastAsia" w:ascii="Times New Roman" w:hAnsi="Times New Roman" w:eastAsia="宋体" w:cs="Times New Roman"/>
                      <w:b w:val="0"/>
                      <w:bCs w:val="0"/>
                      <w:i w:val="0"/>
                      <w:color w:val="auto"/>
                      <w:kern w:val="0"/>
                      <w:sz w:val="21"/>
                      <w:szCs w:val="21"/>
                      <w:u w:val="none"/>
                      <w:lang w:val="en-US" w:eastAsia="zh-CN" w:bidi="ar"/>
                    </w:rPr>
                    <w:t>.本项目</w:t>
                  </w:r>
                  <w:r>
                    <w:rPr>
                      <w:rFonts w:hint="eastAsia" w:ascii="Times New Roman" w:hAnsi="Times New Roman" w:eastAsia="宋体" w:cs="Times New Roman"/>
                      <w:color w:val="auto"/>
                      <w:kern w:val="0"/>
                      <w:sz w:val="21"/>
                      <w:szCs w:val="21"/>
                      <w:highlight w:val="none"/>
                      <w:lang w:val="en-US" w:eastAsia="zh-CN" w:bidi="ar"/>
                    </w:rPr>
                    <w:t>严格落实节水“三同时”制度</w:t>
                  </w:r>
                  <w:r>
                    <w:rPr>
                      <w:rFonts w:hint="eastAsia" w:cs="Times New Roman"/>
                      <w:color w:val="auto"/>
                      <w:kern w:val="0"/>
                      <w:sz w:val="21"/>
                      <w:szCs w:val="21"/>
                      <w:highlight w:val="none"/>
                      <w:lang w:val="en-US" w:eastAsia="zh-CN" w:bidi="ar"/>
                    </w:rPr>
                    <w:t>。</w:t>
                  </w:r>
                </w:p>
              </w:tc>
              <w:tc>
                <w:tcPr>
                  <w:tcW w:w="396" w:type="pct"/>
                  <w:vMerge w:val="continue"/>
                  <w:tcBorders>
                    <w:tl2br w:val="nil"/>
                    <w:tr2bl w:val="nil"/>
                  </w:tcBorders>
                  <w:noWrap w:val="0"/>
                  <w:vAlign w:val="center"/>
                </w:tcPr>
                <w:p w14:paraId="69E88D20">
                  <w:pPr>
                    <w:keepNext w:val="0"/>
                    <w:keepLines w:val="0"/>
                    <w:pageBreakBefore w:val="0"/>
                    <w:widowControl/>
                    <w:suppressLineNumbers w:val="0"/>
                    <w:kinsoku/>
                    <w:wordWrap/>
                    <w:overflowPunct/>
                    <w:topLinePunct w:val="0"/>
                    <w:autoSpaceDE/>
                    <w:autoSpaceDN/>
                    <w:bidi w:val="0"/>
                    <w:adjustRightInd/>
                    <w:snapToGrid/>
                    <w:jc w:val="both"/>
                    <w:textAlignment w:val="auto"/>
                    <w:rPr>
                      <w:color w:val="auto"/>
                    </w:rPr>
                  </w:pPr>
                </w:p>
              </w:tc>
            </w:tr>
          </w:tbl>
          <w:p w14:paraId="6E639501">
            <w:pPr>
              <w:pStyle w:val="68"/>
              <w:ind w:firstLine="480"/>
              <w:rPr>
                <w:rFonts w:cs="Times New Roman"/>
                <w:color w:val="auto"/>
              </w:rPr>
            </w:pPr>
            <w:r>
              <w:rPr>
                <w:rFonts w:cs="Times New Roman"/>
                <w:color w:val="auto"/>
              </w:rPr>
              <w:t>综上所述，本项目的建设符合“三线一单”的要求。</w:t>
            </w:r>
          </w:p>
          <w:p w14:paraId="69A38FE1">
            <w:pPr>
              <w:pStyle w:val="68"/>
              <w:ind w:firstLine="482"/>
              <w:rPr>
                <w:rFonts w:cs="Times New Roman"/>
                <w:b/>
                <w:bCs/>
                <w:color w:val="auto"/>
                <w:szCs w:val="22"/>
              </w:rPr>
            </w:pPr>
            <w:r>
              <w:rPr>
                <w:rFonts w:hint="eastAsia" w:cs="Times New Roman"/>
                <w:b/>
                <w:bCs/>
                <w:color w:val="auto"/>
                <w:szCs w:val="22"/>
              </w:rPr>
              <w:t>2</w:t>
            </w:r>
            <w:r>
              <w:rPr>
                <w:rFonts w:cs="Times New Roman"/>
                <w:b/>
                <w:bCs/>
                <w:color w:val="auto"/>
                <w:szCs w:val="22"/>
              </w:rPr>
              <w:t>、产业政策符合性</w:t>
            </w:r>
          </w:p>
          <w:p w14:paraId="48224F4B">
            <w:pPr>
              <w:pStyle w:val="68"/>
              <w:ind w:firstLine="480"/>
              <w:rPr>
                <w:rFonts w:cs="Times New Roman"/>
                <w:bCs/>
                <w:color w:val="auto"/>
              </w:rPr>
            </w:pPr>
            <w:r>
              <w:rPr>
                <w:rFonts w:cs="Times New Roman"/>
                <w:bCs/>
                <w:color w:val="auto"/>
              </w:rPr>
              <w:t>根据</w:t>
            </w:r>
            <w:r>
              <w:rPr>
                <w:rFonts w:hint="eastAsia" w:cs="Times New Roman"/>
                <w:bCs/>
                <w:color w:val="auto"/>
                <w:lang w:eastAsia="zh-CN"/>
              </w:rPr>
              <w:t>国家发展改革委</w:t>
            </w:r>
            <w:r>
              <w:rPr>
                <w:rFonts w:cs="Times New Roman"/>
                <w:bCs/>
                <w:color w:val="auto"/>
              </w:rPr>
              <w:t>发布的</w:t>
            </w:r>
            <w:bookmarkStart w:id="3" w:name="OLE_LINK5"/>
            <w:r>
              <w:rPr>
                <w:rFonts w:cs="Times New Roman"/>
                <w:bCs/>
                <w:color w:val="auto"/>
              </w:rPr>
              <w:t>《产业结构调整指导目录（20</w:t>
            </w:r>
            <w:r>
              <w:rPr>
                <w:rFonts w:hint="eastAsia" w:cs="Times New Roman"/>
                <w:bCs/>
                <w:color w:val="auto"/>
              </w:rPr>
              <w:t>24</w:t>
            </w:r>
            <w:r>
              <w:rPr>
                <w:rFonts w:cs="Times New Roman"/>
                <w:bCs/>
                <w:color w:val="auto"/>
              </w:rPr>
              <w:t>年本）》</w:t>
            </w:r>
            <w:bookmarkEnd w:id="3"/>
            <w:r>
              <w:rPr>
                <w:rFonts w:cs="Times New Roman"/>
                <w:bCs/>
                <w:color w:val="auto"/>
              </w:rPr>
              <w:t>，</w:t>
            </w:r>
            <w:r>
              <w:rPr>
                <w:rFonts w:hint="eastAsia" w:cs="Times New Roman"/>
                <w:bCs/>
                <w:color w:val="auto"/>
              </w:rPr>
              <w:t>鼓励类、限制类和淘汰类之外的，且符合国家有关法律、法规和政策规定的属于允许类。</w:t>
            </w:r>
            <w:r>
              <w:rPr>
                <w:rFonts w:cs="Times New Roman"/>
                <w:bCs/>
                <w:color w:val="auto"/>
              </w:rPr>
              <w:t>本项目</w:t>
            </w:r>
            <w:r>
              <w:rPr>
                <w:rFonts w:hint="eastAsia" w:cs="Times New Roman"/>
                <w:bCs/>
                <w:color w:val="auto"/>
              </w:rPr>
              <w:t>不属于鼓励类、限制类和淘汰类</w:t>
            </w:r>
            <w:r>
              <w:rPr>
                <w:rFonts w:cs="Times New Roman"/>
                <w:bCs/>
                <w:color w:val="auto"/>
              </w:rPr>
              <w:t>，</w:t>
            </w:r>
            <w:r>
              <w:rPr>
                <w:rFonts w:cs="Times New Roman"/>
                <w:color w:val="auto"/>
              </w:rPr>
              <w:t>属于允许类项目。</w:t>
            </w:r>
          </w:p>
          <w:p w14:paraId="0A35EB8F">
            <w:pPr>
              <w:numPr>
                <w:ilvl w:val="0"/>
                <w:numId w:val="2"/>
              </w:numPr>
              <w:spacing w:line="360" w:lineRule="auto"/>
              <w:ind w:firstLine="482" w:firstLineChars="200"/>
              <w:rPr>
                <w:b/>
                <w:bCs/>
                <w:color w:val="auto"/>
                <w:sz w:val="24"/>
              </w:rPr>
            </w:pPr>
            <w:r>
              <w:rPr>
                <w:b/>
                <w:bCs/>
                <w:color w:val="auto"/>
                <w:sz w:val="24"/>
              </w:rPr>
              <w:t>与</w:t>
            </w:r>
            <w:r>
              <w:rPr>
                <w:rFonts w:hint="eastAsia"/>
                <w:b/>
                <w:bCs/>
                <w:color w:val="auto"/>
                <w:sz w:val="24"/>
                <w:lang w:val="en-US" w:eastAsia="zh-CN"/>
              </w:rPr>
              <w:t>相关法律、法规</w:t>
            </w:r>
            <w:r>
              <w:rPr>
                <w:b/>
                <w:bCs/>
                <w:color w:val="auto"/>
                <w:sz w:val="24"/>
              </w:rPr>
              <w:t>符合性</w:t>
            </w:r>
            <w:r>
              <w:rPr>
                <w:rFonts w:hint="eastAsia"/>
                <w:b/>
                <w:bCs/>
                <w:color w:val="auto"/>
                <w:sz w:val="24"/>
                <w:lang w:val="en-US" w:eastAsia="zh-CN"/>
              </w:rPr>
              <w:t>分析</w:t>
            </w:r>
          </w:p>
          <w:p w14:paraId="77E5385B">
            <w:pPr>
              <w:pStyle w:val="167"/>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center"/>
              <w:textAlignment w:val="auto"/>
              <w:rPr>
                <w:rFonts w:hint="default" w:eastAsia="宋体"/>
                <w:color w:val="auto"/>
                <w:lang w:val="en-US" w:eastAsia="zh-CN"/>
              </w:rPr>
            </w:pPr>
            <w:r>
              <w:rPr>
                <w:rFonts w:hint="eastAsia"/>
                <w:b/>
                <w:bCs/>
                <w:color w:val="auto"/>
                <w:sz w:val="21"/>
                <w:szCs w:val="21"/>
                <w:lang w:val="en-US" w:eastAsia="zh-CN"/>
              </w:rPr>
              <w:t>表1-4  项目与肉制品加工相关文件</w:t>
            </w:r>
          </w:p>
          <w:tbl>
            <w:tblPr>
              <w:tblStyle w:val="3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0"/>
              <w:gridCol w:w="2324"/>
              <w:gridCol w:w="3088"/>
              <w:gridCol w:w="817"/>
            </w:tblGrid>
            <w:tr w14:paraId="77AD2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249" w:type="pct"/>
                  <w:gridSpan w:val="2"/>
                  <w:vAlign w:val="center"/>
                </w:tcPr>
                <w:p w14:paraId="51996CD6">
                  <w:pPr>
                    <w:pStyle w:val="167"/>
                    <w:spacing w:line="240" w:lineRule="auto"/>
                    <w:ind w:left="0" w:leftChars="0" w:firstLine="0" w:firstLineChars="0"/>
                    <w:jc w:val="center"/>
                    <w:rPr>
                      <w:rFonts w:hint="default" w:eastAsia="宋体"/>
                      <w:color w:val="auto"/>
                      <w:sz w:val="21"/>
                      <w:szCs w:val="21"/>
                      <w:vertAlign w:val="baseline"/>
                      <w:lang w:val="en-US" w:eastAsia="zh-CN"/>
                    </w:rPr>
                  </w:pPr>
                  <w:r>
                    <w:rPr>
                      <w:rFonts w:hint="eastAsia"/>
                      <w:color w:val="auto"/>
                      <w:sz w:val="21"/>
                      <w:szCs w:val="21"/>
                      <w:vertAlign w:val="baseline"/>
                      <w:lang w:val="en-US" w:eastAsia="zh-CN"/>
                    </w:rPr>
                    <w:t>相关文件</w:t>
                  </w:r>
                </w:p>
              </w:tc>
              <w:tc>
                <w:tcPr>
                  <w:tcW w:w="2174" w:type="pct"/>
                  <w:vAlign w:val="center"/>
                </w:tcPr>
                <w:p w14:paraId="236060C3">
                  <w:pPr>
                    <w:pStyle w:val="167"/>
                    <w:spacing w:line="240" w:lineRule="auto"/>
                    <w:ind w:left="0" w:leftChars="0" w:firstLine="0" w:firstLineChars="0"/>
                    <w:jc w:val="center"/>
                    <w:rPr>
                      <w:rFonts w:hint="eastAsia" w:eastAsia="宋体"/>
                      <w:color w:val="auto"/>
                      <w:sz w:val="21"/>
                      <w:szCs w:val="21"/>
                      <w:vertAlign w:val="baseline"/>
                      <w:lang w:val="en-US" w:eastAsia="zh-CN"/>
                    </w:rPr>
                  </w:pPr>
                  <w:r>
                    <w:rPr>
                      <w:rFonts w:hint="eastAsia"/>
                      <w:color w:val="auto"/>
                      <w:sz w:val="21"/>
                      <w:szCs w:val="21"/>
                      <w:vertAlign w:val="baseline"/>
                      <w:lang w:val="en-US" w:eastAsia="zh-CN"/>
                    </w:rPr>
                    <w:t>本项目</w:t>
                  </w:r>
                </w:p>
              </w:tc>
              <w:tc>
                <w:tcPr>
                  <w:tcW w:w="575" w:type="pct"/>
                  <w:vAlign w:val="center"/>
                </w:tcPr>
                <w:p w14:paraId="728F1916">
                  <w:pPr>
                    <w:pStyle w:val="167"/>
                    <w:spacing w:line="240" w:lineRule="auto"/>
                    <w:ind w:left="0" w:leftChars="0" w:firstLine="0" w:firstLineChars="0"/>
                    <w:jc w:val="center"/>
                    <w:rPr>
                      <w:rFonts w:hint="default"/>
                      <w:color w:val="auto"/>
                      <w:sz w:val="21"/>
                      <w:szCs w:val="21"/>
                      <w:vertAlign w:val="baseline"/>
                      <w:lang w:val="en-US" w:eastAsia="zh-CN"/>
                    </w:rPr>
                  </w:pPr>
                  <w:r>
                    <w:rPr>
                      <w:rFonts w:hint="default" w:ascii="Times New Roman" w:hAnsi="Times New Roman" w:eastAsia="宋体" w:cs="Times New Roman"/>
                      <w:b w:val="0"/>
                      <w:bCs w:val="0"/>
                      <w:i w:val="0"/>
                      <w:color w:val="auto"/>
                      <w:kern w:val="0"/>
                      <w:sz w:val="21"/>
                      <w:szCs w:val="21"/>
                      <w:highlight w:val="none"/>
                      <w:u w:val="none"/>
                      <w:lang w:val="en-US" w:eastAsia="zh-CN" w:bidi="ar"/>
                    </w:rPr>
                    <w:t>符合性</w:t>
                  </w:r>
                </w:p>
              </w:tc>
            </w:tr>
            <w:tr w14:paraId="52A36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000" w:type="pct"/>
                  <w:gridSpan w:val="4"/>
                  <w:vAlign w:val="center"/>
                </w:tcPr>
                <w:p w14:paraId="3919CECF">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lang w:val="en-US" w:eastAsia="zh-CN"/>
                    </w:rPr>
                  </w:pPr>
                  <w:r>
                    <w:rPr>
                      <w:rFonts w:hint="eastAsia"/>
                      <w:color w:val="auto"/>
                      <w:sz w:val="21"/>
                      <w:szCs w:val="21"/>
                      <w:vertAlign w:val="baseline"/>
                      <w:lang w:val="en-US" w:eastAsia="zh-CN"/>
                    </w:rPr>
                    <w:t>《屠宰与肉类加工废水治理工程技术规范》（HJ 2004-2010）</w:t>
                  </w:r>
                </w:p>
              </w:tc>
            </w:tr>
            <w:tr w14:paraId="070AA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249" w:type="pct"/>
                  <w:gridSpan w:val="2"/>
                  <w:vAlign w:val="center"/>
                </w:tcPr>
                <w:p w14:paraId="562DCE3F">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屠宰与肉类加工废水治理工程的建设应符合当地有关规划，合理确定近期与远期、处理与利用的关系。</w:t>
                  </w:r>
                </w:p>
              </w:tc>
              <w:tc>
                <w:tcPr>
                  <w:tcW w:w="2174" w:type="pct"/>
                  <w:vAlign w:val="center"/>
                </w:tcPr>
                <w:p w14:paraId="19BF0E95">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项目产生的生产废水经自建污水处理站处理后达到《肉类加工工业水污染物排放标准》（GB13457-92）表3肉制品加工三级标准后，排入市政污水管网；生活污水经化粪池预处理后，排入市政污水管网，生活污水执行《污水综合排放标准》（GB8978-1996）三级标准。</w:t>
                  </w:r>
                </w:p>
              </w:tc>
              <w:tc>
                <w:tcPr>
                  <w:tcW w:w="575" w:type="pct"/>
                  <w:vAlign w:val="center"/>
                </w:tcPr>
                <w:p w14:paraId="7BA8D45D">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eastAsia="宋体"/>
                      <w:color w:val="auto"/>
                      <w:sz w:val="21"/>
                      <w:szCs w:val="21"/>
                      <w:vertAlign w:val="baseline"/>
                      <w:lang w:val="en-US" w:eastAsia="zh-CN"/>
                    </w:rPr>
                  </w:pPr>
                  <w:r>
                    <w:rPr>
                      <w:rFonts w:hint="eastAsia"/>
                      <w:color w:val="auto"/>
                      <w:sz w:val="21"/>
                      <w:szCs w:val="21"/>
                      <w:vertAlign w:val="baseline"/>
                      <w:lang w:val="en-US" w:eastAsia="zh-CN"/>
                    </w:rPr>
                    <w:t>符合</w:t>
                  </w:r>
                </w:p>
              </w:tc>
            </w:tr>
            <w:tr w14:paraId="6DD7B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249" w:type="pct"/>
                  <w:gridSpan w:val="2"/>
                  <w:vAlign w:val="center"/>
                </w:tcPr>
                <w:p w14:paraId="11914C0C">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lang w:val="en-US" w:eastAsia="zh-CN"/>
                    </w:rPr>
                  </w:pPr>
                  <w:r>
                    <w:rPr>
                      <w:rFonts w:hint="eastAsia"/>
                      <w:color w:val="auto"/>
                      <w:sz w:val="21"/>
                      <w:szCs w:val="21"/>
                      <w:vertAlign w:val="baseline"/>
                      <w:lang w:val="en-US" w:eastAsia="zh-CN"/>
                    </w:rPr>
                    <w:t>屠宰与肉类加工行业应积极采用节能减排及清洁生产技术，不断改进生产工艺，降低污染物产生量和排放量，防止环境污染。</w:t>
                  </w:r>
                </w:p>
              </w:tc>
              <w:tc>
                <w:tcPr>
                  <w:tcW w:w="2174" w:type="pct"/>
                  <w:vAlign w:val="center"/>
                </w:tcPr>
                <w:p w14:paraId="2731667C">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项目采用先进的技术、生产工艺及清洁生产技术。</w:t>
                  </w:r>
                </w:p>
              </w:tc>
              <w:tc>
                <w:tcPr>
                  <w:tcW w:w="575" w:type="pct"/>
                  <w:vAlign w:val="center"/>
                </w:tcPr>
                <w:p w14:paraId="783DC79C">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符合</w:t>
                  </w:r>
                </w:p>
              </w:tc>
            </w:tr>
            <w:tr w14:paraId="23E31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249" w:type="pct"/>
                  <w:gridSpan w:val="2"/>
                  <w:vAlign w:val="center"/>
                </w:tcPr>
                <w:p w14:paraId="329641C0">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lang w:val="en-US" w:eastAsia="zh-CN"/>
                    </w:rPr>
                  </w:pPr>
                  <w:r>
                    <w:rPr>
                      <w:rFonts w:hint="eastAsia"/>
                      <w:color w:val="auto"/>
                      <w:sz w:val="21"/>
                      <w:szCs w:val="21"/>
                      <w:vertAlign w:val="baseline"/>
                      <w:lang w:val="en-US" w:eastAsia="zh-CN"/>
                    </w:rPr>
                    <w:t>应根据屠宰场和肉类加工厂的类型、建设规模、当地自然地理环境条件、排水去向及排放标准等因素确定废水处理工艺路线及处理目标，力求经济合理、技术先进可靠、运行稳定。</w:t>
                  </w:r>
                </w:p>
              </w:tc>
              <w:tc>
                <w:tcPr>
                  <w:tcW w:w="2174" w:type="pct"/>
                  <w:vAlign w:val="center"/>
                </w:tcPr>
                <w:p w14:paraId="7DE924C8">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default"/>
                      <w:color w:val="auto"/>
                      <w:sz w:val="21"/>
                      <w:szCs w:val="21"/>
                      <w:vertAlign w:val="baseline"/>
                      <w:lang w:val="en-US" w:eastAsia="zh-CN"/>
                    </w:rPr>
                  </w:pPr>
                  <w:r>
                    <w:rPr>
                      <w:rFonts w:hint="eastAsia"/>
                      <w:color w:val="auto"/>
                      <w:sz w:val="21"/>
                      <w:szCs w:val="21"/>
                      <w:vertAlign w:val="baseline"/>
                      <w:lang w:val="en-US" w:eastAsia="zh-CN"/>
                    </w:rPr>
                    <w:t>项目生产废水采用一体化污水处理设施（工艺为格栅→收集池→气浮机→厌氧池→缺氧池→好氧池→二沉池→消毒池处理）后，排入市政污水管网。</w:t>
                  </w:r>
                </w:p>
              </w:tc>
              <w:tc>
                <w:tcPr>
                  <w:tcW w:w="575" w:type="pct"/>
                  <w:vAlign w:val="center"/>
                </w:tcPr>
                <w:p w14:paraId="7AD13AFA">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lang w:val="en-US" w:eastAsia="zh-CN"/>
                    </w:rPr>
                  </w:pPr>
                  <w:r>
                    <w:rPr>
                      <w:rFonts w:hint="eastAsia"/>
                      <w:color w:val="auto"/>
                      <w:sz w:val="21"/>
                      <w:szCs w:val="21"/>
                      <w:vertAlign w:val="baseline"/>
                      <w:lang w:val="en-US" w:eastAsia="zh-CN"/>
                    </w:rPr>
                    <w:t>符合</w:t>
                  </w:r>
                </w:p>
              </w:tc>
            </w:tr>
            <w:tr w14:paraId="5BB47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249" w:type="pct"/>
                  <w:gridSpan w:val="2"/>
                  <w:vAlign w:val="center"/>
                </w:tcPr>
                <w:p w14:paraId="15005976">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屠宰与肉类加工废水处理工艺应包含消毒及除臭单元。</w:t>
                  </w:r>
                </w:p>
              </w:tc>
              <w:tc>
                <w:tcPr>
                  <w:tcW w:w="2174" w:type="pct"/>
                  <w:vAlign w:val="center"/>
                </w:tcPr>
                <w:p w14:paraId="0E608E97">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本项目废水处理包括消毒处理，污水处理站安装除臭装置。</w:t>
                  </w:r>
                </w:p>
              </w:tc>
              <w:tc>
                <w:tcPr>
                  <w:tcW w:w="575" w:type="pct"/>
                  <w:vAlign w:val="center"/>
                </w:tcPr>
                <w:p w14:paraId="61872C6F">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rPr>
                  </w:pPr>
                  <w:r>
                    <w:rPr>
                      <w:rFonts w:hint="eastAsia"/>
                      <w:color w:val="auto"/>
                      <w:sz w:val="21"/>
                      <w:szCs w:val="21"/>
                      <w:vertAlign w:val="baseline"/>
                      <w:lang w:val="en-US" w:eastAsia="zh-CN"/>
                    </w:rPr>
                    <w:t>符合</w:t>
                  </w:r>
                </w:p>
              </w:tc>
            </w:tr>
            <w:tr w14:paraId="7C258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249" w:type="pct"/>
                  <w:gridSpan w:val="2"/>
                  <w:vAlign w:val="center"/>
                </w:tcPr>
                <w:p w14:paraId="6DBF8AF0">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建议有条件的地方可进行屠宰与肉类加工废水深度处理，实现废水资源化利用。</w:t>
                  </w:r>
                </w:p>
              </w:tc>
              <w:tc>
                <w:tcPr>
                  <w:tcW w:w="2174" w:type="pct"/>
                  <w:vAlign w:val="center"/>
                </w:tcPr>
                <w:p w14:paraId="2AB59018">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both"/>
                    <w:textAlignment w:val="auto"/>
                    <w:rPr>
                      <w:rFonts w:hint="eastAsia"/>
                      <w:color w:val="auto"/>
                      <w:sz w:val="21"/>
                      <w:szCs w:val="21"/>
                      <w:vertAlign w:val="baseline"/>
                    </w:rPr>
                  </w:pPr>
                  <w:r>
                    <w:rPr>
                      <w:rFonts w:hint="eastAsia"/>
                      <w:color w:val="auto"/>
                      <w:sz w:val="21"/>
                      <w:szCs w:val="21"/>
                      <w:vertAlign w:val="baseline"/>
                      <w:lang w:val="en-US" w:eastAsia="zh-CN"/>
                    </w:rPr>
                    <w:t>项目产生的生产废水经自建污水处理站处理后达到《肉类加工工业水污染物排放标准》（GB13457-92）表3肉制品加工三级标准后，排入市政污水管网；生活污水经化粪池预处理后，排入市政污水管网，生活污水执行《污水综合排放标准》（GB8978-1996）三级标准。</w:t>
                  </w:r>
                </w:p>
              </w:tc>
              <w:tc>
                <w:tcPr>
                  <w:tcW w:w="575" w:type="pct"/>
                  <w:vAlign w:val="center"/>
                </w:tcPr>
                <w:p w14:paraId="7E8BBF10">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rPr>
                  </w:pPr>
                  <w:r>
                    <w:rPr>
                      <w:rFonts w:hint="eastAsia"/>
                      <w:color w:val="auto"/>
                      <w:sz w:val="21"/>
                      <w:szCs w:val="21"/>
                      <w:vertAlign w:val="baseline"/>
                      <w:lang w:val="en-US" w:eastAsia="zh-CN"/>
                    </w:rPr>
                    <w:t>符合</w:t>
                  </w:r>
                </w:p>
              </w:tc>
            </w:tr>
            <w:tr w14:paraId="49544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000" w:type="pct"/>
                  <w:gridSpan w:val="4"/>
                  <w:vAlign w:val="center"/>
                </w:tcPr>
                <w:p w14:paraId="65B74B69">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rPr>
                  </w:pPr>
                  <w:r>
                    <w:rPr>
                      <w:rFonts w:hint="eastAsia"/>
                      <w:color w:val="auto"/>
                      <w:sz w:val="21"/>
                      <w:szCs w:val="21"/>
                      <w:vertAlign w:val="baseline"/>
                      <w:lang w:val="en-US" w:eastAsia="zh-CN"/>
                    </w:rPr>
                    <w:t>《屠宰及肉类加工业污染防治可行技术指南》（HJ 1285-2023）</w:t>
                  </w:r>
                </w:p>
              </w:tc>
            </w:tr>
            <w:tr w14:paraId="12955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612" w:type="pct"/>
                  <w:vAlign w:val="center"/>
                </w:tcPr>
                <w:p w14:paraId="1701D745">
                  <w:pPr>
                    <w:keepNext w:val="0"/>
                    <w:keepLines w:val="0"/>
                    <w:widowControl/>
                    <w:suppressLineNumbers w:val="0"/>
                    <w:jc w:val="left"/>
                    <w:rPr>
                      <w:rFonts w:hint="eastAsia"/>
                      <w:color w:val="auto"/>
                      <w:sz w:val="21"/>
                      <w:szCs w:val="21"/>
                      <w:vertAlign w:val="baseline"/>
                    </w:rPr>
                  </w:pPr>
                  <w:r>
                    <w:rPr>
                      <w:rFonts w:hint="eastAsia" w:ascii="宋体" w:hAnsi="宋体" w:eastAsia="宋体" w:cs="宋体"/>
                      <w:color w:val="auto"/>
                      <w:kern w:val="0"/>
                      <w:sz w:val="21"/>
                      <w:szCs w:val="21"/>
                      <w:lang w:val="en-US" w:eastAsia="zh-CN" w:bidi="ar"/>
                    </w:rPr>
                    <w:t>废水污染治理</w:t>
                  </w:r>
                </w:p>
              </w:tc>
              <w:tc>
                <w:tcPr>
                  <w:tcW w:w="1636" w:type="pct"/>
                  <w:vAlign w:val="center"/>
                </w:tcPr>
                <w:p w14:paraId="6C963E39">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预处理技术：该技术主要去除水中漂浮物、悬浮物、畜禽毛羽、动植物油等，工艺单元包括：格栅、隔油池、调节池、气浮池和沉淀池等。</w:t>
                  </w:r>
                </w:p>
              </w:tc>
              <w:tc>
                <w:tcPr>
                  <w:tcW w:w="2174" w:type="pct"/>
                  <w:vAlign w:val="center"/>
                </w:tcPr>
                <w:p w14:paraId="3BB04BAC">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本项目预处理采用格栅、厌氧池、气浮池等。</w:t>
                  </w:r>
                </w:p>
              </w:tc>
              <w:tc>
                <w:tcPr>
                  <w:tcW w:w="575" w:type="pct"/>
                  <w:vAlign w:val="center"/>
                </w:tcPr>
                <w:p w14:paraId="11A11285">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rPr>
                  </w:pPr>
                  <w:r>
                    <w:rPr>
                      <w:rFonts w:hint="eastAsia"/>
                      <w:color w:val="auto"/>
                      <w:sz w:val="21"/>
                      <w:szCs w:val="21"/>
                      <w:vertAlign w:val="baseline"/>
                      <w:lang w:val="en-US" w:eastAsia="zh-CN"/>
                    </w:rPr>
                    <w:t>符合</w:t>
                  </w:r>
                </w:p>
              </w:tc>
            </w:tr>
            <w:tr w14:paraId="1E9AF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612" w:type="pct"/>
                  <w:vMerge w:val="restart"/>
                  <w:vAlign w:val="center"/>
                </w:tcPr>
                <w:p w14:paraId="4DA598E1">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eastAsia="宋体"/>
                      <w:color w:val="auto"/>
                      <w:sz w:val="21"/>
                      <w:szCs w:val="21"/>
                      <w:vertAlign w:val="baseline"/>
                      <w:lang w:val="en-US" w:eastAsia="zh-CN"/>
                    </w:rPr>
                  </w:pPr>
                  <w:r>
                    <w:rPr>
                      <w:rFonts w:hint="eastAsia"/>
                      <w:color w:val="auto"/>
                      <w:sz w:val="21"/>
                      <w:szCs w:val="21"/>
                      <w:vertAlign w:val="baseline"/>
                      <w:lang w:val="en-US" w:eastAsia="zh-CN"/>
                    </w:rPr>
                    <w:t>技术</w:t>
                  </w:r>
                </w:p>
              </w:tc>
              <w:tc>
                <w:tcPr>
                  <w:tcW w:w="1636" w:type="pct"/>
                  <w:vAlign w:val="center"/>
                </w:tcPr>
                <w:p w14:paraId="2DCD2AB5">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厌氧生化处理技术：①水解酸化处理技术；②升流式厌氧污泥床（UASB）；③厌氧膨胀颗粒污泥床（EGSB）。</w:t>
                  </w:r>
                </w:p>
              </w:tc>
              <w:tc>
                <w:tcPr>
                  <w:tcW w:w="2174" w:type="pct"/>
                  <w:vAlign w:val="center"/>
                </w:tcPr>
                <w:p w14:paraId="4D028A2F">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default"/>
                      <w:color w:val="auto"/>
                      <w:sz w:val="21"/>
                      <w:szCs w:val="21"/>
                      <w:vertAlign w:val="baseline"/>
                      <w:lang w:val="en-US"/>
                    </w:rPr>
                  </w:pPr>
                  <w:r>
                    <w:rPr>
                      <w:rFonts w:hint="eastAsia"/>
                      <w:color w:val="auto"/>
                      <w:sz w:val="21"/>
                      <w:szCs w:val="21"/>
                      <w:vertAlign w:val="baseline"/>
                      <w:lang w:val="en-US" w:eastAsia="zh-CN"/>
                    </w:rPr>
                    <w:t>本项目厌氧池采取水解酸化处理技术。</w:t>
                  </w:r>
                </w:p>
              </w:tc>
              <w:tc>
                <w:tcPr>
                  <w:tcW w:w="575" w:type="pct"/>
                  <w:vAlign w:val="center"/>
                </w:tcPr>
                <w:p w14:paraId="773F3115">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rPr>
                  </w:pPr>
                  <w:r>
                    <w:rPr>
                      <w:rFonts w:hint="eastAsia"/>
                      <w:color w:val="auto"/>
                      <w:sz w:val="21"/>
                      <w:szCs w:val="21"/>
                      <w:vertAlign w:val="baseline"/>
                      <w:lang w:val="en-US" w:eastAsia="zh-CN"/>
                    </w:rPr>
                    <w:t>符合</w:t>
                  </w:r>
                </w:p>
              </w:tc>
            </w:tr>
            <w:tr w14:paraId="0C007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612" w:type="pct"/>
                  <w:vMerge w:val="continue"/>
                  <w:vAlign w:val="center"/>
                </w:tcPr>
                <w:p w14:paraId="26B9148E">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p>
              </w:tc>
              <w:tc>
                <w:tcPr>
                  <w:tcW w:w="1636" w:type="pct"/>
                  <w:vAlign w:val="center"/>
                </w:tcPr>
                <w:p w14:paraId="1D32C7F8">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好氧生化处理技术：①常规活性污泥法；②序批式活性污泥法；③生</w:t>
                  </w:r>
                </w:p>
                <w:p w14:paraId="2A4843BF">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物接触氧化法；④曝气生物滤池法。</w:t>
                  </w:r>
                </w:p>
              </w:tc>
              <w:tc>
                <w:tcPr>
                  <w:tcW w:w="2174" w:type="pct"/>
                  <w:vAlign w:val="center"/>
                </w:tcPr>
                <w:p w14:paraId="30DAAF88">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本项目好氧生化处理技术采取曝气生物滤池法。</w:t>
                  </w:r>
                </w:p>
              </w:tc>
              <w:tc>
                <w:tcPr>
                  <w:tcW w:w="575" w:type="pct"/>
                  <w:vAlign w:val="center"/>
                </w:tcPr>
                <w:p w14:paraId="3FE53420">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rPr>
                  </w:pPr>
                  <w:r>
                    <w:rPr>
                      <w:rFonts w:hint="eastAsia"/>
                      <w:color w:val="auto"/>
                      <w:sz w:val="21"/>
                      <w:szCs w:val="21"/>
                      <w:vertAlign w:val="baseline"/>
                      <w:lang w:val="en-US" w:eastAsia="zh-CN"/>
                    </w:rPr>
                    <w:t>符合</w:t>
                  </w:r>
                </w:p>
              </w:tc>
            </w:tr>
            <w:tr w14:paraId="2C252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612" w:type="pct"/>
                  <w:vMerge w:val="continue"/>
                  <w:vAlign w:val="center"/>
                </w:tcPr>
                <w:p w14:paraId="46754D4E">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p>
              </w:tc>
              <w:tc>
                <w:tcPr>
                  <w:tcW w:w="1636" w:type="pct"/>
                  <w:vAlign w:val="center"/>
                </w:tcPr>
                <w:p w14:paraId="6E4B8C96">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深度处理技术：①化学除磷技术；②消毒技术；③混凝技术；④过滤技术。</w:t>
                  </w:r>
                </w:p>
              </w:tc>
              <w:tc>
                <w:tcPr>
                  <w:tcW w:w="2174" w:type="pct"/>
                  <w:vAlign w:val="center"/>
                </w:tcPr>
                <w:p w14:paraId="6B082188">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本项目深度处理技术采取消毒技术。</w:t>
                  </w:r>
                </w:p>
              </w:tc>
              <w:tc>
                <w:tcPr>
                  <w:tcW w:w="575" w:type="pct"/>
                  <w:vAlign w:val="center"/>
                </w:tcPr>
                <w:p w14:paraId="2FF2C8A1">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rPr>
                  </w:pPr>
                  <w:r>
                    <w:rPr>
                      <w:rFonts w:hint="eastAsia"/>
                      <w:color w:val="auto"/>
                      <w:sz w:val="21"/>
                      <w:szCs w:val="21"/>
                      <w:vertAlign w:val="baseline"/>
                      <w:lang w:val="en-US" w:eastAsia="zh-CN"/>
                    </w:rPr>
                    <w:t>符合</w:t>
                  </w:r>
                </w:p>
              </w:tc>
            </w:tr>
            <w:tr w14:paraId="7D725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612" w:type="pct"/>
                  <w:vAlign w:val="center"/>
                </w:tcPr>
                <w:p w14:paraId="485D81F1">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 xml:space="preserve">废气污染治理 </w:t>
                  </w:r>
                </w:p>
                <w:p w14:paraId="4920CF14">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技术</w:t>
                  </w:r>
                </w:p>
              </w:tc>
              <w:tc>
                <w:tcPr>
                  <w:tcW w:w="1636" w:type="pct"/>
                  <w:vAlign w:val="center"/>
                </w:tcPr>
                <w:p w14:paraId="57504E20">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恶臭治理技术：①化学除臭技术；②生物除臭技术；③物理除臭技术；④复合除臭技术。</w:t>
                  </w:r>
                </w:p>
              </w:tc>
              <w:tc>
                <w:tcPr>
                  <w:tcW w:w="2174" w:type="pct"/>
                  <w:vAlign w:val="center"/>
                </w:tcPr>
                <w:p w14:paraId="64BCF5E7">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本项目恶臭治理技术采用物理除臭技术。</w:t>
                  </w:r>
                </w:p>
              </w:tc>
              <w:tc>
                <w:tcPr>
                  <w:tcW w:w="575" w:type="pct"/>
                  <w:vAlign w:val="center"/>
                </w:tcPr>
                <w:p w14:paraId="53FE237E">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rPr>
                  </w:pPr>
                  <w:r>
                    <w:rPr>
                      <w:rFonts w:hint="eastAsia"/>
                      <w:color w:val="auto"/>
                      <w:sz w:val="21"/>
                      <w:szCs w:val="21"/>
                      <w:vertAlign w:val="baseline"/>
                      <w:lang w:val="en-US" w:eastAsia="zh-CN"/>
                    </w:rPr>
                    <w:t>符合</w:t>
                  </w:r>
                </w:p>
              </w:tc>
            </w:tr>
            <w:tr w14:paraId="497A2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612" w:type="pct"/>
                  <w:vMerge w:val="restart"/>
                  <w:vAlign w:val="center"/>
                </w:tcPr>
                <w:p w14:paraId="754C7099">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固体废物污染</w:t>
                  </w:r>
                </w:p>
              </w:tc>
              <w:tc>
                <w:tcPr>
                  <w:tcW w:w="1636" w:type="pct"/>
                  <w:vAlign w:val="center"/>
                </w:tcPr>
                <w:p w14:paraId="6E4AA16D">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处置：①固体废物应根据其废物属性，按照GB18597或GB18599的要求贮存。②一般工业固体废物宜优先资源化利用，不能资源化利</w:t>
                  </w:r>
                </w:p>
                <w:p w14:paraId="7990989E">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用时应按照GB18599规定处置。③危险废物应委托有资质的单位进行利用处置。产生、收集、贮存、运输、利用、处置过程应满足危险废物相关法律法规、标准规范的规定，并通过全国固体废物管理信息系统报送相关信息。危险废物转移过程应执行《危险废物转移管理办法》。</w:t>
                  </w:r>
                </w:p>
              </w:tc>
              <w:tc>
                <w:tcPr>
                  <w:tcW w:w="2174" w:type="pct"/>
                  <w:vAlign w:val="center"/>
                </w:tcPr>
                <w:p w14:paraId="64904B0D">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本项目固体废物按照《一般工业固体废物贮存和填埋污染控制标准》（GB 18599-2020）的要求贮存；对产生的一般固体废物污泥、肉渣（废肉料、煮制过程产生的卤渣和浮沫格栅垃圾）送至有机肥生产企业堆肥场堆肥或镶黄旗生活垃圾焚烧场进行合理化处理，不合格原料和废油脂委托专门收集厨余垃圾的部门清运，废渗透膜由厂家回收处置，不在场内储存，废活性炭由厂家回收处置，不在厂内储存。</w:t>
                  </w:r>
                </w:p>
              </w:tc>
              <w:tc>
                <w:tcPr>
                  <w:tcW w:w="575" w:type="pct"/>
                  <w:vAlign w:val="center"/>
                </w:tcPr>
                <w:p w14:paraId="14C50ED0">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rPr>
                  </w:pPr>
                  <w:r>
                    <w:rPr>
                      <w:rFonts w:hint="eastAsia"/>
                      <w:color w:val="auto"/>
                      <w:sz w:val="21"/>
                      <w:szCs w:val="21"/>
                      <w:vertAlign w:val="baseline"/>
                      <w:lang w:val="en-US" w:eastAsia="zh-CN"/>
                    </w:rPr>
                    <w:t>符合</w:t>
                  </w:r>
                </w:p>
              </w:tc>
            </w:tr>
            <w:tr w14:paraId="15978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612" w:type="pct"/>
                  <w:vMerge w:val="continue"/>
                  <w:vAlign w:val="center"/>
                </w:tcPr>
                <w:p w14:paraId="6CD67A8A">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p>
              </w:tc>
              <w:tc>
                <w:tcPr>
                  <w:tcW w:w="1636" w:type="pct"/>
                  <w:vAlign w:val="center"/>
                </w:tcPr>
                <w:p w14:paraId="720078E3">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资源化利用技术：①屠宰过程中产生的膘类、下脚料可用于加工炼制食用油或工业用油；②屠宰过程中产生的碎肉、碎骨料，以及肉制品加工过程中产生的废肉料等可用于生产有机肥、蛋白饲料和肉骨粉；③待宰间及屠宰过程产生的粪便和肠胃内容物可用于生产有机肥；④屠宰及肉类加工生产过程中产生的废纸、废塑料、废金属等一般固体废弃物，属于可回收物，可由专门单位回购并进行再生利用。</w:t>
                  </w:r>
                </w:p>
              </w:tc>
              <w:tc>
                <w:tcPr>
                  <w:tcW w:w="2174" w:type="pct"/>
                  <w:vAlign w:val="center"/>
                </w:tcPr>
                <w:p w14:paraId="10915D49">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default" w:ascii="Times New Roman" w:hAnsi="Times New Roman" w:eastAsia="宋体" w:cs="Times New Roman"/>
                      <w:bCs/>
                      <w:color w:val="auto"/>
                      <w:sz w:val="21"/>
                      <w:szCs w:val="21"/>
                      <w:lang w:val="en-US" w:eastAsia="zh-CN"/>
                    </w:rPr>
                    <w:t>本项目在原料使用和包装过程会产生废包装材料，统一收集后由环卫部门清运</w:t>
                  </w:r>
                  <w:r>
                    <w:rPr>
                      <w:rFonts w:hint="eastAsia" w:ascii="Times New Roman" w:hAnsi="Times New Roman" w:eastAsia="宋体" w:cs="Times New Roman"/>
                      <w:bCs/>
                      <w:color w:val="auto"/>
                      <w:sz w:val="21"/>
                      <w:szCs w:val="21"/>
                      <w:lang w:val="en-US" w:eastAsia="zh-CN"/>
                    </w:rPr>
                    <w:t>；</w:t>
                  </w:r>
                  <w:r>
                    <w:rPr>
                      <w:rFonts w:hint="default" w:ascii="Times New Roman" w:hAnsi="Times New Roman" w:eastAsia="宋体" w:cs="Times New Roman"/>
                      <w:color w:val="auto"/>
                      <w:sz w:val="21"/>
                      <w:szCs w:val="21"/>
                      <w:lang w:val="en-US" w:eastAsia="zh-CN"/>
                    </w:rPr>
                    <w:t>污水处理站</w:t>
                  </w:r>
                  <w:r>
                    <w:rPr>
                      <w:rFonts w:hint="default" w:ascii="Times New Roman" w:hAnsi="Times New Roman" w:eastAsia="宋体" w:cs="Times New Roman"/>
                      <w:color w:val="auto"/>
                      <w:sz w:val="21"/>
                      <w:szCs w:val="21"/>
                    </w:rPr>
                    <w:t>污泥经压滤机压滤收集后</w:t>
                  </w:r>
                  <w:r>
                    <w:rPr>
                      <w:rFonts w:hint="eastAsia" w:cs="Times New Roman"/>
                      <w:color w:val="auto"/>
                      <w:sz w:val="21"/>
                      <w:szCs w:val="21"/>
                      <w:lang w:eastAsia="zh-CN"/>
                    </w:rPr>
                    <w:t>送至有机肥生产企业堆肥场堆肥或镶黄旗生活垃圾焚烧场进行合理化处理</w:t>
                  </w:r>
                  <w:r>
                    <w:rPr>
                      <w:rFonts w:hint="eastAsia" w:ascii="Times New Roman" w:hAnsi="Times New Roman" w:eastAsia="宋体" w:cs="Times New Roman"/>
                      <w:color w:val="auto"/>
                      <w:sz w:val="21"/>
                      <w:szCs w:val="21"/>
                      <w:lang w:eastAsia="zh-CN"/>
                    </w:rPr>
                    <w:t>；</w:t>
                  </w:r>
                  <w:r>
                    <w:rPr>
                      <w:rFonts w:hint="default" w:ascii="Times New Roman" w:hAnsi="Times New Roman" w:eastAsia="宋体" w:cs="Times New Roman"/>
                      <w:bCs/>
                      <w:color w:val="auto"/>
                      <w:sz w:val="21"/>
                      <w:szCs w:val="21"/>
                      <w:lang w:val="en-US" w:eastAsia="zh-CN"/>
                    </w:rPr>
                    <w:t>肉渣</w:t>
                  </w:r>
                  <w:r>
                    <w:rPr>
                      <w:rFonts w:hint="eastAsia"/>
                      <w:color w:val="auto"/>
                      <w:sz w:val="21"/>
                      <w:szCs w:val="21"/>
                      <w:vertAlign w:val="baseline"/>
                      <w:lang w:val="en-US" w:eastAsia="zh-CN"/>
                    </w:rPr>
                    <w:t>（废肉料、煮制过程产生的卤渣和浮沫、格栅垃圾）</w:t>
                  </w:r>
                  <w:r>
                    <w:rPr>
                      <w:rFonts w:hint="default" w:ascii="Times New Roman" w:hAnsi="Times New Roman" w:eastAsia="宋体" w:cs="Times New Roman"/>
                      <w:bCs/>
                      <w:color w:val="auto"/>
                      <w:sz w:val="21"/>
                      <w:szCs w:val="21"/>
                      <w:lang w:val="en-US" w:eastAsia="zh-CN"/>
                    </w:rPr>
                    <w:t>，集中收集后</w:t>
                  </w:r>
                  <w:r>
                    <w:rPr>
                      <w:rFonts w:hint="eastAsia" w:cs="Times New Roman"/>
                      <w:bCs/>
                      <w:color w:val="auto"/>
                      <w:sz w:val="21"/>
                      <w:szCs w:val="21"/>
                      <w:lang w:val="en-US" w:eastAsia="zh-CN"/>
                    </w:rPr>
                    <w:t>送至有机肥生产企业堆肥场堆肥或镶黄旗生活垃圾焚烧场进行合理化处理</w:t>
                  </w:r>
                  <w:r>
                    <w:rPr>
                      <w:rFonts w:hint="eastAsia" w:ascii="Times New Roman" w:hAnsi="Times New Roman" w:eastAsia="宋体" w:cs="Times New Roman"/>
                      <w:bCs/>
                      <w:color w:val="auto"/>
                      <w:sz w:val="21"/>
                      <w:szCs w:val="21"/>
                      <w:lang w:val="en-US" w:eastAsia="zh-CN"/>
                    </w:rPr>
                    <w:t>；</w:t>
                  </w:r>
                  <w:r>
                    <w:rPr>
                      <w:rFonts w:hint="default" w:ascii="Times New Roman" w:hAnsi="Times New Roman" w:eastAsia="宋体" w:cs="Times New Roman"/>
                      <w:bCs/>
                      <w:color w:val="auto"/>
                      <w:sz w:val="21"/>
                      <w:szCs w:val="21"/>
                      <w:lang w:val="en-US" w:eastAsia="zh-CN"/>
                    </w:rPr>
                    <w:t>解冻清洗修整过程中会产生不合格原料，</w:t>
                  </w:r>
                  <w:r>
                    <w:rPr>
                      <w:rFonts w:hint="eastAsia" w:ascii="Times New Roman" w:hAnsi="Times New Roman" w:eastAsia="宋体" w:cs="Times New Roman"/>
                      <w:bCs/>
                      <w:color w:val="auto"/>
                      <w:sz w:val="21"/>
                      <w:szCs w:val="21"/>
                      <w:lang w:val="en-US" w:eastAsia="zh-CN"/>
                    </w:rPr>
                    <w:t>经</w:t>
                  </w:r>
                  <w:r>
                    <w:rPr>
                      <w:rFonts w:hint="default" w:ascii="Times New Roman" w:hAnsi="Times New Roman" w:eastAsia="宋体" w:cs="Times New Roman"/>
                      <w:bCs/>
                      <w:color w:val="auto"/>
                      <w:sz w:val="21"/>
                      <w:szCs w:val="21"/>
                      <w:lang w:val="en-US" w:eastAsia="zh-CN"/>
                    </w:rPr>
                    <w:t>收集后委托专门收集厨余垃圾部门清运</w:t>
                  </w:r>
                  <w:r>
                    <w:rPr>
                      <w:rFonts w:hint="eastAsia" w:ascii="Times New Roman" w:hAnsi="Times New Roman" w:eastAsia="宋体" w:cs="Times New Roman"/>
                      <w:bCs/>
                      <w:color w:val="auto"/>
                      <w:sz w:val="21"/>
                      <w:szCs w:val="21"/>
                      <w:lang w:val="en-US" w:eastAsia="zh-CN"/>
                    </w:rPr>
                    <w:t>；</w:t>
                  </w:r>
                  <w:r>
                    <w:rPr>
                      <w:rFonts w:hint="default" w:ascii="Times New Roman" w:hAnsi="Times New Roman" w:eastAsia="宋体" w:cs="Times New Roman"/>
                      <w:bCs/>
                      <w:color w:val="auto"/>
                      <w:sz w:val="21"/>
                      <w:szCs w:val="21"/>
                      <w:lang w:val="en-US" w:eastAsia="zh-CN"/>
                    </w:rPr>
                    <w:t>污水处理过程中会产生一定量的废油脂，</w:t>
                  </w:r>
                  <w:r>
                    <w:rPr>
                      <w:rFonts w:hint="eastAsia" w:ascii="Times New Roman" w:hAnsi="Times New Roman" w:eastAsia="宋体" w:cs="Times New Roman"/>
                      <w:bCs/>
                      <w:color w:val="auto"/>
                      <w:sz w:val="21"/>
                      <w:szCs w:val="21"/>
                      <w:lang w:val="en-US" w:eastAsia="zh-CN"/>
                    </w:rPr>
                    <w:t>经</w:t>
                  </w:r>
                  <w:r>
                    <w:rPr>
                      <w:rFonts w:hint="default" w:ascii="Times New Roman" w:hAnsi="Times New Roman" w:eastAsia="宋体" w:cs="Times New Roman"/>
                      <w:bCs/>
                      <w:color w:val="auto"/>
                      <w:sz w:val="21"/>
                      <w:szCs w:val="21"/>
                      <w:lang w:val="en-US" w:eastAsia="zh-CN"/>
                    </w:rPr>
                    <w:t>收集后委托专门收集厨余垃圾部门清运</w:t>
                  </w:r>
                  <w:r>
                    <w:rPr>
                      <w:rFonts w:hint="eastAsia" w:cs="Times New Roman"/>
                      <w:bCs/>
                      <w:color w:val="auto"/>
                      <w:sz w:val="21"/>
                      <w:szCs w:val="21"/>
                      <w:lang w:val="en-US" w:eastAsia="zh-CN"/>
                    </w:rPr>
                    <w:t>，</w:t>
                  </w:r>
                  <w:r>
                    <w:rPr>
                      <w:rFonts w:hint="eastAsia"/>
                      <w:color w:val="auto"/>
                      <w:sz w:val="21"/>
                      <w:szCs w:val="21"/>
                      <w:vertAlign w:val="baseline"/>
                      <w:lang w:val="en-US" w:eastAsia="zh-CN"/>
                    </w:rPr>
                    <w:t>废渗透膜由厂家回收处置，不在场内储存，废活性炭由厂家回收处置，不在厂内储存。</w:t>
                  </w:r>
                </w:p>
              </w:tc>
              <w:tc>
                <w:tcPr>
                  <w:tcW w:w="575" w:type="pct"/>
                  <w:vAlign w:val="center"/>
                </w:tcPr>
                <w:p w14:paraId="72487088">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rPr>
                  </w:pPr>
                  <w:r>
                    <w:rPr>
                      <w:rFonts w:hint="eastAsia"/>
                      <w:color w:val="auto"/>
                      <w:sz w:val="21"/>
                      <w:szCs w:val="21"/>
                      <w:vertAlign w:val="baseline"/>
                      <w:lang w:val="en-US" w:eastAsia="zh-CN"/>
                    </w:rPr>
                    <w:t>符合</w:t>
                  </w:r>
                </w:p>
              </w:tc>
            </w:tr>
            <w:tr w14:paraId="2577A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612" w:type="pct"/>
                  <w:vAlign w:val="center"/>
                </w:tcPr>
                <w:p w14:paraId="6AE7504C">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噪声治理技术</w:t>
                  </w:r>
                </w:p>
              </w:tc>
              <w:tc>
                <w:tcPr>
                  <w:tcW w:w="1636" w:type="pct"/>
                  <w:vAlign w:val="center"/>
                </w:tcPr>
                <w:p w14:paraId="6FF9EBF4">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企业规划布局；对于由振动、摩擦和撞击等引起的机械噪声，通常采用减 振、隔声措施，如：对设备加装隔振元件、隔振基座、弹性连接、隔声罩等；对于空气动力性噪声，通常采取安装消声器的措施。此外，车间内可采取吸声和隔声等降噪措施，进一步阻止噪声传播。</w:t>
                  </w:r>
                </w:p>
              </w:tc>
              <w:tc>
                <w:tcPr>
                  <w:tcW w:w="2174" w:type="pct"/>
                  <w:vAlign w:val="center"/>
                </w:tcPr>
                <w:p w14:paraId="6733A119">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本项目合理规划布局，采用厂房隔声、混凝土减震基座，减少噪声。</w:t>
                  </w:r>
                </w:p>
              </w:tc>
              <w:tc>
                <w:tcPr>
                  <w:tcW w:w="575" w:type="pct"/>
                  <w:vAlign w:val="center"/>
                </w:tcPr>
                <w:p w14:paraId="70301141">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rPr>
                  </w:pPr>
                  <w:r>
                    <w:rPr>
                      <w:rFonts w:hint="eastAsia"/>
                      <w:color w:val="auto"/>
                      <w:sz w:val="21"/>
                      <w:szCs w:val="21"/>
                      <w:vertAlign w:val="baseline"/>
                      <w:lang w:val="en-US" w:eastAsia="zh-CN"/>
                    </w:rPr>
                    <w:t>符合</w:t>
                  </w:r>
                </w:p>
              </w:tc>
            </w:tr>
            <w:tr w14:paraId="3CAED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612" w:type="pct"/>
                  <w:vAlign w:val="center"/>
                </w:tcPr>
                <w:p w14:paraId="37897B8D">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环境管理制度</w:t>
                  </w:r>
                </w:p>
              </w:tc>
              <w:tc>
                <w:tcPr>
                  <w:tcW w:w="1636" w:type="pct"/>
                  <w:vAlign w:val="center"/>
                </w:tcPr>
                <w:p w14:paraId="3B551A6E">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①企业应按照HJ860.3-2018等规定建立健全环境管理台账制度和排污许可证执行报告制度，并结合自身实际，选择各类废气、废水等排放口的污染防治可行技术。②企业应按照 HJ986等规定建立和落实排污单位自行监测工作和非正常生产管理预案。③鼓励企业采用节能、绿色技术设备，实现节能增效。</w:t>
                  </w:r>
                </w:p>
              </w:tc>
              <w:tc>
                <w:tcPr>
                  <w:tcW w:w="2174" w:type="pct"/>
                  <w:vAlign w:val="center"/>
                </w:tcPr>
                <w:p w14:paraId="621DB570">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本项目按照HJ860.3-2018等规定建立健全环境管理台账制度和排污许可证执行报告制度，并结合自身等实际，选择各类废气、废水等排放口的污染物防治可行技术。</w:t>
                  </w:r>
                </w:p>
              </w:tc>
              <w:tc>
                <w:tcPr>
                  <w:tcW w:w="575" w:type="pct"/>
                  <w:vAlign w:val="center"/>
                </w:tcPr>
                <w:p w14:paraId="71C0D070">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rPr>
                  </w:pPr>
                  <w:r>
                    <w:rPr>
                      <w:rFonts w:hint="eastAsia"/>
                      <w:color w:val="auto"/>
                      <w:sz w:val="21"/>
                      <w:szCs w:val="21"/>
                      <w:vertAlign w:val="baseline"/>
                      <w:lang w:val="en-US" w:eastAsia="zh-CN"/>
                    </w:rPr>
                    <w:t>符合</w:t>
                  </w:r>
                </w:p>
              </w:tc>
            </w:tr>
            <w:tr w14:paraId="01FDC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612" w:type="pct"/>
                  <w:vAlign w:val="center"/>
                </w:tcPr>
                <w:p w14:paraId="7B9AFB2F">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无组织排放控制措施</w:t>
                  </w:r>
                </w:p>
              </w:tc>
              <w:tc>
                <w:tcPr>
                  <w:tcW w:w="1636" w:type="pct"/>
                  <w:vAlign w:val="center"/>
                </w:tcPr>
                <w:p w14:paraId="4E5093DB">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①企业应加强对待宰间和屠宰车间、天然肠衣和畜禽油脂加工原料库的管理，增加通风次数，及时清洗、清运粪便。②企业应加强对原料库、加工车间的管理以及运输过程的管理，运输过程宜采用密闭设备。③厂区内煤场周围应设置防风抑尘网、挡尘棚，并采取洒水等措施控制煤场煤尘。④厂区内综合污水处理站有恶臭产生的处理单元（隔油沉淀池、气浮池、调节池、厌氧生物处理、污泥贮存、污泥脱水）应设计为密闭式，并将设施运行过程中产生的臭气集中收集处理，减少恶臭对周围环境的影响。</w:t>
                  </w:r>
                </w:p>
              </w:tc>
              <w:tc>
                <w:tcPr>
                  <w:tcW w:w="2174" w:type="pct"/>
                  <w:vAlign w:val="center"/>
                </w:tcPr>
                <w:p w14:paraId="7B2B6E8B">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本项目加强对生产车间、辅料库的管理以及运输过程的管理，运输过程采用密闭设备；厂区内污水处理站产臭单元加盖，污水处理站格栅渣、污泥及时处理，安装除臭装置“活性炭吸附”进行除臭，处理后经15m高排气筒排放；产生的油烟经过油烟净化器处理后，由屋顶排放；定期对制冷系统密封检查和检测，及时更换老化阀门和管道。</w:t>
                  </w:r>
                </w:p>
              </w:tc>
              <w:tc>
                <w:tcPr>
                  <w:tcW w:w="575" w:type="pct"/>
                  <w:vAlign w:val="center"/>
                </w:tcPr>
                <w:p w14:paraId="4A4795AB">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rPr>
                  </w:pPr>
                  <w:r>
                    <w:rPr>
                      <w:rFonts w:hint="eastAsia"/>
                      <w:color w:val="auto"/>
                      <w:sz w:val="21"/>
                      <w:szCs w:val="21"/>
                      <w:vertAlign w:val="baseline"/>
                      <w:lang w:val="en-US" w:eastAsia="zh-CN"/>
                    </w:rPr>
                    <w:t>符合</w:t>
                  </w:r>
                </w:p>
              </w:tc>
            </w:tr>
            <w:tr w14:paraId="5BC41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000" w:type="pct"/>
                  <w:gridSpan w:val="4"/>
                  <w:vAlign w:val="center"/>
                </w:tcPr>
                <w:p w14:paraId="4B40EB19">
                  <w:pPr>
                    <w:keepNext w:val="0"/>
                    <w:keepLines w:val="0"/>
                    <w:pageBreakBefore w:val="0"/>
                    <w:widowControl/>
                    <w:suppressLineNumbers w:val="0"/>
                    <w:kinsoku/>
                    <w:wordWrap/>
                    <w:overflowPunct/>
                    <w:topLinePunct w:val="0"/>
                    <w:autoSpaceDE/>
                    <w:autoSpaceDN/>
                    <w:bidi w:val="0"/>
                    <w:adjustRightInd w:val="0"/>
                    <w:snapToGrid w:val="0"/>
                    <w:spacing w:line="360" w:lineRule="auto"/>
                    <w:jc w:val="center"/>
                    <w:textAlignment w:val="auto"/>
                    <w:rPr>
                      <w:rFonts w:hint="eastAsia"/>
                      <w:color w:val="auto"/>
                      <w:sz w:val="21"/>
                      <w:szCs w:val="21"/>
                      <w:vertAlign w:val="baseline"/>
                    </w:rPr>
                  </w:pPr>
                  <w:r>
                    <w:rPr>
                      <w:rFonts w:hint="eastAsia" w:ascii="宋体" w:hAnsi="宋体" w:eastAsia="宋体" w:cs="宋体"/>
                      <w:b/>
                      <w:bCs/>
                      <w:color w:val="auto"/>
                      <w:kern w:val="0"/>
                      <w:sz w:val="21"/>
                      <w:szCs w:val="21"/>
                      <w:lang w:val="en-US" w:eastAsia="zh-CN" w:bidi="ar"/>
                    </w:rPr>
                    <w:t>《</w:t>
                  </w:r>
                  <w:r>
                    <w:rPr>
                      <w:rFonts w:hint="eastAsia" w:ascii="宋体" w:hAnsi="宋体" w:cs="宋体"/>
                      <w:b/>
                      <w:bCs/>
                      <w:color w:val="auto"/>
                      <w:kern w:val="0"/>
                      <w:sz w:val="21"/>
                      <w:szCs w:val="21"/>
                      <w:lang w:val="en-US" w:eastAsia="zh-CN" w:bidi="ar"/>
                    </w:rPr>
                    <w:t>食品安全国家标准畜禽</w:t>
                  </w:r>
                  <w:r>
                    <w:rPr>
                      <w:rFonts w:hint="eastAsia" w:ascii="宋体" w:hAnsi="宋体" w:eastAsia="宋体" w:cs="宋体"/>
                      <w:b/>
                      <w:bCs/>
                      <w:color w:val="auto"/>
                      <w:kern w:val="0"/>
                      <w:sz w:val="21"/>
                      <w:szCs w:val="21"/>
                      <w:lang w:val="en-US" w:eastAsia="zh-CN" w:bidi="ar"/>
                    </w:rPr>
                    <w:t>屠宰加工卫生规范》（</w:t>
                  </w:r>
                  <w:r>
                    <w:rPr>
                      <w:rFonts w:hint="default" w:ascii="Times New Roman" w:hAnsi="Times New Roman" w:eastAsia="宋体" w:cs="Times New Roman"/>
                      <w:b/>
                      <w:bCs/>
                      <w:color w:val="auto"/>
                      <w:kern w:val="0"/>
                      <w:sz w:val="21"/>
                      <w:szCs w:val="21"/>
                      <w:lang w:val="en-US" w:eastAsia="zh-CN" w:bidi="ar"/>
                    </w:rPr>
                    <w:t xml:space="preserve">GB </w:t>
                  </w:r>
                  <w:r>
                    <w:rPr>
                      <w:rFonts w:hint="eastAsia" w:cs="Times New Roman"/>
                      <w:b/>
                      <w:bCs/>
                      <w:color w:val="auto"/>
                      <w:kern w:val="0"/>
                      <w:sz w:val="21"/>
                      <w:szCs w:val="21"/>
                      <w:lang w:val="en-US" w:eastAsia="zh-CN" w:bidi="ar"/>
                    </w:rPr>
                    <w:t>126</w:t>
                  </w:r>
                  <w:r>
                    <w:rPr>
                      <w:rFonts w:hint="default" w:ascii="Times New Roman" w:hAnsi="Times New Roman" w:eastAsia="宋体" w:cs="Times New Roman"/>
                      <w:b/>
                      <w:bCs/>
                      <w:color w:val="auto"/>
                      <w:kern w:val="0"/>
                      <w:sz w:val="21"/>
                      <w:szCs w:val="21"/>
                      <w:lang w:val="en-US" w:eastAsia="zh-CN" w:bidi="ar"/>
                    </w:rPr>
                    <w:t>94-20</w:t>
                  </w:r>
                  <w:r>
                    <w:rPr>
                      <w:rFonts w:hint="eastAsia" w:cs="Times New Roman"/>
                      <w:b/>
                      <w:bCs/>
                      <w:color w:val="auto"/>
                      <w:kern w:val="0"/>
                      <w:sz w:val="21"/>
                      <w:szCs w:val="21"/>
                      <w:lang w:val="en-US" w:eastAsia="zh-CN" w:bidi="ar"/>
                    </w:rPr>
                    <w:t>1</w:t>
                  </w:r>
                  <w:r>
                    <w:rPr>
                      <w:rFonts w:hint="default" w:ascii="Times New Roman" w:hAnsi="Times New Roman" w:eastAsia="宋体" w:cs="Times New Roman"/>
                      <w:b/>
                      <w:bCs/>
                      <w:color w:val="auto"/>
                      <w:kern w:val="0"/>
                      <w:sz w:val="21"/>
                      <w:szCs w:val="21"/>
                      <w:lang w:val="en-US" w:eastAsia="zh-CN" w:bidi="ar"/>
                    </w:rPr>
                    <w:t>6</w:t>
                  </w:r>
                  <w:r>
                    <w:rPr>
                      <w:rFonts w:hint="eastAsia" w:ascii="宋体" w:hAnsi="宋体" w:eastAsia="宋体" w:cs="宋体"/>
                      <w:b/>
                      <w:bCs/>
                      <w:color w:val="auto"/>
                      <w:kern w:val="0"/>
                      <w:sz w:val="21"/>
                      <w:szCs w:val="21"/>
                      <w:lang w:val="en-US" w:eastAsia="zh-CN" w:bidi="ar"/>
                    </w:rPr>
                    <w:t>）</w:t>
                  </w:r>
                </w:p>
              </w:tc>
            </w:tr>
            <w:tr w14:paraId="7882F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249" w:type="pct"/>
                  <w:gridSpan w:val="2"/>
                  <w:vAlign w:val="center"/>
                </w:tcPr>
                <w:p w14:paraId="0A2EEE56">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厂区主要道路应硬化（如混凝土或沥青路面等），路面平整、易冲洗，不积水。</w:t>
                  </w:r>
                </w:p>
              </w:tc>
              <w:tc>
                <w:tcPr>
                  <w:tcW w:w="2174" w:type="pct"/>
                  <w:vAlign w:val="center"/>
                </w:tcPr>
                <w:p w14:paraId="07DE66DC">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厂区内道路及场地为混凝土结构。</w:t>
                  </w:r>
                </w:p>
              </w:tc>
              <w:tc>
                <w:tcPr>
                  <w:tcW w:w="575" w:type="pct"/>
                  <w:vAlign w:val="center"/>
                </w:tcPr>
                <w:p w14:paraId="0CFDC22E">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rPr>
                  </w:pPr>
                  <w:r>
                    <w:rPr>
                      <w:rFonts w:hint="eastAsia"/>
                      <w:color w:val="auto"/>
                      <w:sz w:val="21"/>
                      <w:szCs w:val="21"/>
                      <w:vertAlign w:val="baseline"/>
                      <w:lang w:val="en-US" w:eastAsia="zh-CN"/>
                    </w:rPr>
                    <w:t>符合</w:t>
                  </w:r>
                </w:p>
              </w:tc>
            </w:tr>
            <w:tr w14:paraId="31693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249" w:type="pct"/>
                  <w:gridSpan w:val="2"/>
                  <w:vAlign w:val="center"/>
                </w:tcPr>
                <w:p w14:paraId="683962E4">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厂区应建有与生产能力相适应，并符合卫生要求的原料、辅料、化学物品、包装物料储存等辅助设施。</w:t>
                  </w:r>
                </w:p>
              </w:tc>
              <w:tc>
                <w:tcPr>
                  <w:tcW w:w="2174" w:type="pct"/>
                  <w:vAlign w:val="center"/>
                </w:tcPr>
                <w:p w14:paraId="1843B83D">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项目为肉类加工行业，原料主要为经卫生检疫合格牛羊肉，建设有辅料库，储存包装物料、纸箱等辅助设施。</w:t>
                  </w:r>
                </w:p>
              </w:tc>
              <w:tc>
                <w:tcPr>
                  <w:tcW w:w="575" w:type="pct"/>
                  <w:vAlign w:val="center"/>
                </w:tcPr>
                <w:p w14:paraId="74AD7A10">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rPr>
                  </w:pPr>
                  <w:r>
                    <w:rPr>
                      <w:rFonts w:hint="eastAsia"/>
                      <w:color w:val="auto"/>
                      <w:sz w:val="21"/>
                      <w:szCs w:val="21"/>
                      <w:vertAlign w:val="baseline"/>
                      <w:lang w:val="en-US" w:eastAsia="zh-CN"/>
                    </w:rPr>
                    <w:t>符合</w:t>
                  </w:r>
                </w:p>
              </w:tc>
            </w:tr>
            <w:tr w14:paraId="564C1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249" w:type="pct"/>
                  <w:gridSpan w:val="2"/>
                  <w:vAlign w:val="center"/>
                </w:tcPr>
                <w:p w14:paraId="77F60D1E">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厂区应设有废弃物、垃圾暂存或处理设施，废弃物应及时清除或处理，避免对厂区环境造成污染。</w:t>
                  </w:r>
                </w:p>
              </w:tc>
              <w:tc>
                <w:tcPr>
                  <w:tcW w:w="2174" w:type="pct"/>
                  <w:vAlign w:val="center"/>
                </w:tcPr>
                <w:p w14:paraId="642486D7">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default" w:ascii="Times New Roman" w:hAnsi="Times New Roman" w:eastAsia="宋体" w:cs="Times New Roman"/>
                      <w:bCs/>
                      <w:color w:val="auto"/>
                      <w:sz w:val="21"/>
                      <w:szCs w:val="21"/>
                      <w:lang w:val="en-US" w:eastAsia="zh-CN"/>
                    </w:rPr>
                    <w:t>本项目在原料使用和包装过程会产生废包装材料，统一收集后由环卫部门清运</w:t>
                  </w:r>
                  <w:r>
                    <w:rPr>
                      <w:rFonts w:hint="eastAsia" w:ascii="Times New Roman" w:hAnsi="Times New Roman" w:eastAsia="宋体" w:cs="Times New Roman"/>
                      <w:bCs/>
                      <w:color w:val="auto"/>
                      <w:sz w:val="21"/>
                      <w:szCs w:val="21"/>
                      <w:lang w:val="en-US" w:eastAsia="zh-CN"/>
                    </w:rPr>
                    <w:t>；</w:t>
                  </w:r>
                  <w:r>
                    <w:rPr>
                      <w:rFonts w:hint="default" w:ascii="Times New Roman" w:hAnsi="Times New Roman" w:eastAsia="宋体" w:cs="Times New Roman"/>
                      <w:color w:val="auto"/>
                      <w:sz w:val="21"/>
                      <w:szCs w:val="21"/>
                      <w:lang w:val="en-US" w:eastAsia="zh-CN"/>
                    </w:rPr>
                    <w:t>污水处理站</w:t>
                  </w:r>
                  <w:r>
                    <w:rPr>
                      <w:rFonts w:hint="default" w:ascii="Times New Roman" w:hAnsi="Times New Roman" w:eastAsia="宋体" w:cs="Times New Roman"/>
                      <w:color w:val="auto"/>
                      <w:sz w:val="21"/>
                      <w:szCs w:val="21"/>
                    </w:rPr>
                    <w:t>污泥经压滤机压滤收集后</w:t>
                  </w:r>
                  <w:r>
                    <w:rPr>
                      <w:rFonts w:hint="eastAsia" w:cs="Times New Roman"/>
                      <w:color w:val="auto"/>
                      <w:sz w:val="21"/>
                      <w:szCs w:val="21"/>
                      <w:lang w:eastAsia="zh-CN"/>
                    </w:rPr>
                    <w:t>送至有机肥生产企业堆肥场堆肥或镶黄旗生活垃圾焚烧场进行合理化处理</w:t>
                  </w:r>
                  <w:r>
                    <w:rPr>
                      <w:rFonts w:hint="eastAsia" w:ascii="Times New Roman" w:hAnsi="Times New Roman" w:eastAsia="宋体" w:cs="Times New Roman"/>
                      <w:color w:val="auto"/>
                      <w:sz w:val="21"/>
                      <w:szCs w:val="21"/>
                      <w:lang w:eastAsia="zh-CN"/>
                    </w:rPr>
                    <w:t>；</w:t>
                  </w:r>
                  <w:r>
                    <w:rPr>
                      <w:rFonts w:hint="default" w:ascii="Times New Roman" w:hAnsi="Times New Roman" w:eastAsia="宋体" w:cs="Times New Roman"/>
                      <w:bCs/>
                      <w:color w:val="auto"/>
                      <w:sz w:val="21"/>
                      <w:szCs w:val="21"/>
                      <w:lang w:val="en-US" w:eastAsia="zh-CN"/>
                    </w:rPr>
                    <w:t>肉渣</w:t>
                  </w:r>
                  <w:r>
                    <w:rPr>
                      <w:rFonts w:hint="eastAsia"/>
                      <w:color w:val="auto"/>
                      <w:sz w:val="21"/>
                      <w:szCs w:val="21"/>
                      <w:vertAlign w:val="baseline"/>
                      <w:lang w:val="en-US" w:eastAsia="zh-CN"/>
                    </w:rPr>
                    <w:t>（废肉料、煮制过程产生的卤渣和浮沫、格栅垃圾）</w:t>
                  </w:r>
                  <w:r>
                    <w:rPr>
                      <w:rFonts w:hint="default" w:ascii="Times New Roman" w:hAnsi="Times New Roman" w:eastAsia="宋体" w:cs="Times New Roman"/>
                      <w:bCs/>
                      <w:color w:val="auto"/>
                      <w:sz w:val="21"/>
                      <w:szCs w:val="21"/>
                      <w:lang w:val="en-US" w:eastAsia="zh-CN"/>
                    </w:rPr>
                    <w:t>，集中收集后</w:t>
                  </w:r>
                  <w:r>
                    <w:rPr>
                      <w:rFonts w:hint="eastAsia" w:cs="Times New Roman"/>
                      <w:bCs/>
                      <w:color w:val="auto"/>
                      <w:sz w:val="21"/>
                      <w:szCs w:val="21"/>
                      <w:lang w:val="en-US" w:eastAsia="zh-CN"/>
                    </w:rPr>
                    <w:t>送至有机肥生产企业堆肥场堆肥或镶黄旗生活垃圾焚烧场进行合理化处理</w:t>
                  </w:r>
                  <w:r>
                    <w:rPr>
                      <w:rFonts w:hint="eastAsia" w:ascii="Times New Roman" w:hAnsi="Times New Roman" w:eastAsia="宋体" w:cs="Times New Roman"/>
                      <w:bCs/>
                      <w:color w:val="auto"/>
                      <w:sz w:val="21"/>
                      <w:szCs w:val="21"/>
                      <w:lang w:val="en-US" w:eastAsia="zh-CN"/>
                    </w:rPr>
                    <w:t>；</w:t>
                  </w:r>
                  <w:r>
                    <w:rPr>
                      <w:rFonts w:hint="default" w:ascii="Times New Roman" w:hAnsi="Times New Roman" w:eastAsia="宋体" w:cs="Times New Roman"/>
                      <w:bCs/>
                      <w:color w:val="auto"/>
                      <w:sz w:val="21"/>
                      <w:szCs w:val="21"/>
                      <w:lang w:val="en-US" w:eastAsia="zh-CN"/>
                    </w:rPr>
                    <w:t>解冻清洗修整过程中会产生不合格原料，</w:t>
                  </w:r>
                  <w:r>
                    <w:rPr>
                      <w:rFonts w:hint="eastAsia" w:ascii="Times New Roman" w:hAnsi="Times New Roman" w:eastAsia="宋体" w:cs="Times New Roman"/>
                      <w:bCs/>
                      <w:color w:val="auto"/>
                      <w:sz w:val="21"/>
                      <w:szCs w:val="21"/>
                      <w:lang w:val="en-US" w:eastAsia="zh-CN"/>
                    </w:rPr>
                    <w:t>经</w:t>
                  </w:r>
                  <w:r>
                    <w:rPr>
                      <w:rFonts w:hint="default" w:ascii="Times New Roman" w:hAnsi="Times New Roman" w:eastAsia="宋体" w:cs="Times New Roman"/>
                      <w:bCs/>
                      <w:color w:val="auto"/>
                      <w:sz w:val="21"/>
                      <w:szCs w:val="21"/>
                      <w:lang w:val="en-US" w:eastAsia="zh-CN"/>
                    </w:rPr>
                    <w:t>收集后委托专门收集厨余垃圾部门清运</w:t>
                  </w:r>
                  <w:r>
                    <w:rPr>
                      <w:rFonts w:hint="eastAsia" w:ascii="Times New Roman" w:hAnsi="Times New Roman" w:eastAsia="宋体" w:cs="Times New Roman"/>
                      <w:bCs/>
                      <w:color w:val="auto"/>
                      <w:sz w:val="21"/>
                      <w:szCs w:val="21"/>
                      <w:lang w:val="en-US" w:eastAsia="zh-CN"/>
                    </w:rPr>
                    <w:t>；</w:t>
                  </w:r>
                  <w:r>
                    <w:rPr>
                      <w:rFonts w:hint="default" w:ascii="Times New Roman" w:hAnsi="Times New Roman" w:eastAsia="宋体" w:cs="Times New Roman"/>
                      <w:bCs/>
                      <w:color w:val="auto"/>
                      <w:sz w:val="21"/>
                      <w:szCs w:val="21"/>
                      <w:lang w:val="en-US" w:eastAsia="zh-CN"/>
                    </w:rPr>
                    <w:t>污水处理过程中会产生一定量的废油脂，</w:t>
                  </w:r>
                  <w:r>
                    <w:rPr>
                      <w:rFonts w:hint="eastAsia" w:ascii="Times New Roman" w:hAnsi="Times New Roman" w:eastAsia="宋体" w:cs="Times New Roman"/>
                      <w:bCs/>
                      <w:color w:val="auto"/>
                      <w:sz w:val="21"/>
                      <w:szCs w:val="21"/>
                      <w:lang w:val="en-US" w:eastAsia="zh-CN"/>
                    </w:rPr>
                    <w:t>经</w:t>
                  </w:r>
                  <w:r>
                    <w:rPr>
                      <w:rFonts w:hint="default" w:ascii="Times New Roman" w:hAnsi="Times New Roman" w:eastAsia="宋体" w:cs="Times New Roman"/>
                      <w:bCs/>
                      <w:color w:val="auto"/>
                      <w:sz w:val="21"/>
                      <w:szCs w:val="21"/>
                      <w:lang w:val="en-US" w:eastAsia="zh-CN"/>
                    </w:rPr>
                    <w:t>收集后委托专门收集厨余垃圾部门清运</w:t>
                  </w:r>
                  <w:r>
                    <w:rPr>
                      <w:rFonts w:hint="eastAsia" w:cs="Times New Roman"/>
                      <w:bCs/>
                      <w:color w:val="auto"/>
                      <w:sz w:val="21"/>
                      <w:szCs w:val="21"/>
                      <w:lang w:val="en-US" w:eastAsia="zh-CN"/>
                    </w:rPr>
                    <w:t>，废渗透膜由厂家回收处置，不在场内储存，废活性炭由厂家回收处置，不在厂内储存。</w:t>
                  </w:r>
                </w:p>
              </w:tc>
              <w:tc>
                <w:tcPr>
                  <w:tcW w:w="575" w:type="pct"/>
                  <w:vAlign w:val="center"/>
                </w:tcPr>
                <w:p w14:paraId="61BEF991">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rPr>
                  </w:pPr>
                  <w:r>
                    <w:rPr>
                      <w:rFonts w:hint="eastAsia"/>
                      <w:color w:val="auto"/>
                      <w:sz w:val="21"/>
                      <w:szCs w:val="21"/>
                      <w:vertAlign w:val="baseline"/>
                      <w:lang w:val="en-US" w:eastAsia="zh-CN"/>
                    </w:rPr>
                    <w:t>符合</w:t>
                  </w:r>
                </w:p>
              </w:tc>
            </w:tr>
            <w:tr w14:paraId="448E2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249" w:type="pct"/>
                  <w:gridSpan w:val="2"/>
                  <w:vAlign w:val="center"/>
                </w:tcPr>
                <w:p w14:paraId="52B85A19">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厂区内禁止饲养与屠宰加工无关的动物。</w:t>
                  </w:r>
                </w:p>
              </w:tc>
              <w:tc>
                <w:tcPr>
                  <w:tcW w:w="2174" w:type="pct"/>
                  <w:vAlign w:val="center"/>
                </w:tcPr>
                <w:p w14:paraId="130AAE42">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厂区内不饲养与屠宰加工无关的动物。</w:t>
                  </w:r>
                </w:p>
              </w:tc>
              <w:tc>
                <w:tcPr>
                  <w:tcW w:w="575" w:type="pct"/>
                  <w:vAlign w:val="center"/>
                </w:tcPr>
                <w:p w14:paraId="5198E201">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color w:val="auto"/>
                      <w:sz w:val="21"/>
                      <w:szCs w:val="21"/>
                      <w:vertAlign w:val="baseline"/>
                    </w:rPr>
                  </w:pPr>
                  <w:r>
                    <w:rPr>
                      <w:rFonts w:hint="eastAsia"/>
                      <w:color w:val="auto"/>
                      <w:sz w:val="21"/>
                      <w:szCs w:val="21"/>
                      <w:vertAlign w:val="baseline"/>
                      <w:lang w:val="en-US" w:eastAsia="zh-CN"/>
                    </w:rPr>
                    <w:t>符合</w:t>
                  </w:r>
                </w:p>
              </w:tc>
            </w:tr>
            <w:tr w14:paraId="1BC61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249" w:type="pct"/>
                  <w:gridSpan w:val="2"/>
                  <w:vAlign w:val="center"/>
                </w:tcPr>
                <w:p w14:paraId="5ED9CF74">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生产区与生活区应分开设置。</w:t>
                  </w:r>
                </w:p>
              </w:tc>
              <w:tc>
                <w:tcPr>
                  <w:tcW w:w="2174" w:type="pct"/>
                  <w:vAlign w:val="center"/>
                </w:tcPr>
                <w:p w14:paraId="27901A25">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both"/>
                    <w:textAlignment w:val="auto"/>
                    <w:rPr>
                      <w:rFonts w:hint="eastAsia"/>
                      <w:color w:val="auto"/>
                      <w:sz w:val="21"/>
                      <w:szCs w:val="21"/>
                      <w:vertAlign w:val="baseline"/>
                    </w:rPr>
                  </w:pPr>
                  <w:r>
                    <w:rPr>
                      <w:rFonts w:hint="eastAsia"/>
                      <w:color w:val="auto"/>
                      <w:sz w:val="21"/>
                      <w:szCs w:val="21"/>
                      <w:vertAlign w:val="baseline"/>
                      <w:lang w:val="en-US" w:eastAsia="zh-CN"/>
                    </w:rPr>
                    <w:t>本项目生产区与生活区应分开设置。</w:t>
                  </w:r>
                </w:p>
              </w:tc>
              <w:tc>
                <w:tcPr>
                  <w:tcW w:w="575" w:type="pct"/>
                  <w:vAlign w:val="center"/>
                </w:tcPr>
                <w:p w14:paraId="28C63E96">
                  <w:pPr>
                    <w:pStyle w:val="167"/>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eastAsia" w:eastAsia="宋体"/>
                      <w:color w:val="auto"/>
                      <w:sz w:val="21"/>
                      <w:szCs w:val="21"/>
                      <w:vertAlign w:val="baseline"/>
                      <w:lang w:val="en-US" w:eastAsia="zh-CN"/>
                    </w:rPr>
                  </w:pPr>
                  <w:r>
                    <w:rPr>
                      <w:rFonts w:hint="eastAsia"/>
                      <w:color w:val="auto"/>
                      <w:sz w:val="21"/>
                      <w:szCs w:val="21"/>
                      <w:vertAlign w:val="baseline"/>
                      <w:lang w:val="en-US" w:eastAsia="zh-CN"/>
                    </w:rPr>
                    <w:t>符合</w:t>
                  </w:r>
                </w:p>
              </w:tc>
            </w:tr>
          </w:tbl>
          <w:p w14:paraId="0252D092">
            <w:pPr>
              <w:spacing w:line="360" w:lineRule="auto"/>
              <w:jc w:val="left"/>
              <w:rPr>
                <w:b/>
                <w:bCs/>
                <w:color w:val="auto"/>
                <w:sz w:val="24"/>
              </w:rPr>
            </w:pPr>
            <w:r>
              <w:rPr>
                <w:rFonts w:hint="eastAsia"/>
                <w:b/>
                <w:bCs/>
                <w:color w:val="auto"/>
                <w:sz w:val="24"/>
              </w:rPr>
              <w:t>4</w:t>
            </w:r>
            <w:r>
              <w:rPr>
                <w:b/>
                <w:bCs/>
                <w:color w:val="auto"/>
                <w:sz w:val="24"/>
              </w:rPr>
              <w:t>、选址合理性分析</w:t>
            </w:r>
          </w:p>
          <w:p w14:paraId="7E079479">
            <w:pPr>
              <w:pStyle w:val="167"/>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color w:val="auto"/>
                <w:lang w:val="en-US" w:eastAsia="zh-CN"/>
              </w:rPr>
            </w:pPr>
            <w:r>
              <w:rPr>
                <w:bCs/>
                <w:color w:val="auto"/>
              </w:rPr>
              <w:t>本项目位于内蒙古自治区</w:t>
            </w:r>
            <w:r>
              <w:rPr>
                <w:rFonts w:hint="eastAsia"/>
                <w:bCs/>
                <w:color w:val="auto"/>
                <w:lang w:val="en-US" w:eastAsia="zh-CN"/>
              </w:rPr>
              <w:t>锡林郭勒盟镶黄旗新宝拉格镇，西侧为镶黄旗工业奶食加工园区、南侧为石材展览馆、东侧为大理石厂</w:t>
            </w:r>
            <w:r>
              <w:rPr>
                <w:bCs/>
                <w:color w:val="auto"/>
              </w:rPr>
              <w:t>，</w:t>
            </w:r>
            <w:r>
              <w:rPr>
                <w:rFonts w:hint="eastAsia"/>
                <w:color w:val="auto"/>
                <w:lang w:eastAsia="zh-CN"/>
              </w:rPr>
              <w:t>用地类型为工业用地。</w:t>
            </w:r>
            <w:r>
              <w:rPr>
                <w:rFonts w:hint="eastAsia"/>
                <w:color w:val="auto"/>
                <w:lang w:val="en-US" w:eastAsia="zh-CN"/>
              </w:rPr>
              <w:t>属于《镶黄旗新宝拉格镇城市总体规划（2015-2030）》空间布局结构中“工业片区”，项目建设符合《镶黄旗新宝拉格镇城市总体规划（2015-2030）》中用地布局及相关规划。</w:t>
            </w:r>
          </w:p>
          <w:p w14:paraId="7238B6DF">
            <w:pPr>
              <w:pStyle w:val="167"/>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color w:val="auto"/>
              </w:rPr>
            </w:pPr>
            <w:r>
              <w:rPr>
                <w:rFonts w:hint="eastAsia"/>
                <w:color w:val="auto"/>
                <w:lang w:val="en-US" w:eastAsia="zh-CN"/>
              </w:rPr>
              <w:t>本项目位于</w:t>
            </w:r>
            <w:r>
              <w:rPr>
                <w:rFonts w:hint="eastAsia"/>
                <w:color w:val="auto"/>
              </w:rPr>
              <w:t>镶黄旗工业聚集区内</w:t>
            </w:r>
            <w:r>
              <w:rPr>
                <w:rFonts w:hint="eastAsia"/>
                <w:color w:val="auto"/>
                <w:lang w:val="en-US" w:eastAsia="zh-CN"/>
              </w:rPr>
              <w:t>，不涉及水源保护区，</w:t>
            </w:r>
            <w:r>
              <w:rPr>
                <w:rFonts w:hint="eastAsia"/>
                <w:color w:val="auto"/>
              </w:rPr>
              <w:t>不在自然保护区、风景名胜区、文物（考古）保护区、生活饮用水源保护区、供水远景规划区等特别保护区域，周边无需要特殊保护军事设施</w:t>
            </w:r>
            <w:r>
              <w:rPr>
                <w:rFonts w:hint="eastAsia"/>
                <w:color w:val="auto"/>
                <w:lang w:val="en-US" w:eastAsia="zh-CN"/>
              </w:rPr>
              <w:t>等敏感区域</w:t>
            </w:r>
            <w:r>
              <w:rPr>
                <w:rFonts w:hint="eastAsia"/>
                <w:color w:val="auto"/>
              </w:rPr>
              <w:t>。项目区域内供电、供水基础设施完善，周边有公路通过，交通便利。项目选址范围内地形较平整，地质构造简单，现状地质灾害不发育，内无滑坡、塌陷等不良地质现象。</w:t>
            </w:r>
          </w:p>
          <w:p w14:paraId="3349368A">
            <w:pPr>
              <w:numPr>
                <w:ilvl w:val="0"/>
                <w:numId w:val="0"/>
              </w:numPr>
              <w:autoSpaceDE w:val="0"/>
              <w:autoSpaceDN w:val="0"/>
              <w:spacing w:line="360" w:lineRule="auto"/>
              <w:ind w:firstLine="480" w:firstLineChars="200"/>
              <w:rPr>
                <w:rFonts w:hint="default"/>
                <w:color w:val="auto"/>
                <w:kern w:val="0"/>
                <w:sz w:val="24"/>
                <w:lang w:val="en-US" w:eastAsia="zh-CN"/>
              </w:rPr>
            </w:pPr>
            <w:r>
              <w:rPr>
                <w:rFonts w:hint="eastAsia"/>
                <w:color w:val="auto"/>
                <w:kern w:val="0"/>
                <w:sz w:val="24"/>
                <w:lang w:val="en-US" w:eastAsia="zh-CN"/>
              </w:rPr>
              <w:t>本项目不在污染较重的区域，周边无有虫害大量滋生的场所，各项供电、供水、供暖等能源基本保证，交通便利，因此符合食品制造业选址。</w:t>
            </w:r>
          </w:p>
          <w:p w14:paraId="0C21538D">
            <w:pPr>
              <w:pStyle w:val="167"/>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color w:val="auto"/>
              </w:rPr>
            </w:pPr>
            <w:r>
              <w:rPr>
                <w:rFonts w:hint="eastAsia"/>
                <w:color w:val="auto"/>
              </w:rPr>
              <w:t>运营期间</w:t>
            </w:r>
            <w:r>
              <w:rPr>
                <w:rFonts w:hint="eastAsia"/>
                <w:color w:val="auto"/>
                <w:lang w:val="en-US" w:eastAsia="zh-CN"/>
              </w:rPr>
              <w:t>在</w:t>
            </w:r>
            <w:r>
              <w:rPr>
                <w:rFonts w:hint="eastAsia"/>
                <w:color w:val="auto"/>
              </w:rPr>
              <w:t>采取</w:t>
            </w:r>
            <w:r>
              <w:rPr>
                <w:rFonts w:hint="eastAsia"/>
                <w:color w:val="auto"/>
                <w:lang w:val="en-US" w:eastAsia="zh-CN"/>
              </w:rPr>
              <w:t>本报告提出的污染治理措施后</w:t>
            </w:r>
            <w:r>
              <w:rPr>
                <w:rFonts w:hint="eastAsia"/>
                <w:color w:val="auto"/>
              </w:rPr>
              <w:t>，在正常运营情况下，项目</w:t>
            </w:r>
            <w:r>
              <w:rPr>
                <w:rFonts w:hint="eastAsia"/>
                <w:color w:val="auto"/>
                <w:lang w:val="en-US" w:eastAsia="zh-CN"/>
              </w:rPr>
              <w:t>产生的</w:t>
            </w:r>
            <w:r>
              <w:rPr>
                <w:rFonts w:hint="eastAsia"/>
                <w:color w:val="auto"/>
              </w:rPr>
              <w:t>各项污染物均能达标排放，项目对生态环境的影响可以接受，本项目选址合理</w:t>
            </w:r>
            <w:r>
              <w:rPr>
                <w:rFonts w:hint="eastAsia"/>
                <w:color w:val="auto"/>
                <w:lang w:eastAsia="zh-CN"/>
              </w:rPr>
              <w:t>。</w:t>
            </w:r>
          </w:p>
        </w:tc>
      </w:tr>
    </w:tbl>
    <w:p w14:paraId="232E859A">
      <w:pPr>
        <w:spacing w:line="360" w:lineRule="auto"/>
        <w:outlineLvl w:val="0"/>
        <w:rPr>
          <w:rFonts w:eastAsia="黑体"/>
          <w:color w:val="auto"/>
          <w:sz w:val="30"/>
        </w:rPr>
        <w:sectPr>
          <w:footerReference r:id="rId8" w:type="default"/>
          <w:pgSz w:w="11906" w:h="16838"/>
          <w:pgMar w:top="1440" w:right="1800" w:bottom="1440" w:left="1800" w:header="851" w:footer="1077" w:gutter="0"/>
          <w:pgBorders>
            <w:top w:val="none" w:sz="0" w:space="0"/>
            <w:left w:val="none" w:sz="0" w:space="0"/>
            <w:bottom w:val="none" w:sz="0" w:space="0"/>
            <w:right w:val="none" w:sz="0" w:space="0"/>
          </w:pgBorders>
          <w:pgNumType w:start="1"/>
          <w:cols w:space="720" w:num="1"/>
          <w:docGrid w:linePitch="312" w:charSpace="0"/>
        </w:sectPr>
      </w:pPr>
    </w:p>
    <w:p w14:paraId="01D9A3D7">
      <w:pPr>
        <w:pStyle w:val="27"/>
        <w:spacing w:after="120"/>
        <w:outlineLvl w:val="0"/>
        <w:rPr>
          <w:rFonts w:eastAsiaTheme="minorEastAsia"/>
          <w:snapToGrid w:val="0"/>
          <w:color w:val="auto"/>
          <w:sz w:val="30"/>
          <w:szCs w:val="30"/>
        </w:rPr>
      </w:pPr>
      <w:r>
        <w:rPr>
          <w:rFonts w:eastAsiaTheme="minorEastAsia"/>
          <w:snapToGrid w:val="0"/>
          <w:color w:val="auto"/>
          <w:sz w:val="30"/>
          <w:szCs w:val="30"/>
        </w:rPr>
        <w:t>二、建设项目工程分析</w:t>
      </w:r>
    </w:p>
    <w:tbl>
      <w:tblPr>
        <w:tblStyle w:val="31"/>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55"/>
        <w:gridCol w:w="8067"/>
      </w:tblGrid>
      <w:tr w14:paraId="1621AF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433" w:type="dxa"/>
            <w:vAlign w:val="center"/>
          </w:tcPr>
          <w:p w14:paraId="2D63345D">
            <w:pPr>
              <w:pStyle w:val="27"/>
              <w:spacing w:after="120"/>
              <w:rPr>
                <w:color w:val="auto"/>
                <w:szCs w:val="21"/>
              </w:rPr>
            </w:pPr>
            <w:r>
              <w:rPr>
                <w:color w:val="auto"/>
                <w:sz w:val="24"/>
                <w:szCs w:val="21"/>
              </w:rPr>
              <w:t>建设内容</w:t>
            </w:r>
          </w:p>
        </w:tc>
        <w:tc>
          <w:tcPr>
            <w:tcW w:w="8089" w:type="dxa"/>
          </w:tcPr>
          <w:p w14:paraId="6B19CEBF">
            <w:pPr>
              <w:pStyle w:val="68"/>
              <w:ind w:firstLine="482"/>
              <w:rPr>
                <w:rFonts w:cs="Times New Roman"/>
                <w:b/>
                <w:bCs/>
                <w:color w:val="auto"/>
              </w:rPr>
            </w:pPr>
            <w:r>
              <w:rPr>
                <w:rFonts w:cs="Times New Roman"/>
                <w:b/>
                <w:bCs/>
                <w:color w:val="auto"/>
              </w:rPr>
              <w:t>1、项目基本情况</w:t>
            </w:r>
          </w:p>
          <w:p w14:paraId="313E9B06">
            <w:pPr>
              <w:pStyle w:val="68"/>
              <w:ind w:firstLine="480"/>
              <w:rPr>
                <w:rFonts w:hint="eastAsia" w:eastAsia="宋体" w:cs="Times New Roman"/>
                <w:color w:val="auto"/>
                <w:kern w:val="2"/>
                <w:lang w:eastAsia="zh-CN"/>
              </w:rPr>
            </w:pPr>
            <w:r>
              <w:rPr>
                <w:rFonts w:cs="Times New Roman"/>
                <w:color w:val="auto"/>
              </w:rPr>
              <w:t>（1）项目名称：</w:t>
            </w:r>
            <w:r>
              <w:rPr>
                <w:rFonts w:hint="eastAsia" w:cs="Times New Roman"/>
                <w:color w:val="auto"/>
                <w:kern w:val="2"/>
                <w:lang w:eastAsia="zh-CN"/>
              </w:rPr>
              <w:t>镶黄旗查干淖尔嘎查集体经济产业发展肉类食品深加工项目</w:t>
            </w:r>
          </w:p>
          <w:p w14:paraId="08FD1B8D">
            <w:pPr>
              <w:pStyle w:val="68"/>
              <w:ind w:firstLine="480"/>
              <w:rPr>
                <w:rFonts w:cs="Times New Roman"/>
                <w:color w:val="auto"/>
              </w:rPr>
            </w:pPr>
            <w:r>
              <w:rPr>
                <w:rFonts w:cs="Times New Roman"/>
                <w:color w:val="auto"/>
              </w:rPr>
              <w:t>（2）建设性质：新建</w:t>
            </w:r>
          </w:p>
          <w:p w14:paraId="7D56F3E7">
            <w:pPr>
              <w:pStyle w:val="68"/>
              <w:ind w:firstLine="480"/>
              <w:rPr>
                <w:rFonts w:cs="Times New Roman"/>
                <w:color w:val="auto"/>
              </w:rPr>
            </w:pPr>
            <w:r>
              <w:rPr>
                <w:rFonts w:cs="Times New Roman"/>
                <w:color w:val="auto"/>
              </w:rPr>
              <w:t>（3）建设单位：</w:t>
            </w:r>
            <w:r>
              <w:rPr>
                <w:rFonts w:hint="eastAsia" w:cs="Times New Roman"/>
                <w:color w:val="auto"/>
                <w:lang w:val="en-US" w:eastAsia="zh-CN"/>
              </w:rPr>
              <w:t>锡林郭勒盟蒙润牧野食品有限公司</w:t>
            </w:r>
          </w:p>
          <w:p w14:paraId="2AC4437B">
            <w:pPr>
              <w:pStyle w:val="68"/>
              <w:keepNext w:val="0"/>
              <w:keepLines w:val="0"/>
              <w:pageBreakBefore w:val="0"/>
              <w:widowControl w:val="0"/>
              <w:kinsoku/>
              <w:wordWrap w:val="0"/>
              <w:overflowPunct/>
              <w:topLinePunct/>
              <w:autoSpaceDE/>
              <w:autoSpaceDN/>
              <w:bidi w:val="0"/>
              <w:adjustRightInd w:val="0"/>
              <w:snapToGrid w:val="0"/>
              <w:ind w:firstLine="480"/>
              <w:textAlignment w:val="auto"/>
              <w:rPr>
                <w:rFonts w:cs="Times New Roman"/>
                <w:bCs/>
                <w:color w:val="auto"/>
              </w:rPr>
            </w:pPr>
            <w:r>
              <w:rPr>
                <w:rFonts w:cs="Times New Roman"/>
                <w:bCs/>
                <w:color w:val="auto"/>
              </w:rPr>
              <w:t>（4）建设地点：位于</w:t>
            </w:r>
            <w:r>
              <w:rPr>
                <w:color w:val="auto"/>
              </w:rPr>
              <w:t>内蒙古自治区</w:t>
            </w:r>
            <w:r>
              <w:rPr>
                <w:rFonts w:hint="eastAsia"/>
                <w:color w:val="auto"/>
                <w:szCs w:val="21"/>
                <w:lang w:val="en-US" w:eastAsia="zh-CN"/>
              </w:rPr>
              <w:t>锡林郭勒盟镶黄旗新宝拉格镇</w:t>
            </w:r>
            <w:r>
              <w:rPr>
                <w:rFonts w:cs="Times New Roman"/>
                <w:bCs/>
                <w:color w:val="auto"/>
              </w:rPr>
              <w:t>，本项目中心点坐标为经度：</w:t>
            </w:r>
            <w:r>
              <w:rPr>
                <w:rFonts w:hint="default" w:cs="Times New Roman"/>
                <w:bCs/>
                <w:color w:val="auto"/>
              </w:rPr>
              <w:t>113°50′46.052″E</w:t>
            </w:r>
            <w:r>
              <w:rPr>
                <w:rFonts w:cs="Times New Roman"/>
                <w:bCs/>
                <w:color w:val="auto"/>
              </w:rPr>
              <w:t>，纬度：</w:t>
            </w:r>
            <w:r>
              <w:rPr>
                <w:rFonts w:hint="default" w:cs="Times New Roman"/>
                <w:bCs/>
                <w:color w:val="auto"/>
              </w:rPr>
              <w:t>42°14′35.67</w:t>
            </w:r>
            <w:r>
              <w:rPr>
                <w:rFonts w:hint="eastAsia" w:cs="Times New Roman"/>
                <w:bCs/>
                <w:color w:val="auto"/>
                <w:lang w:val="en-US" w:eastAsia="zh-CN"/>
              </w:rPr>
              <w:t>2</w:t>
            </w:r>
            <w:r>
              <w:rPr>
                <w:rFonts w:hint="default" w:cs="Times New Roman"/>
                <w:bCs/>
                <w:color w:val="auto"/>
              </w:rPr>
              <w:t>″</w:t>
            </w:r>
            <w:r>
              <w:rPr>
                <w:rFonts w:cs="Times New Roman"/>
                <w:bCs/>
                <w:color w:val="auto"/>
              </w:rPr>
              <w:t>N。</w:t>
            </w:r>
          </w:p>
          <w:p w14:paraId="7D31502E">
            <w:pPr>
              <w:pStyle w:val="156"/>
              <w:ind w:firstLine="480"/>
              <w:rPr>
                <w:color w:val="auto"/>
                <w:kern w:val="0"/>
              </w:rPr>
            </w:pPr>
            <w:r>
              <w:rPr>
                <w:color w:val="auto"/>
              </w:rPr>
              <w:t>（5）劳动</w:t>
            </w:r>
            <w:r>
              <w:rPr>
                <w:color w:val="auto"/>
                <w:kern w:val="0"/>
              </w:rPr>
              <w:t>定员及工作制度：本项目</w:t>
            </w:r>
            <w:r>
              <w:rPr>
                <w:color w:val="auto"/>
              </w:rPr>
              <w:t>劳动</w:t>
            </w:r>
            <w:r>
              <w:rPr>
                <w:color w:val="auto"/>
                <w:kern w:val="0"/>
              </w:rPr>
              <w:t>定员</w:t>
            </w:r>
            <w:r>
              <w:rPr>
                <w:rFonts w:hint="eastAsia"/>
                <w:color w:val="auto"/>
                <w:kern w:val="0"/>
              </w:rPr>
              <w:t>20</w:t>
            </w:r>
            <w:r>
              <w:rPr>
                <w:color w:val="auto"/>
                <w:kern w:val="0"/>
              </w:rPr>
              <w:t>名，工作制度为年工作</w:t>
            </w:r>
            <w:r>
              <w:rPr>
                <w:rFonts w:hint="eastAsia"/>
                <w:color w:val="auto"/>
                <w:kern w:val="0"/>
                <w:lang w:val="en-US" w:eastAsia="zh-CN"/>
              </w:rPr>
              <w:t>2</w:t>
            </w:r>
            <w:r>
              <w:rPr>
                <w:color w:val="auto"/>
                <w:kern w:val="0"/>
              </w:rPr>
              <w:t>6</w:t>
            </w:r>
            <w:r>
              <w:rPr>
                <w:rFonts w:hint="eastAsia"/>
                <w:color w:val="auto"/>
                <w:kern w:val="0"/>
              </w:rPr>
              <w:t>0</w:t>
            </w:r>
            <w:r>
              <w:rPr>
                <w:color w:val="auto"/>
                <w:kern w:val="0"/>
              </w:rPr>
              <w:t>天，每天工作8小时。</w:t>
            </w:r>
          </w:p>
          <w:p w14:paraId="678A9785">
            <w:pPr>
              <w:spacing w:line="360" w:lineRule="auto"/>
              <w:ind w:firstLine="480" w:firstLineChars="200"/>
              <w:rPr>
                <w:rStyle w:val="37"/>
                <w:rFonts w:hint="eastAsia" w:ascii="Times New Roman" w:hAnsi="Times New Roman" w:eastAsia="宋体" w:cs="Times New Roman"/>
                <w:color w:val="auto"/>
                <w:kern w:val="0"/>
                <w:sz w:val="24"/>
                <w:szCs w:val="20"/>
                <w:vertAlign w:val="superscript"/>
                <w:lang w:val="en-US" w:eastAsia="zh-CN"/>
              </w:rPr>
            </w:pPr>
            <w:r>
              <w:rPr>
                <w:color w:val="auto"/>
                <w:sz w:val="24"/>
              </w:rPr>
              <w:t>（6）</w:t>
            </w:r>
            <w:r>
              <w:rPr>
                <w:rFonts w:hint="default" w:ascii="Times New Roman" w:hAnsi="Times New Roman" w:cs="Times New Roman"/>
                <w:color w:val="auto"/>
                <w:sz w:val="24"/>
              </w:rPr>
              <w:t>占地面积：</w:t>
            </w:r>
            <w:r>
              <w:rPr>
                <w:rStyle w:val="37"/>
                <w:rFonts w:hint="default" w:ascii="Times New Roman" w:hAnsi="Times New Roman" w:cs="Times New Roman"/>
                <w:color w:val="auto"/>
                <w:kern w:val="0"/>
                <w:sz w:val="24"/>
                <w:lang w:val="en-US" w:eastAsia="zh-CN"/>
              </w:rPr>
              <w:t>2000</w:t>
            </w:r>
            <w:r>
              <w:rPr>
                <w:rFonts w:hint="default" w:ascii="Times New Roman" w:hAnsi="Times New Roman" w:cs="Times New Roman"/>
                <w:color w:val="auto"/>
                <w:sz w:val="24"/>
              </w:rPr>
              <w:t>m²</w:t>
            </w:r>
            <w:r>
              <w:rPr>
                <w:rFonts w:hint="eastAsia" w:cs="Times New Roman"/>
                <w:color w:val="auto"/>
                <w:sz w:val="24"/>
                <w:lang w:val="en-US" w:eastAsia="zh-CN"/>
              </w:rPr>
              <w:t>。</w:t>
            </w:r>
          </w:p>
          <w:p w14:paraId="283B4D45">
            <w:pPr>
              <w:pStyle w:val="42"/>
              <w:ind w:firstLine="480"/>
              <w:rPr>
                <w:color w:val="auto"/>
              </w:rPr>
            </w:pPr>
            <w:r>
              <w:rPr>
                <w:color w:val="auto"/>
              </w:rPr>
              <w:t>（7）总投资：项目总投资</w:t>
            </w:r>
            <w:r>
              <w:rPr>
                <w:rFonts w:hint="eastAsia"/>
                <w:color w:val="auto"/>
                <w:lang w:val="en-US" w:eastAsia="zh-CN"/>
              </w:rPr>
              <w:t>460</w:t>
            </w:r>
            <w:r>
              <w:rPr>
                <w:color w:val="auto"/>
              </w:rPr>
              <w:t>万元，其中环保投资</w:t>
            </w:r>
            <w:r>
              <w:rPr>
                <w:rFonts w:hint="eastAsia"/>
                <w:color w:val="auto"/>
                <w:lang w:val="en-US" w:eastAsia="zh-CN"/>
              </w:rPr>
              <w:t>13</w:t>
            </w:r>
            <w:r>
              <w:rPr>
                <w:color w:val="auto"/>
              </w:rPr>
              <w:t>万元，占总投资</w:t>
            </w:r>
            <w:r>
              <w:rPr>
                <w:rFonts w:hint="eastAsia"/>
                <w:color w:val="auto"/>
                <w:lang w:val="en-US" w:eastAsia="zh-CN"/>
              </w:rPr>
              <w:t>2</w:t>
            </w:r>
            <w:r>
              <w:rPr>
                <w:rFonts w:hint="eastAsia"/>
                <w:color w:val="auto"/>
              </w:rPr>
              <w:t>.8</w:t>
            </w:r>
            <w:r>
              <w:rPr>
                <w:rFonts w:hint="eastAsia"/>
                <w:color w:val="auto"/>
                <w:lang w:val="en-US" w:eastAsia="zh-CN"/>
              </w:rPr>
              <w:t>3</w:t>
            </w:r>
            <w:r>
              <w:rPr>
                <w:rFonts w:hint="eastAsia"/>
                <w:color w:val="auto"/>
              </w:rPr>
              <w:t>%</w:t>
            </w:r>
            <w:r>
              <w:rPr>
                <w:color w:val="auto"/>
              </w:rPr>
              <w:t>。</w:t>
            </w:r>
          </w:p>
          <w:p w14:paraId="0AD98062">
            <w:pPr>
              <w:pStyle w:val="156"/>
              <w:ind w:firstLine="480"/>
              <w:rPr>
                <w:color w:val="auto"/>
              </w:rPr>
            </w:pPr>
            <w:r>
              <w:rPr>
                <w:rFonts w:hint="eastAsia"/>
                <w:color w:val="auto"/>
              </w:rPr>
              <w:t>（8）</w:t>
            </w:r>
            <w:bookmarkStart w:id="4" w:name="OLE_LINK7"/>
            <w:r>
              <w:rPr>
                <w:rFonts w:hint="eastAsia"/>
                <w:color w:val="auto"/>
              </w:rPr>
              <w:t>建设规模：新建</w:t>
            </w:r>
            <w:r>
              <w:rPr>
                <w:rFonts w:hint="eastAsia"/>
                <w:color w:val="auto"/>
                <w:lang w:val="en-US" w:eastAsia="zh-CN"/>
              </w:rPr>
              <w:t>一条年产300万罐</w:t>
            </w:r>
            <w:r>
              <w:rPr>
                <w:rFonts w:hint="eastAsia"/>
                <w:color w:val="auto"/>
              </w:rPr>
              <w:t>牛羊肉</w:t>
            </w:r>
            <w:r>
              <w:rPr>
                <w:rFonts w:hint="eastAsia"/>
                <w:color w:val="auto"/>
                <w:lang w:val="en-US" w:eastAsia="zh-CN"/>
              </w:rPr>
              <w:t>罐头</w:t>
            </w:r>
            <w:r>
              <w:rPr>
                <w:rFonts w:hint="eastAsia"/>
                <w:color w:val="auto"/>
              </w:rPr>
              <w:t>生产线，</w:t>
            </w:r>
            <w:r>
              <w:rPr>
                <w:rFonts w:hint="eastAsia"/>
                <w:color w:val="auto"/>
                <w:lang w:val="en-US" w:eastAsia="zh-CN"/>
              </w:rPr>
              <w:t>一条年产100吨牛肉干生产线，</w:t>
            </w:r>
            <w:r>
              <w:rPr>
                <w:rFonts w:hint="eastAsia"/>
                <w:color w:val="auto"/>
              </w:rPr>
              <w:t>共2条生产线。</w:t>
            </w:r>
            <w:bookmarkEnd w:id="4"/>
          </w:p>
          <w:p w14:paraId="56C92F08">
            <w:pPr>
              <w:pStyle w:val="68"/>
              <w:numPr>
                <w:ilvl w:val="0"/>
                <w:numId w:val="3"/>
              </w:numPr>
              <w:ind w:firstLine="482"/>
              <w:rPr>
                <w:rFonts w:cs="Times New Roman"/>
                <w:b/>
                <w:color w:val="auto"/>
              </w:rPr>
            </w:pPr>
            <w:r>
              <w:rPr>
                <w:rFonts w:cs="Times New Roman"/>
                <w:b/>
                <w:color w:val="auto"/>
              </w:rPr>
              <w:t>工程建设内容</w:t>
            </w:r>
          </w:p>
          <w:p w14:paraId="1964BECD">
            <w:pPr>
              <w:pStyle w:val="68"/>
              <w:ind w:firstLine="480"/>
              <w:rPr>
                <w:rFonts w:cs="Times New Roman"/>
                <w:color w:val="auto"/>
                <w:szCs w:val="20"/>
              </w:rPr>
            </w:pPr>
            <w:r>
              <w:rPr>
                <w:rFonts w:hint="eastAsia" w:cs="Times New Roman"/>
                <w:color w:val="auto"/>
              </w:rPr>
              <w:t>本项目主要建设内容为，新建</w:t>
            </w:r>
            <w:r>
              <w:rPr>
                <w:rFonts w:hint="eastAsia" w:cs="Times New Roman"/>
                <w:color w:val="auto"/>
                <w:lang w:val="en-US" w:eastAsia="zh-CN"/>
              </w:rPr>
              <w:t>烘干间、风干间、蒸煮间、高温灭菌间等</w:t>
            </w:r>
            <w:r>
              <w:rPr>
                <w:rFonts w:hint="eastAsia" w:cs="Times New Roman"/>
                <w:color w:val="auto"/>
              </w:rPr>
              <w:t>车间、冷库</w:t>
            </w:r>
            <w:r>
              <w:rPr>
                <w:rFonts w:hint="eastAsia"/>
                <w:bCs/>
                <w:color w:val="auto"/>
              </w:rPr>
              <w:t>及相关配套辅助设施</w:t>
            </w:r>
            <w:r>
              <w:rPr>
                <w:rFonts w:hint="eastAsia" w:cs="Times New Roman"/>
                <w:color w:val="auto"/>
              </w:rPr>
              <w:t>。</w:t>
            </w:r>
            <w:r>
              <w:rPr>
                <w:rFonts w:cs="Times New Roman"/>
                <w:color w:val="auto"/>
              </w:rPr>
              <w:t>建设</w:t>
            </w:r>
            <w:r>
              <w:rPr>
                <w:rFonts w:cs="Times New Roman"/>
                <w:color w:val="auto"/>
                <w:szCs w:val="20"/>
              </w:rPr>
              <w:t>项目具体组成</w:t>
            </w:r>
            <w:r>
              <w:rPr>
                <w:rFonts w:hint="eastAsia" w:cs="Times New Roman"/>
                <w:color w:val="auto"/>
                <w:szCs w:val="20"/>
                <w:lang w:eastAsia="zh-CN"/>
              </w:rPr>
              <w:t>详见</w:t>
            </w:r>
            <w:r>
              <w:rPr>
                <w:rFonts w:cs="Times New Roman"/>
                <w:color w:val="auto"/>
                <w:szCs w:val="20"/>
              </w:rPr>
              <w:t>表2-</w:t>
            </w:r>
            <w:r>
              <w:rPr>
                <w:rFonts w:hint="eastAsia" w:cs="Times New Roman"/>
                <w:color w:val="auto"/>
                <w:szCs w:val="20"/>
              </w:rPr>
              <w:t>1</w:t>
            </w:r>
            <w:r>
              <w:rPr>
                <w:rFonts w:cs="Times New Roman"/>
                <w:color w:val="auto"/>
                <w:szCs w:val="20"/>
              </w:rPr>
              <w:t>。</w:t>
            </w:r>
          </w:p>
          <w:p w14:paraId="00D42A63">
            <w:pPr>
              <w:pStyle w:val="70"/>
              <w:keepNext w:val="0"/>
              <w:keepLines w:val="0"/>
              <w:pageBreakBefore w:val="0"/>
              <w:widowControl w:val="0"/>
              <w:kinsoku/>
              <w:wordWrap/>
              <w:overflowPunct w:val="0"/>
              <w:topLinePunct w:val="0"/>
              <w:autoSpaceDE w:val="0"/>
              <w:autoSpaceDN w:val="0"/>
              <w:bidi w:val="0"/>
              <w:adjustRightInd w:val="0"/>
              <w:snapToGrid w:val="0"/>
              <w:spacing w:before="0" w:beforeLines="0" w:line="360" w:lineRule="auto"/>
              <w:jc w:val="center"/>
              <w:textAlignment w:val="auto"/>
              <w:rPr>
                <w:color w:val="auto"/>
              </w:rPr>
            </w:pPr>
            <w:r>
              <w:rPr>
                <w:color w:val="auto"/>
              </w:rPr>
              <w:t>表2-</w:t>
            </w:r>
            <w:r>
              <w:rPr>
                <w:rFonts w:hint="eastAsia"/>
                <w:color w:val="auto"/>
              </w:rPr>
              <w:t>1</w:t>
            </w:r>
            <w:r>
              <w:rPr>
                <w:rFonts w:hint="eastAsia"/>
                <w:color w:val="auto"/>
                <w:lang w:val="en-US" w:eastAsia="zh-CN"/>
              </w:rPr>
              <w:t xml:space="preserve">  </w:t>
            </w:r>
            <w:r>
              <w:rPr>
                <w:color w:val="auto"/>
              </w:rPr>
              <w:t>项目组成一览表</w:t>
            </w:r>
          </w:p>
          <w:tbl>
            <w:tblPr>
              <w:tblStyle w:val="124"/>
              <w:tblW w:w="498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426"/>
              <w:gridCol w:w="426"/>
              <w:gridCol w:w="1062"/>
              <w:gridCol w:w="4815"/>
              <w:gridCol w:w="661"/>
            </w:tblGrid>
            <w:tr w14:paraId="05381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496" w:type="pct"/>
                  <w:gridSpan w:val="4"/>
                  <w:tcBorders>
                    <w:tl2br w:val="nil"/>
                    <w:tr2bl w:val="nil"/>
                  </w:tcBorders>
                  <w:vAlign w:val="center"/>
                </w:tcPr>
                <w:p w14:paraId="49EDDF9B">
                  <w:pPr>
                    <w:pStyle w:val="69"/>
                    <w:jc w:val="center"/>
                    <w:rPr>
                      <w:color w:val="auto"/>
                    </w:rPr>
                  </w:pPr>
                  <w:r>
                    <w:rPr>
                      <w:color w:val="auto"/>
                    </w:rPr>
                    <w:t>建设内容</w:t>
                  </w:r>
                </w:p>
              </w:tc>
              <w:tc>
                <w:tcPr>
                  <w:tcW w:w="3079" w:type="pct"/>
                  <w:tcBorders>
                    <w:tl2br w:val="nil"/>
                    <w:tr2bl w:val="nil"/>
                  </w:tcBorders>
                  <w:vAlign w:val="center"/>
                </w:tcPr>
                <w:p w14:paraId="2D004521">
                  <w:pPr>
                    <w:pStyle w:val="69"/>
                    <w:jc w:val="center"/>
                    <w:rPr>
                      <w:color w:val="auto"/>
                    </w:rPr>
                  </w:pPr>
                  <w:r>
                    <w:rPr>
                      <w:color w:val="auto"/>
                    </w:rPr>
                    <w:t>主要工程建设内容及规模。</w:t>
                  </w:r>
                </w:p>
              </w:tc>
              <w:tc>
                <w:tcPr>
                  <w:tcW w:w="423" w:type="pct"/>
                  <w:tcBorders>
                    <w:tl2br w:val="nil"/>
                    <w:tr2bl w:val="nil"/>
                  </w:tcBorders>
                  <w:vAlign w:val="center"/>
                </w:tcPr>
                <w:p w14:paraId="57A6828B">
                  <w:pPr>
                    <w:pStyle w:val="69"/>
                    <w:jc w:val="center"/>
                    <w:rPr>
                      <w:color w:val="auto"/>
                    </w:rPr>
                  </w:pPr>
                  <w:r>
                    <w:rPr>
                      <w:color w:val="auto"/>
                    </w:rPr>
                    <w:t>备注</w:t>
                  </w:r>
                </w:p>
              </w:tc>
            </w:tr>
            <w:tr w14:paraId="1CA34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restart"/>
                  <w:tcBorders>
                    <w:tl2br w:val="nil"/>
                    <w:tr2bl w:val="nil"/>
                  </w:tcBorders>
                  <w:vAlign w:val="center"/>
                </w:tcPr>
                <w:p w14:paraId="7EFE23D2">
                  <w:pPr>
                    <w:pStyle w:val="69"/>
                    <w:rPr>
                      <w:color w:val="auto"/>
                    </w:rPr>
                  </w:pPr>
                  <w:r>
                    <w:rPr>
                      <w:color w:val="auto"/>
                    </w:rPr>
                    <w:t>主体工程</w:t>
                  </w:r>
                </w:p>
              </w:tc>
              <w:tc>
                <w:tcPr>
                  <w:tcW w:w="272" w:type="pct"/>
                  <w:vMerge w:val="restart"/>
                  <w:tcBorders>
                    <w:tl2br w:val="nil"/>
                    <w:tr2bl w:val="nil"/>
                  </w:tcBorders>
                  <w:vAlign w:val="center"/>
                </w:tcPr>
                <w:p w14:paraId="1BF51F09">
                  <w:pPr>
                    <w:pStyle w:val="69"/>
                    <w:jc w:val="center"/>
                    <w:rPr>
                      <w:rFonts w:hint="default" w:eastAsia="宋体"/>
                      <w:color w:val="auto"/>
                      <w:lang w:val="en-US" w:eastAsia="zh-CN"/>
                    </w:rPr>
                  </w:pPr>
                  <w:r>
                    <w:rPr>
                      <w:rFonts w:hint="eastAsia"/>
                      <w:color w:val="auto"/>
                      <w:lang w:val="en-US" w:eastAsia="zh-CN"/>
                    </w:rPr>
                    <w:t>生产区</w:t>
                  </w:r>
                </w:p>
              </w:tc>
              <w:tc>
                <w:tcPr>
                  <w:tcW w:w="951" w:type="pct"/>
                  <w:gridSpan w:val="2"/>
                  <w:tcBorders>
                    <w:tl2br w:val="nil"/>
                    <w:tr2bl w:val="nil"/>
                  </w:tcBorders>
                  <w:shd w:val="clear" w:color="auto" w:fill="auto"/>
                  <w:vAlign w:val="center"/>
                </w:tcPr>
                <w:p w14:paraId="38B8D6BE">
                  <w:pPr>
                    <w:pStyle w:val="69"/>
                    <w:jc w:val="center"/>
                    <w:rPr>
                      <w:rFonts w:hint="eastAsia"/>
                      <w:color w:val="auto"/>
                      <w:lang w:val="en-US" w:eastAsia="zh-CN"/>
                    </w:rPr>
                  </w:pPr>
                  <w:r>
                    <w:rPr>
                      <w:rFonts w:hint="eastAsia"/>
                      <w:color w:val="auto"/>
                      <w:lang w:val="en-US" w:eastAsia="zh-CN"/>
                    </w:rPr>
                    <w:t>预煮间</w:t>
                  </w:r>
                </w:p>
              </w:tc>
              <w:tc>
                <w:tcPr>
                  <w:tcW w:w="3079" w:type="pct"/>
                  <w:tcBorders>
                    <w:tl2br w:val="nil"/>
                    <w:tr2bl w:val="nil"/>
                  </w:tcBorders>
                  <w:shd w:val="clear" w:color="auto" w:fill="auto"/>
                  <w:vAlign w:val="center"/>
                </w:tcPr>
                <w:p w14:paraId="5301C749">
                  <w:pPr>
                    <w:jc w:val="both"/>
                    <w:rPr>
                      <w:rFonts w:hint="eastAsia"/>
                      <w:color w:val="auto"/>
                      <w:sz w:val="21"/>
                      <w:szCs w:val="21"/>
                      <w:lang w:val="en-US" w:eastAsia="zh-CN"/>
                    </w:rPr>
                  </w:pPr>
                  <w:r>
                    <w:rPr>
                      <w:rFonts w:hint="eastAsia"/>
                      <w:color w:val="auto"/>
                      <w:szCs w:val="21"/>
                      <w:lang w:val="en-US" w:eastAsia="zh-CN"/>
                    </w:rPr>
                    <w:t>面积为56m</w:t>
                  </w:r>
                  <w:r>
                    <w:rPr>
                      <w:rFonts w:hint="eastAsia"/>
                      <w:color w:val="auto"/>
                      <w:szCs w:val="21"/>
                      <w:vertAlign w:val="superscript"/>
                      <w:lang w:val="en-US" w:eastAsia="zh-CN"/>
                    </w:rPr>
                    <w:t>2</w:t>
                  </w:r>
                  <w:r>
                    <w:rPr>
                      <w:rFonts w:hint="eastAsia"/>
                      <w:color w:val="auto"/>
                      <w:szCs w:val="21"/>
                      <w:lang w:val="en-US" w:eastAsia="zh-CN"/>
                    </w:rPr>
                    <w:t>，主要用于对预处理后的原料进行蒸煮，使原料初步熟化，并进行一定程度的杀菌。</w:t>
                  </w:r>
                </w:p>
              </w:tc>
              <w:tc>
                <w:tcPr>
                  <w:tcW w:w="423" w:type="pct"/>
                  <w:tcBorders>
                    <w:tl2br w:val="nil"/>
                    <w:tr2bl w:val="nil"/>
                  </w:tcBorders>
                  <w:vAlign w:val="center"/>
                </w:tcPr>
                <w:p w14:paraId="6A14421D">
                  <w:pPr>
                    <w:jc w:val="center"/>
                    <w:rPr>
                      <w:color w:val="auto"/>
                    </w:rPr>
                  </w:pPr>
                  <w:r>
                    <w:rPr>
                      <w:color w:val="auto"/>
                    </w:rPr>
                    <w:t>新建</w:t>
                  </w:r>
                </w:p>
              </w:tc>
            </w:tr>
            <w:tr w14:paraId="77F22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042557B2">
                  <w:pPr>
                    <w:pStyle w:val="69"/>
                    <w:rPr>
                      <w:color w:val="auto"/>
                    </w:rPr>
                  </w:pPr>
                </w:p>
              </w:tc>
              <w:tc>
                <w:tcPr>
                  <w:tcW w:w="272" w:type="pct"/>
                  <w:vMerge w:val="continue"/>
                  <w:tcBorders>
                    <w:tl2br w:val="nil"/>
                    <w:tr2bl w:val="nil"/>
                  </w:tcBorders>
                  <w:vAlign w:val="center"/>
                </w:tcPr>
                <w:p w14:paraId="22CD2081">
                  <w:pPr>
                    <w:pStyle w:val="69"/>
                    <w:jc w:val="center"/>
                    <w:rPr>
                      <w:rFonts w:hint="eastAsia"/>
                      <w:color w:val="auto"/>
                      <w:lang w:val="en-US" w:eastAsia="zh-CN"/>
                    </w:rPr>
                  </w:pPr>
                </w:p>
              </w:tc>
              <w:tc>
                <w:tcPr>
                  <w:tcW w:w="951" w:type="pct"/>
                  <w:gridSpan w:val="2"/>
                  <w:tcBorders>
                    <w:tl2br w:val="nil"/>
                    <w:tr2bl w:val="nil"/>
                  </w:tcBorders>
                  <w:shd w:val="clear" w:color="auto" w:fill="auto"/>
                  <w:vAlign w:val="center"/>
                </w:tcPr>
                <w:p w14:paraId="5478D8E2">
                  <w:pPr>
                    <w:pStyle w:val="69"/>
                    <w:jc w:val="center"/>
                    <w:rPr>
                      <w:rFonts w:hint="eastAsia" w:ascii="Times New Roman" w:hAnsi="Times New Roman" w:eastAsia="宋体" w:cs="Times New Roman"/>
                      <w:color w:val="auto"/>
                      <w:kern w:val="0"/>
                      <w:sz w:val="21"/>
                      <w:szCs w:val="21"/>
                      <w:lang w:val="en-US" w:eastAsia="zh-CN" w:bidi="ar-SA"/>
                    </w:rPr>
                  </w:pPr>
                  <w:r>
                    <w:rPr>
                      <w:rFonts w:hint="eastAsia"/>
                      <w:color w:val="auto"/>
                      <w:lang w:val="en-US" w:eastAsia="zh-CN"/>
                    </w:rPr>
                    <w:t>罐头灌装车间</w:t>
                  </w:r>
                </w:p>
              </w:tc>
              <w:tc>
                <w:tcPr>
                  <w:tcW w:w="3079" w:type="pct"/>
                  <w:tcBorders>
                    <w:tl2br w:val="nil"/>
                    <w:tr2bl w:val="nil"/>
                  </w:tcBorders>
                  <w:shd w:val="clear" w:color="auto" w:fill="auto"/>
                  <w:vAlign w:val="center"/>
                </w:tcPr>
                <w:p w14:paraId="4CEFCEB8">
                  <w:pPr>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面积为16m</w:t>
                  </w:r>
                  <w:r>
                    <w:rPr>
                      <w:rFonts w:hint="eastAsia"/>
                      <w:color w:val="auto"/>
                      <w:szCs w:val="21"/>
                      <w:vertAlign w:val="superscript"/>
                      <w:lang w:val="en-US" w:eastAsia="zh-CN"/>
                    </w:rPr>
                    <w:t>2</w:t>
                  </w:r>
                  <w:r>
                    <w:rPr>
                      <w:rFonts w:hint="eastAsia"/>
                      <w:color w:val="auto"/>
                      <w:szCs w:val="21"/>
                      <w:lang w:val="en-US" w:eastAsia="zh-CN"/>
                    </w:rPr>
                    <w:t>，主要用于将熟制后的牛羊肉及汤汁等按照一定比例和工艺要求装入罐头容器中。</w:t>
                  </w:r>
                </w:p>
              </w:tc>
              <w:tc>
                <w:tcPr>
                  <w:tcW w:w="423" w:type="pct"/>
                  <w:tcBorders>
                    <w:tl2br w:val="nil"/>
                    <w:tr2bl w:val="nil"/>
                  </w:tcBorders>
                  <w:shd w:val="clear" w:color="auto" w:fill="auto"/>
                  <w:vAlign w:val="center"/>
                </w:tcPr>
                <w:p w14:paraId="2E978E2C">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45FDB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647A8B14">
                  <w:pPr>
                    <w:pStyle w:val="69"/>
                    <w:rPr>
                      <w:color w:val="auto"/>
                    </w:rPr>
                  </w:pPr>
                </w:p>
              </w:tc>
              <w:tc>
                <w:tcPr>
                  <w:tcW w:w="272" w:type="pct"/>
                  <w:vMerge w:val="continue"/>
                  <w:tcBorders>
                    <w:tl2br w:val="nil"/>
                    <w:tr2bl w:val="nil"/>
                  </w:tcBorders>
                  <w:vAlign w:val="center"/>
                </w:tcPr>
                <w:p w14:paraId="63F1395A">
                  <w:pPr>
                    <w:pStyle w:val="69"/>
                    <w:jc w:val="center"/>
                    <w:rPr>
                      <w:rFonts w:hint="eastAsia"/>
                      <w:color w:val="auto"/>
                      <w:lang w:val="en-US" w:eastAsia="zh-CN"/>
                    </w:rPr>
                  </w:pPr>
                </w:p>
              </w:tc>
              <w:tc>
                <w:tcPr>
                  <w:tcW w:w="951" w:type="pct"/>
                  <w:gridSpan w:val="2"/>
                  <w:tcBorders>
                    <w:tl2br w:val="nil"/>
                    <w:tr2bl w:val="nil"/>
                  </w:tcBorders>
                  <w:shd w:val="clear" w:color="auto" w:fill="auto"/>
                  <w:vAlign w:val="center"/>
                </w:tcPr>
                <w:p w14:paraId="39DA3796">
                  <w:pPr>
                    <w:pStyle w:val="69"/>
                    <w:jc w:val="center"/>
                    <w:rPr>
                      <w:rFonts w:hint="eastAsia" w:ascii="Times New Roman" w:hAnsi="Times New Roman" w:eastAsia="宋体" w:cs="Times New Roman"/>
                      <w:color w:val="auto"/>
                      <w:kern w:val="0"/>
                      <w:sz w:val="21"/>
                      <w:szCs w:val="21"/>
                      <w:lang w:val="en-US" w:eastAsia="zh-CN" w:bidi="ar-SA"/>
                    </w:rPr>
                  </w:pPr>
                  <w:r>
                    <w:rPr>
                      <w:rFonts w:hint="eastAsia"/>
                      <w:color w:val="auto"/>
                      <w:lang w:val="en-US" w:eastAsia="zh-CN"/>
                    </w:rPr>
                    <w:t>罐头调配车间</w:t>
                  </w:r>
                </w:p>
              </w:tc>
              <w:tc>
                <w:tcPr>
                  <w:tcW w:w="3079" w:type="pct"/>
                  <w:tcBorders>
                    <w:tl2br w:val="nil"/>
                    <w:tr2bl w:val="nil"/>
                  </w:tcBorders>
                  <w:shd w:val="clear" w:color="auto" w:fill="auto"/>
                  <w:vAlign w:val="center"/>
                </w:tcPr>
                <w:p w14:paraId="797B441C">
                  <w:pPr>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面积为16m</w:t>
                  </w:r>
                  <w:r>
                    <w:rPr>
                      <w:rFonts w:hint="eastAsia"/>
                      <w:color w:val="auto"/>
                      <w:szCs w:val="21"/>
                      <w:vertAlign w:val="superscript"/>
                      <w:lang w:val="en-US" w:eastAsia="zh-CN"/>
                    </w:rPr>
                    <w:t>2</w:t>
                  </w:r>
                  <w:r>
                    <w:rPr>
                      <w:rFonts w:hint="eastAsia"/>
                      <w:color w:val="auto"/>
                      <w:szCs w:val="21"/>
                      <w:lang w:val="en-US" w:eastAsia="zh-CN"/>
                    </w:rPr>
                    <w:t>，调配罐头产品的内容物，控制风味和成分比例。</w:t>
                  </w:r>
                </w:p>
              </w:tc>
              <w:tc>
                <w:tcPr>
                  <w:tcW w:w="423" w:type="pct"/>
                  <w:tcBorders>
                    <w:tl2br w:val="nil"/>
                    <w:tr2bl w:val="nil"/>
                  </w:tcBorders>
                  <w:shd w:val="clear" w:color="auto" w:fill="auto"/>
                  <w:vAlign w:val="center"/>
                </w:tcPr>
                <w:p w14:paraId="78F1BA5C">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0618F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0D6473F5">
                  <w:pPr>
                    <w:pStyle w:val="69"/>
                    <w:rPr>
                      <w:color w:val="auto"/>
                    </w:rPr>
                  </w:pPr>
                </w:p>
              </w:tc>
              <w:tc>
                <w:tcPr>
                  <w:tcW w:w="272" w:type="pct"/>
                  <w:vMerge w:val="continue"/>
                  <w:tcBorders>
                    <w:tl2br w:val="nil"/>
                    <w:tr2bl w:val="nil"/>
                  </w:tcBorders>
                  <w:vAlign w:val="center"/>
                </w:tcPr>
                <w:p w14:paraId="344CA021">
                  <w:pPr>
                    <w:pStyle w:val="69"/>
                    <w:jc w:val="center"/>
                    <w:rPr>
                      <w:rFonts w:hint="default" w:eastAsia="宋体"/>
                      <w:color w:val="auto"/>
                      <w:lang w:val="en-US" w:eastAsia="zh-CN"/>
                    </w:rPr>
                  </w:pPr>
                </w:p>
              </w:tc>
              <w:tc>
                <w:tcPr>
                  <w:tcW w:w="951" w:type="pct"/>
                  <w:gridSpan w:val="2"/>
                  <w:tcBorders>
                    <w:tl2br w:val="nil"/>
                    <w:tr2bl w:val="nil"/>
                  </w:tcBorders>
                  <w:shd w:val="clear" w:color="auto" w:fill="auto"/>
                  <w:vAlign w:val="center"/>
                </w:tcPr>
                <w:p w14:paraId="3D30FA0C">
                  <w:pPr>
                    <w:pStyle w:val="69"/>
                    <w:jc w:val="center"/>
                    <w:rPr>
                      <w:rFonts w:hint="eastAsia" w:ascii="Times New Roman" w:hAnsi="Times New Roman" w:eastAsia="宋体" w:cs="Times New Roman"/>
                      <w:color w:val="auto"/>
                      <w:kern w:val="0"/>
                      <w:sz w:val="21"/>
                      <w:szCs w:val="21"/>
                      <w:lang w:val="en-US" w:eastAsia="zh-CN" w:bidi="ar-SA"/>
                    </w:rPr>
                  </w:pPr>
                  <w:r>
                    <w:rPr>
                      <w:rFonts w:hint="eastAsia"/>
                      <w:color w:val="auto"/>
                      <w:lang w:val="en-US" w:eastAsia="zh-CN"/>
                    </w:rPr>
                    <w:t>熟制间</w:t>
                  </w:r>
                </w:p>
              </w:tc>
              <w:tc>
                <w:tcPr>
                  <w:tcW w:w="3079" w:type="pct"/>
                  <w:tcBorders>
                    <w:tl2br w:val="nil"/>
                    <w:tr2bl w:val="nil"/>
                  </w:tcBorders>
                  <w:shd w:val="clear" w:color="auto" w:fill="auto"/>
                  <w:vAlign w:val="center"/>
                </w:tcPr>
                <w:p w14:paraId="5423FFFA">
                  <w:pPr>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面积为32m</w:t>
                  </w:r>
                  <w:r>
                    <w:rPr>
                      <w:rFonts w:hint="eastAsia"/>
                      <w:color w:val="auto"/>
                      <w:szCs w:val="21"/>
                      <w:vertAlign w:val="superscript"/>
                      <w:lang w:val="en-US" w:eastAsia="zh-CN"/>
                    </w:rPr>
                    <w:t>2</w:t>
                  </w:r>
                  <w:r>
                    <w:rPr>
                      <w:rFonts w:hint="eastAsia"/>
                      <w:color w:val="auto"/>
                      <w:szCs w:val="21"/>
                      <w:lang w:val="en-US" w:eastAsia="zh-CN"/>
                    </w:rPr>
                    <w:t>，对物料进行充分加热熟制，杀灭致病菌和腐败菌，使产品达到规定的熟制程度。</w:t>
                  </w:r>
                </w:p>
              </w:tc>
              <w:tc>
                <w:tcPr>
                  <w:tcW w:w="423" w:type="pct"/>
                  <w:tcBorders>
                    <w:tl2br w:val="nil"/>
                    <w:tr2bl w:val="nil"/>
                  </w:tcBorders>
                  <w:shd w:val="clear" w:color="auto" w:fill="auto"/>
                  <w:vAlign w:val="center"/>
                </w:tcPr>
                <w:p w14:paraId="794E0635">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79533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46EFA848">
                  <w:pPr>
                    <w:pStyle w:val="69"/>
                    <w:rPr>
                      <w:color w:val="auto"/>
                    </w:rPr>
                  </w:pPr>
                </w:p>
              </w:tc>
              <w:tc>
                <w:tcPr>
                  <w:tcW w:w="272" w:type="pct"/>
                  <w:vMerge w:val="continue"/>
                  <w:tcBorders>
                    <w:tl2br w:val="nil"/>
                    <w:tr2bl w:val="nil"/>
                  </w:tcBorders>
                  <w:vAlign w:val="center"/>
                </w:tcPr>
                <w:p w14:paraId="66BA5E48">
                  <w:pPr>
                    <w:pStyle w:val="69"/>
                    <w:jc w:val="center"/>
                    <w:rPr>
                      <w:rFonts w:hint="default" w:eastAsia="宋体"/>
                      <w:color w:val="auto"/>
                      <w:lang w:val="en-US" w:eastAsia="zh-CN"/>
                    </w:rPr>
                  </w:pPr>
                </w:p>
              </w:tc>
              <w:tc>
                <w:tcPr>
                  <w:tcW w:w="951" w:type="pct"/>
                  <w:gridSpan w:val="2"/>
                  <w:tcBorders>
                    <w:tl2br w:val="nil"/>
                    <w:tr2bl w:val="nil"/>
                  </w:tcBorders>
                  <w:shd w:val="clear" w:color="auto" w:fill="auto"/>
                  <w:vAlign w:val="center"/>
                </w:tcPr>
                <w:p w14:paraId="754D52FA">
                  <w:pPr>
                    <w:pStyle w:val="69"/>
                    <w:jc w:val="center"/>
                    <w:rPr>
                      <w:rFonts w:hint="default" w:ascii="Times New Roman" w:hAnsi="Times New Roman" w:eastAsia="宋体" w:cs="Times New Roman"/>
                      <w:color w:val="auto"/>
                      <w:kern w:val="0"/>
                      <w:sz w:val="21"/>
                      <w:szCs w:val="21"/>
                      <w:lang w:val="en-US" w:eastAsia="zh-CN" w:bidi="ar-SA"/>
                    </w:rPr>
                  </w:pPr>
                  <w:r>
                    <w:rPr>
                      <w:rFonts w:hint="eastAsia"/>
                      <w:color w:val="auto"/>
                      <w:lang w:val="en-US" w:eastAsia="zh-CN"/>
                    </w:rPr>
                    <w:t>烘干间</w:t>
                  </w:r>
                </w:p>
              </w:tc>
              <w:tc>
                <w:tcPr>
                  <w:tcW w:w="3079" w:type="pct"/>
                  <w:tcBorders>
                    <w:tl2br w:val="nil"/>
                    <w:tr2bl w:val="nil"/>
                  </w:tcBorders>
                  <w:shd w:val="clear" w:color="auto" w:fill="auto"/>
                  <w:vAlign w:val="center"/>
                </w:tcPr>
                <w:p w14:paraId="37CD2DDD">
                  <w:pPr>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面积为56m</w:t>
                  </w:r>
                  <w:r>
                    <w:rPr>
                      <w:rFonts w:hint="eastAsia"/>
                      <w:color w:val="auto"/>
                      <w:szCs w:val="21"/>
                      <w:vertAlign w:val="superscript"/>
                      <w:lang w:val="en-US" w:eastAsia="zh-CN"/>
                    </w:rPr>
                    <w:t>2</w:t>
                  </w:r>
                  <w:r>
                    <w:rPr>
                      <w:rFonts w:hint="eastAsia"/>
                      <w:color w:val="auto"/>
                      <w:szCs w:val="21"/>
                      <w:lang w:val="en-US" w:eastAsia="zh-CN"/>
                    </w:rPr>
                    <w:t>，主要对适合制成牛肉干的原料进行深度干燥处理，使其达到规定的水分含量标准，形成牛肉干产品。</w:t>
                  </w:r>
                </w:p>
              </w:tc>
              <w:tc>
                <w:tcPr>
                  <w:tcW w:w="423" w:type="pct"/>
                  <w:tcBorders>
                    <w:tl2br w:val="nil"/>
                    <w:tr2bl w:val="nil"/>
                  </w:tcBorders>
                  <w:shd w:val="clear" w:color="auto" w:fill="auto"/>
                  <w:vAlign w:val="center"/>
                </w:tcPr>
                <w:p w14:paraId="6E96C0D7">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5C454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6F9D1141">
                  <w:pPr>
                    <w:pStyle w:val="69"/>
                    <w:rPr>
                      <w:color w:val="auto"/>
                    </w:rPr>
                  </w:pPr>
                </w:p>
              </w:tc>
              <w:tc>
                <w:tcPr>
                  <w:tcW w:w="272" w:type="pct"/>
                  <w:vMerge w:val="continue"/>
                  <w:tcBorders>
                    <w:tl2br w:val="nil"/>
                    <w:tr2bl w:val="nil"/>
                  </w:tcBorders>
                  <w:vAlign w:val="center"/>
                </w:tcPr>
                <w:p w14:paraId="0E2AC2C7">
                  <w:pPr>
                    <w:pStyle w:val="69"/>
                    <w:jc w:val="center"/>
                    <w:rPr>
                      <w:rFonts w:hint="default" w:eastAsia="宋体"/>
                      <w:color w:val="auto"/>
                      <w:lang w:val="en-US" w:eastAsia="zh-CN"/>
                    </w:rPr>
                  </w:pPr>
                </w:p>
              </w:tc>
              <w:tc>
                <w:tcPr>
                  <w:tcW w:w="951" w:type="pct"/>
                  <w:gridSpan w:val="2"/>
                  <w:tcBorders>
                    <w:tl2br w:val="nil"/>
                    <w:tr2bl w:val="nil"/>
                  </w:tcBorders>
                  <w:shd w:val="clear" w:color="auto" w:fill="auto"/>
                  <w:vAlign w:val="center"/>
                </w:tcPr>
                <w:p w14:paraId="5180D208">
                  <w:pPr>
                    <w:pStyle w:val="69"/>
                    <w:jc w:val="center"/>
                    <w:rPr>
                      <w:rFonts w:hint="eastAsia" w:ascii="Times New Roman" w:hAnsi="Times New Roman" w:eastAsia="宋体" w:cs="Times New Roman"/>
                      <w:color w:val="auto"/>
                      <w:kern w:val="0"/>
                      <w:sz w:val="21"/>
                      <w:szCs w:val="21"/>
                      <w:lang w:val="en-US" w:eastAsia="zh-CN" w:bidi="ar-SA"/>
                    </w:rPr>
                  </w:pPr>
                  <w:r>
                    <w:rPr>
                      <w:rFonts w:hint="eastAsia"/>
                      <w:color w:val="auto"/>
                      <w:lang w:val="en-US" w:eastAsia="zh-CN"/>
                    </w:rPr>
                    <w:t>风干晾晒间</w:t>
                  </w:r>
                </w:p>
              </w:tc>
              <w:tc>
                <w:tcPr>
                  <w:tcW w:w="3079" w:type="pct"/>
                  <w:tcBorders>
                    <w:tl2br w:val="nil"/>
                    <w:tr2bl w:val="nil"/>
                  </w:tcBorders>
                  <w:shd w:val="clear" w:color="auto" w:fill="auto"/>
                  <w:vAlign w:val="center"/>
                </w:tcPr>
                <w:p w14:paraId="467EB657">
                  <w:pPr>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面积为112m</w:t>
                  </w:r>
                  <w:r>
                    <w:rPr>
                      <w:rFonts w:hint="eastAsia"/>
                      <w:color w:val="auto"/>
                      <w:szCs w:val="21"/>
                      <w:vertAlign w:val="superscript"/>
                      <w:lang w:val="en-US" w:eastAsia="zh-CN"/>
                    </w:rPr>
                    <w:t>2</w:t>
                  </w:r>
                  <w:r>
                    <w:rPr>
                      <w:rFonts w:hint="eastAsia"/>
                      <w:color w:val="auto"/>
                      <w:szCs w:val="21"/>
                      <w:lang w:val="en-US" w:eastAsia="zh-CN"/>
                    </w:rPr>
                    <w:t>，主要通过通风设备加速空气流动，为烘干做准备。</w:t>
                  </w:r>
                </w:p>
              </w:tc>
              <w:tc>
                <w:tcPr>
                  <w:tcW w:w="423" w:type="pct"/>
                  <w:tcBorders>
                    <w:tl2br w:val="nil"/>
                    <w:tr2bl w:val="nil"/>
                  </w:tcBorders>
                  <w:shd w:val="clear" w:color="auto" w:fill="auto"/>
                  <w:vAlign w:val="center"/>
                </w:tcPr>
                <w:p w14:paraId="357BBA3F">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79723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restart"/>
                  <w:tcBorders>
                    <w:tl2br w:val="nil"/>
                    <w:tr2bl w:val="nil"/>
                  </w:tcBorders>
                  <w:vAlign w:val="center"/>
                </w:tcPr>
                <w:p w14:paraId="186DE3E1">
                  <w:pPr>
                    <w:pStyle w:val="69"/>
                    <w:rPr>
                      <w:color w:val="auto"/>
                      <w:kern w:val="2"/>
                    </w:rPr>
                  </w:pPr>
                  <w:r>
                    <w:rPr>
                      <w:color w:val="auto"/>
                    </w:rPr>
                    <w:t>辅助工程</w:t>
                  </w:r>
                </w:p>
              </w:tc>
              <w:tc>
                <w:tcPr>
                  <w:tcW w:w="1224" w:type="pct"/>
                  <w:gridSpan w:val="3"/>
                  <w:tcBorders>
                    <w:tl2br w:val="nil"/>
                    <w:tr2bl w:val="nil"/>
                  </w:tcBorders>
                  <w:shd w:val="clear" w:color="auto" w:fill="auto"/>
                  <w:vAlign w:val="center"/>
                </w:tcPr>
                <w:p w14:paraId="261E749F">
                  <w:pPr>
                    <w:jc w:val="center"/>
                    <w:rPr>
                      <w:rFonts w:hint="eastAsia" w:eastAsia="宋体"/>
                      <w:color w:val="auto"/>
                      <w:sz w:val="21"/>
                      <w:szCs w:val="21"/>
                      <w:lang w:val="en-US" w:eastAsia="zh-CN" w:bidi="ar-SA"/>
                    </w:rPr>
                  </w:pPr>
                  <w:r>
                    <w:rPr>
                      <w:rFonts w:hint="eastAsia"/>
                      <w:color w:val="auto"/>
                      <w:szCs w:val="21"/>
                      <w:lang w:val="en-US" w:eastAsia="zh-CN"/>
                    </w:rPr>
                    <w:t>原料冷库</w:t>
                  </w:r>
                </w:p>
              </w:tc>
              <w:tc>
                <w:tcPr>
                  <w:tcW w:w="3079" w:type="pct"/>
                  <w:tcBorders>
                    <w:tl2br w:val="nil"/>
                    <w:tr2bl w:val="nil"/>
                  </w:tcBorders>
                  <w:shd w:val="clear" w:color="auto" w:fill="auto"/>
                  <w:vAlign w:val="center"/>
                </w:tcPr>
                <w:p w14:paraId="6E20C66D">
                  <w:pPr>
                    <w:jc w:val="both"/>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面积为48m</w:t>
                  </w:r>
                  <w:r>
                    <w:rPr>
                      <w:rFonts w:hint="eastAsia"/>
                      <w:color w:val="auto"/>
                      <w:szCs w:val="21"/>
                      <w:vertAlign w:val="superscript"/>
                      <w:lang w:val="en-US" w:eastAsia="zh-CN"/>
                    </w:rPr>
                    <w:t>2</w:t>
                  </w:r>
                  <w:r>
                    <w:rPr>
                      <w:rFonts w:hint="eastAsia"/>
                      <w:color w:val="auto"/>
                      <w:szCs w:val="21"/>
                      <w:lang w:val="en-US" w:eastAsia="zh-CN"/>
                    </w:rPr>
                    <w:t>，主要对需要保存或暂不使用的牛羊肉原料进行低温冷冻储存，保持原料品质。制冷系统采用符合环保要求的“氨”（R717）作制冷剂。主要用于对原料的暂存</w:t>
                  </w:r>
                  <w:r>
                    <w:rPr>
                      <w:rFonts w:hint="eastAsia"/>
                      <w:color w:val="auto"/>
                      <w:szCs w:val="21"/>
                      <w:lang w:eastAsia="zh-CN"/>
                    </w:rPr>
                    <w:t>。</w:t>
                  </w:r>
                </w:p>
              </w:tc>
              <w:tc>
                <w:tcPr>
                  <w:tcW w:w="423" w:type="pct"/>
                  <w:tcBorders>
                    <w:tl2br w:val="nil"/>
                    <w:tr2bl w:val="nil"/>
                  </w:tcBorders>
                  <w:shd w:val="clear" w:color="auto" w:fill="auto"/>
                  <w:vAlign w:val="center"/>
                </w:tcPr>
                <w:p w14:paraId="3C55CAB2">
                  <w:pPr>
                    <w:jc w:val="center"/>
                    <w:rPr>
                      <w:rFonts w:eastAsia="宋体"/>
                      <w:color w:val="auto"/>
                      <w:sz w:val="21"/>
                      <w:szCs w:val="24"/>
                      <w:lang w:val="en-US" w:eastAsia="zh-CN" w:bidi="ar-SA"/>
                    </w:rPr>
                  </w:pPr>
                  <w:r>
                    <w:rPr>
                      <w:color w:val="auto"/>
                    </w:rPr>
                    <w:t>新建</w:t>
                  </w:r>
                </w:p>
              </w:tc>
            </w:tr>
            <w:tr w14:paraId="32788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6395B12D">
                  <w:pPr>
                    <w:pStyle w:val="69"/>
                    <w:rPr>
                      <w:color w:val="auto"/>
                      <w:kern w:val="2"/>
                    </w:rPr>
                  </w:pPr>
                </w:p>
              </w:tc>
              <w:tc>
                <w:tcPr>
                  <w:tcW w:w="1224" w:type="pct"/>
                  <w:gridSpan w:val="3"/>
                  <w:tcBorders>
                    <w:tl2br w:val="nil"/>
                    <w:tr2bl w:val="nil"/>
                  </w:tcBorders>
                  <w:shd w:val="clear" w:color="auto" w:fill="auto"/>
                  <w:vAlign w:val="center"/>
                </w:tcPr>
                <w:p w14:paraId="0136CF03">
                  <w:pPr>
                    <w:pStyle w:val="69"/>
                    <w:jc w:val="center"/>
                    <w:rPr>
                      <w:rFonts w:hint="default" w:eastAsia="宋体"/>
                      <w:color w:val="auto"/>
                      <w:sz w:val="21"/>
                      <w:szCs w:val="21"/>
                      <w:lang w:val="en-US" w:eastAsia="zh-CN" w:bidi="ar-SA"/>
                    </w:rPr>
                  </w:pPr>
                  <w:r>
                    <w:rPr>
                      <w:rFonts w:hint="eastAsia"/>
                      <w:color w:val="auto"/>
                      <w:szCs w:val="21"/>
                      <w:lang w:val="en-US" w:eastAsia="zh-CN"/>
                    </w:rPr>
                    <w:t>原料</w:t>
                  </w:r>
                  <w:r>
                    <w:rPr>
                      <w:color w:val="auto"/>
                      <w:szCs w:val="21"/>
                    </w:rPr>
                    <w:t>冷</w:t>
                  </w:r>
                  <w:r>
                    <w:rPr>
                      <w:rFonts w:hint="eastAsia"/>
                      <w:color w:val="auto"/>
                      <w:szCs w:val="21"/>
                      <w:lang w:val="en-US" w:eastAsia="zh-CN"/>
                    </w:rPr>
                    <w:t>藏库</w:t>
                  </w:r>
                </w:p>
              </w:tc>
              <w:tc>
                <w:tcPr>
                  <w:tcW w:w="3079" w:type="pct"/>
                  <w:tcBorders>
                    <w:tl2br w:val="nil"/>
                    <w:tr2bl w:val="nil"/>
                  </w:tcBorders>
                  <w:shd w:val="clear" w:color="auto" w:fill="auto"/>
                  <w:vAlign w:val="center"/>
                </w:tcPr>
                <w:p w14:paraId="2E9F8576">
                  <w:pPr>
                    <w:jc w:val="both"/>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面积为112m</w:t>
                  </w:r>
                  <w:r>
                    <w:rPr>
                      <w:rFonts w:hint="eastAsia"/>
                      <w:color w:val="auto"/>
                      <w:szCs w:val="21"/>
                      <w:vertAlign w:val="superscript"/>
                      <w:lang w:val="en-US" w:eastAsia="zh-CN"/>
                    </w:rPr>
                    <w:t>2</w:t>
                  </w:r>
                  <w:r>
                    <w:rPr>
                      <w:rFonts w:hint="eastAsia"/>
                      <w:color w:val="auto"/>
                      <w:szCs w:val="21"/>
                      <w:lang w:val="en-US" w:eastAsia="zh-CN"/>
                    </w:rPr>
                    <w:t>，低温储存易腐坏的原料，抑制微生物生长和酶活性，延长原料保质期。</w:t>
                  </w:r>
                </w:p>
              </w:tc>
              <w:tc>
                <w:tcPr>
                  <w:tcW w:w="423" w:type="pct"/>
                  <w:tcBorders>
                    <w:tl2br w:val="nil"/>
                    <w:tr2bl w:val="nil"/>
                  </w:tcBorders>
                  <w:shd w:val="clear" w:color="auto" w:fill="auto"/>
                  <w:vAlign w:val="center"/>
                </w:tcPr>
                <w:p w14:paraId="33400975">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235AC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7F949C30">
                  <w:pPr>
                    <w:pStyle w:val="69"/>
                    <w:rPr>
                      <w:color w:val="auto"/>
                    </w:rPr>
                  </w:pPr>
                </w:p>
              </w:tc>
              <w:tc>
                <w:tcPr>
                  <w:tcW w:w="1224" w:type="pct"/>
                  <w:gridSpan w:val="3"/>
                  <w:tcBorders>
                    <w:tl2br w:val="nil"/>
                    <w:tr2bl w:val="nil"/>
                  </w:tcBorders>
                  <w:shd w:val="clear" w:color="auto" w:fill="auto"/>
                  <w:vAlign w:val="center"/>
                </w:tcPr>
                <w:p w14:paraId="365A5CC7">
                  <w:pPr>
                    <w:jc w:val="center"/>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配料间</w:t>
                  </w:r>
                </w:p>
              </w:tc>
              <w:tc>
                <w:tcPr>
                  <w:tcW w:w="3079" w:type="pct"/>
                  <w:tcBorders>
                    <w:tl2br w:val="nil"/>
                    <w:tr2bl w:val="nil"/>
                  </w:tcBorders>
                  <w:shd w:val="clear" w:color="auto" w:fill="auto"/>
                  <w:vAlign w:val="center"/>
                </w:tcPr>
                <w:p w14:paraId="48F8C613">
                  <w:pPr>
                    <w:jc w:val="both"/>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面积为14m</w:t>
                  </w:r>
                  <w:r>
                    <w:rPr>
                      <w:rFonts w:hint="eastAsia"/>
                      <w:color w:val="auto"/>
                      <w:szCs w:val="21"/>
                      <w:vertAlign w:val="superscript"/>
                      <w:lang w:val="en-US" w:eastAsia="zh-CN"/>
                    </w:rPr>
                    <w:t>2</w:t>
                  </w:r>
                  <w:r>
                    <w:rPr>
                      <w:rFonts w:hint="eastAsia"/>
                      <w:color w:val="auto"/>
                      <w:szCs w:val="21"/>
                      <w:lang w:val="en-US" w:eastAsia="zh-CN"/>
                    </w:rPr>
                    <w:t>，主要按配方进行原料和辅料的配比操作。</w:t>
                  </w:r>
                </w:p>
              </w:tc>
              <w:tc>
                <w:tcPr>
                  <w:tcW w:w="423" w:type="pct"/>
                  <w:tcBorders>
                    <w:tl2br w:val="nil"/>
                    <w:tr2bl w:val="nil"/>
                  </w:tcBorders>
                  <w:vAlign w:val="center"/>
                </w:tcPr>
                <w:p w14:paraId="39B28820">
                  <w:pPr>
                    <w:jc w:val="center"/>
                    <w:rPr>
                      <w:color w:val="auto"/>
                    </w:rPr>
                  </w:pPr>
                  <w:r>
                    <w:rPr>
                      <w:color w:val="auto"/>
                    </w:rPr>
                    <w:t>新建</w:t>
                  </w:r>
                </w:p>
              </w:tc>
            </w:tr>
            <w:tr w14:paraId="4EB55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60B02A3B">
                  <w:pPr>
                    <w:pStyle w:val="69"/>
                    <w:rPr>
                      <w:color w:val="auto"/>
                    </w:rPr>
                  </w:pPr>
                </w:p>
              </w:tc>
              <w:tc>
                <w:tcPr>
                  <w:tcW w:w="1224" w:type="pct"/>
                  <w:gridSpan w:val="3"/>
                  <w:tcBorders>
                    <w:tl2br w:val="nil"/>
                    <w:tr2bl w:val="nil"/>
                  </w:tcBorders>
                  <w:shd w:val="clear" w:color="auto" w:fill="auto"/>
                  <w:vAlign w:val="center"/>
                </w:tcPr>
                <w:p w14:paraId="23F6390D">
                  <w:pPr>
                    <w:jc w:val="center"/>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辅料间</w:t>
                  </w:r>
                </w:p>
              </w:tc>
              <w:tc>
                <w:tcPr>
                  <w:tcW w:w="3079" w:type="pct"/>
                  <w:tcBorders>
                    <w:tl2br w:val="nil"/>
                    <w:tr2bl w:val="nil"/>
                  </w:tcBorders>
                  <w:shd w:val="clear" w:color="auto" w:fill="auto"/>
                  <w:vAlign w:val="center"/>
                </w:tcPr>
                <w:p w14:paraId="1B7CB390">
                  <w:pPr>
                    <w:jc w:val="both"/>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面积为14m</w:t>
                  </w:r>
                  <w:r>
                    <w:rPr>
                      <w:rFonts w:hint="eastAsia"/>
                      <w:color w:val="auto"/>
                      <w:szCs w:val="21"/>
                      <w:vertAlign w:val="superscript"/>
                      <w:lang w:val="en-US" w:eastAsia="zh-CN"/>
                    </w:rPr>
                    <w:t>2</w:t>
                  </w:r>
                  <w:r>
                    <w:rPr>
                      <w:rFonts w:hint="eastAsia"/>
                      <w:color w:val="auto"/>
                      <w:szCs w:val="21"/>
                      <w:lang w:val="en-US" w:eastAsia="zh-CN"/>
                    </w:rPr>
                    <w:t>，储存加工过程中所需的各种辅料，如盐、香料等。</w:t>
                  </w:r>
                </w:p>
              </w:tc>
              <w:tc>
                <w:tcPr>
                  <w:tcW w:w="423" w:type="pct"/>
                  <w:tcBorders>
                    <w:tl2br w:val="nil"/>
                    <w:tr2bl w:val="nil"/>
                  </w:tcBorders>
                  <w:vAlign w:val="center"/>
                </w:tcPr>
                <w:p w14:paraId="1792E701">
                  <w:pPr>
                    <w:jc w:val="center"/>
                    <w:rPr>
                      <w:color w:val="auto"/>
                    </w:rPr>
                  </w:pPr>
                  <w:r>
                    <w:rPr>
                      <w:color w:val="auto"/>
                    </w:rPr>
                    <w:t>新建</w:t>
                  </w:r>
                </w:p>
              </w:tc>
            </w:tr>
            <w:tr w14:paraId="216204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6C32179B">
                  <w:pPr>
                    <w:pStyle w:val="69"/>
                    <w:rPr>
                      <w:color w:val="auto"/>
                    </w:rPr>
                  </w:pPr>
                </w:p>
              </w:tc>
              <w:tc>
                <w:tcPr>
                  <w:tcW w:w="1224" w:type="pct"/>
                  <w:gridSpan w:val="3"/>
                  <w:tcBorders>
                    <w:tl2br w:val="nil"/>
                    <w:tr2bl w:val="nil"/>
                  </w:tcBorders>
                  <w:shd w:val="clear" w:color="auto" w:fill="auto"/>
                  <w:vAlign w:val="center"/>
                </w:tcPr>
                <w:p w14:paraId="1F8BEC4F">
                  <w:pPr>
                    <w:pStyle w:val="69"/>
                    <w:jc w:val="center"/>
                    <w:rPr>
                      <w:rFonts w:hint="eastAsia" w:eastAsia="宋体"/>
                      <w:color w:val="auto"/>
                      <w:sz w:val="21"/>
                      <w:szCs w:val="21"/>
                      <w:lang w:val="en-US" w:eastAsia="zh-CN" w:bidi="ar-SA"/>
                    </w:rPr>
                  </w:pPr>
                  <w:r>
                    <w:rPr>
                      <w:rFonts w:hint="eastAsia" w:eastAsia="宋体"/>
                      <w:color w:val="auto"/>
                      <w:sz w:val="21"/>
                      <w:szCs w:val="21"/>
                      <w:lang w:val="en-US" w:eastAsia="zh-CN" w:bidi="ar-SA"/>
                    </w:rPr>
                    <w:t>拆包间</w:t>
                  </w:r>
                </w:p>
              </w:tc>
              <w:tc>
                <w:tcPr>
                  <w:tcW w:w="3079" w:type="pct"/>
                  <w:tcBorders>
                    <w:tl2br w:val="nil"/>
                    <w:tr2bl w:val="nil"/>
                  </w:tcBorders>
                  <w:shd w:val="clear" w:color="auto" w:fill="auto"/>
                  <w:vAlign w:val="center"/>
                </w:tcPr>
                <w:p w14:paraId="561C8075">
                  <w:pPr>
                    <w:jc w:val="both"/>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共设置2座拆包间，面积为12.5m</w:t>
                  </w:r>
                  <w:r>
                    <w:rPr>
                      <w:rFonts w:hint="eastAsia"/>
                      <w:color w:val="auto"/>
                      <w:szCs w:val="21"/>
                      <w:vertAlign w:val="superscript"/>
                      <w:lang w:val="en-US" w:eastAsia="zh-CN"/>
                    </w:rPr>
                    <w:t>2</w:t>
                  </w:r>
                  <w:r>
                    <w:rPr>
                      <w:rFonts w:hint="eastAsia"/>
                      <w:color w:val="auto"/>
                      <w:szCs w:val="21"/>
                      <w:vertAlign w:val="baseline"/>
                      <w:lang w:val="en-US" w:eastAsia="zh-CN"/>
                    </w:rPr>
                    <w:t>和16m</w:t>
                  </w:r>
                  <w:r>
                    <w:rPr>
                      <w:rFonts w:hint="eastAsia"/>
                      <w:color w:val="auto"/>
                      <w:szCs w:val="21"/>
                      <w:vertAlign w:val="superscript"/>
                      <w:lang w:val="en-US" w:eastAsia="zh-CN"/>
                    </w:rPr>
                    <w:t>2</w:t>
                  </w:r>
                  <w:r>
                    <w:rPr>
                      <w:rFonts w:hint="eastAsia"/>
                      <w:color w:val="auto"/>
                      <w:szCs w:val="21"/>
                      <w:lang w:val="en-US" w:eastAsia="zh-CN"/>
                    </w:rPr>
                    <w:t>，</w:t>
                  </w:r>
                  <w:r>
                    <w:rPr>
                      <w:rFonts w:hint="eastAsia" w:eastAsia="宋体"/>
                      <w:color w:val="auto"/>
                      <w:sz w:val="21"/>
                      <w:szCs w:val="21"/>
                      <w:lang w:val="en-US" w:eastAsia="zh-CN" w:bidi="ar-SA"/>
                    </w:rPr>
                    <w:t>拆除原料外包装，防止外包装携带的污染物进入生产区。</w:t>
                  </w:r>
                </w:p>
              </w:tc>
              <w:tc>
                <w:tcPr>
                  <w:tcW w:w="423" w:type="pct"/>
                  <w:tcBorders>
                    <w:tl2br w:val="nil"/>
                    <w:tr2bl w:val="nil"/>
                  </w:tcBorders>
                  <w:vAlign w:val="center"/>
                </w:tcPr>
                <w:p w14:paraId="22566394">
                  <w:pPr>
                    <w:jc w:val="center"/>
                    <w:rPr>
                      <w:color w:val="auto"/>
                    </w:rPr>
                  </w:pPr>
                  <w:r>
                    <w:rPr>
                      <w:color w:val="auto"/>
                    </w:rPr>
                    <w:t>新建</w:t>
                  </w:r>
                </w:p>
              </w:tc>
            </w:tr>
            <w:tr w14:paraId="43D91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180A6EC0">
                  <w:pPr>
                    <w:pStyle w:val="69"/>
                    <w:rPr>
                      <w:color w:val="auto"/>
                    </w:rPr>
                  </w:pPr>
                </w:p>
              </w:tc>
              <w:tc>
                <w:tcPr>
                  <w:tcW w:w="1224" w:type="pct"/>
                  <w:gridSpan w:val="3"/>
                  <w:tcBorders>
                    <w:tl2br w:val="nil"/>
                    <w:tr2bl w:val="nil"/>
                  </w:tcBorders>
                  <w:shd w:val="clear" w:color="auto" w:fill="auto"/>
                  <w:vAlign w:val="center"/>
                </w:tcPr>
                <w:p w14:paraId="2A3B81A7">
                  <w:pPr>
                    <w:pStyle w:val="69"/>
                    <w:jc w:val="center"/>
                    <w:rPr>
                      <w:rFonts w:hint="eastAsia" w:eastAsia="宋体"/>
                      <w:color w:val="auto"/>
                      <w:sz w:val="21"/>
                      <w:szCs w:val="21"/>
                      <w:lang w:val="en-US" w:eastAsia="zh-CN" w:bidi="ar-SA"/>
                    </w:rPr>
                  </w:pPr>
                  <w:r>
                    <w:rPr>
                      <w:rFonts w:hint="eastAsia" w:eastAsia="宋体"/>
                      <w:color w:val="auto"/>
                      <w:sz w:val="21"/>
                      <w:szCs w:val="21"/>
                      <w:lang w:val="en-US" w:eastAsia="zh-CN" w:bidi="ar-SA"/>
                    </w:rPr>
                    <w:t>缓化间</w:t>
                  </w:r>
                </w:p>
              </w:tc>
              <w:tc>
                <w:tcPr>
                  <w:tcW w:w="3079" w:type="pct"/>
                  <w:tcBorders>
                    <w:tl2br w:val="nil"/>
                    <w:tr2bl w:val="nil"/>
                  </w:tcBorders>
                  <w:shd w:val="clear" w:color="auto" w:fill="auto"/>
                  <w:vAlign w:val="center"/>
                </w:tcPr>
                <w:p w14:paraId="4250C4B3">
                  <w:pPr>
                    <w:jc w:val="both"/>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面积为40m</w:t>
                  </w:r>
                  <w:r>
                    <w:rPr>
                      <w:rFonts w:hint="eastAsia"/>
                      <w:color w:val="auto"/>
                      <w:szCs w:val="21"/>
                      <w:vertAlign w:val="superscript"/>
                      <w:lang w:val="en-US" w:eastAsia="zh-CN"/>
                    </w:rPr>
                    <w:t>2</w:t>
                  </w:r>
                  <w:r>
                    <w:rPr>
                      <w:rFonts w:hint="eastAsia"/>
                      <w:color w:val="auto"/>
                      <w:szCs w:val="21"/>
                      <w:lang w:val="en-US" w:eastAsia="zh-CN"/>
                    </w:rPr>
                    <w:t>，</w:t>
                  </w:r>
                  <w:r>
                    <w:rPr>
                      <w:rFonts w:hint="eastAsia" w:eastAsia="宋体"/>
                      <w:color w:val="auto"/>
                      <w:sz w:val="21"/>
                      <w:szCs w:val="21"/>
                      <w:lang w:val="en-US" w:eastAsia="zh-CN" w:bidi="ar-SA"/>
                    </w:rPr>
                    <w:t>使冷冻原料缓慢解冻至合适加工状态。</w:t>
                  </w:r>
                </w:p>
              </w:tc>
              <w:tc>
                <w:tcPr>
                  <w:tcW w:w="423" w:type="pct"/>
                  <w:tcBorders>
                    <w:tl2br w:val="nil"/>
                    <w:tr2bl w:val="nil"/>
                  </w:tcBorders>
                  <w:vAlign w:val="center"/>
                </w:tcPr>
                <w:p w14:paraId="0BFCE1C3">
                  <w:pPr>
                    <w:jc w:val="center"/>
                    <w:rPr>
                      <w:color w:val="auto"/>
                    </w:rPr>
                  </w:pPr>
                  <w:r>
                    <w:rPr>
                      <w:color w:val="auto"/>
                    </w:rPr>
                    <w:t>新建</w:t>
                  </w:r>
                </w:p>
              </w:tc>
            </w:tr>
            <w:tr w14:paraId="7BBCE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7739F832">
                  <w:pPr>
                    <w:pStyle w:val="69"/>
                    <w:rPr>
                      <w:color w:val="auto"/>
                    </w:rPr>
                  </w:pPr>
                </w:p>
              </w:tc>
              <w:tc>
                <w:tcPr>
                  <w:tcW w:w="1224" w:type="pct"/>
                  <w:gridSpan w:val="3"/>
                  <w:tcBorders>
                    <w:tl2br w:val="nil"/>
                    <w:tr2bl w:val="nil"/>
                  </w:tcBorders>
                  <w:shd w:val="clear" w:color="auto" w:fill="auto"/>
                  <w:vAlign w:val="center"/>
                </w:tcPr>
                <w:p w14:paraId="4B0653AE">
                  <w:pPr>
                    <w:pStyle w:val="69"/>
                    <w:jc w:val="center"/>
                    <w:rPr>
                      <w:rFonts w:hint="eastAsia" w:eastAsia="宋体"/>
                      <w:color w:val="auto"/>
                      <w:sz w:val="21"/>
                      <w:szCs w:val="21"/>
                      <w:lang w:val="en-US" w:eastAsia="zh-CN" w:bidi="ar-SA"/>
                    </w:rPr>
                  </w:pPr>
                  <w:r>
                    <w:rPr>
                      <w:rFonts w:hint="eastAsia" w:eastAsia="宋体"/>
                      <w:color w:val="auto"/>
                      <w:sz w:val="21"/>
                      <w:szCs w:val="21"/>
                      <w:lang w:val="en-US" w:eastAsia="zh-CN" w:bidi="ar-SA"/>
                    </w:rPr>
                    <w:t>预加工处理间</w:t>
                  </w:r>
                </w:p>
              </w:tc>
              <w:tc>
                <w:tcPr>
                  <w:tcW w:w="3079" w:type="pct"/>
                  <w:tcBorders>
                    <w:tl2br w:val="nil"/>
                    <w:tr2bl w:val="nil"/>
                  </w:tcBorders>
                  <w:shd w:val="clear" w:color="auto" w:fill="auto"/>
                  <w:vAlign w:val="center"/>
                </w:tcPr>
                <w:p w14:paraId="3F35FEBA">
                  <w:pPr>
                    <w:jc w:val="both"/>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面积为96m</w:t>
                  </w:r>
                  <w:r>
                    <w:rPr>
                      <w:rFonts w:hint="eastAsia"/>
                      <w:color w:val="auto"/>
                      <w:szCs w:val="21"/>
                      <w:vertAlign w:val="superscript"/>
                      <w:lang w:val="en-US" w:eastAsia="zh-CN"/>
                    </w:rPr>
                    <w:t>2</w:t>
                  </w:r>
                  <w:r>
                    <w:rPr>
                      <w:rFonts w:hint="eastAsia"/>
                      <w:color w:val="auto"/>
                      <w:szCs w:val="21"/>
                      <w:lang w:val="en-US" w:eastAsia="zh-CN"/>
                    </w:rPr>
                    <w:t>，</w:t>
                  </w:r>
                  <w:r>
                    <w:rPr>
                      <w:rFonts w:hint="eastAsia" w:eastAsia="宋体"/>
                      <w:color w:val="auto"/>
                      <w:sz w:val="21"/>
                      <w:szCs w:val="21"/>
                      <w:lang w:val="en-US" w:eastAsia="zh-CN" w:bidi="ar-SA"/>
                    </w:rPr>
                    <w:t>对原料进行初步加工处理，如清洗、切割、分拣等。</w:t>
                  </w:r>
                </w:p>
              </w:tc>
              <w:tc>
                <w:tcPr>
                  <w:tcW w:w="423" w:type="pct"/>
                  <w:tcBorders>
                    <w:tl2br w:val="nil"/>
                    <w:tr2bl w:val="nil"/>
                  </w:tcBorders>
                  <w:vAlign w:val="center"/>
                </w:tcPr>
                <w:p w14:paraId="6A8D0790">
                  <w:pPr>
                    <w:jc w:val="center"/>
                    <w:rPr>
                      <w:color w:val="auto"/>
                    </w:rPr>
                  </w:pPr>
                  <w:r>
                    <w:rPr>
                      <w:color w:val="auto"/>
                    </w:rPr>
                    <w:t>新建</w:t>
                  </w:r>
                </w:p>
              </w:tc>
            </w:tr>
            <w:tr w14:paraId="3791A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06642443">
                  <w:pPr>
                    <w:pStyle w:val="69"/>
                    <w:rPr>
                      <w:color w:val="auto"/>
                    </w:rPr>
                  </w:pPr>
                </w:p>
              </w:tc>
              <w:tc>
                <w:tcPr>
                  <w:tcW w:w="1224" w:type="pct"/>
                  <w:gridSpan w:val="3"/>
                  <w:tcBorders>
                    <w:tl2br w:val="nil"/>
                    <w:tr2bl w:val="nil"/>
                  </w:tcBorders>
                  <w:shd w:val="clear" w:color="auto" w:fill="auto"/>
                  <w:vAlign w:val="center"/>
                </w:tcPr>
                <w:p w14:paraId="2E85C182">
                  <w:pPr>
                    <w:pStyle w:val="69"/>
                    <w:jc w:val="center"/>
                    <w:rPr>
                      <w:rFonts w:hint="eastAsia" w:eastAsia="宋体"/>
                      <w:color w:val="auto"/>
                      <w:sz w:val="21"/>
                      <w:szCs w:val="21"/>
                      <w:lang w:val="en-US" w:eastAsia="zh-CN" w:bidi="ar-SA"/>
                    </w:rPr>
                  </w:pPr>
                  <w:r>
                    <w:rPr>
                      <w:rFonts w:hint="eastAsia"/>
                      <w:color w:val="auto"/>
                      <w:lang w:val="en-US" w:eastAsia="zh-CN"/>
                    </w:rPr>
                    <w:t>工具消毒间</w:t>
                  </w:r>
                </w:p>
              </w:tc>
              <w:tc>
                <w:tcPr>
                  <w:tcW w:w="3079" w:type="pct"/>
                  <w:tcBorders>
                    <w:tl2br w:val="nil"/>
                    <w:tr2bl w:val="nil"/>
                  </w:tcBorders>
                  <w:shd w:val="clear" w:color="auto" w:fill="auto"/>
                  <w:vAlign w:val="center"/>
                </w:tcPr>
                <w:p w14:paraId="73D054FA">
                  <w:pPr>
                    <w:jc w:val="both"/>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面积为24m</w:t>
                  </w:r>
                  <w:r>
                    <w:rPr>
                      <w:rFonts w:hint="eastAsia"/>
                      <w:color w:val="auto"/>
                      <w:szCs w:val="21"/>
                      <w:vertAlign w:val="superscript"/>
                      <w:lang w:val="en-US" w:eastAsia="zh-CN"/>
                    </w:rPr>
                    <w:t>2</w:t>
                  </w:r>
                  <w:r>
                    <w:rPr>
                      <w:rFonts w:hint="eastAsia"/>
                      <w:color w:val="auto"/>
                      <w:szCs w:val="21"/>
                      <w:lang w:val="en-US" w:eastAsia="zh-CN"/>
                    </w:rPr>
                    <w:t>，对生产使用的工具、器具进行清洗消毒，防止交叉污染。</w:t>
                  </w:r>
                </w:p>
              </w:tc>
              <w:tc>
                <w:tcPr>
                  <w:tcW w:w="423" w:type="pct"/>
                  <w:tcBorders>
                    <w:tl2br w:val="nil"/>
                    <w:tr2bl w:val="nil"/>
                  </w:tcBorders>
                  <w:shd w:val="clear" w:color="auto" w:fill="auto"/>
                  <w:vAlign w:val="center"/>
                </w:tcPr>
                <w:p w14:paraId="666E90BD">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713A0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6ABEF845">
                  <w:pPr>
                    <w:pStyle w:val="69"/>
                    <w:rPr>
                      <w:color w:val="auto"/>
                    </w:rPr>
                  </w:pPr>
                </w:p>
              </w:tc>
              <w:tc>
                <w:tcPr>
                  <w:tcW w:w="1224" w:type="pct"/>
                  <w:gridSpan w:val="3"/>
                  <w:tcBorders>
                    <w:tl2br w:val="nil"/>
                    <w:tr2bl w:val="nil"/>
                  </w:tcBorders>
                  <w:shd w:val="clear" w:color="auto" w:fill="auto"/>
                  <w:vAlign w:val="center"/>
                </w:tcPr>
                <w:p w14:paraId="2463E053">
                  <w:pPr>
                    <w:pStyle w:val="69"/>
                    <w:jc w:val="center"/>
                    <w:rPr>
                      <w:rFonts w:hint="eastAsia" w:eastAsia="宋体"/>
                      <w:color w:val="auto"/>
                      <w:sz w:val="21"/>
                      <w:szCs w:val="21"/>
                      <w:lang w:val="en-US" w:eastAsia="zh-CN" w:bidi="ar-SA"/>
                    </w:rPr>
                  </w:pPr>
                  <w:r>
                    <w:rPr>
                      <w:rFonts w:hint="eastAsia"/>
                      <w:color w:val="auto"/>
                      <w:lang w:val="en-US" w:eastAsia="zh-CN"/>
                    </w:rPr>
                    <w:t>工具存放间</w:t>
                  </w:r>
                </w:p>
              </w:tc>
              <w:tc>
                <w:tcPr>
                  <w:tcW w:w="3079" w:type="pct"/>
                  <w:tcBorders>
                    <w:tl2br w:val="nil"/>
                    <w:tr2bl w:val="nil"/>
                  </w:tcBorders>
                  <w:shd w:val="clear" w:color="auto" w:fill="auto"/>
                  <w:vAlign w:val="center"/>
                </w:tcPr>
                <w:p w14:paraId="75E8F836">
                  <w:pPr>
                    <w:jc w:val="both"/>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面积为24m</w:t>
                  </w:r>
                  <w:r>
                    <w:rPr>
                      <w:rFonts w:hint="eastAsia"/>
                      <w:color w:val="auto"/>
                      <w:szCs w:val="21"/>
                      <w:vertAlign w:val="superscript"/>
                      <w:lang w:val="en-US" w:eastAsia="zh-CN"/>
                    </w:rPr>
                    <w:t>2</w:t>
                  </w:r>
                  <w:r>
                    <w:rPr>
                      <w:rFonts w:hint="eastAsia"/>
                      <w:color w:val="auto"/>
                      <w:szCs w:val="21"/>
                      <w:lang w:val="en-US" w:eastAsia="zh-CN"/>
                    </w:rPr>
                    <w:t>，存放经消毒处理后的工器具，保持其清洁卫生。</w:t>
                  </w:r>
                </w:p>
              </w:tc>
              <w:tc>
                <w:tcPr>
                  <w:tcW w:w="423" w:type="pct"/>
                  <w:tcBorders>
                    <w:tl2br w:val="nil"/>
                    <w:tr2bl w:val="nil"/>
                  </w:tcBorders>
                  <w:shd w:val="clear" w:color="auto" w:fill="auto"/>
                  <w:vAlign w:val="center"/>
                </w:tcPr>
                <w:p w14:paraId="1F42B500">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35BC1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7BE611C0">
                  <w:pPr>
                    <w:pStyle w:val="69"/>
                    <w:rPr>
                      <w:color w:val="auto"/>
                    </w:rPr>
                  </w:pPr>
                </w:p>
              </w:tc>
              <w:tc>
                <w:tcPr>
                  <w:tcW w:w="1224" w:type="pct"/>
                  <w:gridSpan w:val="3"/>
                  <w:tcBorders>
                    <w:tl2br w:val="nil"/>
                    <w:tr2bl w:val="nil"/>
                  </w:tcBorders>
                  <w:shd w:val="clear" w:color="auto" w:fill="auto"/>
                  <w:vAlign w:val="center"/>
                </w:tcPr>
                <w:p w14:paraId="3509CA8D">
                  <w:pPr>
                    <w:pStyle w:val="69"/>
                    <w:jc w:val="center"/>
                    <w:rPr>
                      <w:rFonts w:hint="eastAsia" w:eastAsia="宋体"/>
                      <w:color w:val="auto"/>
                      <w:sz w:val="21"/>
                      <w:szCs w:val="21"/>
                      <w:lang w:val="en-US" w:eastAsia="zh-CN" w:bidi="ar-SA"/>
                    </w:rPr>
                  </w:pPr>
                  <w:r>
                    <w:rPr>
                      <w:rFonts w:hint="eastAsia"/>
                      <w:color w:val="auto"/>
                      <w:lang w:val="en-US" w:eastAsia="zh-CN"/>
                    </w:rPr>
                    <w:t>全封闭马口铁盒清洗消毒</w:t>
                  </w:r>
                </w:p>
              </w:tc>
              <w:tc>
                <w:tcPr>
                  <w:tcW w:w="3079" w:type="pct"/>
                  <w:tcBorders>
                    <w:tl2br w:val="nil"/>
                    <w:tr2bl w:val="nil"/>
                  </w:tcBorders>
                  <w:shd w:val="clear" w:color="auto" w:fill="auto"/>
                  <w:vAlign w:val="center"/>
                </w:tcPr>
                <w:p w14:paraId="36BDD801">
                  <w:pPr>
                    <w:jc w:val="both"/>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面积为24m</w:t>
                  </w:r>
                  <w:r>
                    <w:rPr>
                      <w:rFonts w:hint="eastAsia"/>
                      <w:color w:val="auto"/>
                      <w:szCs w:val="21"/>
                      <w:vertAlign w:val="superscript"/>
                      <w:lang w:val="en-US" w:eastAsia="zh-CN"/>
                    </w:rPr>
                    <w:t>2</w:t>
                  </w:r>
                  <w:r>
                    <w:rPr>
                      <w:rFonts w:hint="eastAsia"/>
                      <w:color w:val="auto"/>
                      <w:szCs w:val="21"/>
                      <w:lang w:val="en-US" w:eastAsia="zh-CN"/>
                    </w:rPr>
                    <w:t>，专门对马口铁盒进行清洗和消毒，保证包装容器的卫生。</w:t>
                  </w:r>
                </w:p>
              </w:tc>
              <w:tc>
                <w:tcPr>
                  <w:tcW w:w="423" w:type="pct"/>
                  <w:tcBorders>
                    <w:tl2br w:val="nil"/>
                    <w:tr2bl w:val="nil"/>
                  </w:tcBorders>
                  <w:shd w:val="clear" w:color="auto" w:fill="auto"/>
                  <w:vAlign w:val="center"/>
                </w:tcPr>
                <w:p w14:paraId="233BA8F5">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533C8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11612AAB">
                  <w:pPr>
                    <w:pStyle w:val="69"/>
                    <w:rPr>
                      <w:color w:val="auto"/>
                    </w:rPr>
                  </w:pPr>
                </w:p>
              </w:tc>
              <w:tc>
                <w:tcPr>
                  <w:tcW w:w="1224" w:type="pct"/>
                  <w:gridSpan w:val="3"/>
                  <w:tcBorders>
                    <w:tl2br w:val="nil"/>
                    <w:tr2bl w:val="nil"/>
                  </w:tcBorders>
                  <w:shd w:val="clear" w:color="auto" w:fill="auto"/>
                  <w:vAlign w:val="center"/>
                </w:tcPr>
                <w:p w14:paraId="4CFFF4B5">
                  <w:pPr>
                    <w:jc w:val="center"/>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消毒间</w:t>
                  </w:r>
                </w:p>
              </w:tc>
              <w:tc>
                <w:tcPr>
                  <w:tcW w:w="3079" w:type="pct"/>
                  <w:tcBorders>
                    <w:tl2br w:val="nil"/>
                    <w:tr2bl w:val="nil"/>
                  </w:tcBorders>
                  <w:shd w:val="clear" w:color="auto" w:fill="auto"/>
                  <w:vAlign w:val="center"/>
                </w:tcPr>
                <w:p w14:paraId="5F7EAE18">
                  <w:pPr>
                    <w:jc w:val="both"/>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共设置3个消毒间，面积为3.75m</w:t>
                  </w:r>
                  <w:r>
                    <w:rPr>
                      <w:rFonts w:hint="eastAsia"/>
                      <w:color w:val="auto"/>
                      <w:szCs w:val="21"/>
                      <w:vertAlign w:val="superscript"/>
                      <w:lang w:val="en-US" w:eastAsia="zh-CN"/>
                    </w:rPr>
                    <w:t>2</w:t>
                  </w:r>
                  <w:r>
                    <w:rPr>
                      <w:rFonts w:hint="eastAsia"/>
                      <w:color w:val="auto"/>
                      <w:szCs w:val="21"/>
                      <w:lang w:val="en-US" w:eastAsia="zh-CN"/>
                    </w:rPr>
                    <w:t>，人员进入生产区前进行消毒，以及对相关区域、设备等进行消毒。</w:t>
                  </w:r>
                </w:p>
              </w:tc>
              <w:tc>
                <w:tcPr>
                  <w:tcW w:w="423" w:type="pct"/>
                  <w:tcBorders>
                    <w:tl2br w:val="nil"/>
                    <w:tr2bl w:val="nil"/>
                  </w:tcBorders>
                  <w:shd w:val="clear" w:color="auto" w:fill="auto"/>
                  <w:vAlign w:val="center"/>
                </w:tcPr>
                <w:p w14:paraId="3DF2430C">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38576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75EB384B">
                  <w:pPr>
                    <w:pStyle w:val="69"/>
                    <w:rPr>
                      <w:color w:val="auto"/>
                    </w:rPr>
                  </w:pPr>
                </w:p>
              </w:tc>
              <w:tc>
                <w:tcPr>
                  <w:tcW w:w="1224" w:type="pct"/>
                  <w:gridSpan w:val="3"/>
                  <w:tcBorders>
                    <w:tl2br w:val="nil"/>
                    <w:tr2bl w:val="nil"/>
                  </w:tcBorders>
                  <w:shd w:val="clear" w:color="auto" w:fill="auto"/>
                  <w:vAlign w:val="center"/>
                </w:tcPr>
                <w:p w14:paraId="37846E5E">
                  <w:pPr>
                    <w:jc w:val="center"/>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男、女更衣室</w:t>
                  </w:r>
                </w:p>
              </w:tc>
              <w:tc>
                <w:tcPr>
                  <w:tcW w:w="3079" w:type="pct"/>
                  <w:tcBorders>
                    <w:tl2br w:val="nil"/>
                    <w:tr2bl w:val="nil"/>
                  </w:tcBorders>
                  <w:shd w:val="clear" w:color="auto" w:fill="auto"/>
                  <w:vAlign w:val="center"/>
                </w:tcPr>
                <w:p w14:paraId="259A46B4">
                  <w:pPr>
                    <w:jc w:val="both"/>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面积为3.75m</w:t>
                  </w:r>
                  <w:r>
                    <w:rPr>
                      <w:rFonts w:hint="eastAsia"/>
                      <w:color w:val="auto"/>
                      <w:szCs w:val="21"/>
                      <w:vertAlign w:val="superscript"/>
                      <w:lang w:val="en-US" w:eastAsia="zh-CN"/>
                    </w:rPr>
                    <w:t>2</w:t>
                  </w:r>
                  <w:r>
                    <w:rPr>
                      <w:rFonts w:hint="eastAsia"/>
                      <w:color w:val="auto"/>
                      <w:szCs w:val="21"/>
                      <w:lang w:val="en-US" w:eastAsia="zh-CN"/>
                    </w:rPr>
                    <w:t>，工作人员更换工作服、鞋套等防护用品。</w:t>
                  </w:r>
                </w:p>
              </w:tc>
              <w:tc>
                <w:tcPr>
                  <w:tcW w:w="423" w:type="pct"/>
                  <w:tcBorders>
                    <w:tl2br w:val="nil"/>
                    <w:tr2bl w:val="nil"/>
                  </w:tcBorders>
                  <w:shd w:val="clear" w:color="auto" w:fill="auto"/>
                  <w:vAlign w:val="center"/>
                </w:tcPr>
                <w:p w14:paraId="16FD6DC0">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2B6AA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7B49A738">
                  <w:pPr>
                    <w:pStyle w:val="69"/>
                    <w:rPr>
                      <w:color w:val="auto"/>
                    </w:rPr>
                  </w:pPr>
                </w:p>
              </w:tc>
              <w:tc>
                <w:tcPr>
                  <w:tcW w:w="1224" w:type="pct"/>
                  <w:gridSpan w:val="3"/>
                  <w:tcBorders>
                    <w:tl2br w:val="nil"/>
                    <w:tr2bl w:val="nil"/>
                  </w:tcBorders>
                  <w:shd w:val="clear" w:color="auto" w:fill="auto"/>
                  <w:vAlign w:val="center"/>
                </w:tcPr>
                <w:p w14:paraId="75A25F2F">
                  <w:pPr>
                    <w:jc w:val="center"/>
                    <w:rPr>
                      <w:rFonts w:hint="eastAsia"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i w:val="0"/>
                      <w:iCs w:val="0"/>
                      <w:caps w:val="0"/>
                      <w:color w:val="auto"/>
                      <w:spacing w:val="0"/>
                      <w:sz w:val="21"/>
                      <w:szCs w:val="21"/>
                      <w:shd w:val="clear" w:fill="FFFFFF"/>
                    </w:rPr>
                    <w:t>冷却切条间</w:t>
                  </w:r>
                </w:p>
              </w:tc>
              <w:tc>
                <w:tcPr>
                  <w:tcW w:w="3079" w:type="pct"/>
                  <w:tcBorders>
                    <w:tl2br w:val="nil"/>
                    <w:tr2bl w:val="nil"/>
                  </w:tcBorders>
                  <w:shd w:val="clear" w:color="auto" w:fill="auto"/>
                  <w:vAlign w:val="center"/>
                </w:tcPr>
                <w:p w14:paraId="572AF545">
                  <w:pPr>
                    <w:jc w:val="both"/>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面积为16m</w:t>
                  </w:r>
                  <w:r>
                    <w:rPr>
                      <w:rFonts w:hint="eastAsia"/>
                      <w:color w:val="auto"/>
                      <w:szCs w:val="21"/>
                      <w:vertAlign w:val="superscript"/>
                      <w:lang w:val="en-US" w:eastAsia="zh-CN"/>
                    </w:rPr>
                    <w:t>2</w:t>
                  </w:r>
                  <w:r>
                    <w:rPr>
                      <w:rFonts w:hint="eastAsia"/>
                      <w:color w:val="auto"/>
                      <w:szCs w:val="21"/>
                      <w:lang w:val="en-US" w:eastAsia="zh-CN"/>
                    </w:rPr>
                    <w:t>，</w:t>
                  </w:r>
                  <w:r>
                    <w:rPr>
                      <w:rFonts w:hint="default" w:ascii="Times New Roman" w:hAnsi="Times New Roman" w:eastAsia="宋体" w:cs="Times New Roman"/>
                      <w:i w:val="0"/>
                      <w:iCs w:val="0"/>
                      <w:caps w:val="0"/>
                      <w:color w:val="auto"/>
                      <w:spacing w:val="0"/>
                      <w:sz w:val="21"/>
                      <w:szCs w:val="21"/>
                      <w:shd w:val="clear" w:fill="FFFFFF"/>
                    </w:rPr>
                    <w:t>对熟制后的物料进行冷却降温，并切割成规定形状。二次灭菌间：对已包装或接近成品的产品再次灭菌，确保产品在保质期内的微生物安全性。</w:t>
                  </w:r>
                </w:p>
              </w:tc>
              <w:tc>
                <w:tcPr>
                  <w:tcW w:w="423" w:type="pct"/>
                  <w:tcBorders>
                    <w:tl2br w:val="nil"/>
                    <w:tr2bl w:val="nil"/>
                  </w:tcBorders>
                  <w:shd w:val="clear" w:color="auto" w:fill="auto"/>
                  <w:vAlign w:val="center"/>
                </w:tcPr>
                <w:p w14:paraId="4A1B96D5">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60A2E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4B69027B">
                  <w:pPr>
                    <w:pStyle w:val="69"/>
                    <w:rPr>
                      <w:color w:val="auto"/>
                    </w:rPr>
                  </w:pPr>
                </w:p>
              </w:tc>
              <w:tc>
                <w:tcPr>
                  <w:tcW w:w="1224" w:type="pct"/>
                  <w:gridSpan w:val="3"/>
                  <w:tcBorders>
                    <w:tl2br w:val="nil"/>
                    <w:tr2bl w:val="nil"/>
                  </w:tcBorders>
                  <w:shd w:val="clear" w:color="auto" w:fill="auto"/>
                  <w:vAlign w:val="center"/>
                </w:tcPr>
                <w:p w14:paraId="3727DBEA">
                  <w:pPr>
                    <w:jc w:val="center"/>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i w:val="0"/>
                      <w:iCs w:val="0"/>
                      <w:caps w:val="0"/>
                      <w:color w:val="auto"/>
                      <w:spacing w:val="0"/>
                      <w:sz w:val="21"/>
                      <w:szCs w:val="21"/>
                      <w:shd w:val="clear" w:fill="FFFFFF"/>
                      <w:lang w:val="en-US" w:eastAsia="zh-CN"/>
                    </w:rPr>
                    <w:t>二次灭菌间</w:t>
                  </w:r>
                </w:p>
              </w:tc>
              <w:tc>
                <w:tcPr>
                  <w:tcW w:w="3079" w:type="pct"/>
                  <w:tcBorders>
                    <w:tl2br w:val="nil"/>
                    <w:tr2bl w:val="nil"/>
                  </w:tcBorders>
                  <w:shd w:val="clear" w:color="auto" w:fill="auto"/>
                  <w:vAlign w:val="center"/>
                </w:tcPr>
                <w:p w14:paraId="1B535C4D">
                  <w:pPr>
                    <w:jc w:val="both"/>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面积为16m</w:t>
                  </w:r>
                  <w:r>
                    <w:rPr>
                      <w:rFonts w:hint="eastAsia"/>
                      <w:color w:val="auto"/>
                      <w:szCs w:val="21"/>
                      <w:vertAlign w:val="superscript"/>
                      <w:lang w:val="en-US" w:eastAsia="zh-CN"/>
                    </w:rPr>
                    <w:t>2</w:t>
                  </w:r>
                  <w:r>
                    <w:rPr>
                      <w:rFonts w:hint="eastAsia"/>
                      <w:color w:val="auto"/>
                      <w:szCs w:val="21"/>
                      <w:lang w:val="en-US" w:eastAsia="zh-CN"/>
                    </w:rPr>
                    <w:t>，</w:t>
                  </w:r>
                  <w:r>
                    <w:rPr>
                      <w:rFonts w:hint="default" w:ascii="Times New Roman" w:hAnsi="Times New Roman" w:eastAsia="宋体" w:cs="Times New Roman"/>
                      <w:i w:val="0"/>
                      <w:iCs w:val="0"/>
                      <w:caps w:val="0"/>
                      <w:color w:val="auto"/>
                      <w:spacing w:val="0"/>
                      <w:sz w:val="21"/>
                      <w:szCs w:val="21"/>
                      <w:shd w:val="clear" w:fill="FFFFFF"/>
                    </w:rPr>
                    <w:t>对已包装或接近成品的产品再次灭菌，确保产品在保质期内的微生物安全性。</w:t>
                  </w:r>
                </w:p>
              </w:tc>
              <w:tc>
                <w:tcPr>
                  <w:tcW w:w="423" w:type="pct"/>
                  <w:tcBorders>
                    <w:tl2br w:val="nil"/>
                    <w:tr2bl w:val="nil"/>
                  </w:tcBorders>
                  <w:shd w:val="clear" w:color="auto" w:fill="auto"/>
                  <w:vAlign w:val="center"/>
                </w:tcPr>
                <w:p w14:paraId="6952B686">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2822C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77346B62">
                  <w:pPr>
                    <w:pStyle w:val="69"/>
                    <w:rPr>
                      <w:color w:val="auto"/>
                    </w:rPr>
                  </w:pPr>
                </w:p>
              </w:tc>
              <w:tc>
                <w:tcPr>
                  <w:tcW w:w="1224" w:type="pct"/>
                  <w:gridSpan w:val="3"/>
                  <w:tcBorders>
                    <w:tl2br w:val="nil"/>
                    <w:tr2bl w:val="nil"/>
                  </w:tcBorders>
                  <w:shd w:val="clear" w:color="auto" w:fill="auto"/>
                  <w:vAlign w:val="center"/>
                </w:tcPr>
                <w:p w14:paraId="53C656E9">
                  <w:pPr>
                    <w:pStyle w:val="69"/>
                    <w:jc w:val="center"/>
                    <w:rPr>
                      <w:rFonts w:hint="default" w:eastAsia="宋体"/>
                      <w:color w:val="auto"/>
                      <w:sz w:val="21"/>
                      <w:szCs w:val="21"/>
                      <w:lang w:val="en-US" w:eastAsia="zh-CN" w:bidi="ar-SA"/>
                    </w:rPr>
                  </w:pPr>
                  <w:r>
                    <w:rPr>
                      <w:rFonts w:hint="eastAsia"/>
                      <w:color w:val="auto"/>
                      <w:lang w:val="en-US" w:eastAsia="zh-CN"/>
                    </w:rPr>
                    <w:t>内包间</w:t>
                  </w:r>
                </w:p>
              </w:tc>
              <w:tc>
                <w:tcPr>
                  <w:tcW w:w="3079" w:type="pct"/>
                  <w:tcBorders>
                    <w:tl2br w:val="nil"/>
                    <w:tr2bl w:val="nil"/>
                  </w:tcBorders>
                  <w:shd w:val="clear" w:color="auto" w:fill="auto"/>
                  <w:vAlign w:val="center"/>
                </w:tcPr>
                <w:p w14:paraId="0A94AF39">
                  <w:pPr>
                    <w:jc w:val="both"/>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面积为32m</w:t>
                  </w:r>
                  <w:r>
                    <w:rPr>
                      <w:rFonts w:hint="eastAsia"/>
                      <w:color w:val="auto"/>
                      <w:szCs w:val="21"/>
                      <w:vertAlign w:val="superscript"/>
                      <w:lang w:val="en-US" w:eastAsia="zh-CN"/>
                    </w:rPr>
                    <w:t>2</w:t>
                  </w:r>
                  <w:r>
                    <w:rPr>
                      <w:rFonts w:hint="eastAsia"/>
                      <w:color w:val="auto"/>
                      <w:szCs w:val="21"/>
                      <w:lang w:val="en-US" w:eastAsia="zh-CN"/>
                    </w:rPr>
                    <w:t>，主要用于牛羊肉罐头产品及牛肉干产品的包装。</w:t>
                  </w:r>
                </w:p>
              </w:tc>
              <w:tc>
                <w:tcPr>
                  <w:tcW w:w="423" w:type="pct"/>
                  <w:tcBorders>
                    <w:tl2br w:val="nil"/>
                    <w:tr2bl w:val="nil"/>
                  </w:tcBorders>
                  <w:shd w:val="clear" w:color="auto" w:fill="auto"/>
                  <w:vAlign w:val="center"/>
                </w:tcPr>
                <w:p w14:paraId="6F0D16AD">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759E7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 w:hRule="atLeast"/>
                <w:jc w:val="center"/>
              </w:trPr>
              <w:tc>
                <w:tcPr>
                  <w:tcW w:w="272" w:type="pct"/>
                  <w:vMerge w:val="continue"/>
                  <w:tcBorders>
                    <w:tl2br w:val="nil"/>
                    <w:tr2bl w:val="nil"/>
                  </w:tcBorders>
                  <w:vAlign w:val="center"/>
                </w:tcPr>
                <w:p w14:paraId="7255B41C">
                  <w:pPr>
                    <w:pStyle w:val="69"/>
                    <w:rPr>
                      <w:color w:val="auto"/>
                    </w:rPr>
                  </w:pPr>
                </w:p>
              </w:tc>
              <w:tc>
                <w:tcPr>
                  <w:tcW w:w="1224" w:type="pct"/>
                  <w:gridSpan w:val="3"/>
                  <w:tcBorders>
                    <w:tl2br w:val="nil"/>
                    <w:tr2bl w:val="nil"/>
                  </w:tcBorders>
                  <w:shd w:val="clear" w:color="auto" w:fill="auto"/>
                  <w:vAlign w:val="center"/>
                </w:tcPr>
                <w:p w14:paraId="5BD10517">
                  <w:pPr>
                    <w:pStyle w:val="69"/>
                    <w:jc w:val="center"/>
                    <w:rPr>
                      <w:rFonts w:hint="eastAsia" w:eastAsia="宋体"/>
                      <w:color w:val="auto"/>
                      <w:sz w:val="21"/>
                      <w:szCs w:val="21"/>
                      <w:lang w:val="en-US" w:eastAsia="zh-CN" w:bidi="ar-SA"/>
                    </w:rPr>
                  </w:pPr>
                  <w:r>
                    <w:rPr>
                      <w:rFonts w:hint="eastAsia"/>
                      <w:color w:val="auto"/>
                      <w:lang w:val="en-US" w:eastAsia="zh-CN"/>
                    </w:rPr>
                    <w:t>包材消毒</w:t>
                  </w:r>
                </w:p>
              </w:tc>
              <w:tc>
                <w:tcPr>
                  <w:tcW w:w="3079" w:type="pct"/>
                  <w:tcBorders>
                    <w:tl2br w:val="nil"/>
                    <w:tr2bl w:val="nil"/>
                  </w:tcBorders>
                  <w:shd w:val="clear" w:color="auto" w:fill="auto"/>
                  <w:vAlign w:val="center"/>
                </w:tcPr>
                <w:p w14:paraId="2CDF776B">
                  <w:pPr>
                    <w:jc w:val="both"/>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面积为16m</w:t>
                  </w:r>
                  <w:r>
                    <w:rPr>
                      <w:rFonts w:hint="eastAsia"/>
                      <w:color w:val="auto"/>
                      <w:szCs w:val="21"/>
                      <w:vertAlign w:val="superscript"/>
                      <w:lang w:val="en-US" w:eastAsia="zh-CN"/>
                    </w:rPr>
                    <w:t>2</w:t>
                  </w:r>
                  <w:r>
                    <w:rPr>
                      <w:rFonts w:hint="eastAsia"/>
                      <w:color w:val="auto"/>
                      <w:szCs w:val="21"/>
                      <w:lang w:val="en-US" w:eastAsia="zh-CN"/>
                    </w:rPr>
                    <w:t>，对包装材料进行消毒处理，防止包装材料污染产品。</w:t>
                  </w:r>
                </w:p>
              </w:tc>
              <w:tc>
                <w:tcPr>
                  <w:tcW w:w="423" w:type="pct"/>
                  <w:tcBorders>
                    <w:tl2br w:val="nil"/>
                    <w:tr2bl w:val="nil"/>
                  </w:tcBorders>
                  <w:shd w:val="clear" w:color="auto" w:fill="auto"/>
                  <w:vAlign w:val="center"/>
                </w:tcPr>
                <w:p w14:paraId="654F769C">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62198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2B26D873">
                  <w:pPr>
                    <w:pStyle w:val="69"/>
                    <w:rPr>
                      <w:color w:val="auto"/>
                    </w:rPr>
                  </w:pPr>
                </w:p>
              </w:tc>
              <w:tc>
                <w:tcPr>
                  <w:tcW w:w="1224" w:type="pct"/>
                  <w:gridSpan w:val="3"/>
                  <w:tcBorders>
                    <w:tl2br w:val="nil"/>
                    <w:tr2bl w:val="nil"/>
                  </w:tcBorders>
                  <w:shd w:val="clear" w:color="auto" w:fill="auto"/>
                  <w:vAlign w:val="center"/>
                </w:tcPr>
                <w:p w14:paraId="36DCCCB2">
                  <w:pPr>
                    <w:jc w:val="center"/>
                    <w:rPr>
                      <w:rFonts w:hint="default" w:eastAsia="宋体"/>
                      <w:color w:val="auto"/>
                      <w:sz w:val="21"/>
                      <w:szCs w:val="21"/>
                      <w:lang w:val="en-US" w:eastAsia="zh-CN" w:bidi="ar-SA"/>
                    </w:rPr>
                  </w:pPr>
                  <w:r>
                    <w:rPr>
                      <w:rFonts w:hint="eastAsia"/>
                      <w:color w:val="auto"/>
                      <w:szCs w:val="21"/>
                      <w:lang w:val="en-US" w:eastAsia="zh-CN"/>
                    </w:rPr>
                    <w:t>包装材料仓库</w:t>
                  </w:r>
                </w:p>
              </w:tc>
              <w:tc>
                <w:tcPr>
                  <w:tcW w:w="3079" w:type="pct"/>
                  <w:tcBorders>
                    <w:tl2br w:val="nil"/>
                    <w:tr2bl w:val="nil"/>
                  </w:tcBorders>
                  <w:shd w:val="clear" w:color="auto" w:fill="auto"/>
                  <w:vAlign w:val="center"/>
                </w:tcPr>
                <w:p w14:paraId="6011FC95">
                  <w:pPr>
                    <w:jc w:val="both"/>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面积为48m</w:t>
                  </w:r>
                  <w:r>
                    <w:rPr>
                      <w:rFonts w:hint="eastAsia"/>
                      <w:color w:val="auto"/>
                      <w:szCs w:val="21"/>
                      <w:vertAlign w:val="superscript"/>
                      <w:lang w:val="en-US" w:eastAsia="zh-CN"/>
                    </w:rPr>
                    <w:t>2</w:t>
                  </w:r>
                  <w:r>
                    <w:rPr>
                      <w:rFonts w:hint="eastAsia"/>
                      <w:color w:val="auto"/>
                      <w:szCs w:val="21"/>
                      <w:lang w:val="en-US" w:eastAsia="zh-CN"/>
                    </w:rPr>
                    <w:t>，主要用于</w:t>
                  </w:r>
                  <w:r>
                    <w:rPr>
                      <w:color w:val="auto"/>
                      <w:szCs w:val="21"/>
                    </w:rPr>
                    <w:t>存放各类包装材料，如罐头瓶、瓶盖、包装袋、标签等，保证包装材料的质量和储存安全</w:t>
                  </w:r>
                  <w:r>
                    <w:rPr>
                      <w:rFonts w:hint="eastAsia"/>
                      <w:color w:val="auto"/>
                      <w:szCs w:val="21"/>
                      <w:lang w:eastAsia="zh-CN"/>
                    </w:rPr>
                    <w:t>。</w:t>
                  </w:r>
                </w:p>
              </w:tc>
              <w:tc>
                <w:tcPr>
                  <w:tcW w:w="423" w:type="pct"/>
                  <w:tcBorders>
                    <w:tl2br w:val="nil"/>
                    <w:tr2bl w:val="nil"/>
                  </w:tcBorders>
                  <w:shd w:val="clear" w:color="auto" w:fill="auto"/>
                  <w:vAlign w:val="center"/>
                </w:tcPr>
                <w:p w14:paraId="21FB88FD">
                  <w:pPr>
                    <w:jc w:val="center"/>
                    <w:rPr>
                      <w:rFonts w:eastAsia="宋体"/>
                      <w:color w:val="auto"/>
                      <w:sz w:val="21"/>
                      <w:szCs w:val="24"/>
                      <w:lang w:val="en-US" w:eastAsia="zh-CN" w:bidi="ar-SA"/>
                    </w:rPr>
                  </w:pPr>
                  <w:r>
                    <w:rPr>
                      <w:color w:val="auto"/>
                    </w:rPr>
                    <w:t>新建</w:t>
                  </w:r>
                </w:p>
              </w:tc>
            </w:tr>
            <w:tr w14:paraId="518C0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51916354">
                  <w:pPr>
                    <w:pStyle w:val="69"/>
                    <w:rPr>
                      <w:color w:val="auto"/>
                    </w:rPr>
                  </w:pPr>
                </w:p>
              </w:tc>
              <w:tc>
                <w:tcPr>
                  <w:tcW w:w="1224" w:type="pct"/>
                  <w:gridSpan w:val="3"/>
                  <w:tcBorders>
                    <w:tl2br w:val="nil"/>
                    <w:tr2bl w:val="nil"/>
                  </w:tcBorders>
                  <w:shd w:val="clear" w:color="auto" w:fill="auto"/>
                  <w:vAlign w:val="center"/>
                </w:tcPr>
                <w:p w14:paraId="2D572EDB">
                  <w:pPr>
                    <w:jc w:val="center"/>
                    <w:rPr>
                      <w:rFonts w:hint="default"/>
                      <w:color w:val="auto"/>
                      <w:szCs w:val="21"/>
                      <w:lang w:val="en-US" w:eastAsia="zh-CN"/>
                    </w:rPr>
                  </w:pPr>
                  <w:r>
                    <w:rPr>
                      <w:rFonts w:hint="eastAsia"/>
                      <w:color w:val="auto"/>
                      <w:szCs w:val="21"/>
                      <w:lang w:val="en-US" w:eastAsia="zh-CN"/>
                    </w:rPr>
                    <w:t>外包间</w:t>
                  </w:r>
                </w:p>
              </w:tc>
              <w:tc>
                <w:tcPr>
                  <w:tcW w:w="3079" w:type="pct"/>
                  <w:tcBorders>
                    <w:tl2br w:val="nil"/>
                    <w:tr2bl w:val="nil"/>
                  </w:tcBorders>
                  <w:shd w:val="clear" w:color="auto" w:fill="auto"/>
                  <w:vAlign w:val="center"/>
                </w:tcPr>
                <w:p w14:paraId="34CCC26A">
                  <w:pPr>
                    <w:jc w:val="both"/>
                    <w:rPr>
                      <w:rFonts w:hint="eastAsia"/>
                      <w:color w:val="auto"/>
                      <w:szCs w:val="21"/>
                      <w:lang w:val="en-US" w:eastAsia="zh-CN"/>
                    </w:rPr>
                  </w:pPr>
                  <w:r>
                    <w:rPr>
                      <w:rFonts w:hint="eastAsia"/>
                      <w:color w:val="auto"/>
                      <w:szCs w:val="21"/>
                      <w:lang w:val="en-US" w:eastAsia="zh-CN"/>
                    </w:rPr>
                    <w:t>面积为32m</w:t>
                  </w:r>
                  <w:r>
                    <w:rPr>
                      <w:rFonts w:hint="eastAsia"/>
                      <w:color w:val="auto"/>
                      <w:szCs w:val="21"/>
                      <w:vertAlign w:val="superscript"/>
                      <w:lang w:val="en-US" w:eastAsia="zh-CN"/>
                    </w:rPr>
                    <w:t>2</w:t>
                  </w:r>
                  <w:r>
                    <w:rPr>
                      <w:rFonts w:hint="eastAsia"/>
                      <w:color w:val="auto"/>
                      <w:szCs w:val="21"/>
                      <w:lang w:val="en-US" w:eastAsia="zh-CN"/>
                    </w:rPr>
                    <w:t>，承担产品最终外包装工作，将已完成内包装、杀菌等工序的食品，装入纸箱外包装容器。</w:t>
                  </w:r>
                </w:p>
              </w:tc>
              <w:tc>
                <w:tcPr>
                  <w:tcW w:w="423" w:type="pct"/>
                  <w:tcBorders>
                    <w:tl2br w:val="nil"/>
                    <w:tr2bl w:val="nil"/>
                  </w:tcBorders>
                  <w:shd w:val="clear" w:color="auto" w:fill="auto"/>
                  <w:vAlign w:val="center"/>
                </w:tcPr>
                <w:p w14:paraId="4BF8C66D">
                  <w:pPr>
                    <w:jc w:val="center"/>
                    <w:rPr>
                      <w:rFonts w:hint="eastAsia" w:eastAsia="宋体"/>
                      <w:color w:val="auto"/>
                      <w:lang w:val="en-US" w:eastAsia="zh-CN"/>
                    </w:rPr>
                  </w:pPr>
                  <w:r>
                    <w:rPr>
                      <w:rFonts w:hint="eastAsia"/>
                      <w:color w:val="auto"/>
                      <w:lang w:val="en-US" w:eastAsia="zh-CN"/>
                    </w:rPr>
                    <w:t>新建</w:t>
                  </w:r>
                </w:p>
              </w:tc>
            </w:tr>
            <w:tr w14:paraId="48C3C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339DFCB4">
                  <w:pPr>
                    <w:pStyle w:val="69"/>
                    <w:rPr>
                      <w:color w:val="auto"/>
                    </w:rPr>
                  </w:pPr>
                </w:p>
              </w:tc>
              <w:tc>
                <w:tcPr>
                  <w:tcW w:w="1224" w:type="pct"/>
                  <w:gridSpan w:val="3"/>
                  <w:tcBorders>
                    <w:tl2br w:val="nil"/>
                    <w:tr2bl w:val="nil"/>
                  </w:tcBorders>
                  <w:shd w:val="clear" w:color="auto" w:fill="auto"/>
                  <w:vAlign w:val="center"/>
                </w:tcPr>
                <w:p w14:paraId="7B97BD3B">
                  <w:pPr>
                    <w:widowControl/>
                    <w:jc w:val="center"/>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成品库</w:t>
                  </w:r>
                </w:p>
              </w:tc>
              <w:tc>
                <w:tcPr>
                  <w:tcW w:w="3079" w:type="pct"/>
                  <w:tcBorders>
                    <w:tl2br w:val="nil"/>
                    <w:tr2bl w:val="nil"/>
                  </w:tcBorders>
                  <w:shd w:val="clear" w:color="auto" w:fill="auto"/>
                  <w:vAlign w:val="center"/>
                </w:tcPr>
                <w:p w14:paraId="1A1335A3">
                  <w:pPr>
                    <w:jc w:val="both"/>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面积为56m</w:t>
                  </w:r>
                  <w:r>
                    <w:rPr>
                      <w:rFonts w:hint="eastAsia"/>
                      <w:color w:val="auto"/>
                      <w:szCs w:val="21"/>
                      <w:vertAlign w:val="superscript"/>
                      <w:lang w:val="en-US" w:eastAsia="zh-CN"/>
                    </w:rPr>
                    <w:t>2</w:t>
                  </w:r>
                  <w:r>
                    <w:rPr>
                      <w:rFonts w:hint="eastAsia"/>
                      <w:color w:val="auto"/>
                      <w:szCs w:val="21"/>
                      <w:lang w:val="en-US" w:eastAsia="zh-CN"/>
                    </w:rPr>
                    <w:t>，主要</w:t>
                  </w:r>
                  <w:r>
                    <w:rPr>
                      <w:color w:val="auto"/>
                      <w:szCs w:val="21"/>
                    </w:rPr>
                    <w:t>对罐头产品进行密封后的外包装，以及对牛肉干产品进行独立包装或组合包装，提升产品的商品性和储存性</w:t>
                  </w:r>
                  <w:r>
                    <w:rPr>
                      <w:rFonts w:hint="eastAsia"/>
                      <w:color w:val="auto"/>
                      <w:szCs w:val="21"/>
                      <w:lang w:eastAsia="zh-CN"/>
                    </w:rPr>
                    <w:t>。</w:t>
                  </w:r>
                </w:p>
              </w:tc>
              <w:tc>
                <w:tcPr>
                  <w:tcW w:w="423" w:type="pct"/>
                  <w:tcBorders>
                    <w:tl2br w:val="nil"/>
                    <w:tr2bl w:val="nil"/>
                  </w:tcBorders>
                  <w:shd w:val="clear" w:color="auto" w:fill="auto"/>
                  <w:vAlign w:val="center"/>
                </w:tcPr>
                <w:p w14:paraId="1131BC20">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3E700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1D0B7B7C">
                  <w:pPr>
                    <w:pStyle w:val="69"/>
                    <w:rPr>
                      <w:color w:val="auto"/>
                    </w:rPr>
                  </w:pPr>
                </w:p>
              </w:tc>
              <w:tc>
                <w:tcPr>
                  <w:tcW w:w="1224" w:type="pct"/>
                  <w:gridSpan w:val="3"/>
                  <w:tcBorders>
                    <w:tl2br w:val="nil"/>
                    <w:tr2bl w:val="nil"/>
                  </w:tcBorders>
                  <w:vAlign w:val="center"/>
                </w:tcPr>
                <w:p w14:paraId="0590CD4D">
                  <w:pPr>
                    <w:pStyle w:val="69"/>
                    <w:jc w:val="center"/>
                    <w:rPr>
                      <w:rFonts w:hint="default"/>
                      <w:color w:val="auto"/>
                      <w:lang w:val="en-US" w:eastAsia="zh-CN"/>
                    </w:rPr>
                  </w:pPr>
                  <w:r>
                    <w:rPr>
                      <w:rFonts w:hint="eastAsia"/>
                      <w:color w:val="auto"/>
                      <w:lang w:val="en-US" w:eastAsia="zh-CN"/>
                    </w:rPr>
                    <w:t>配电室</w:t>
                  </w:r>
                </w:p>
              </w:tc>
              <w:tc>
                <w:tcPr>
                  <w:tcW w:w="3079" w:type="pct"/>
                  <w:tcBorders>
                    <w:tl2br w:val="nil"/>
                    <w:tr2bl w:val="nil"/>
                  </w:tcBorders>
                  <w:vAlign w:val="center"/>
                </w:tcPr>
                <w:p w14:paraId="16FC63BE">
                  <w:pPr>
                    <w:jc w:val="both"/>
                    <w:rPr>
                      <w:rFonts w:hint="eastAsia"/>
                      <w:color w:val="auto"/>
                      <w:szCs w:val="21"/>
                      <w:lang w:val="en-US" w:eastAsia="zh-CN"/>
                    </w:rPr>
                  </w:pPr>
                  <w:r>
                    <w:rPr>
                      <w:rFonts w:hint="eastAsia"/>
                      <w:color w:val="auto"/>
                      <w:szCs w:val="21"/>
                      <w:lang w:val="en-US" w:eastAsia="zh-CN"/>
                    </w:rPr>
                    <w:t>面积为24m</w:t>
                  </w:r>
                  <w:r>
                    <w:rPr>
                      <w:rFonts w:hint="eastAsia"/>
                      <w:color w:val="auto"/>
                      <w:szCs w:val="21"/>
                      <w:vertAlign w:val="superscript"/>
                      <w:lang w:val="en-US" w:eastAsia="zh-CN"/>
                    </w:rPr>
                    <w:t>2</w:t>
                  </w:r>
                  <w:r>
                    <w:rPr>
                      <w:rFonts w:hint="eastAsia"/>
                      <w:color w:val="auto"/>
                      <w:szCs w:val="21"/>
                      <w:lang w:val="en-US" w:eastAsia="zh-CN"/>
                    </w:rPr>
                    <w:t>，为整个生产区域提供电力分配和控制，保障电力供应稳定安全。</w:t>
                  </w:r>
                </w:p>
              </w:tc>
              <w:tc>
                <w:tcPr>
                  <w:tcW w:w="423" w:type="pct"/>
                  <w:tcBorders>
                    <w:tl2br w:val="nil"/>
                    <w:tr2bl w:val="nil"/>
                  </w:tcBorders>
                  <w:vAlign w:val="center"/>
                </w:tcPr>
                <w:p w14:paraId="68AE6AEF">
                  <w:pPr>
                    <w:jc w:val="center"/>
                    <w:rPr>
                      <w:color w:val="auto"/>
                    </w:rPr>
                  </w:pPr>
                  <w:r>
                    <w:rPr>
                      <w:color w:val="auto"/>
                    </w:rPr>
                    <w:t>新建</w:t>
                  </w:r>
                </w:p>
              </w:tc>
            </w:tr>
            <w:tr w14:paraId="27E10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7CD26334">
                  <w:pPr>
                    <w:pStyle w:val="69"/>
                    <w:rPr>
                      <w:color w:val="auto"/>
                    </w:rPr>
                  </w:pPr>
                </w:p>
              </w:tc>
              <w:tc>
                <w:tcPr>
                  <w:tcW w:w="1224" w:type="pct"/>
                  <w:gridSpan w:val="3"/>
                  <w:tcBorders>
                    <w:tl2br w:val="nil"/>
                    <w:tr2bl w:val="nil"/>
                  </w:tcBorders>
                  <w:shd w:val="clear" w:color="auto" w:fill="auto"/>
                  <w:vAlign w:val="center"/>
                </w:tcPr>
                <w:p w14:paraId="088E321A">
                  <w:pPr>
                    <w:pStyle w:val="69"/>
                    <w:jc w:val="center"/>
                    <w:rPr>
                      <w:rFonts w:hint="default" w:eastAsia="宋体"/>
                      <w:color w:val="auto"/>
                      <w:sz w:val="21"/>
                      <w:szCs w:val="21"/>
                      <w:lang w:val="en-US" w:eastAsia="zh-CN" w:bidi="ar-SA"/>
                    </w:rPr>
                  </w:pPr>
                  <w:r>
                    <w:rPr>
                      <w:rFonts w:hint="eastAsia" w:ascii="Times New Roman" w:hAnsi="Times New Roman" w:eastAsia="宋体" w:cs="Times New Roman"/>
                      <w:color w:val="auto"/>
                      <w:kern w:val="0"/>
                      <w:sz w:val="21"/>
                      <w:szCs w:val="21"/>
                      <w:lang w:val="en-US" w:eastAsia="zh-CN" w:bidi="ar-SA"/>
                    </w:rPr>
                    <w:t>空压机房</w:t>
                  </w:r>
                </w:p>
              </w:tc>
              <w:tc>
                <w:tcPr>
                  <w:tcW w:w="3079" w:type="pct"/>
                  <w:tcBorders>
                    <w:tl2br w:val="nil"/>
                    <w:tr2bl w:val="nil"/>
                  </w:tcBorders>
                  <w:shd w:val="clear" w:color="auto" w:fill="auto"/>
                  <w:vAlign w:val="center"/>
                </w:tcPr>
                <w:p w14:paraId="4A297E51">
                  <w:pPr>
                    <w:jc w:val="both"/>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面积为8.8m</w:t>
                  </w:r>
                  <w:r>
                    <w:rPr>
                      <w:rFonts w:hint="eastAsia"/>
                      <w:color w:val="auto"/>
                      <w:szCs w:val="21"/>
                      <w:vertAlign w:val="superscript"/>
                      <w:lang w:val="en-US" w:eastAsia="zh-CN"/>
                    </w:rPr>
                    <w:t>2</w:t>
                  </w:r>
                  <w:r>
                    <w:rPr>
                      <w:rFonts w:hint="eastAsia"/>
                      <w:color w:val="auto"/>
                      <w:szCs w:val="21"/>
                      <w:lang w:val="en-US" w:eastAsia="zh-CN"/>
                    </w:rPr>
                    <w:t>，</w:t>
                  </w:r>
                  <w:r>
                    <w:rPr>
                      <w:rFonts w:hint="eastAsia" w:ascii="Times New Roman" w:hAnsi="Times New Roman" w:eastAsia="宋体" w:cs="Times New Roman"/>
                      <w:color w:val="auto"/>
                      <w:kern w:val="2"/>
                      <w:sz w:val="21"/>
                      <w:szCs w:val="21"/>
                      <w:lang w:val="en-US" w:eastAsia="zh-CN" w:bidi="ar-SA"/>
                    </w:rPr>
                    <w:t>产生压缩空气，为生产线上需要压缩空气驱动的设备提供动力。</w:t>
                  </w:r>
                </w:p>
              </w:tc>
              <w:tc>
                <w:tcPr>
                  <w:tcW w:w="423" w:type="pct"/>
                  <w:tcBorders>
                    <w:tl2br w:val="nil"/>
                    <w:tr2bl w:val="nil"/>
                  </w:tcBorders>
                  <w:shd w:val="clear" w:color="auto" w:fill="auto"/>
                  <w:vAlign w:val="center"/>
                </w:tcPr>
                <w:p w14:paraId="3AD38AB1">
                  <w:pPr>
                    <w:jc w:val="center"/>
                    <w:rPr>
                      <w:rFonts w:eastAsia="宋体"/>
                      <w:color w:val="auto"/>
                      <w:kern w:val="0"/>
                      <w:sz w:val="21"/>
                      <w:szCs w:val="21"/>
                      <w:lang w:val="en-US" w:eastAsia="zh-CN" w:bidi="ar-SA"/>
                    </w:rPr>
                  </w:pPr>
                  <w:r>
                    <w:rPr>
                      <w:color w:val="auto"/>
                    </w:rPr>
                    <w:t>新建</w:t>
                  </w:r>
                </w:p>
              </w:tc>
            </w:tr>
            <w:tr w14:paraId="0F98D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2E077272">
                  <w:pPr>
                    <w:pStyle w:val="69"/>
                    <w:rPr>
                      <w:color w:val="auto"/>
                    </w:rPr>
                  </w:pPr>
                </w:p>
              </w:tc>
              <w:tc>
                <w:tcPr>
                  <w:tcW w:w="1224" w:type="pct"/>
                  <w:gridSpan w:val="3"/>
                  <w:tcBorders>
                    <w:tl2br w:val="nil"/>
                    <w:tr2bl w:val="nil"/>
                  </w:tcBorders>
                  <w:vAlign w:val="center"/>
                </w:tcPr>
                <w:p w14:paraId="5F6A3ACD">
                  <w:pPr>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纯水处理车间</w:t>
                  </w:r>
                </w:p>
              </w:tc>
              <w:tc>
                <w:tcPr>
                  <w:tcW w:w="3079" w:type="pct"/>
                  <w:tcBorders>
                    <w:tl2br w:val="nil"/>
                    <w:tr2bl w:val="nil"/>
                  </w:tcBorders>
                  <w:vAlign w:val="center"/>
                </w:tcPr>
                <w:p w14:paraId="72C178A4">
                  <w:pPr>
                    <w:jc w:val="both"/>
                    <w:rPr>
                      <w:rFonts w:hint="eastAsia"/>
                      <w:color w:val="auto"/>
                      <w:szCs w:val="21"/>
                      <w:lang w:val="en-US" w:eastAsia="zh-CN"/>
                    </w:rPr>
                  </w:pPr>
                  <w:r>
                    <w:rPr>
                      <w:rFonts w:hint="eastAsia"/>
                      <w:color w:val="auto"/>
                      <w:szCs w:val="21"/>
                      <w:lang w:val="en-US" w:eastAsia="zh-CN"/>
                    </w:rPr>
                    <w:t>面积为8.8m</w:t>
                  </w:r>
                  <w:r>
                    <w:rPr>
                      <w:rFonts w:hint="eastAsia"/>
                      <w:color w:val="auto"/>
                      <w:szCs w:val="21"/>
                      <w:vertAlign w:val="superscript"/>
                      <w:lang w:val="en-US" w:eastAsia="zh-CN"/>
                    </w:rPr>
                    <w:t>2</w:t>
                  </w:r>
                  <w:r>
                    <w:rPr>
                      <w:rFonts w:hint="eastAsia"/>
                      <w:color w:val="auto"/>
                      <w:szCs w:val="21"/>
                      <w:lang w:val="en-US" w:eastAsia="zh-CN"/>
                    </w:rPr>
                    <w:t>，主要对水进行净化处理，用于生产用水。</w:t>
                  </w:r>
                </w:p>
              </w:tc>
              <w:tc>
                <w:tcPr>
                  <w:tcW w:w="423" w:type="pct"/>
                  <w:tcBorders>
                    <w:tl2br w:val="nil"/>
                    <w:tr2bl w:val="nil"/>
                  </w:tcBorders>
                  <w:vAlign w:val="center"/>
                </w:tcPr>
                <w:p w14:paraId="34F433B7">
                  <w:pPr>
                    <w:jc w:val="center"/>
                    <w:rPr>
                      <w:color w:val="auto"/>
                    </w:rPr>
                  </w:pPr>
                  <w:r>
                    <w:rPr>
                      <w:color w:val="auto"/>
                    </w:rPr>
                    <w:t>新建</w:t>
                  </w:r>
                </w:p>
              </w:tc>
            </w:tr>
            <w:tr w14:paraId="13D65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1938C934">
                  <w:pPr>
                    <w:pStyle w:val="69"/>
                    <w:rPr>
                      <w:color w:val="auto"/>
                    </w:rPr>
                  </w:pPr>
                </w:p>
              </w:tc>
              <w:tc>
                <w:tcPr>
                  <w:tcW w:w="1224" w:type="pct"/>
                  <w:gridSpan w:val="3"/>
                  <w:tcBorders>
                    <w:tl2br w:val="nil"/>
                    <w:tr2bl w:val="nil"/>
                  </w:tcBorders>
                  <w:shd w:val="clear" w:color="auto" w:fill="auto"/>
                  <w:vAlign w:val="center"/>
                </w:tcPr>
                <w:p w14:paraId="25C1CDD5">
                  <w:pPr>
                    <w:jc w:val="center"/>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无菌室</w:t>
                  </w:r>
                </w:p>
              </w:tc>
              <w:tc>
                <w:tcPr>
                  <w:tcW w:w="3079" w:type="pct"/>
                  <w:tcBorders>
                    <w:tl2br w:val="nil"/>
                    <w:tr2bl w:val="nil"/>
                  </w:tcBorders>
                  <w:shd w:val="clear" w:color="auto" w:fill="auto"/>
                  <w:vAlign w:val="center"/>
                </w:tcPr>
                <w:p w14:paraId="3438F3F5">
                  <w:pPr>
                    <w:jc w:val="both"/>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面积为12m</w:t>
                  </w:r>
                  <w:r>
                    <w:rPr>
                      <w:rFonts w:hint="eastAsia"/>
                      <w:color w:val="auto"/>
                      <w:szCs w:val="21"/>
                      <w:vertAlign w:val="superscript"/>
                      <w:lang w:val="en-US" w:eastAsia="zh-CN"/>
                    </w:rPr>
                    <w:t>2</w:t>
                  </w:r>
                  <w:r>
                    <w:rPr>
                      <w:rFonts w:hint="eastAsia"/>
                      <w:color w:val="auto"/>
                      <w:szCs w:val="21"/>
                      <w:lang w:val="en-US" w:eastAsia="zh-CN"/>
                    </w:rPr>
                    <w:t>，提供无菌环境，用于微生物检测、实验等工作。</w:t>
                  </w:r>
                </w:p>
              </w:tc>
              <w:tc>
                <w:tcPr>
                  <w:tcW w:w="423" w:type="pct"/>
                  <w:tcBorders>
                    <w:tl2br w:val="nil"/>
                    <w:tr2bl w:val="nil"/>
                  </w:tcBorders>
                  <w:shd w:val="clear" w:color="auto" w:fill="auto"/>
                  <w:vAlign w:val="center"/>
                </w:tcPr>
                <w:p w14:paraId="6A1409B1">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7EB82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7AEB48B1">
                  <w:pPr>
                    <w:pStyle w:val="69"/>
                    <w:rPr>
                      <w:color w:val="auto"/>
                    </w:rPr>
                  </w:pPr>
                </w:p>
              </w:tc>
              <w:tc>
                <w:tcPr>
                  <w:tcW w:w="1224" w:type="pct"/>
                  <w:gridSpan w:val="3"/>
                  <w:tcBorders>
                    <w:tl2br w:val="nil"/>
                    <w:tr2bl w:val="nil"/>
                  </w:tcBorders>
                  <w:shd w:val="clear" w:color="auto" w:fill="auto"/>
                  <w:vAlign w:val="center"/>
                </w:tcPr>
                <w:p w14:paraId="3461E110">
                  <w:pPr>
                    <w:jc w:val="center"/>
                    <w:rPr>
                      <w:rFonts w:hint="default" w:ascii="Times New Roman" w:hAnsi="Times New Roman" w:eastAsia="宋体" w:cs="Times New Roman"/>
                      <w:color w:val="auto"/>
                      <w:kern w:val="2"/>
                      <w:sz w:val="21"/>
                      <w:szCs w:val="21"/>
                      <w:lang w:val="en-US" w:eastAsia="zh-CN" w:bidi="ar-SA"/>
                    </w:rPr>
                  </w:pPr>
                  <w:r>
                    <w:rPr>
                      <w:rFonts w:hint="eastAsia"/>
                      <w:color w:val="auto"/>
                      <w:szCs w:val="21"/>
                      <w:lang w:val="en-US" w:eastAsia="zh-CN"/>
                    </w:rPr>
                    <w:t>化验室</w:t>
                  </w:r>
                </w:p>
              </w:tc>
              <w:tc>
                <w:tcPr>
                  <w:tcW w:w="3079" w:type="pct"/>
                  <w:tcBorders>
                    <w:tl2br w:val="nil"/>
                    <w:tr2bl w:val="nil"/>
                  </w:tcBorders>
                  <w:shd w:val="clear" w:color="auto" w:fill="auto"/>
                  <w:vAlign w:val="center"/>
                </w:tcPr>
                <w:p w14:paraId="68AA7968">
                  <w:pPr>
                    <w:jc w:val="both"/>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面积为30m</w:t>
                  </w:r>
                  <w:r>
                    <w:rPr>
                      <w:rFonts w:hint="eastAsia"/>
                      <w:color w:val="auto"/>
                      <w:szCs w:val="21"/>
                      <w:vertAlign w:val="superscript"/>
                      <w:lang w:val="en-US" w:eastAsia="zh-CN"/>
                    </w:rPr>
                    <w:t>2</w:t>
                  </w:r>
                  <w:r>
                    <w:rPr>
                      <w:rFonts w:hint="eastAsia"/>
                      <w:color w:val="auto"/>
                      <w:szCs w:val="21"/>
                      <w:lang w:val="en-US" w:eastAsia="zh-CN"/>
                    </w:rPr>
                    <w:t>，对成品进行简单检验分析，检测各项指标是否符合标准 。</w:t>
                  </w:r>
                </w:p>
              </w:tc>
              <w:tc>
                <w:tcPr>
                  <w:tcW w:w="423" w:type="pct"/>
                  <w:tcBorders>
                    <w:tl2br w:val="nil"/>
                    <w:tr2bl w:val="nil"/>
                  </w:tcBorders>
                  <w:shd w:val="clear" w:color="auto" w:fill="auto"/>
                  <w:vAlign w:val="center"/>
                </w:tcPr>
                <w:p w14:paraId="425ACBCB">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75A06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08DF0403">
                  <w:pPr>
                    <w:pStyle w:val="69"/>
                    <w:rPr>
                      <w:color w:val="auto"/>
                    </w:rPr>
                  </w:pPr>
                </w:p>
              </w:tc>
              <w:tc>
                <w:tcPr>
                  <w:tcW w:w="1224" w:type="pct"/>
                  <w:gridSpan w:val="3"/>
                  <w:tcBorders>
                    <w:tl2br w:val="nil"/>
                    <w:tr2bl w:val="nil"/>
                  </w:tcBorders>
                  <w:shd w:val="clear" w:color="auto" w:fill="auto"/>
                  <w:vAlign w:val="center"/>
                </w:tcPr>
                <w:p w14:paraId="2181C623">
                  <w:pPr>
                    <w:jc w:val="center"/>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展厅</w:t>
                  </w:r>
                </w:p>
              </w:tc>
              <w:tc>
                <w:tcPr>
                  <w:tcW w:w="3079" w:type="pct"/>
                  <w:tcBorders>
                    <w:tl2br w:val="nil"/>
                    <w:tr2bl w:val="nil"/>
                  </w:tcBorders>
                  <w:shd w:val="clear" w:color="auto" w:fill="auto"/>
                  <w:vAlign w:val="center"/>
                </w:tcPr>
                <w:p w14:paraId="0735C87A">
                  <w:pPr>
                    <w:jc w:val="both"/>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面积为10.8m</w:t>
                  </w:r>
                  <w:r>
                    <w:rPr>
                      <w:rFonts w:hint="eastAsia"/>
                      <w:color w:val="auto"/>
                      <w:szCs w:val="21"/>
                      <w:vertAlign w:val="superscript"/>
                      <w:lang w:val="en-US" w:eastAsia="zh-CN"/>
                    </w:rPr>
                    <w:t>2</w:t>
                  </w:r>
                  <w:r>
                    <w:rPr>
                      <w:rFonts w:hint="eastAsia"/>
                      <w:color w:val="auto"/>
                      <w:szCs w:val="21"/>
                      <w:lang w:val="en-US" w:eastAsia="zh-CN"/>
                    </w:rPr>
                    <w:t>，展示企业产品、技术、文化等内容，用于接待客户、宣传企业形象。</w:t>
                  </w:r>
                </w:p>
              </w:tc>
              <w:tc>
                <w:tcPr>
                  <w:tcW w:w="423" w:type="pct"/>
                  <w:tcBorders>
                    <w:tl2br w:val="nil"/>
                    <w:tr2bl w:val="nil"/>
                  </w:tcBorders>
                  <w:shd w:val="clear" w:color="auto" w:fill="auto"/>
                  <w:vAlign w:val="center"/>
                </w:tcPr>
                <w:p w14:paraId="685CEE36">
                  <w:pPr>
                    <w:jc w:val="center"/>
                    <w:rPr>
                      <w:rFonts w:ascii="Times New Roman" w:hAnsi="Times New Roman" w:eastAsia="宋体" w:cs="Times New Roman"/>
                      <w:color w:val="auto"/>
                      <w:kern w:val="2"/>
                      <w:sz w:val="21"/>
                      <w:szCs w:val="24"/>
                      <w:lang w:val="en-US" w:eastAsia="zh-CN" w:bidi="ar-SA"/>
                    </w:rPr>
                  </w:pPr>
                  <w:r>
                    <w:rPr>
                      <w:color w:val="auto"/>
                    </w:rPr>
                    <w:t>新建</w:t>
                  </w:r>
                </w:p>
              </w:tc>
            </w:tr>
            <w:tr w14:paraId="6624B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703D208F">
                  <w:pPr>
                    <w:pStyle w:val="69"/>
                    <w:rPr>
                      <w:color w:val="auto"/>
                    </w:rPr>
                  </w:pPr>
                </w:p>
              </w:tc>
              <w:tc>
                <w:tcPr>
                  <w:tcW w:w="1224" w:type="pct"/>
                  <w:gridSpan w:val="3"/>
                  <w:tcBorders>
                    <w:tl2br w:val="nil"/>
                    <w:tr2bl w:val="nil"/>
                  </w:tcBorders>
                  <w:shd w:val="clear" w:color="auto" w:fill="auto"/>
                  <w:vAlign w:val="center"/>
                </w:tcPr>
                <w:p w14:paraId="45E2A042">
                  <w:pPr>
                    <w:jc w:val="center"/>
                    <w:rPr>
                      <w:rFonts w:hint="eastAsia" w:eastAsia="宋体"/>
                      <w:color w:val="auto"/>
                      <w:sz w:val="21"/>
                      <w:szCs w:val="21"/>
                      <w:lang w:val="en-US" w:eastAsia="zh-CN" w:bidi="ar-SA"/>
                    </w:rPr>
                  </w:pPr>
                  <w:r>
                    <w:rPr>
                      <w:rFonts w:hint="eastAsia"/>
                      <w:color w:val="auto"/>
                      <w:szCs w:val="21"/>
                      <w:lang w:val="en-US" w:eastAsia="zh-CN"/>
                    </w:rPr>
                    <w:t>快递发货</w:t>
                  </w:r>
                </w:p>
              </w:tc>
              <w:tc>
                <w:tcPr>
                  <w:tcW w:w="3079" w:type="pct"/>
                  <w:tcBorders>
                    <w:tl2br w:val="nil"/>
                    <w:tr2bl w:val="nil"/>
                  </w:tcBorders>
                  <w:shd w:val="clear" w:color="auto" w:fill="auto"/>
                  <w:vAlign w:val="center"/>
                </w:tcPr>
                <w:p w14:paraId="6C552707">
                  <w:pPr>
                    <w:jc w:val="both"/>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处理产品发货事宜，将成品通过快递等物流方式发送给客户。</w:t>
                  </w:r>
                </w:p>
              </w:tc>
              <w:tc>
                <w:tcPr>
                  <w:tcW w:w="423" w:type="pct"/>
                  <w:tcBorders>
                    <w:tl2br w:val="nil"/>
                    <w:tr2bl w:val="nil"/>
                  </w:tcBorders>
                  <w:shd w:val="clear" w:color="auto" w:fill="auto"/>
                  <w:vAlign w:val="center"/>
                </w:tcPr>
                <w:p w14:paraId="787B3FE6">
                  <w:pPr>
                    <w:jc w:val="center"/>
                    <w:rPr>
                      <w:rFonts w:eastAsia="宋体"/>
                      <w:color w:val="auto"/>
                      <w:sz w:val="21"/>
                      <w:szCs w:val="24"/>
                      <w:lang w:val="en-US" w:eastAsia="zh-CN" w:bidi="ar-SA"/>
                    </w:rPr>
                  </w:pPr>
                  <w:r>
                    <w:rPr>
                      <w:color w:val="auto"/>
                    </w:rPr>
                    <w:t>新建</w:t>
                  </w:r>
                </w:p>
              </w:tc>
            </w:tr>
            <w:tr w14:paraId="66789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4D632625">
                  <w:pPr>
                    <w:pStyle w:val="69"/>
                    <w:rPr>
                      <w:color w:val="auto"/>
                    </w:rPr>
                  </w:pPr>
                </w:p>
              </w:tc>
              <w:tc>
                <w:tcPr>
                  <w:tcW w:w="1224" w:type="pct"/>
                  <w:gridSpan w:val="3"/>
                  <w:tcBorders>
                    <w:tl2br w:val="nil"/>
                    <w:tr2bl w:val="nil"/>
                  </w:tcBorders>
                  <w:vAlign w:val="center"/>
                </w:tcPr>
                <w:p w14:paraId="10720B3B">
                  <w:pPr>
                    <w:jc w:val="center"/>
                    <w:rPr>
                      <w:rFonts w:hint="default"/>
                      <w:color w:val="auto"/>
                      <w:szCs w:val="21"/>
                      <w:lang w:val="en-US" w:eastAsia="zh-CN"/>
                    </w:rPr>
                  </w:pPr>
                  <w:r>
                    <w:rPr>
                      <w:rFonts w:hint="eastAsia"/>
                      <w:color w:val="auto"/>
                      <w:szCs w:val="21"/>
                      <w:lang w:val="en-US" w:eastAsia="zh-CN"/>
                    </w:rPr>
                    <w:t>参观通道</w:t>
                  </w:r>
                </w:p>
              </w:tc>
              <w:tc>
                <w:tcPr>
                  <w:tcW w:w="3079" w:type="pct"/>
                  <w:tcBorders>
                    <w:tl2br w:val="nil"/>
                    <w:tr2bl w:val="nil"/>
                  </w:tcBorders>
                  <w:vAlign w:val="center"/>
                </w:tcPr>
                <w:p w14:paraId="1B8A6312">
                  <w:pPr>
                    <w:jc w:val="both"/>
                    <w:rPr>
                      <w:rFonts w:hint="eastAsia"/>
                      <w:color w:val="auto"/>
                      <w:szCs w:val="21"/>
                      <w:lang w:val="en-US" w:eastAsia="zh-CN"/>
                    </w:rPr>
                  </w:pPr>
                  <w:r>
                    <w:rPr>
                      <w:rFonts w:hint="eastAsia"/>
                      <w:color w:val="auto"/>
                      <w:szCs w:val="21"/>
                      <w:lang w:val="en-US" w:eastAsia="zh-CN"/>
                    </w:rPr>
                    <w:t>设置透明隔离设施，方便外部人员参观生产流程，展示企业形象。</w:t>
                  </w:r>
                </w:p>
              </w:tc>
              <w:tc>
                <w:tcPr>
                  <w:tcW w:w="423" w:type="pct"/>
                  <w:tcBorders>
                    <w:tl2br w:val="nil"/>
                    <w:tr2bl w:val="nil"/>
                  </w:tcBorders>
                  <w:vAlign w:val="center"/>
                </w:tcPr>
                <w:p w14:paraId="7AB94627">
                  <w:pPr>
                    <w:jc w:val="center"/>
                    <w:rPr>
                      <w:color w:val="auto"/>
                    </w:rPr>
                  </w:pPr>
                  <w:r>
                    <w:rPr>
                      <w:color w:val="auto"/>
                    </w:rPr>
                    <w:t>新建</w:t>
                  </w:r>
                </w:p>
              </w:tc>
            </w:tr>
            <w:tr w14:paraId="073D2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181CCC05">
                  <w:pPr>
                    <w:pStyle w:val="69"/>
                    <w:rPr>
                      <w:color w:val="auto"/>
                    </w:rPr>
                  </w:pPr>
                </w:p>
              </w:tc>
              <w:tc>
                <w:tcPr>
                  <w:tcW w:w="1224" w:type="pct"/>
                  <w:gridSpan w:val="3"/>
                  <w:tcBorders>
                    <w:tl2br w:val="nil"/>
                    <w:tr2bl w:val="nil"/>
                  </w:tcBorders>
                  <w:vAlign w:val="center"/>
                </w:tcPr>
                <w:p w14:paraId="1690C95F">
                  <w:pPr>
                    <w:jc w:val="center"/>
                    <w:rPr>
                      <w:rFonts w:hint="default"/>
                      <w:color w:val="auto"/>
                      <w:szCs w:val="21"/>
                      <w:lang w:val="en-US" w:eastAsia="zh-CN"/>
                    </w:rPr>
                  </w:pPr>
                  <w:r>
                    <w:rPr>
                      <w:rFonts w:hint="eastAsia"/>
                      <w:color w:val="auto"/>
                      <w:szCs w:val="21"/>
                      <w:lang w:val="en-US" w:eastAsia="zh-CN"/>
                    </w:rPr>
                    <w:t>污水处理站</w:t>
                  </w:r>
                </w:p>
              </w:tc>
              <w:tc>
                <w:tcPr>
                  <w:tcW w:w="3079" w:type="pct"/>
                  <w:tcBorders>
                    <w:tl2br w:val="nil"/>
                    <w:tr2bl w:val="nil"/>
                  </w:tcBorders>
                  <w:vAlign w:val="center"/>
                </w:tcPr>
                <w:p w14:paraId="7E8947AA">
                  <w:pPr>
                    <w:jc w:val="both"/>
                    <w:rPr>
                      <w:rFonts w:hint="default"/>
                      <w:color w:val="auto"/>
                      <w:szCs w:val="21"/>
                      <w:lang w:val="en-US" w:eastAsia="zh-CN"/>
                    </w:rPr>
                  </w:pPr>
                  <w:r>
                    <w:rPr>
                      <w:rFonts w:hint="eastAsia"/>
                      <w:color w:val="auto"/>
                      <w:szCs w:val="21"/>
                      <w:lang w:val="en-US" w:eastAsia="zh-CN"/>
                    </w:rPr>
                    <w:t>地埋式一体化污水处理设备，碳钢防腐材质，设备尺寸长宽高为4.5*1.5*1.5，工艺采用收集池+气浮机+一体化AO生物处理工艺。</w:t>
                  </w:r>
                </w:p>
              </w:tc>
              <w:tc>
                <w:tcPr>
                  <w:tcW w:w="423" w:type="pct"/>
                  <w:tcBorders>
                    <w:tl2br w:val="nil"/>
                    <w:tr2bl w:val="nil"/>
                  </w:tcBorders>
                  <w:vAlign w:val="center"/>
                </w:tcPr>
                <w:p w14:paraId="6BD40AAC">
                  <w:pPr>
                    <w:jc w:val="center"/>
                    <w:rPr>
                      <w:rFonts w:hint="eastAsia" w:eastAsia="宋体"/>
                      <w:color w:val="auto"/>
                      <w:lang w:val="en-US" w:eastAsia="zh-CN"/>
                    </w:rPr>
                  </w:pPr>
                  <w:r>
                    <w:rPr>
                      <w:rFonts w:hint="eastAsia"/>
                      <w:color w:val="auto"/>
                      <w:lang w:val="en-US" w:eastAsia="zh-CN"/>
                    </w:rPr>
                    <w:t>新建</w:t>
                  </w:r>
                </w:p>
              </w:tc>
            </w:tr>
            <w:tr w14:paraId="51001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restart"/>
                  <w:tcBorders>
                    <w:tl2br w:val="nil"/>
                    <w:tr2bl w:val="nil"/>
                  </w:tcBorders>
                  <w:vAlign w:val="center"/>
                </w:tcPr>
                <w:p w14:paraId="5393059C">
                  <w:pPr>
                    <w:pStyle w:val="69"/>
                    <w:rPr>
                      <w:color w:val="auto"/>
                      <w:kern w:val="2"/>
                    </w:rPr>
                  </w:pPr>
                  <w:r>
                    <w:rPr>
                      <w:color w:val="auto"/>
                    </w:rPr>
                    <w:t>公用工程</w:t>
                  </w:r>
                </w:p>
              </w:tc>
              <w:tc>
                <w:tcPr>
                  <w:tcW w:w="1224" w:type="pct"/>
                  <w:gridSpan w:val="3"/>
                  <w:tcBorders>
                    <w:tl2br w:val="nil"/>
                    <w:tr2bl w:val="nil"/>
                  </w:tcBorders>
                  <w:vAlign w:val="center"/>
                </w:tcPr>
                <w:p w14:paraId="7813B0A6">
                  <w:pPr>
                    <w:pStyle w:val="69"/>
                    <w:jc w:val="center"/>
                    <w:rPr>
                      <w:bCs/>
                      <w:color w:val="auto"/>
                    </w:rPr>
                  </w:pPr>
                  <w:r>
                    <w:rPr>
                      <w:color w:val="auto"/>
                    </w:rPr>
                    <w:t>供水</w:t>
                  </w:r>
                </w:p>
              </w:tc>
              <w:tc>
                <w:tcPr>
                  <w:tcW w:w="3079" w:type="pct"/>
                  <w:tcBorders>
                    <w:tl2br w:val="nil"/>
                    <w:tr2bl w:val="nil"/>
                  </w:tcBorders>
                  <w:vAlign w:val="center"/>
                </w:tcPr>
                <w:p w14:paraId="05459B89">
                  <w:pPr>
                    <w:pStyle w:val="69"/>
                    <w:jc w:val="both"/>
                    <w:rPr>
                      <w:rFonts w:hint="eastAsia" w:eastAsia="宋体"/>
                      <w:color w:val="auto"/>
                      <w:lang w:eastAsia="zh-CN"/>
                    </w:rPr>
                  </w:pPr>
                  <w:r>
                    <w:rPr>
                      <w:rFonts w:hint="eastAsia"/>
                      <w:color w:val="auto"/>
                    </w:rPr>
                    <w:t>本</w:t>
                  </w:r>
                  <w:r>
                    <w:rPr>
                      <w:color w:val="auto"/>
                    </w:rPr>
                    <w:t>项目供水由</w:t>
                  </w:r>
                  <w:r>
                    <w:rPr>
                      <w:rFonts w:hint="eastAsia"/>
                      <w:color w:val="auto"/>
                      <w:lang w:val="en-US" w:eastAsia="zh-CN"/>
                    </w:rPr>
                    <w:t>市政管网供给</w:t>
                  </w:r>
                  <w:r>
                    <w:rPr>
                      <w:rFonts w:hint="eastAsia"/>
                      <w:color w:val="auto"/>
                    </w:rPr>
                    <w:t>。</w:t>
                  </w:r>
                </w:p>
              </w:tc>
              <w:tc>
                <w:tcPr>
                  <w:tcW w:w="423" w:type="pct"/>
                  <w:tcBorders>
                    <w:tl2br w:val="nil"/>
                    <w:tr2bl w:val="nil"/>
                  </w:tcBorders>
                  <w:vAlign w:val="center"/>
                </w:tcPr>
                <w:p w14:paraId="167DCD53">
                  <w:pPr>
                    <w:pStyle w:val="69"/>
                    <w:jc w:val="center"/>
                    <w:rPr>
                      <w:color w:val="auto"/>
                    </w:rPr>
                  </w:pPr>
                  <w:r>
                    <w:rPr>
                      <w:color w:val="auto"/>
                    </w:rPr>
                    <w:t>依托</w:t>
                  </w:r>
                </w:p>
              </w:tc>
            </w:tr>
            <w:tr w14:paraId="06EAF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55C45562">
                  <w:pPr>
                    <w:pStyle w:val="69"/>
                    <w:rPr>
                      <w:color w:val="auto"/>
                    </w:rPr>
                  </w:pPr>
                </w:p>
              </w:tc>
              <w:tc>
                <w:tcPr>
                  <w:tcW w:w="1224" w:type="pct"/>
                  <w:gridSpan w:val="3"/>
                  <w:tcBorders>
                    <w:tl2br w:val="nil"/>
                    <w:tr2bl w:val="nil"/>
                  </w:tcBorders>
                  <w:vAlign w:val="center"/>
                </w:tcPr>
                <w:p w14:paraId="41F1D5FA">
                  <w:pPr>
                    <w:widowControl/>
                    <w:jc w:val="center"/>
                    <w:rPr>
                      <w:color w:val="auto"/>
                      <w:szCs w:val="21"/>
                    </w:rPr>
                  </w:pPr>
                  <w:r>
                    <w:rPr>
                      <w:rFonts w:hint="eastAsia"/>
                      <w:color w:val="auto"/>
                      <w:szCs w:val="21"/>
                    </w:rPr>
                    <w:t>排水</w:t>
                  </w:r>
                </w:p>
              </w:tc>
              <w:tc>
                <w:tcPr>
                  <w:tcW w:w="3079" w:type="pct"/>
                  <w:tcBorders>
                    <w:tl2br w:val="nil"/>
                    <w:tr2bl w:val="nil"/>
                  </w:tcBorders>
                  <w:vAlign w:val="center"/>
                </w:tcPr>
                <w:p w14:paraId="28928977">
                  <w:pPr>
                    <w:pStyle w:val="156"/>
                    <w:spacing w:line="240" w:lineRule="auto"/>
                    <w:ind w:firstLine="0" w:firstLineChars="0"/>
                    <w:rPr>
                      <w:color w:val="auto"/>
                      <w:szCs w:val="21"/>
                    </w:rPr>
                  </w:pPr>
                  <w:r>
                    <w:rPr>
                      <w:rFonts w:hint="eastAsia" w:ascii="Times New Roman" w:hAnsi="Times New Roman" w:cs="Times New Roman"/>
                      <w:color w:val="auto"/>
                      <w:sz w:val="21"/>
                      <w:szCs w:val="21"/>
                      <w:lang w:eastAsia="zh-CN"/>
                    </w:rPr>
                    <w:t>本项目排水系统采用雨污分流制，</w:t>
                  </w:r>
                  <w:r>
                    <w:rPr>
                      <w:rFonts w:hint="eastAsia" w:cs="Times New Roman"/>
                      <w:color w:val="auto"/>
                      <w:sz w:val="21"/>
                      <w:szCs w:val="21"/>
                      <w:lang w:val="en-US" w:eastAsia="zh-CN"/>
                    </w:rPr>
                    <w:t>雨水经厂内雨水收集沟收集后散排，</w:t>
                  </w:r>
                  <w:r>
                    <w:rPr>
                      <w:rFonts w:ascii="Times New Roman" w:hAnsi="Times New Roman" w:cs="Times New Roman"/>
                      <w:color w:val="auto"/>
                      <w:sz w:val="21"/>
                      <w:szCs w:val="21"/>
                      <w:lang w:eastAsia="zh-CN"/>
                    </w:rPr>
                    <w:t>生活污水</w:t>
                  </w:r>
                  <w:r>
                    <w:rPr>
                      <w:rFonts w:hint="eastAsia" w:cs="Times New Roman"/>
                      <w:color w:val="auto"/>
                      <w:sz w:val="21"/>
                      <w:szCs w:val="21"/>
                      <w:lang w:val="en-US" w:eastAsia="zh-CN"/>
                    </w:rPr>
                    <w:t>经化粪池</w:t>
                  </w:r>
                  <w:r>
                    <w:rPr>
                      <w:rFonts w:hint="eastAsia" w:ascii="Times New Roman" w:hAnsi="Times New Roman" w:cs="Times New Roman"/>
                      <w:color w:val="auto"/>
                      <w:sz w:val="21"/>
                      <w:szCs w:val="21"/>
                      <w:lang w:val="en-US" w:eastAsia="zh-CN"/>
                    </w:rPr>
                    <w:t>处理后排</w:t>
                  </w:r>
                  <w:r>
                    <w:rPr>
                      <w:rFonts w:ascii="Times New Roman" w:hAnsi="Times New Roman" w:cs="Times New Roman"/>
                      <w:color w:val="auto"/>
                      <w:sz w:val="21"/>
                      <w:szCs w:val="21"/>
                      <w:lang w:eastAsia="zh-CN"/>
                    </w:rPr>
                    <w:t>入</w:t>
                  </w:r>
                  <w:r>
                    <w:rPr>
                      <w:rFonts w:hint="eastAsia" w:cs="Times New Roman"/>
                      <w:color w:val="auto"/>
                      <w:sz w:val="21"/>
                      <w:szCs w:val="21"/>
                      <w:lang w:val="en-US" w:eastAsia="zh-CN"/>
                    </w:rPr>
                    <w:t>市政污</w:t>
                  </w:r>
                  <w:r>
                    <w:rPr>
                      <w:rFonts w:ascii="Times New Roman" w:hAnsi="Times New Roman" w:cs="Times New Roman"/>
                      <w:color w:val="auto"/>
                      <w:sz w:val="21"/>
                      <w:szCs w:val="21"/>
                      <w:lang w:eastAsia="zh-CN"/>
                    </w:rPr>
                    <w:t>水管网</w:t>
                  </w:r>
                  <w:r>
                    <w:rPr>
                      <w:rFonts w:hint="eastAsia" w:cs="Times New Roman"/>
                      <w:color w:val="auto"/>
                      <w:sz w:val="21"/>
                      <w:szCs w:val="21"/>
                      <w:lang w:eastAsia="zh-CN"/>
                    </w:rPr>
                    <w:t>，</w:t>
                  </w:r>
                  <w:r>
                    <w:rPr>
                      <w:rFonts w:hint="eastAsia" w:cs="Times New Roman"/>
                      <w:color w:val="auto"/>
                      <w:sz w:val="21"/>
                      <w:szCs w:val="21"/>
                      <w:lang w:val="en-US" w:eastAsia="zh-CN"/>
                    </w:rPr>
                    <w:t>生产废水经厂内污水处理设施处理后，排入市政污水管网</w:t>
                  </w:r>
                  <w:r>
                    <w:rPr>
                      <w:rFonts w:hint="eastAsia" w:ascii="Times New Roman" w:hAnsi="Times New Roman" w:cs="Times New Roman"/>
                      <w:color w:val="auto"/>
                      <w:sz w:val="21"/>
                      <w:szCs w:val="21"/>
                      <w:lang w:eastAsia="zh-CN"/>
                    </w:rPr>
                    <w:t>。</w:t>
                  </w:r>
                </w:p>
              </w:tc>
              <w:tc>
                <w:tcPr>
                  <w:tcW w:w="423" w:type="pct"/>
                  <w:tcBorders>
                    <w:tl2br w:val="nil"/>
                    <w:tr2bl w:val="nil"/>
                  </w:tcBorders>
                  <w:vAlign w:val="center"/>
                </w:tcPr>
                <w:p w14:paraId="2BC4FD0C">
                  <w:pPr>
                    <w:jc w:val="center"/>
                    <w:rPr>
                      <w:color w:val="auto"/>
                    </w:rPr>
                  </w:pPr>
                  <w:r>
                    <w:rPr>
                      <w:color w:val="auto"/>
                    </w:rPr>
                    <w:t>新建</w:t>
                  </w:r>
                </w:p>
              </w:tc>
            </w:tr>
            <w:tr w14:paraId="6E66C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74387525">
                  <w:pPr>
                    <w:pStyle w:val="69"/>
                    <w:rPr>
                      <w:color w:val="auto"/>
                    </w:rPr>
                  </w:pPr>
                </w:p>
              </w:tc>
              <w:tc>
                <w:tcPr>
                  <w:tcW w:w="1224" w:type="pct"/>
                  <w:gridSpan w:val="3"/>
                  <w:tcBorders>
                    <w:tl2br w:val="nil"/>
                    <w:tr2bl w:val="nil"/>
                  </w:tcBorders>
                  <w:vAlign w:val="center"/>
                </w:tcPr>
                <w:p w14:paraId="69D15FC2">
                  <w:pPr>
                    <w:jc w:val="center"/>
                    <w:rPr>
                      <w:color w:val="auto"/>
                      <w:szCs w:val="21"/>
                    </w:rPr>
                  </w:pPr>
                  <w:r>
                    <w:rPr>
                      <w:color w:val="auto"/>
                      <w:szCs w:val="21"/>
                    </w:rPr>
                    <w:t>供热</w:t>
                  </w:r>
                </w:p>
              </w:tc>
              <w:tc>
                <w:tcPr>
                  <w:tcW w:w="3079" w:type="pct"/>
                  <w:tcBorders>
                    <w:tl2br w:val="nil"/>
                    <w:tr2bl w:val="nil"/>
                  </w:tcBorders>
                  <w:vAlign w:val="center"/>
                </w:tcPr>
                <w:p w14:paraId="2C112BFB">
                  <w:pPr>
                    <w:rPr>
                      <w:color w:val="auto"/>
                    </w:rPr>
                  </w:pPr>
                  <w:r>
                    <w:rPr>
                      <w:color w:val="auto"/>
                    </w:rPr>
                    <w:t>冬季供暖</w:t>
                  </w:r>
                  <w:r>
                    <w:rPr>
                      <w:rFonts w:hint="eastAsia"/>
                      <w:color w:val="auto"/>
                      <w:lang w:val="en-US" w:eastAsia="zh-CN"/>
                    </w:rPr>
                    <w:t>依托当地市政供热</w:t>
                  </w:r>
                  <w:r>
                    <w:rPr>
                      <w:color w:val="auto"/>
                    </w:rPr>
                    <w:t>。</w:t>
                  </w:r>
                </w:p>
              </w:tc>
              <w:tc>
                <w:tcPr>
                  <w:tcW w:w="423" w:type="pct"/>
                  <w:tcBorders>
                    <w:tl2br w:val="nil"/>
                    <w:tr2bl w:val="nil"/>
                  </w:tcBorders>
                  <w:vAlign w:val="center"/>
                </w:tcPr>
                <w:p w14:paraId="23326971">
                  <w:pPr>
                    <w:pStyle w:val="69"/>
                    <w:jc w:val="center"/>
                    <w:rPr>
                      <w:rFonts w:hint="eastAsia" w:eastAsia="宋体"/>
                      <w:color w:val="auto"/>
                      <w:lang w:eastAsia="zh-CN"/>
                    </w:rPr>
                  </w:pPr>
                  <w:r>
                    <w:rPr>
                      <w:rFonts w:hint="eastAsia"/>
                      <w:color w:val="auto"/>
                      <w:lang w:val="en-US" w:eastAsia="zh-CN"/>
                    </w:rPr>
                    <w:t>依托</w:t>
                  </w:r>
                </w:p>
              </w:tc>
            </w:tr>
            <w:tr w14:paraId="2E5D5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7329A23A">
                  <w:pPr>
                    <w:pStyle w:val="69"/>
                    <w:rPr>
                      <w:color w:val="auto"/>
                    </w:rPr>
                  </w:pPr>
                </w:p>
              </w:tc>
              <w:tc>
                <w:tcPr>
                  <w:tcW w:w="1224" w:type="pct"/>
                  <w:gridSpan w:val="3"/>
                  <w:tcBorders>
                    <w:tl2br w:val="nil"/>
                    <w:tr2bl w:val="nil"/>
                  </w:tcBorders>
                  <w:vAlign w:val="center"/>
                </w:tcPr>
                <w:p w14:paraId="6B70553C">
                  <w:pPr>
                    <w:pStyle w:val="69"/>
                    <w:jc w:val="center"/>
                    <w:rPr>
                      <w:bCs/>
                      <w:color w:val="auto"/>
                    </w:rPr>
                  </w:pPr>
                  <w:r>
                    <w:rPr>
                      <w:color w:val="auto"/>
                    </w:rPr>
                    <w:t>供电</w:t>
                  </w:r>
                </w:p>
              </w:tc>
              <w:tc>
                <w:tcPr>
                  <w:tcW w:w="3079" w:type="pct"/>
                  <w:tcBorders>
                    <w:tl2br w:val="nil"/>
                    <w:tr2bl w:val="nil"/>
                  </w:tcBorders>
                  <w:vAlign w:val="center"/>
                </w:tcPr>
                <w:p w14:paraId="5B822455">
                  <w:pPr>
                    <w:pStyle w:val="69"/>
                    <w:jc w:val="both"/>
                    <w:rPr>
                      <w:color w:val="auto"/>
                    </w:rPr>
                  </w:pPr>
                  <w:r>
                    <w:rPr>
                      <w:color w:val="auto"/>
                    </w:rPr>
                    <w:t>由</w:t>
                  </w:r>
                  <w:r>
                    <w:rPr>
                      <w:rFonts w:hint="eastAsia"/>
                      <w:color w:val="auto"/>
                      <w:lang w:val="en-US" w:eastAsia="zh-CN"/>
                    </w:rPr>
                    <w:t>当地电网</w:t>
                  </w:r>
                  <w:r>
                    <w:rPr>
                      <w:color w:val="auto"/>
                    </w:rPr>
                    <w:t>供给</w:t>
                  </w:r>
                  <w:r>
                    <w:rPr>
                      <w:rFonts w:hint="eastAsia"/>
                      <w:color w:val="auto"/>
                    </w:rPr>
                    <w:t>。</w:t>
                  </w:r>
                </w:p>
              </w:tc>
              <w:tc>
                <w:tcPr>
                  <w:tcW w:w="423" w:type="pct"/>
                  <w:tcBorders>
                    <w:tl2br w:val="nil"/>
                    <w:tr2bl w:val="nil"/>
                  </w:tcBorders>
                  <w:vAlign w:val="center"/>
                </w:tcPr>
                <w:p w14:paraId="42F3F4D9">
                  <w:pPr>
                    <w:pStyle w:val="69"/>
                    <w:jc w:val="center"/>
                    <w:rPr>
                      <w:color w:val="auto"/>
                    </w:rPr>
                  </w:pPr>
                  <w:r>
                    <w:rPr>
                      <w:color w:val="auto"/>
                    </w:rPr>
                    <w:t>依托</w:t>
                  </w:r>
                </w:p>
              </w:tc>
            </w:tr>
            <w:tr w14:paraId="615D64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restart"/>
                  <w:tcBorders>
                    <w:tl2br w:val="nil"/>
                    <w:tr2bl w:val="nil"/>
                  </w:tcBorders>
                  <w:vAlign w:val="center"/>
                </w:tcPr>
                <w:p w14:paraId="7D299143">
                  <w:pPr>
                    <w:pStyle w:val="69"/>
                    <w:rPr>
                      <w:color w:val="auto"/>
                      <w:kern w:val="2"/>
                    </w:rPr>
                  </w:pPr>
                  <w:r>
                    <w:rPr>
                      <w:color w:val="auto"/>
                    </w:rPr>
                    <w:t>环保工程</w:t>
                  </w:r>
                </w:p>
              </w:tc>
              <w:tc>
                <w:tcPr>
                  <w:tcW w:w="272" w:type="pct"/>
                  <w:vMerge w:val="restart"/>
                  <w:tcBorders>
                    <w:tl2br w:val="nil"/>
                    <w:tr2bl w:val="nil"/>
                  </w:tcBorders>
                  <w:vAlign w:val="center"/>
                </w:tcPr>
                <w:p w14:paraId="35FD7CFC">
                  <w:pPr>
                    <w:pStyle w:val="69"/>
                    <w:jc w:val="center"/>
                    <w:rPr>
                      <w:bCs/>
                      <w:color w:val="auto"/>
                      <w:kern w:val="2"/>
                      <w:szCs w:val="24"/>
                    </w:rPr>
                  </w:pPr>
                  <w:r>
                    <w:rPr>
                      <w:color w:val="auto"/>
                    </w:rPr>
                    <w:t>废气</w:t>
                  </w:r>
                </w:p>
              </w:tc>
              <w:tc>
                <w:tcPr>
                  <w:tcW w:w="951" w:type="pct"/>
                  <w:gridSpan w:val="2"/>
                  <w:tcBorders>
                    <w:tl2br w:val="nil"/>
                    <w:tr2bl w:val="nil"/>
                  </w:tcBorders>
                  <w:shd w:val="clear" w:color="auto" w:fill="auto"/>
                  <w:vAlign w:val="center"/>
                </w:tcPr>
                <w:p w14:paraId="6E13D4BB">
                  <w:pPr>
                    <w:jc w:val="center"/>
                    <w:rPr>
                      <w:rFonts w:hint="eastAsia" w:ascii="Times New Roman" w:hAnsi="Times New Roman" w:eastAsia="宋体" w:cs="Times New Roman"/>
                      <w:color w:val="auto"/>
                      <w:kern w:val="2"/>
                      <w:sz w:val="21"/>
                      <w:szCs w:val="21"/>
                      <w:lang w:val="en-US" w:eastAsia="zh-CN" w:bidi="ar-SA"/>
                    </w:rPr>
                  </w:pPr>
                  <w:r>
                    <w:rPr>
                      <w:color w:val="auto"/>
                      <w:szCs w:val="21"/>
                    </w:rPr>
                    <w:t>污水处理站</w:t>
                  </w:r>
                  <w:r>
                    <w:rPr>
                      <w:rFonts w:hint="eastAsia"/>
                      <w:color w:val="auto"/>
                      <w:szCs w:val="21"/>
                      <w:lang w:val="en-US" w:eastAsia="zh-CN"/>
                    </w:rPr>
                    <w:t>恶臭</w:t>
                  </w:r>
                </w:p>
              </w:tc>
              <w:tc>
                <w:tcPr>
                  <w:tcW w:w="3079" w:type="pct"/>
                  <w:tcBorders>
                    <w:tl2br w:val="nil"/>
                    <w:tr2bl w:val="nil"/>
                  </w:tcBorders>
                  <w:shd w:val="clear" w:color="auto" w:fill="auto"/>
                  <w:vAlign w:val="center"/>
                </w:tcPr>
                <w:p w14:paraId="2A43B4CB">
                  <w:pPr>
                    <w:keepNext w:val="0"/>
                    <w:keepLines w:val="0"/>
                    <w:pageBreakBefore w:val="0"/>
                    <w:widowControl w:val="0"/>
                    <w:kinsoku/>
                    <w:wordWrap w:val="0"/>
                    <w:overflowPunct/>
                    <w:topLinePunct/>
                    <w:autoSpaceDE/>
                    <w:autoSpaceDN/>
                    <w:bidi w:val="0"/>
                    <w:adjustRightInd w:val="0"/>
                    <w:snapToGrid w:val="0"/>
                    <w:jc w:val="left"/>
                    <w:textAlignment w:val="auto"/>
                    <w:rPr>
                      <w:rFonts w:ascii="Times New Roman" w:hAnsi="Times New Roman" w:eastAsia="宋体" w:cs="Times New Roman"/>
                      <w:color w:val="auto"/>
                      <w:kern w:val="2"/>
                      <w:sz w:val="21"/>
                      <w:szCs w:val="21"/>
                      <w:lang w:val="en-US" w:eastAsia="zh-CN" w:bidi="ar-SA"/>
                    </w:rPr>
                  </w:pPr>
                  <w:r>
                    <w:rPr>
                      <w:color w:val="auto"/>
                      <w:szCs w:val="21"/>
                    </w:rPr>
                    <w:t>密闭收集后经</w:t>
                  </w:r>
                  <w:r>
                    <w:rPr>
                      <w:rFonts w:hint="eastAsia"/>
                      <w:color w:val="auto"/>
                      <w:szCs w:val="21"/>
                      <w:lang w:val="en-US" w:eastAsia="zh-CN"/>
                    </w:rPr>
                    <w:t>活性炭吸附</w:t>
                  </w:r>
                  <w:r>
                    <w:rPr>
                      <w:color w:val="auto"/>
                      <w:szCs w:val="21"/>
                    </w:rPr>
                    <w:t>后</w:t>
                  </w:r>
                  <w:r>
                    <w:rPr>
                      <w:rFonts w:hint="eastAsia"/>
                      <w:color w:val="auto"/>
                      <w:szCs w:val="21"/>
                      <w:lang w:val="en-US" w:eastAsia="zh-CN"/>
                    </w:rPr>
                    <w:t>由15m高</w:t>
                  </w:r>
                  <w:r>
                    <w:rPr>
                      <w:color w:val="auto"/>
                      <w:szCs w:val="21"/>
                    </w:rPr>
                    <w:t>排气筒</w:t>
                  </w:r>
                  <w:r>
                    <w:rPr>
                      <w:rFonts w:hint="eastAsia"/>
                      <w:color w:val="auto"/>
                      <w:szCs w:val="21"/>
                      <w:lang w:eastAsia="zh-CN"/>
                    </w:rPr>
                    <w:t>（</w:t>
                  </w:r>
                  <w:r>
                    <w:rPr>
                      <w:rFonts w:hint="eastAsia"/>
                      <w:color w:val="auto"/>
                      <w:szCs w:val="21"/>
                      <w:lang w:val="en-US" w:eastAsia="zh-CN"/>
                    </w:rPr>
                    <w:t>DA001</w:t>
                  </w:r>
                  <w:r>
                    <w:rPr>
                      <w:rFonts w:hint="eastAsia"/>
                      <w:color w:val="auto"/>
                      <w:szCs w:val="21"/>
                      <w:lang w:eastAsia="zh-CN"/>
                    </w:rPr>
                    <w:t>）</w:t>
                  </w:r>
                  <w:r>
                    <w:rPr>
                      <w:color w:val="auto"/>
                      <w:szCs w:val="21"/>
                    </w:rPr>
                    <w:t>排放</w:t>
                  </w:r>
                  <w:r>
                    <w:rPr>
                      <w:rFonts w:hint="eastAsia"/>
                      <w:color w:val="auto"/>
                      <w:szCs w:val="21"/>
                    </w:rPr>
                    <w:t>。</w:t>
                  </w:r>
                </w:p>
              </w:tc>
              <w:tc>
                <w:tcPr>
                  <w:tcW w:w="423" w:type="pct"/>
                  <w:tcBorders>
                    <w:tl2br w:val="nil"/>
                    <w:tr2bl w:val="nil"/>
                  </w:tcBorders>
                  <w:vAlign w:val="center"/>
                </w:tcPr>
                <w:p w14:paraId="36FDA82D">
                  <w:pPr>
                    <w:pStyle w:val="69"/>
                    <w:jc w:val="center"/>
                    <w:rPr>
                      <w:color w:val="auto"/>
                      <w:kern w:val="2"/>
                    </w:rPr>
                  </w:pPr>
                  <w:r>
                    <w:rPr>
                      <w:color w:val="auto"/>
                    </w:rPr>
                    <w:t>新建</w:t>
                  </w:r>
                </w:p>
              </w:tc>
            </w:tr>
            <w:tr w14:paraId="0D55E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7CCE24C0">
                  <w:pPr>
                    <w:pStyle w:val="69"/>
                    <w:rPr>
                      <w:color w:val="auto"/>
                    </w:rPr>
                  </w:pPr>
                </w:p>
              </w:tc>
              <w:tc>
                <w:tcPr>
                  <w:tcW w:w="272" w:type="pct"/>
                  <w:vMerge w:val="continue"/>
                  <w:tcBorders>
                    <w:tl2br w:val="nil"/>
                    <w:tr2bl w:val="nil"/>
                  </w:tcBorders>
                  <w:vAlign w:val="center"/>
                </w:tcPr>
                <w:p w14:paraId="252984E0">
                  <w:pPr>
                    <w:pStyle w:val="69"/>
                    <w:jc w:val="center"/>
                    <w:rPr>
                      <w:color w:val="auto"/>
                    </w:rPr>
                  </w:pPr>
                </w:p>
              </w:tc>
              <w:tc>
                <w:tcPr>
                  <w:tcW w:w="951" w:type="pct"/>
                  <w:gridSpan w:val="2"/>
                  <w:tcBorders>
                    <w:tl2br w:val="nil"/>
                    <w:tr2bl w:val="nil"/>
                  </w:tcBorders>
                  <w:shd w:val="clear" w:color="auto" w:fill="auto"/>
                  <w:vAlign w:val="center"/>
                </w:tcPr>
                <w:p w14:paraId="0210604F">
                  <w:pPr>
                    <w:jc w:val="center"/>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油烟废气</w:t>
                  </w:r>
                </w:p>
              </w:tc>
              <w:tc>
                <w:tcPr>
                  <w:tcW w:w="3079" w:type="pct"/>
                  <w:tcBorders>
                    <w:tl2br w:val="nil"/>
                    <w:tr2bl w:val="nil"/>
                  </w:tcBorders>
                  <w:shd w:val="clear" w:color="auto" w:fill="auto"/>
                  <w:vAlign w:val="center"/>
                </w:tcPr>
                <w:p w14:paraId="071EF700">
                  <w:pPr>
                    <w:jc w:val="both"/>
                    <w:rPr>
                      <w:rFonts w:hint="eastAsia" w:ascii="Times New Roman" w:hAnsi="Times New Roman" w:eastAsia="宋体" w:cs="Times New Roman"/>
                      <w:color w:val="auto"/>
                      <w:kern w:val="2"/>
                      <w:sz w:val="21"/>
                      <w:szCs w:val="21"/>
                      <w:lang w:val="en-US" w:eastAsia="zh-CN" w:bidi="ar-SA"/>
                    </w:rPr>
                  </w:pPr>
                  <w:r>
                    <w:rPr>
                      <w:rFonts w:hint="eastAsia"/>
                      <w:color w:val="auto"/>
                      <w:szCs w:val="21"/>
                    </w:rPr>
                    <w:t>收集后经油烟净化装置处理</w:t>
                  </w:r>
                  <w:r>
                    <w:rPr>
                      <w:rFonts w:hint="eastAsia"/>
                      <w:color w:val="auto"/>
                      <w:szCs w:val="21"/>
                      <w:lang w:val="en-US" w:eastAsia="zh-CN"/>
                    </w:rPr>
                    <w:t>由屋顶排气筒</w:t>
                  </w:r>
                  <w:r>
                    <w:rPr>
                      <w:rFonts w:hint="eastAsia"/>
                      <w:color w:val="auto"/>
                      <w:szCs w:val="21"/>
                    </w:rPr>
                    <w:t>排放</w:t>
                  </w:r>
                  <w:r>
                    <w:rPr>
                      <w:rFonts w:hint="eastAsia"/>
                      <w:color w:val="auto"/>
                      <w:szCs w:val="21"/>
                      <w:lang w:eastAsia="zh-CN"/>
                    </w:rPr>
                    <w:t>。</w:t>
                  </w:r>
                </w:p>
              </w:tc>
              <w:tc>
                <w:tcPr>
                  <w:tcW w:w="423" w:type="pct"/>
                  <w:tcBorders>
                    <w:tl2br w:val="nil"/>
                    <w:tr2bl w:val="nil"/>
                  </w:tcBorders>
                  <w:vAlign w:val="center"/>
                </w:tcPr>
                <w:p w14:paraId="716D1AA8">
                  <w:pPr>
                    <w:pStyle w:val="69"/>
                    <w:jc w:val="center"/>
                    <w:rPr>
                      <w:color w:val="auto"/>
                    </w:rPr>
                  </w:pPr>
                  <w:r>
                    <w:rPr>
                      <w:color w:val="auto"/>
                    </w:rPr>
                    <w:t>新建</w:t>
                  </w:r>
                </w:p>
              </w:tc>
            </w:tr>
            <w:tr w14:paraId="547BE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5A377796">
                  <w:pPr>
                    <w:pStyle w:val="69"/>
                    <w:rPr>
                      <w:color w:val="auto"/>
                    </w:rPr>
                  </w:pPr>
                </w:p>
              </w:tc>
              <w:tc>
                <w:tcPr>
                  <w:tcW w:w="272" w:type="pct"/>
                  <w:vMerge w:val="continue"/>
                  <w:tcBorders>
                    <w:tl2br w:val="nil"/>
                    <w:tr2bl w:val="nil"/>
                  </w:tcBorders>
                  <w:vAlign w:val="center"/>
                </w:tcPr>
                <w:p w14:paraId="43219AEF">
                  <w:pPr>
                    <w:pStyle w:val="69"/>
                    <w:jc w:val="center"/>
                    <w:rPr>
                      <w:color w:val="auto"/>
                    </w:rPr>
                  </w:pPr>
                </w:p>
              </w:tc>
              <w:tc>
                <w:tcPr>
                  <w:tcW w:w="951" w:type="pct"/>
                  <w:gridSpan w:val="2"/>
                  <w:tcBorders>
                    <w:tl2br w:val="nil"/>
                    <w:tr2bl w:val="nil"/>
                  </w:tcBorders>
                  <w:shd w:val="clear" w:color="auto" w:fill="auto"/>
                  <w:vAlign w:val="center"/>
                </w:tcPr>
                <w:p w14:paraId="622CF8C3">
                  <w:pPr>
                    <w:jc w:val="center"/>
                    <w:rPr>
                      <w:rFonts w:hint="default"/>
                      <w:color w:val="auto"/>
                      <w:szCs w:val="21"/>
                      <w:lang w:val="en-US" w:eastAsia="zh-CN"/>
                    </w:rPr>
                  </w:pPr>
                  <w:r>
                    <w:rPr>
                      <w:rFonts w:hint="eastAsia"/>
                      <w:color w:val="auto"/>
                      <w:szCs w:val="21"/>
                      <w:lang w:val="en-US" w:eastAsia="zh-CN"/>
                    </w:rPr>
                    <w:t>制冷系统废气</w:t>
                  </w:r>
                </w:p>
              </w:tc>
              <w:tc>
                <w:tcPr>
                  <w:tcW w:w="3079" w:type="pct"/>
                  <w:tcBorders>
                    <w:tl2br w:val="nil"/>
                    <w:tr2bl w:val="nil"/>
                  </w:tcBorders>
                  <w:shd w:val="clear" w:color="auto" w:fill="auto"/>
                  <w:vAlign w:val="center"/>
                </w:tcPr>
                <w:p w14:paraId="15D6B58C">
                  <w:pPr>
                    <w:jc w:val="left"/>
                    <w:rPr>
                      <w:rFonts w:hint="eastAsia"/>
                      <w:color w:val="auto"/>
                      <w:szCs w:val="21"/>
                    </w:rPr>
                  </w:pPr>
                  <w:r>
                    <w:rPr>
                      <w:rFonts w:hint="eastAsia"/>
                      <w:color w:val="auto"/>
                      <w:szCs w:val="21"/>
                    </w:rPr>
                    <w:t>定期对制冷系统密封检查和检测，及时更换老化阀门和管道。</w:t>
                  </w:r>
                </w:p>
              </w:tc>
              <w:tc>
                <w:tcPr>
                  <w:tcW w:w="423" w:type="pct"/>
                  <w:tcBorders>
                    <w:tl2br w:val="nil"/>
                    <w:tr2bl w:val="nil"/>
                  </w:tcBorders>
                  <w:vAlign w:val="center"/>
                </w:tcPr>
                <w:p w14:paraId="72A9D788">
                  <w:pPr>
                    <w:pStyle w:val="69"/>
                    <w:jc w:val="center"/>
                    <w:rPr>
                      <w:color w:val="auto"/>
                    </w:rPr>
                  </w:pPr>
                  <w:r>
                    <w:rPr>
                      <w:color w:val="auto"/>
                    </w:rPr>
                    <w:t>新建</w:t>
                  </w:r>
                </w:p>
              </w:tc>
            </w:tr>
            <w:tr w14:paraId="07B21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01AC01AF">
                  <w:pPr>
                    <w:pStyle w:val="69"/>
                    <w:rPr>
                      <w:color w:val="auto"/>
                    </w:rPr>
                  </w:pPr>
                </w:p>
              </w:tc>
              <w:tc>
                <w:tcPr>
                  <w:tcW w:w="272" w:type="pct"/>
                  <w:vMerge w:val="restart"/>
                  <w:tcBorders>
                    <w:tl2br w:val="nil"/>
                    <w:tr2bl w:val="nil"/>
                  </w:tcBorders>
                  <w:vAlign w:val="center"/>
                </w:tcPr>
                <w:p w14:paraId="3959425F">
                  <w:pPr>
                    <w:pStyle w:val="69"/>
                    <w:jc w:val="center"/>
                    <w:rPr>
                      <w:color w:val="auto"/>
                    </w:rPr>
                  </w:pPr>
                  <w:r>
                    <w:rPr>
                      <w:color w:val="auto"/>
                    </w:rPr>
                    <w:t>废水</w:t>
                  </w:r>
                </w:p>
              </w:tc>
              <w:tc>
                <w:tcPr>
                  <w:tcW w:w="951" w:type="pct"/>
                  <w:gridSpan w:val="2"/>
                  <w:tcBorders>
                    <w:tl2br w:val="nil"/>
                    <w:tr2bl w:val="nil"/>
                  </w:tcBorders>
                  <w:vAlign w:val="center"/>
                </w:tcPr>
                <w:p w14:paraId="7E8366B3">
                  <w:pPr>
                    <w:jc w:val="center"/>
                    <w:rPr>
                      <w:color w:val="auto"/>
                      <w:szCs w:val="21"/>
                    </w:rPr>
                  </w:pPr>
                  <w:r>
                    <w:rPr>
                      <w:color w:val="auto"/>
                      <w:szCs w:val="21"/>
                    </w:rPr>
                    <w:t>生活污水</w:t>
                  </w:r>
                </w:p>
              </w:tc>
              <w:tc>
                <w:tcPr>
                  <w:tcW w:w="3079" w:type="pct"/>
                  <w:tcBorders>
                    <w:tl2br w:val="nil"/>
                    <w:tr2bl w:val="nil"/>
                  </w:tcBorders>
                  <w:vAlign w:val="center"/>
                </w:tcPr>
                <w:p w14:paraId="75AB3040">
                  <w:pPr>
                    <w:pStyle w:val="178"/>
                    <w:rPr>
                      <w:color w:val="auto"/>
                      <w:szCs w:val="21"/>
                    </w:rPr>
                  </w:pPr>
                  <w:r>
                    <w:rPr>
                      <w:rFonts w:ascii="Times New Roman" w:hAnsi="Times New Roman" w:cs="Times New Roman"/>
                      <w:color w:val="auto"/>
                      <w:sz w:val="21"/>
                      <w:szCs w:val="21"/>
                      <w:lang w:eastAsia="zh-CN"/>
                    </w:rPr>
                    <w:t>经防渗化粪池沉淀、腐化处理后，</w:t>
                  </w:r>
                  <w:r>
                    <w:rPr>
                      <w:rFonts w:hint="eastAsia" w:ascii="Times New Roman" w:hAnsi="Times New Roman" w:cs="Times New Roman"/>
                      <w:color w:val="auto"/>
                      <w:sz w:val="21"/>
                      <w:szCs w:val="21"/>
                      <w:lang w:val="en-US" w:eastAsia="zh-CN"/>
                    </w:rPr>
                    <w:t>排</w:t>
                  </w:r>
                  <w:r>
                    <w:rPr>
                      <w:rFonts w:ascii="Times New Roman" w:hAnsi="Times New Roman" w:cs="Times New Roman"/>
                      <w:color w:val="auto"/>
                      <w:sz w:val="21"/>
                      <w:szCs w:val="21"/>
                      <w:lang w:eastAsia="zh-CN"/>
                    </w:rPr>
                    <w:t>入</w:t>
                  </w:r>
                  <w:r>
                    <w:rPr>
                      <w:rFonts w:hint="eastAsia" w:ascii="Times New Roman" w:hAnsi="Times New Roman" w:cs="Times New Roman"/>
                      <w:color w:val="auto"/>
                      <w:sz w:val="21"/>
                      <w:szCs w:val="21"/>
                      <w:lang w:val="en-US" w:eastAsia="zh-CN"/>
                    </w:rPr>
                    <w:t>市政</w:t>
                  </w:r>
                  <w:r>
                    <w:rPr>
                      <w:rFonts w:ascii="Times New Roman" w:hAnsi="Times New Roman" w:cs="Times New Roman"/>
                      <w:color w:val="auto"/>
                      <w:sz w:val="21"/>
                      <w:szCs w:val="21"/>
                      <w:lang w:eastAsia="zh-CN"/>
                    </w:rPr>
                    <w:t>污水管网。</w:t>
                  </w:r>
                </w:p>
              </w:tc>
              <w:tc>
                <w:tcPr>
                  <w:tcW w:w="423" w:type="pct"/>
                  <w:tcBorders>
                    <w:tl2br w:val="nil"/>
                    <w:tr2bl w:val="nil"/>
                  </w:tcBorders>
                  <w:vAlign w:val="center"/>
                </w:tcPr>
                <w:p w14:paraId="649481B3">
                  <w:pPr>
                    <w:pStyle w:val="69"/>
                    <w:jc w:val="center"/>
                    <w:rPr>
                      <w:color w:val="auto"/>
                      <w:kern w:val="2"/>
                    </w:rPr>
                  </w:pPr>
                  <w:r>
                    <w:rPr>
                      <w:color w:val="auto"/>
                    </w:rPr>
                    <w:t>新建</w:t>
                  </w:r>
                </w:p>
              </w:tc>
            </w:tr>
            <w:tr w14:paraId="38271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1C83ED1E">
                  <w:pPr>
                    <w:pStyle w:val="69"/>
                    <w:rPr>
                      <w:color w:val="auto"/>
                    </w:rPr>
                  </w:pPr>
                </w:p>
              </w:tc>
              <w:tc>
                <w:tcPr>
                  <w:tcW w:w="272" w:type="pct"/>
                  <w:vMerge w:val="continue"/>
                  <w:tcBorders>
                    <w:tl2br w:val="nil"/>
                    <w:tr2bl w:val="nil"/>
                  </w:tcBorders>
                  <w:vAlign w:val="center"/>
                </w:tcPr>
                <w:p w14:paraId="71164375">
                  <w:pPr>
                    <w:pStyle w:val="69"/>
                    <w:jc w:val="center"/>
                    <w:rPr>
                      <w:color w:val="auto"/>
                    </w:rPr>
                  </w:pPr>
                </w:p>
              </w:tc>
              <w:tc>
                <w:tcPr>
                  <w:tcW w:w="951" w:type="pct"/>
                  <w:gridSpan w:val="2"/>
                  <w:tcBorders>
                    <w:tl2br w:val="nil"/>
                    <w:tr2bl w:val="nil"/>
                  </w:tcBorders>
                  <w:vAlign w:val="center"/>
                </w:tcPr>
                <w:p w14:paraId="56F4AAEF">
                  <w:pPr>
                    <w:jc w:val="center"/>
                    <w:rPr>
                      <w:color w:val="auto"/>
                      <w:szCs w:val="21"/>
                    </w:rPr>
                  </w:pPr>
                  <w:r>
                    <w:rPr>
                      <w:color w:val="auto"/>
                      <w:szCs w:val="21"/>
                    </w:rPr>
                    <w:t>生产污水</w:t>
                  </w:r>
                </w:p>
              </w:tc>
              <w:tc>
                <w:tcPr>
                  <w:tcW w:w="3079" w:type="pct"/>
                  <w:tcBorders>
                    <w:tl2br w:val="nil"/>
                    <w:tr2bl w:val="nil"/>
                  </w:tcBorders>
                  <w:vAlign w:val="center"/>
                </w:tcPr>
                <w:p w14:paraId="7EF958CD">
                  <w:pPr>
                    <w:rPr>
                      <w:color w:val="auto"/>
                      <w:szCs w:val="21"/>
                    </w:rPr>
                  </w:pPr>
                  <w:r>
                    <w:rPr>
                      <w:rFonts w:hint="eastAsia" w:cs="Times New Roman"/>
                      <w:color w:val="auto"/>
                      <w:sz w:val="21"/>
                      <w:szCs w:val="21"/>
                      <w:lang w:val="en-US" w:eastAsia="zh-CN"/>
                    </w:rPr>
                    <w:t>生产废水收集后排</w:t>
                  </w:r>
                  <w:r>
                    <w:rPr>
                      <w:rFonts w:ascii="Times New Roman" w:hAnsi="Times New Roman" w:cs="Times New Roman"/>
                      <w:color w:val="auto"/>
                      <w:sz w:val="21"/>
                      <w:szCs w:val="21"/>
                      <w:lang w:eastAsia="zh-CN"/>
                    </w:rPr>
                    <w:t>入厂区污水处理站，</w:t>
                  </w:r>
                  <w:r>
                    <w:rPr>
                      <w:rFonts w:hint="eastAsia" w:cs="Times New Roman"/>
                      <w:color w:val="auto"/>
                      <w:sz w:val="21"/>
                      <w:szCs w:val="21"/>
                      <w:lang w:val="en-US" w:eastAsia="zh-CN"/>
                    </w:rPr>
                    <w:t>经格栅→收集池→气浮机→厌氧池→缺氧池→好氧池→二沉池→消毒池处理</w:t>
                  </w:r>
                  <w:r>
                    <w:rPr>
                      <w:rFonts w:ascii="Times New Roman" w:hAnsi="Times New Roman" w:cs="Times New Roman"/>
                      <w:color w:val="auto"/>
                      <w:sz w:val="21"/>
                      <w:szCs w:val="21"/>
                      <w:lang w:eastAsia="zh-CN"/>
                    </w:rPr>
                    <w:t>，最终</w:t>
                  </w:r>
                  <w:r>
                    <w:rPr>
                      <w:rFonts w:hint="eastAsia" w:cs="Times New Roman"/>
                      <w:color w:val="auto"/>
                      <w:sz w:val="21"/>
                      <w:szCs w:val="21"/>
                      <w:lang w:val="en-US" w:eastAsia="zh-CN"/>
                    </w:rPr>
                    <w:t>排入市政污水管网</w:t>
                  </w:r>
                  <w:r>
                    <w:rPr>
                      <w:rFonts w:ascii="Times New Roman" w:hAnsi="Times New Roman" w:cs="Times New Roman"/>
                      <w:color w:val="auto"/>
                      <w:sz w:val="21"/>
                      <w:szCs w:val="21"/>
                      <w:lang w:eastAsia="zh-CN"/>
                    </w:rPr>
                    <w:t>。</w:t>
                  </w:r>
                </w:p>
              </w:tc>
              <w:tc>
                <w:tcPr>
                  <w:tcW w:w="423" w:type="pct"/>
                  <w:tcBorders>
                    <w:tl2br w:val="nil"/>
                    <w:tr2bl w:val="nil"/>
                  </w:tcBorders>
                  <w:vAlign w:val="center"/>
                </w:tcPr>
                <w:p w14:paraId="60511D70">
                  <w:pPr>
                    <w:pStyle w:val="69"/>
                    <w:jc w:val="center"/>
                    <w:rPr>
                      <w:color w:val="auto"/>
                    </w:rPr>
                  </w:pPr>
                  <w:r>
                    <w:rPr>
                      <w:color w:val="auto"/>
                    </w:rPr>
                    <w:t>新建</w:t>
                  </w:r>
                </w:p>
              </w:tc>
            </w:tr>
            <w:tr w14:paraId="1F762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75D10390">
                  <w:pPr>
                    <w:pStyle w:val="69"/>
                    <w:rPr>
                      <w:color w:val="auto"/>
                    </w:rPr>
                  </w:pPr>
                </w:p>
              </w:tc>
              <w:tc>
                <w:tcPr>
                  <w:tcW w:w="272" w:type="pct"/>
                  <w:vMerge w:val="restart"/>
                  <w:tcBorders>
                    <w:tl2br w:val="nil"/>
                    <w:tr2bl w:val="nil"/>
                  </w:tcBorders>
                  <w:vAlign w:val="center"/>
                </w:tcPr>
                <w:p w14:paraId="38FC9B0B">
                  <w:pPr>
                    <w:pStyle w:val="69"/>
                    <w:jc w:val="center"/>
                    <w:rPr>
                      <w:color w:val="auto"/>
                    </w:rPr>
                  </w:pPr>
                  <w:r>
                    <w:rPr>
                      <w:color w:val="auto"/>
                    </w:rPr>
                    <w:t>固体废物</w:t>
                  </w:r>
                </w:p>
              </w:tc>
              <w:tc>
                <w:tcPr>
                  <w:tcW w:w="951" w:type="pct"/>
                  <w:gridSpan w:val="2"/>
                  <w:tcBorders>
                    <w:tl2br w:val="nil"/>
                    <w:tr2bl w:val="nil"/>
                  </w:tcBorders>
                  <w:vAlign w:val="center"/>
                </w:tcPr>
                <w:p w14:paraId="6043A9A7">
                  <w:pPr>
                    <w:jc w:val="center"/>
                    <w:rPr>
                      <w:color w:val="auto"/>
                      <w:szCs w:val="21"/>
                    </w:rPr>
                  </w:pPr>
                  <w:r>
                    <w:rPr>
                      <w:color w:val="auto"/>
                      <w:szCs w:val="21"/>
                    </w:rPr>
                    <w:t>生活垃圾</w:t>
                  </w:r>
                </w:p>
              </w:tc>
              <w:tc>
                <w:tcPr>
                  <w:tcW w:w="3079" w:type="pct"/>
                  <w:tcBorders>
                    <w:tl2br w:val="nil"/>
                    <w:tr2bl w:val="nil"/>
                  </w:tcBorders>
                  <w:vAlign w:val="center"/>
                </w:tcPr>
                <w:p w14:paraId="2796DEDC">
                  <w:pPr>
                    <w:jc w:val="both"/>
                    <w:rPr>
                      <w:color w:val="auto"/>
                      <w:szCs w:val="21"/>
                    </w:rPr>
                  </w:pPr>
                  <w:r>
                    <w:rPr>
                      <w:color w:val="auto"/>
                      <w:szCs w:val="21"/>
                    </w:rPr>
                    <w:t>厂区设垃圾箱，定期由环卫工人清运</w:t>
                  </w:r>
                  <w:r>
                    <w:rPr>
                      <w:rStyle w:val="37"/>
                      <w:rFonts w:hint="eastAsia"/>
                      <w:color w:val="auto"/>
                      <w:kern w:val="0"/>
                      <w:szCs w:val="20"/>
                    </w:rPr>
                    <w:t>。</w:t>
                  </w:r>
                </w:p>
              </w:tc>
              <w:tc>
                <w:tcPr>
                  <w:tcW w:w="423" w:type="pct"/>
                  <w:tcBorders>
                    <w:tl2br w:val="nil"/>
                    <w:tr2bl w:val="nil"/>
                  </w:tcBorders>
                  <w:vAlign w:val="center"/>
                </w:tcPr>
                <w:p w14:paraId="05E30E27">
                  <w:pPr>
                    <w:pStyle w:val="69"/>
                    <w:jc w:val="center"/>
                    <w:rPr>
                      <w:color w:val="auto"/>
                    </w:rPr>
                  </w:pPr>
                  <w:r>
                    <w:rPr>
                      <w:color w:val="auto"/>
                    </w:rPr>
                    <w:t>新建</w:t>
                  </w:r>
                </w:p>
              </w:tc>
            </w:tr>
            <w:tr w14:paraId="02C72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212B1892">
                  <w:pPr>
                    <w:pStyle w:val="69"/>
                    <w:rPr>
                      <w:color w:val="auto"/>
                    </w:rPr>
                  </w:pPr>
                </w:p>
              </w:tc>
              <w:tc>
                <w:tcPr>
                  <w:tcW w:w="272" w:type="pct"/>
                  <w:vMerge w:val="continue"/>
                  <w:tcBorders>
                    <w:tl2br w:val="nil"/>
                    <w:tr2bl w:val="nil"/>
                  </w:tcBorders>
                  <w:vAlign w:val="center"/>
                </w:tcPr>
                <w:p w14:paraId="651AD56C">
                  <w:pPr>
                    <w:pStyle w:val="69"/>
                    <w:jc w:val="center"/>
                    <w:rPr>
                      <w:color w:val="auto"/>
                    </w:rPr>
                  </w:pPr>
                </w:p>
              </w:tc>
              <w:tc>
                <w:tcPr>
                  <w:tcW w:w="951" w:type="pct"/>
                  <w:gridSpan w:val="2"/>
                  <w:tcBorders>
                    <w:tl2br w:val="nil"/>
                    <w:tr2bl w:val="nil"/>
                  </w:tcBorders>
                  <w:vAlign w:val="center"/>
                </w:tcPr>
                <w:p w14:paraId="6E3DAE5E">
                  <w:pPr>
                    <w:jc w:val="center"/>
                    <w:rPr>
                      <w:rFonts w:hint="eastAsia" w:eastAsia="宋体"/>
                      <w:color w:val="auto"/>
                      <w:szCs w:val="21"/>
                      <w:lang w:val="en-US" w:eastAsia="zh-CN"/>
                    </w:rPr>
                  </w:pPr>
                  <w:r>
                    <w:rPr>
                      <w:rFonts w:hint="eastAsia"/>
                      <w:color w:val="auto"/>
                      <w:szCs w:val="21"/>
                      <w:lang w:val="en-US" w:eastAsia="zh-CN"/>
                    </w:rPr>
                    <w:t>废包装材料</w:t>
                  </w:r>
                </w:p>
              </w:tc>
              <w:tc>
                <w:tcPr>
                  <w:tcW w:w="3079" w:type="pct"/>
                  <w:tcBorders>
                    <w:tl2br w:val="nil"/>
                    <w:tr2bl w:val="nil"/>
                  </w:tcBorders>
                  <w:vAlign w:val="center"/>
                </w:tcPr>
                <w:p w14:paraId="78764BDF">
                  <w:pPr>
                    <w:jc w:val="both"/>
                    <w:rPr>
                      <w:rFonts w:hint="eastAsia" w:eastAsia="宋体"/>
                      <w:color w:val="auto"/>
                      <w:szCs w:val="21"/>
                      <w:lang w:val="en-US" w:eastAsia="zh-CN"/>
                    </w:rPr>
                  </w:pPr>
                  <w:r>
                    <w:rPr>
                      <w:rFonts w:hint="eastAsia"/>
                      <w:color w:val="auto"/>
                      <w:szCs w:val="21"/>
                      <w:lang w:val="en-US" w:eastAsia="zh-CN"/>
                    </w:rPr>
                    <w:t>集中收集后外售。</w:t>
                  </w:r>
                </w:p>
              </w:tc>
              <w:tc>
                <w:tcPr>
                  <w:tcW w:w="423" w:type="pct"/>
                  <w:tcBorders>
                    <w:tl2br w:val="nil"/>
                    <w:tr2bl w:val="nil"/>
                  </w:tcBorders>
                  <w:vAlign w:val="center"/>
                </w:tcPr>
                <w:p w14:paraId="6A8DE66C">
                  <w:pPr>
                    <w:pStyle w:val="69"/>
                    <w:jc w:val="center"/>
                    <w:rPr>
                      <w:rFonts w:hint="eastAsia" w:eastAsia="宋体"/>
                      <w:color w:val="auto"/>
                      <w:lang w:val="en-US" w:eastAsia="zh-CN"/>
                    </w:rPr>
                  </w:pPr>
                  <w:r>
                    <w:rPr>
                      <w:rFonts w:hint="eastAsia"/>
                      <w:color w:val="auto"/>
                      <w:lang w:val="en-US" w:eastAsia="zh-CN"/>
                    </w:rPr>
                    <w:t>新建</w:t>
                  </w:r>
                </w:p>
              </w:tc>
            </w:tr>
            <w:tr w14:paraId="51A4E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548B803F">
                  <w:pPr>
                    <w:pStyle w:val="69"/>
                    <w:rPr>
                      <w:color w:val="auto"/>
                    </w:rPr>
                  </w:pPr>
                </w:p>
              </w:tc>
              <w:tc>
                <w:tcPr>
                  <w:tcW w:w="272" w:type="pct"/>
                  <w:vMerge w:val="continue"/>
                  <w:tcBorders>
                    <w:tl2br w:val="nil"/>
                    <w:tr2bl w:val="nil"/>
                  </w:tcBorders>
                  <w:vAlign w:val="center"/>
                </w:tcPr>
                <w:p w14:paraId="5E7BDDFE">
                  <w:pPr>
                    <w:pStyle w:val="69"/>
                    <w:jc w:val="center"/>
                    <w:rPr>
                      <w:color w:val="auto"/>
                    </w:rPr>
                  </w:pPr>
                </w:p>
              </w:tc>
              <w:tc>
                <w:tcPr>
                  <w:tcW w:w="951" w:type="pct"/>
                  <w:gridSpan w:val="2"/>
                  <w:tcBorders>
                    <w:tl2br w:val="nil"/>
                    <w:tr2bl w:val="nil"/>
                  </w:tcBorders>
                  <w:shd w:val="clear" w:color="auto" w:fill="auto"/>
                  <w:vAlign w:val="center"/>
                </w:tcPr>
                <w:p w14:paraId="2C87283E">
                  <w:pPr>
                    <w:jc w:val="center"/>
                    <w:rPr>
                      <w:rFonts w:hint="eastAsia" w:ascii="Times New Roman" w:hAnsi="Times New Roman" w:eastAsia="宋体" w:cs="Times New Roman"/>
                      <w:color w:val="auto"/>
                      <w:kern w:val="2"/>
                      <w:sz w:val="21"/>
                      <w:szCs w:val="21"/>
                      <w:lang w:val="en-US" w:eastAsia="zh-CN" w:bidi="ar-SA"/>
                    </w:rPr>
                  </w:pPr>
                  <w:r>
                    <w:rPr>
                      <w:rFonts w:hint="eastAsia"/>
                      <w:color w:val="auto"/>
                      <w:szCs w:val="21"/>
                    </w:rPr>
                    <w:t>污泥</w:t>
                  </w:r>
                </w:p>
              </w:tc>
              <w:tc>
                <w:tcPr>
                  <w:tcW w:w="3079" w:type="pct"/>
                  <w:tcBorders>
                    <w:tl2br w:val="nil"/>
                    <w:tr2bl w:val="nil"/>
                  </w:tcBorders>
                  <w:shd w:val="clear" w:color="auto" w:fill="auto"/>
                  <w:vAlign w:val="center"/>
                </w:tcPr>
                <w:p w14:paraId="4954BFDB">
                  <w:pPr>
                    <w:rPr>
                      <w:rFonts w:hint="eastAsia" w:ascii="Times New Roman" w:hAnsi="Times New Roman" w:eastAsia="宋体" w:cs="Times New Roman"/>
                      <w:color w:val="auto"/>
                      <w:kern w:val="2"/>
                      <w:sz w:val="21"/>
                      <w:szCs w:val="21"/>
                      <w:lang w:val="en-US" w:eastAsia="zh-CN" w:bidi="ar-SA"/>
                    </w:rPr>
                  </w:pPr>
                  <w:r>
                    <w:rPr>
                      <w:rFonts w:hint="eastAsia"/>
                      <w:color w:val="auto"/>
                      <w:szCs w:val="21"/>
                    </w:rPr>
                    <w:t>污水处理站污泥经压滤机压滤收集后</w:t>
                  </w:r>
                  <w:r>
                    <w:rPr>
                      <w:rFonts w:hint="eastAsia"/>
                      <w:color w:val="auto"/>
                      <w:szCs w:val="21"/>
                      <w:lang w:eastAsia="zh-CN"/>
                    </w:rPr>
                    <w:t>送至有机肥生产企业堆肥场堆肥或镶黄旗生活垃圾焚烧场进行合理化处理</w:t>
                  </w:r>
                  <w:r>
                    <w:rPr>
                      <w:rFonts w:hint="eastAsia"/>
                      <w:color w:val="auto"/>
                      <w:szCs w:val="21"/>
                    </w:rPr>
                    <w:t>。</w:t>
                  </w:r>
                </w:p>
              </w:tc>
              <w:tc>
                <w:tcPr>
                  <w:tcW w:w="423" w:type="pct"/>
                  <w:tcBorders>
                    <w:tl2br w:val="nil"/>
                    <w:tr2bl w:val="nil"/>
                  </w:tcBorders>
                  <w:vAlign w:val="center"/>
                </w:tcPr>
                <w:p w14:paraId="7E34EC46">
                  <w:pPr>
                    <w:pStyle w:val="69"/>
                    <w:jc w:val="center"/>
                    <w:rPr>
                      <w:rFonts w:hint="default"/>
                      <w:color w:val="auto"/>
                      <w:lang w:val="en-US" w:eastAsia="zh-CN"/>
                    </w:rPr>
                  </w:pPr>
                  <w:r>
                    <w:rPr>
                      <w:rFonts w:hint="eastAsia"/>
                      <w:color w:val="auto"/>
                      <w:lang w:val="en-US" w:eastAsia="zh-CN"/>
                    </w:rPr>
                    <w:t>新建</w:t>
                  </w:r>
                </w:p>
              </w:tc>
            </w:tr>
            <w:tr w14:paraId="54390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73382A86">
                  <w:pPr>
                    <w:pStyle w:val="69"/>
                    <w:rPr>
                      <w:color w:val="auto"/>
                    </w:rPr>
                  </w:pPr>
                </w:p>
              </w:tc>
              <w:tc>
                <w:tcPr>
                  <w:tcW w:w="272" w:type="pct"/>
                  <w:vMerge w:val="continue"/>
                  <w:tcBorders>
                    <w:tl2br w:val="nil"/>
                    <w:tr2bl w:val="nil"/>
                  </w:tcBorders>
                  <w:vAlign w:val="center"/>
                </w:tcPr>
                <w:p w14:paraId="62172EFC">
                  <w:pPr>
                    <w:pStyle w:val="69"/>
                    <w:jc w:val="center"/>
                    <w:rPr>
                      <w:color w:val="auto"/>
                    </w:rPr>
                  </w:pPr>
                </w:p>
              </w:tc>
              <w:tc>
                <w:tcPr>
                  <w:tcW w:w="272" w:type="pct"/>
                  <w:vMerge w:val="restart"/>
                  <w:tcBorders>
                    <w:tl2br w:val="nil"/>
                    <w:tr2bl w:val="nil"/>
                  </w:tcBorders>
                  <w:vAlign w:val="center"/>
                </w:tcPr>
                <w:p w14:paraId="6576018B">
                  <w:pPr>
                    <w:jc w:val="center"/>
                    <w:rPr>
                      <w:rFonts w:hint="default"/>
                      <w:color w:val="auto"/>
                      <w:szCs w:val="21"/>
                      <w:lang w:val="en-US" w:eastAsia="zh-CN"/>
                    </w:rPr>
                  </w:pPr>
                  <w:r>
                    <w:rPr>
                      <w:rFonts w:hint="eastAsia"/>
                      <w:color w:val="auto"/>
                      <w:szCs w:val="21"/>
                      <w:lang w:val="en-US" w:eastAsia="zh-CN"/>
                    </w:rPr>
                    <w:t>肉渣</w:t>
                  </w:r>
                </w:p>
              </w:tc>
              <w:tc>
                <w:tcPr>
                  <w:tcW w:w="679" w:type="pct"/>
                  <w:tcBorders>
                    <w:tl2br w:val="nil"/>
                    <w:tr2bl w:val="nil"/>
                  </w:tcBorders>
                  <w:vAlign w:val="center"/>
                </w:tcPr>
                <w:p w14:paraId="2B9E9668">
                  <w:pPr>
                    <w:jc w:val="center"/>
                    <w:rPr>
                      <w:rFonts w:hint="eastAsia"/>
                      <w:color w:val="auto"/>
                      <w:szCs w:val="21"/>
                      <w:lang w:val="en-US" w:eastAsia="zh-CN"/>
                    </w:rPr>
                  </w:pPr>
                  <w:r>
                    <w:rPr>
                      <w:rFonts w:hint="eastAsia"/>
                      <w:color w:val="auto"/>
                      <w:szCs w:val="21"/>
                      <w:lang w:val="en-US" w:eastAsia="zh-CN"/>
                    </w:rPr>
                    <w:t>废肉料</w:t>
                  </w:r>
                </w:p>
              </w:tc>
              <w:tc>
                <w:tcPr>
                  <w:tcW w:w="3079" w:type="pct"/>
                  <w:vMerge w:val="restart"/>
                  <w:tcBorders>
                    <w:tl2br w:val="nil"/>
                    <w:tr2bl w:val="nil"/>
                  </w:tcBorders>
                  <w:vAlign w:val="center"/>
                </w:tcPr>
                <w:p w14:paraId="5D4AD01B">
                  <w:pPr>
                    <w:jc w:val="both"/>
                    <w:rPr>
                      <w:rFonts w:hint="eastAsia" w:eastAsia="宋体"/>
                      <w:color w:val="auto"/>
                      <w:szCs w:val="21"/>
                      <w:lang w:val="en-US" w:eastAsia="zh-CN"/>
                    </w:rPr>
                  </w:pPr>
                  <w:r>
                    <w:rPr>
                      <w:rFonts w:hint="eastAsia"/>
                      <w:color w:val="auto"/>
                      <w:szCs w:val="21"/>
                      <w:lang w:eastAsia="zh-CN"/>
                    </w:rPr>
                    <w:t>送至有机肥生产企业堆肥场堆肥或镶黄旗生活垃圾焚烧场进行合理化处理。</w:t>
                  </w:r>
                </w:p>
              </w:tc>
              <w:tc>
                <w:tcPr>
                  <w:tcW w:w="423" w:type="pct"/>
                  <w:tcBorders>
                    <w:tl2br w:val="nil"/>
                    <w:tr2bl w:val="nil"/>
                  </w:tcBorders>
                  <w:vAlign w:val="center"/>
                </w:tcPr>
                <w:p w14:paraId="00B8714F">
                  <w:pPr>
                    <w:pStyle w:val="69"/>
                    <w:jc w:val="center"/>
                    <w:rPr>
                      <w:rFonts w:hint="eastAsia"/>
                      <w:color w:val="auto"/>
                      <w:lang w:val="en-US" w:eastAsia="zh-CN"/>
                    </w:rPr>
                  </w:pPr>
                  <w:r>
                    <w:rPr>
                      <w:rFonts w:hint="eastAsia"/>
                      <w:color w:val="auto"/>
                      <w:lang w:val="en-US" w:eastAsia="zh-CN"/>
                    </w:rPr>
                    <w:t>新建</w:t>
                  </w:r>
                </w:p>
              </w:tc>
            </w:tr>
            <w:tr w14:paraId="3C1A2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7CF06CAB">
                  <w:pPr>
                    <w:pStyle w:val="69"/>
                    <w:rPr>
                      <w:color w:val="auto"/>
                    </w:rPr>
                  </w:pPr>
                </w:p>
              </w:tc>
              <w:tc>
                <w:tcPr>
                  <w:tcW w:w="272" w:type="pct"/>
                  <w:vMerge w:val="continue"/>
                  <w:tcBorders>
                    <w:tl2br w:val="nil"/>
                    <w:tr2bl w:val="nil"/>
                  </w:tcBorders>
                  <w:vAlign w:val="center"/>
                </w:tcPr>
                <w:p w14:paraId="758042EE">
                  <w:pPr>
                    <w:pStyle w:val="69"/>
                    <w:jc w:val="center"/>
                    <w:rPr>
                      <w:color w:val="auto"/>
                    </w:rPr>
                  </w:pPr>
                </w:p>
              </w:tc>
              <w:tc>
                <w:tcPr>
                  <w:tcW w:w="272" w:type="pct"/>
                  <w:vMerge w:val="continue"/>
                  <w:tcBorders>
                    <w:tl2br w:val="nil"/>
                    <w:tr2bl w:val="nil"/>
                  </w:tcBorders>
                  <w:vAlign w:val="center"/>
                </w:tcPr>
                <w:p w14:paraId="0F5EF8F3">
                  <w:pPr>
                    <w:jc w:val="center"/>
                    <w:rPr>
                      <w:rFonts w:hint="default"/>
                      <w:color w:val="auto"/>
                      <w:szCs w:val="21"/>
                      <w:lang w:val="en-US" w:eastAsia="zh-CN"/>
                    </w:rPr>
                  </w:pPr>
                </w:p>
              </w:tc>
              <w:tc>
                <w:tcPr>
                  <w:tcW w:w="679" w:type="pct"/>
                  <w:tcBorders>
                    <w:tl2br w:val="nil"/>
                    <w:tr2bl w:val="nil"/>
                  </w:tcBorders>
                  <w:vAlign w:val="center"/>
                </w:tcPr>
                <w:p w14:paraId="6C9ED632">
                  <w:pPr>
                    <w:jc w:val="center"/>
                    <w:rPr>
                      <w:rFonts w:hint="eastAsia"/>
                      <w:color w:val="auto"/>
                      <w:szCs w:val="21"/>
                      <w:lang w:val="en-US" w:eastAsia="zh-CN"/>
                    </w:rPr>
                  </w:pPr>
                  <w:r>
                    <w:rPr>
                      <w:rFonts w:hint="eastAsia"/>
                      <w:color w:val="auto"/>
                      <w:szCs w:val="21"/>
                      <w:lang w:val="en-US" w:eastAsia="zh-CN"/>
                    </w:rPr>
                    <w:t>煮制过程产生的卤渣和浮沫</w:t>
                  </w:r>
                </w:p>
              </w:tc>
              <w:tc>
                <w:tcPr>
                  <w:tcW w:w="3079" w:type="pct"/>
                  <w:vMerge w:val="continue"/>
                  <w:tcBorders>
                    <w:tl2br w:val="nil"/>
                    <w:tr2bl w:val="nil"/>
                  </w:tcBorders>
                  <w:vAlign w:val="center"/>
                </w:tcPr>
                <w:p w14:paraId="05312835">
                  <w:pPr>
                    <w:jc w:val="center"/>
                    <w:rPr>
                      <w:rFonts w:hint="eastAsia"/>
                      <w:color w:val="auto"/>
                      <w:szCs w:val="21"/>
                      <w:lang w:val="en-US" w:eastAsia="zh-CN"/>
                    </w:rPr>
                  </w:pPr>
                </w:p>
              </w:tc>
              <w:tc>
                <w:tcPr>
                  <w:tcW w:w="423" w:type="pct"/>
                  <w:tcBorders>
                    <w:tl2br w:val="nil"/>
                    <w:tr2bl w:val="nil"/>
                  </w:tcBorders>
                  <w:vAlign w:val="center"/>
                </w:tcPr>
                <w:p w14:paraId="7B50A0B6">
                  <w:pPr>
                    <w:pStyle w:val="69"/>
                    <w:jc w:val="center"/>
                    <w:rPr>
                      <w:rFonts w:hint="eastAsia"/>
                      <w:color w:val="auto"/>
                      <w:lang w:val="en-US" w:eastAsia="zh-CN"/>
                    </w:rPr>
                  </w:pPr>
                  <w:r>
                    <w:rPr>
                      <w:rFonts w:hint="eastAsia"/>
                      <w:color w:val="auto"/>
                      <w:lang w:val="en-US" w:eastAsia="zh-CN"/>
                    </w:rPr>
                    <w:t>新建</w:t>
                  </w:r>
                </w:p>
              </w:tc>
            </w:tr>
            <w:tr w14:paraId="191A3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2B3A2D40">
                  <w:pPr>
                    <w:pStyle w:val="69"/>
                    <w:rPr>
                      <w:color w:val="auto"/>
                    </w:rPr>
                  </w:pPr>
                </w:p>
              </w:tc>
              <w:tc>
                <w:tcPr>
                  <w:tcW w:w="272" w:type="pct"/>
                  <w:vMerge w:val="continue"/>
                  <w:tcBorders>
                    <w:tl2br w:val="nil"/>
                    <w:tr2bl w:val="nil"/>
                  </w:tcBorders>
                  <w:vAlign w:val="center"/>
                </w:tcPr>
                <w:p w14:paraId="51F34FDF">
                  <w:pPr>
                    <w:pStyle w:val="69"/>
                    <w:jc w:val="center"/>
                    <w:rPr>
                      <w:color w:val="auto"/>
                    </w:rPr>
                  </w:pPr>
                </w:p>
              </w:tc>
              <w:tc>
                <w:tcPr>
                  <w:tcW w:w="951" w:type="pct"/>
                  <w:gridSpan w:val="2"/>
                  <w:tcBorders>
                    <w:tl2br w:val="nil"/>
                    <w:tr2bl w:val="nil"/>
                  </w:tcBorders>
                  <w:shd w:val="clear" w:color="auto" w:fill="auto"/>
                  <w:vAlign w:val="center"/>
                </w:tcPr>
                <w:p w14:paraId="1E8BCD8B">
                  <w:pPr>
                    <w:jc w:val="center"/>
                    <w:rPr>
                      <w:rFonts w:hint="eastAsia" w:ascii="Times New Roman" w:hAnsi="Times New Roman" w:eastAsia="宋体" w:cs="Times New Roman"/>
                      <w:color w:val="auto"/>
                      <w:kern w:val="2"/>
                      <w:sz w:val="21"/>
                      <w:szCs w:val="21"/>
                      <w:lang w:val="en-US" w:eastAsia="zh-CN" w:bidi="ar-SA"/>
                    </w:rPr>
                  </w:pPr>
                  <w:r>
                    <w:rPr>
                      <w:rFonts w:hint="eastAsia"/>
                      <w:color w:val="auto"/>
                      <w:szCs w:val="21"/>
                      <w:lang w:val="en-US" w:eastAsia="zh-CN"/>
                    </w:rPr>
                    <w:t>不合格原料</w:t>
                  </w:r>
                </w:p>
              </w:tc>
              <w:tc>
                <w:tcPr>
                  <w:tcW w:w="3079" w:type="pct"/>
                  <w:tcBorders>
                    <w:tl2br w:val="nil"/>
                    <w:tr2bl w:val="nil"/>
                  </w:tcBorders>
                  <w:shd w:val="clear" w:color="auto" w:fill="auto"/>
                  <w:vAlign w:val="center"/>
                </w:tcPr>
                <w:p w14:paraId="71ED68B9">
                  <w:pPr>
                    <w:rPr>
                      <w:rFonts w:hint="eastAsia" w:ascii="Times New Roman" w:hAnsi="Times New Roman" w:eastAsia="宋体" w:cs="Times New Roman"/>
                      <w:color w:val="auto"/>
                      <w:kern w:val="2"/>
                      <w:sz w:val="21"/>
                      <w:szCs w:val="21"/>
                      <w:lang w:val="en-US" w:eastAsia="zh-CN" w:bidi="ar-SA"/>
                    </w:rPr>
                  </w:pPr>
                  <w:r>
                    <w:rPr>
                      <w:rFonts w:hint="eastAsia"/>
                      <w:bCs/>
                      <w:color w:val="auto"/>
                      <w:lang w:val="en-US" w:eastAsia="zh-CN"/>
                    </w:rPr>
                    <w:t>收集后委托专门收集厨余垃圾部门清运。</w:t>
                  </w:r>
                </w:p>
              </w:tc>
              <w:tc>
                <w:tcPr>
                  <w:tcW w:w="423" w:type="pct"/>
                  <w:tcBorders>
                    <w:tl2br w:val="nil"/>
                    <w:tr2bl w:val="nil"/>
                  </w:tcBorders>
                  <w:vAlign w:val="center"/>
                </w:tcPr>
                <w:p w14:paraId="7C304AF3">
                  <w:pPr>
                    <w:pStyle w:val="69"/>
                    <w:jc w:val="center"/>
                    <w:rPr>
                      <w:color w:val="auto"/>
                    </w:rPr>
                  </w:pPr>
                  <w:r>
                    <w:rPr>
                      <w:color w:val="auto"/>
                    </w:rPr>
                    <w:t>新建</w:t>
                  </w:r>
                </w:p>
              </w:tc>
            </w:tr>
            <w:tr w14:paraId="28669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018A042A">
                  <w:pPr>
                    <w:pStyle w:val="69"/>
                    <w:rPr>
                      <w:color w:val="auto"/>
                    </w:rPr>
                  </w:pPr>
                </w:p>
              </w:tc>
              <w:tc>
                <w:tcPr>
                  <w:tcW w:w="272" w:type="pct"/>
                  <w:vMerge w:val="continue"/>
                  <w:tcBorders>
                    <w:tl2br w:val="nil"/>
                    <w:tr2bl w:val="nil"/>
                  </w:tcBorders>
                  <w:vAlign w:val="center"/>
                </w:tcPr>
                <w:p w14:paraId="14200682">
                  <w:pPr>
                    <w:pStyle w:val="69"/>
                    <w:jc w:val="center"/>
                    <w:rPr>
                      <w:color w:val="auto"/>
                    </w:rPr>
                  </w:pPr>
                </w:p>
              </w:tc>
              <w:tc>
                <w:tcPr>
                  <w:tcW w:w="951" w:type="pct"/>
                  <w:gridSpan w:val="2"/>
                  <w:tcBorders>
                    <w:tl2br w:val="nil"/>
                    <w:tr2bl w:val="nil"/>
                  </w:tcBorders>
                  <w:shd w:val="clear" w:color="auto" w:fill="auto"/>
                  <w:vAlign w:val="center"/>
                </w:tcPr>
                <w:p w14:paraId="2361A6D4">
                  <w:pPr>
                    <w:jc w:val="center"/>
                    <w:rPr>
                      <w:rFonts w:hint="eastAsia" w:eastAsia="宋体"/>
                      <w:color w:val="auto"/>
                      <w:szCs w:val="21"/>
                      <w:lang w:val="en-US" w:eastAsia="zh-CN"/>
                    </w:rPr>
                  </w:pPr>
                  <w:r>
                    <w:rPr>
                      <w:rFonts w:hint="eastAsia"/>
                      <w:color w:val="auto"/>
                      <w:szCs w:val="21"/>
                      <w:lang w:val="en-US" w:eastAsia="zh-CN"/>
                    </w:rPr>
                    <w:t>废油脂</w:t>
                  </w:r>
                </w:p>
              </w:tc>
              <w:tc>
                <w:tcPr>
                  <w:tcW w:w="3079" w:type="pct"/>
                  <w:tcBorders>
                    <w:tl2br w:val="nil"/>
                    <w:tr2bl w:val="nil"/>
                  </w:tcBorders>
                  <w:shd w:val="clear" w:color="auto" w:fill="auto"/>
                  <w:vAlign w:val="center"/>
                </w:tcPr>
                <w:p w14:paraId="6A10D4D1">
                  <w:pPr>
                    <w:rPr>
                      <w:rFonts w:hint="eastAsia"/>
                      <w:color w:val="auto"/>
                      <w:szCs w:val="21"/>
                    </w:rPr>
                  </w:pPr>
                  <w:r>
                    <w:rPr>
                      <w:rFonts w:hint="eastAsia"/>
                      <w:bCs/>
                      <w:color w:val="auto"/>
                      <w:lang w:val="en-US" w:eastAsia="zh-CN"/>
                    </w:rPr>
                    <w:t>收集后委托专门收集厨余垃圾部门清运。</w:t>
                  </w:r>
                </w:p>
              </w:tc>
              <w:tc>
                <w:tcPr>
                  <w:tcW w:w="423" w:type="pct"/>
                  <w:tcBorders>
                    <w:tl2br w:val="nil"/>
                    <w:tr2bl w:val="nil"/>
                  </w:tcBorders>
                  <w:vAlign w:val="center"/>
                </w:tcPr>
                <w:p w14:paraId="37A6E033">
                  <w:pPr>
                    <w:pStyle w:val="69"/>
                    <w:jc w:val="center"/>
                    <w:rPr>
                      <w:color w:val="auto"/>
                    </w:rPr>
                  </w:pPr>
                  <w:r>
                    <w:rPr>
                      <w:color w:val="auto"/>
                    </w:rPr>
                    <w:t>新建</w:t>
                  </w:r>
                </w:p>
              </w:tc>
            </w:tr>
            <w:tr w14:paraId="637BE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61FE9645">
                  <w:pPr>
                    <w:pStyle w:val="69"/>
                    <w:rPr>
                      <w:color w:val="auto"/>
                    </w:rPr>
                  </w:pPr>
                </w:p>
              </w:tc>
              <w:tc>
                <w:tcPr>
                  <w:tcW w:w="272" w:type="pct"/>
                  <w:vMerge w:val="continue"/>
                  <w:tcBorders>
                    <w:tl2br w:val="nil"/>
                    <w:tr2bl w:val="nil"/>
                  </w:tcBorders>
                  <w:vAlign w:val="center"/>
                </w:tcPr>
                <w:p w14:paraId="323845E7">
                  <w:pPr>
                    <w:pStyle w:val="69"/>
                    <w:jc w:val="center"/>
                    <w:rPr>
                      <w:color w:val="auto"/>
                    </w:rPr>
                  </w:pPr>
                </w:p>
              </w:tc>
              <w:tc>
                <w:tcPr>
                  <w:tcW w:w="951" w:type="pct"/>
                  <w:gridSpan w:val="2"/>
                  <w:tcBorders>
                    <w:tl2br w:val="nil"/>
                    <w:tr2bl w:val="nil"/>
                  </w:tcBorders>
                  <w:shd w:val="clear" w:color="auto" w:fill="auto"/>
                  <w:vAlign w:val="center"/>
                </w:tcPr>
                <w:p w14:paraId="378CC4DE">
                  <w:pPr>
                    <w:jc w:val="center"/>
                    <w:rPr>
                      <w:rFonts w:hint="eastAsia" w:eastAsia="宋体"/>
                      <w:color w:val="auto"/>
                      <w:sz w:val="21"/>
                      <w:szCs w:val="21"/>
                      <w:lang w:val="en-US" w:eastAsia="zh-CN"/>
                    </w:rPr>
                  </w:pPr>
                  <w:r>
                    <w:rPr>
                      <w:rFonts w:hint="eastAsia"/>
                      <w:color w:val="auto"/>
                      <w:kern w:val="2"/>
                      <w:sz w:val="21"/>
                      <w:szCs w:val="21"/>
                      <w:lang w:val="en-US" w:eastAsia="zh-CN"/>
                    </w:rPr>
                    <w:t>格栅垃圾</w:t>
                  </w:r>
                </w:p>
              </w:tc>
              <w:tc>
                <w:tcPr>
                  <w:tcW w:w="3079" w:type="pct"/>
                  <w:tcBorders>
                    <w:tl2br w:val="nil"/>
                    <w:tr2bl w:val="nil"/>
                  </w:tcBorders>
                  <w:shd w:val="clear" w:color="auto" w:fill="auto"/>
                  <w:vAlign w:val="center"/>
                </w:tcPr>
                <w:p w14:paraId="158AF6AB">
                  <w:pPr>
                    <w:jc w:val="left"/>
                    <w:rPr>
                      <w:rFonts w:hint="eastAsia" w:eastAsia="宋体"/>
                      <w:color w:val="auto"/>
                      <w:sz w:val="21"/>
                      <w:szCs w:val="21"/>
                      <w:lang w:eastAsia="zh-CN"/>
                    </w:rPr>
                  </w:pPr>
                  <w:r>
                    <w:rPr>
                      <w:rFonts w:hint="eastAsia"/>
                      <w:color w:val="auto"/>
                      <w:sz w:val="21"/>
                      <w:szCs w:val="21"/>
                      <w:lang w:eastAsia="zh-CN"/>
                    </w:rPr>
                    <w:t>送至有机肥生产企业堆肥场堆肥或镶黄旗生活垃圾焚烧场进行合理化处理。</w:t>
                  </w:r>
                </w:p>
              </w:tc>
              <w:tc>
                <w:tcPr>
                  <w:tcW w:w="423" w:type="pct"/>
                  <w:tcBorders>
                    <w:tl2br w:val="nil"/>
                    <w:tr2bl w:val="nil"/>
                  </w:tcBorders>
                  <w:vAlign w:val="center"/>
                </w:tcPr>
                <w:p w14:paraId="6B79C638">
                  <w:pPr>
                    <w:pStyle w:val="69"/>
                    <w:jc w:val="center"/>
                    <w:rPr>
                      <w:color w:val="auto"/>
                    </w:rPr>
                  </w:pPr>
                  <w:r>
                    <w:rPr>
                      <w:color w:val="auto"/>
                    </w:rPr>
                    <w:t>新建</w:t>
                  </w:r>
                </w:p>
              </w:tc>
            </w:tr>
            <w:tr w14:paraId="66883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056D6B1D">
                  <w:pPr>
                    <w:pStyle w:val="69"/>
                    <w:rPr>
                      <w:color w:val="auto"/>
                    </w:rPr>
                  </w:pPr>
                </w:p>
              </w:tc>
              <w:tc>
                <w:tcPr>
                  <w:tcW w:w="272" w:type="pct"/>
                  <w:vMerge w:val="continue"/>
                  <w:tcBorders>
                    <w:tl2br w:val="nil"/>
                    <w:tr2bl w:val="nil"/>
                  </w:tcBorders>
                  <w:vAlign w:val="center"/>
                </w:tcPr>
                <w:p w14:paraId="51814FCC">
                  <w:pPr>
                    <w:pStyle w:val="69"/>
                    <w:jc w:val="center"/>
                    <w:rPr>
                      <w:color w:val="auto"/>
                    </w:rPr>
                  </w:pPr>
                </w:p>
              </w:tc>
              <w:tc>
                <w:tcPr>
                  <w:tcW w:w="951" w:type="pct"/>
                  <w:gridSpan w:val="2"/>
                  <w:tcBorders>
                    <w:tl2br w:val="nil"/>
                    <w:tr2bl w:val="nil"/>
                  </w:tcBorders>
                  <w:shd w:val="clear" w:color="auto" w:fill="auto"/>
                  <w:vAlign w:val="center"/>
                </w:tcPr>
                <w:p w14:paraId="017581A2">
                  <w:pPr>
                    <w:jc w:val="center"/>
                    <w:rPr>
                      <w:rFonts w:hint="default"/>
                      <w:color w:val="auto"/>
                      <w:kern w:val="2"/>
                      <w:sz w:val="21"/>
                      <w:szCs w:val="21"/>
                      <w:lang w:val="en-US" w:eastAsia="zh-CN"/>
                    </w:rPr>
                  </w:pPr>
                  <w:r>
                    <w:rPr>
                      <w:rFonts w:hint="eastAsia"/>
                      <w:color w:val="auto"/>
                      <w:kern w:val="2"/>
                      <w:sz w:val="21"/>
                      <w:szCs w:val="21"/>
                      <w:lang w:val="en-US" w:eastAsia="zh-CN"/>
                    </w:rPr>
                    <w:t>废反渗透膜</w:t>
                  </w:r>
                </w:p>
              </w:tc>
              <w:tc>
                <w:tcPr>
                  <w:tcW w:w="3079" w:type="pct"/>
                  <w:tcBorders>
                    <w:tl2br w:val="nil"/>
                    <w:tr2bl w:val="nil"/>
                  </w:tcBorders>
                  <w:shd w:val="clear" w:color="auto" w:fill="auto"/>
                  <w:vAlign w:val="center"/>
                </w:tcPr>
                <w:p w14:paraId="754756B5">
                  <w:pPr>
                    <w:jc w:val="left"/>
                    <w:rPr>
                      <w:rFonts w:hint="eastAsia"/>
                      <w:color w:val="auto"/>
                      <w:sz w:val="21"/>
                      <w:szCs w:val="21"/>
                    </w:rPr>
                  </w:pPr>
                  <w:r>
                    <w:rPr>
                      <w:rFonts w:hint="eastAsia"/>
                      <w:color w:val="auto"/>
                      <w:sz w:val="21"/>
                      <w:szCs w:val="21"/>
                      <w:lang w:val="en-US" w:eastAsia="zh-CN"/>
                    </w:rPr>
                    <w:t>由厂家定期更换，不在场内储存。</w:t>
                  </w:r>
                </w:p>
              </w:tc>
              <w:tc>
                <w:tcPr>
                  <w:tcW w:w="423" w:type="pct"/>
                  <w:tcBorders>
                    <w:tl2br w:val="nil"/>
                    <w:tr2bl w:val="nil"/>
                  </w:tcBorders>
                  <w:vAlign w:val="center"/>
                </w:tcPr>
                <w:p w14:paraId="0273DF46">
                  <w:pPr>
                    <w:pStyle w:val="69"/>
                    <w:jc w:val="center"/>
                    <w:rPr>
                      <w:rFonts w:hint="eastAsia" w:eastAsia="宋体"/>
                      <w:color w:val="auto"/>
                      <w:lang w:val="en-US" w:eastAsia="zh-CN"/>
                    </w:rPr>
                  </w:pPr>
                  <w:r>
                    <w:rPr>
                      <w:rFonts w:hint="eastAsia"/>
                      <w:color w:val="auto"/>
                      <w:lang w:val="en-US" w:eastAsia="zh-CN"/>
                    </w:rPr>
                    <w:t>/</w:t>
                  </w:r>
                </w:p>
              </w:tc>
            </w:tr>
            <w:tr w14:paraId="4EEF9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55C4A545">
                  <w:pPr>
                    <w:pStyle w:val="69"/>
                    <w:rPr>
                      <w:color w:val="auto"/>
                    </w:rPr>
                  </w:pPr>
                </w:p>
              </w:tc>
              <w:tc>
                <w:tcPr>
                  <w:tcW w:w="272" w:type="pct"/>
                  <w:vMerge w:val="continue"/>
                  <w:tcBorders>
                    <w:tl2br w:val="nil"/>
                    <w:tr2bl w:val="nil"/>
                  </w:tcBorders>
                  <w:vAlign w:val="center"/>
                </w:tcPr>
                <w:p w14:paraId="564B8884">
                  <w:pPr>
                    <w:pStyle w:val="69"/>
                    <w:jc w:val="center"/>
                    <w:rPr>
                      <w:color w:val="auto"/>
                    </w:rPr>
                  </w:pPr>
                </w:p>
              </w:tc>
              <w:tc>
                <w:tcPr>
                  <w:tcW w:w="951" w:type="pct"/>
                  <w:gridSpan w:val="2"/>
                  <w:tcBorders>
                    <w:tl2br w:val="nil"/>
                    <w:tr2bl w:val="nil"/>
                  </w:tcBorders>
                  <w:shd w:val="clear" w:color="auto" w:fill="auto"/>
                  <w:vAlign w:val="center"/>
                </w:tcPr>
                <w:p w14:paraId="4842C7E9">
                  <w:pPr>
                    <w:jc w:val="both"/>
                    <w:rPr>
                      <w:rFonts w:hint="default"/>
                      <w:color w:val="auto"/>
                      <w:kern w:val="2"/>
                      <w:sz w:val="21"/>
                      <w:szCs w:val="21"/>
                      <w:lang w:val="en-US" w:eastAsia="zh-CN"/>
                    </w:rPr>
                  </w:pPr>
                  <w:r>
                    <w:rPr>
                      <w:rFonts w:hint="eastAsia"/>
                      <w:color w:val="auto"/>
                      <w:kern w:val="2"/>
                      <w:sz w:val="21"/>
                      <w:szCs w:val="21"/>
                      <w:lang w:val="en-US" w:eastAsia="zh-CN"/>
                    </w:rPr>
                    <w:t>一般固废暂存间</w:t>
                  </w:r>
                </w:p>
              </w:tc>
              <w:tc>
                <w:tcPr>
                  <w:tcW w:w="3079" w:type="pct"/>
                  <w:tcBorders>
                    <w:tl2br w:val="nil"/>
                    <w:tr2bl w:val="nil"/>
                  </w:tcBorders>
                  <w:shd w:val="clear" w:color="auto" w:fill="auto"/>
                  <w:vAlign w:val="center"/>
                </w:tcPr>
                <w:p w14:paraId="3244A357">
                  <w:pPr>
                    <w:jc w:val="left"/>
                    <w:rPr>
                      <w:rFonts w:hint="default" w:eastAsia="宋体"/>
                      <w:color w:val="auto"/>
                      <w:sz w:val="21"/>
                      <w:szCs w:val="21"/>
                      <w:lang w:val="en-US" w:eastAsia="zh-CN"/>
                    </w:rPr>
                  </w:pPr>
                  <w:r>
                    <w:rPr>
                      <w:rFonts w:hint="eastAsia"/>
                      <w:color w:val="auto"/>
                      <w:sz w:val="21"/>
                      <w:szCs w:val="21"/>
                      <w:lang w:val="en-US" w:eastAsia="zh-CN"/>
                    </w:rPr>
                    <w:t>在厂区西南角设置一间（2m×3m）6m</w:t>
                  </w:r>
                  <w:r>
                    <w:rPr>
                      <w:rFonts w:hint="eastAsia"/>
                      <w:color w:val="auto"/>
                      <w:sz w:val="21"/>
                      <w:szCs w:val="21"/>
                      <w:vertAlign w:val="superscript"/>
                      <w:lang w:val="en-US" w:eastAsia="zh-CN"/>
                    </w:rPr>
                    <w:t>2</w:t>
                  </w:r>
                  <w:r>
                    <w:rPr>
                      <w:rFonts w:hint="eastAsia"/>
                      <w:color w:val="auto"/>
                      <w:sz w:val="21"/>
                      <w:szCs w:val="21"/>
                      <w:lang w:val="en-US" w:eastAsia="zh-CN"/>
                    </w:rPr>
                    <w:t>的一般固废暂存间</w:t>
                  </w:r>
                </w:p>
              </w:tc>
              <w:tc>
                <w:tcPr>
                  <w:tcW w:w="423" w:type="pct"/>
                  <w:tcBorders>
                    <w:tl2br w:val="nil"/>
                    <w:tr2bl w:val="nil"/>
                  </w:tcBorders>
                  <w:vAlign w:val="center"/>
                </w:tcPr>
                <w:p w14:paraId="6CF081CF">
                  <w:pPr>
                    <w:pStyle w:val="69"/>
                    <w:jc w:val="center"/>
                    <w:rPr>
                      <w:rFonts w:hint="eastAsia" w:eastAsia="宋体"/>
                      <w:color w:val="auto"/>
                      <w:lang w:val="en-US" w:eastAsia="zh-CN"/>
                    </w:rPr>
                  </w:pPr>
                  <w:r>
                    <w:rPr>
                      <w:rFonts w:hint="eastAsia"/>
                      <w:color w:val="auto"/>
                      <w:lang w:val="en-US" w:eastAsia="zh-CN"/>
                    </w:rPr>
                    <w:t>新建</w:t>
                  </w:r>
                </w:p>
              </w:tc>
            </w:tr>
            <w:tr w14:paraId="72CAE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50590BC3">
                  <w:pPr>
                    <w:pStyle w:val="69"/>
                    <w:rPr>
                      <w:color w:val="auto"/>
                    </w:rPr>
                  </w:pPr>
                </w:p>
              </w:tc>
              <w:tc>
                <w:tcPr>
                  <w:tcW w:w="272" w:type="pct"/>
                  <w:tcBorders>
                    <w:tl2br w:val="nil"/>
                    <w:tr2bl w:val="nil"/>
                  </w:tcBorders>
                  <w:vAlign w:val="center"/>
                </w:tcPr>
                <w:p w14:paraId="661EA564">
                  <w:pPr>
                    <w:pStyle w:val="69"/>
                    <w:jc w:val="center"/>
                    <w:rPr>
                      <w:rFonts w:hint="eastAsia" w:eastAsia="宋体"/>
                      <w:color w:val="auto"/>
                      <w:lang w:val="en-US" w:eastAsia="zh-CN"/>
                    </w:rPr>
                  </w:pPr>
                  <w:r>
                    <w:rPr>
                      <w:rFonts w:hint="eastAsia"/>
                      <w:color w:val="auto"/>
                      <w:lang w:val="en-US" w:eastAsia="zh-CN"/>
                    </w:rPr>
                    <w:t>危险废物</w:t>
                  </w:r>
                </w:p>
              </w:tc>
              <w:tc>
                <w:tcPr>
                  <w:tcW w:w="951" w:type="pct"/>
                  <w:gridSpan w:val="2"/>
                  <w:tcBorders>
                    <w:tl2br w:val="nil"/>
                    <w:tr2bl w:val="nil"/>
                  </w:tcBorders>
                  <w:shd w:val="clear" w:color="auto" w:fill="auto"/>
                  <w:vAlign w:val="center"/>
                </w:tcPr>
                <w:p w14:paraId="19D32160">
                  <w:pPr>
                    <w:jc w:val="center"/>
                    <w:rPr>
                      <w:rFonts w:hint="default"/>
                      <w:color w:val="auto"/>
                      <w:kern w:val="2"/>
                      <w:sz w:val="21"/>
                      <w:szCs w:val="21"/>
                      <w:lang w:val="en-US" w:eastAsia="zh-CN"/>
                    </w:rPr>
                  </w:pPr>
                  <w:r>
                    <w:rPr>
                      <w:rFonts w:hint="eastAsia"/>
                      <w:color w:val="auto"/>
                      <w:kern w:val="2"/>
                      <w:sz w:val="21"/>
                      <w:szCs w:val="21"/>
                      <w:lang w:val="en-US" w:eastAsia="zh-CN"/>
                    </w:rPr>
                    <w:t>活性炭</w:t>
                  </w:r>
                </w:p>
              </w:tc>
              <w:tc>
                <w:tcPr>
                  <w:tcW w:w="3079" w:type="pct"/>
                  <w:tcBorders>
                    <w:tl2br w:val="nil"/>
                    <w:tr2bl w:val="nil"/>
                  </w:tcBorders>
                  <w:shd w:val="clear" w:color="auto" w:fill="auto"/>
                  <w:vAlign w:val="center"/>
                </w:tcPr>
                <w:p w14:paraId="0201260F">
                  <w:pPr>
                    <w:jc w:val="left"/>
                    <w:rPr>
                      <w:rFonts w:hint="default"/>
                      <w:color w:val="auto"/>
                      <w:sz w:val="21"/>
                      <w:szCs w:val="21"/>
                      <w:lang w:val="en-US" w:eastAsia="zh-CN"/>
                    </w:rPr>
                  </w:pPr>
                  <w:r>
                    <w:rPr>
                      <w:rFonts w:hint="eastAsia"/>
                      <w:color w:val="auto"/>
                      <w:sz w:val="21"/>
                      <w:szCs w:val="21"/>
                      <w:lang w:val="en-US" w:eastAsia="zh-CN"/>
                    </w:rPr>
                    <w:t>由厂家定期更换，不在场内储存。</w:t>
                  </w:r>
                </w:p>
              </w:tc>
              <w:tc>
                <w:tcPr>
                  <w:tcW w:w="423" w:type="pct"/>
                  <w:tcBorders>
                    <w:tl2br w:val="nil"/>
                    <w:tr2bl w:val="nil"/>
                  </w:tcBorders>
                  <w:vAlign w:val="center"/>
                </w:tcPr>
                <w:p w14:paraId="4E5DC147">
                  <w:pPr>
                    <w:pStyle w:val="69"/>
                    <w:jc w:val="center"/>
                    <w:rPr>
                      <w:rFonts w:hint="default"/>
                      <w:color w:val="auto"/>
                      <w:lang w:val="en-US" w:eastAsia="zh-CN"/>
                    </w:rPr>
                  </w:pPr>
                  <w:r>
                    <w:rPr>
                      <w:rFonts w:hint="eastAsia"/>
                      <w:color w:val="auto"/>
                      <w:lang w:val="en-US" w:eastAsia="zh-CN"/>
                    </w:rPr>
                    <w:t>/</w:t>
                  </w:r>
                </w:p>
              </w:tc>
            </w:tr>
            <w:tr w14:paraId="1ACDA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72" w:type="pct"/>
                  <w:vMerge w:val="continue"/>
                  <w:tcBorders>
                    <w:tl2br w:val="nil"/>
                    <w:tr2bl w:val="nil"/>
                  </w:tcBorders>
                  <w:vAlign w:val="center"/>
                </w:tcPr>
                <w:p w14:paraId="7B5988AF">
                  <w:pPr>
                    <w:pStyle w:val="69"/>
                    <w:rPr>
                      <w:color w:val="auto"/>
                    </w:rPr>
                  </w:pPr>
                </w:p>
              </w:tc>
              <w:tc>
                <w:tcPr>
                  <w:tcW w:w="1224" w:type="pct"/>
                  <w:gridSpan w:val="3"/>
                  <w:tcBorders>
                    <w:tl2br w:val="nil"/>
                    <w:tr2bl w:val="nil"/>
                  </w:tcBorders>
                  <w:vAlign w:val="center"/>
                </w:tcPr>
                <w:p w14:paraId="538E57E7">
                  <w:pPr>
                    <w:pStyle w:val="69"/>
                    <w:jc w:val="center"/>
                    <w:rPr>
                      <w:bCs/>
                      <w:color w:val="auto"/>
                      <w:lang w:val="zh-CN"/>
                    </w:rPr>
                  </w:pPr>
                  <w:r>
                    <w:rPr>
                      <w:color w:val="auto"/>
                    </w:rPr>
                    <w:t>噪声</w:t>
                  </w:r>
                </w:p>
              </w:tc>
              <w:tc>
                <w:tcPr>
                  <w:tcW w:w="3079" w:type="pct"/>
                  <w:tcBorders>
                    <w:tl2br w:val="nil"/>
                    <w:tr2bl w:val="nil"/>
                  </w:tcBorders>
                  <w:vAlign w:val="center"/>
                </w:tcPr>
                <w:p w14:paraId="261FCB6B">
                  <w:pPr>
                    <w:pStyle w:val="69"/>
                    <w:jc w:val="both"/>
                    <w:rPr>
                      <w:color w:val="auto"/>
                    </w:rPr>
                  </w:pPr>
                  <w:r>
                    <w:rPr>
                      <w:color w:val="auto"/>
                    </w:rPr>
                    <w:t>采用低噪声设备、减震、隔声措施等</w:t>
                  </w:r>
                  <w:r>
                    <w:rPr>
                      <w:rFonts w:hint="eastAsia"/>
                      <w:color w:val="auto"/>
                    </w:rPr>
                    <w:t>。</w:t>
                  </w:r>
                </w:p>
              </w:tc>
              <w:tc>
                <w:tcPr>
                  <w:tcW w:w="423" w:type="pct"/>
                  <w:tcBorders>
                    <w:tl2br w:val="nil"/>
                    <w:tr2bl w:val="nil"/>
                  </w:tcBorders>
                  <w:vAlign w:val="center"/>
                </w:tcPr>
                <w:p w14:paraId="39B63B49">
                  <w:pPr>
                    <w:pStyle w:val="69"/>
                    <w:jc w:val="center"/>
                    <w:rPr>
                      <w:color w:val="auto"/>
                    </w:rPr>
                  </w:pPr>
                  <w:r>
                    <w:rPr>
                      <w:color w:val="auto"/>
                    </w:rPr>
                    <w:t>新建</w:t>
                  </w:r>
                </w:p>
              </w:tc>
            </w:tr>
          </w:tbl>
          <w:p w14:paraId="19EABB45">
            <w:pPr>
              <w:pStyle w:val="68"/>
              <w:ind w:firstLine="482"/>
              <w:rPr>
                <w:rFonts w:hint="default" w:eastAsia="宋体" w:cs="Times New Roman"/>
                <w:b/>
                <w:color w:val="auto"/>
                <w:lang w:val="en-US" w:eastAsia="zh-CN"/>
              </w:rPr>
            </w:pPr>
            <w:r>
              <w:rPr>
                <w:rFonts w:hint="eastAsia" w:cs="Times New Roman"/>
                <w:b/>
                <w:color w:val="auto"/>
                <w:lang w:val="en-US" w:eastAsia="zh-CN"/>
              </w:rPr>
              <w:t>3、产品方案及产品质量标准</w:t>
            </w:r>
          </w:p>
          <w:p w14:paraId="34798E2C">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color w:val="auto"/>
                <w:sz w:val="24"/>
                <w:szCs w:val="32"/>
              </w:rPr>
            </w:pPr>
            <w:r>
              <w:rPr>
                <w:rFonts w:hint="eastAsia"/>
                <w:color w:val="auto"/>
                <w:sz w:val="24"/>
                <w:szCs w:val="32"/>
              </w:rPr>
              <w:t>项目设计年加工生产</w:t>
            </w:r>
            <w:r>
              <w:rPr>
                <w:rFonts w:hint="eastAsia"/>
                <w:color w:val="auto"/>
                <w:sz w:val="24"/>
                <w:szCs w:val="32"/>
                <w:lang w:val="en-US" w:eastAsia="zh-CN"/>
              </w:rPr>
              <w:t>牛肉干100</w:t>
            </w:r>
            <w:r>
              <w:rPr>
                <w:rFonts w:hint="eastAsia"/>
                <w:color w:val="auto"/>
                <w:sz w:val="24"/>
                <w:szCs w:val="32"/>
              </w:rPr>
              <w:t>吨、</w:t>
            </w:r>
            <w:r>
              <w:rPr>
                <w:rFonts w:hint="eastAsia"/>
                <w:color w:val="auto"/>
                <w:sz w:val="24"/>
                <w:szCs w:val="32"/>
                <w:lang w:val="en-US" w:eastAsia="zh-CN"/>
              </w:rPr>
              <w:t>牛羊肉罐头</w:t>
            </w:r>
            <w:r>
              <w:rPr>
                <w:rFonts w:hint="eastAsia"/>
                <w:color w:val="auto"/>
                <w:sz w:val="24"/>
                <w:szCs w:val="32"/>
              </w:rPr>
              <w:t>300</w:t>
            </w:r>
            <w:r>
              <w:rPr>
                <w:rFonts w:hint="eastAsia"/>
                <w:color w:val="auto"/>
                <w:sz w:val="24"/>
                <w:szCs w:val="32"/>
                <w:lang w:val="en-US" w:eastAsia="zh-CN"/>
              </w:rPr>
              <w:t>万罐</w:t>
            </w:r>
            <w:r>
              <w:rPr>
                <w:rFonts w:hint="eastAsia"/>
                <w:color w:val="auto"/>
                <w:sz w:val="24"/>
                <w:szCs w:val="32"/>
              </w:rPr>
              <w:t>，具体方案见下表：</w:t>
            </w:r>
          </w:p>
          <w:p w14:paraId="494583EC">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center"/>
              <w:textAlignment w:val="auto"/>
              <w:rPr>
                <w:rFonts w:hint="default" w:eastAsia="宋体"/>
                <w:color w:val="auto"/>
                <w:sz w:val="24"/>
                <w:szCs w:val="32"/>
                <w:lang w:val="en-US" w:eastAsia="zh-CN"/>
              </w:rPr>
            </w:pPr>
            <w:r>
              <w:rPr>
                <w:rFonts w:hint="default" w:ascii="Times New Roman" w:hAnsi="Times New Roman" w:eastAsia="宋体" w:cs="Times New Roman"/>
                <w:b/>
                <w:bCs/>
                <w:color w:val="auto"/>
                <w:sz w:val="21"/>
                <w:szCs w:val="21"/>
                <w:lang w:val="en-US" w:eastAsia="zh-CN"/>
              </w:rPr>
              <w:t>表2-2  产品方案</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7"/>
              <w:gridCol w:w="1548"/>
              <w:gridCol w:w="1249"/>
              <w:gridCol w:w="1225"/>
              <w:gridCol w:w="1539"/>
              <w:gridCol w:w="1540"/>
            </w:tblGrid>
            <w:tr w14:paraId="5850A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0" w:type="pct"/>
                  <w:vAlign w:val="center"/>
                </w:tcPr>
                <w:p w14:paraId="7CD5627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eastAsia="宋体" w:cs="Times New Roman"/>
                      <w:b/>
                      <w:color w:val="auto"/>
                      <w:sz w:val="21"/>
                      <w:szCs w:val="21"/>
                      <w:vertAlign w:val="baseline"/>
                      <w:lang w:val="en-US" w:eastAsia="zh-CN"/>
                    </w:rPr>
                  </w:pPr>
                  <w:r>
                    <w:rPr>
                      <w:rFonts w:hint="eastAsia" w:cs="Times New Roman"/>
                      <w:b/>
                      <w:color w:val="auto"/>
                      <w:sz w:val="21"/>
                      <w:szCs w:val="21"/>
                      <w:vertAlign w:val="baseline"/>
                      <w:lang w:val="en-US" w:eastAsia="zh-CN"/>
                    </w:rPr>
                    <w:t>序号</w:t>
                  </w:r>
                </w:p>
              </w:tc>
              <w:tc>
                <w:tcPr>
                  <w:tcW w:w="987" w:type="pct"/>
                  <w:vAlign w:val="center"/>
                </w:tcPr>
                <w:p w14:paraId="5C9774BF">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eastAsia="宋体" w:cs="Times New Roman"/>
                      <w:b/>
                      <w:color w:val="auto"/>
                      <w:sz w:val="21"/>
                      <w:szCs w:val="21"/>
                      <w:vertAlign w:val="baseline"/>
                      <w:lang w:val="en-US" w:eastAsia="zh-CN"/>
                    </w:rPr>
                  </w:pPr>
                  <w:r>
                    <w:rPr>
                      <w:rFonts w:hint="eastAsia" w:cs="Times New Roman"/>
                      <w:b/>
                      <w:color w:val="auto"/>
                      <w:sz w:val="21"/>
                      <w:szCs w:val="21"/>
                      <w:vertAlign w:val="baseline"/>
                      <w:lang w:val="en-US" w:eastAsia="zh-CN"/>
                    </w:rPr>
                    <w:t>名称</w:t>
                  </w:r>
                </w:p>
              </w:tc>
              <w:tc>
                <w:tcPr>
                  <w:tcW w:w="796" w:type="pct"/>
                  <w:vAlign w:val="center"/>
                </w:tcPr>
                <w:p w14:paraId="6F223AD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eastAsia="宋体" w:cs="Times New Roman"/>
                      <w:b/>
                      <w:color w:val="auto"/>
                      <w:sz w:val="21"/>
                      <w:szCs w:val="21"/>
                      <w:vertAlign w:val="baseline"/>
                      <w:lang w:val="en-US" w:eastAsia="zh-CN"/>
                    </w:rPr>
                  </w:pPr>
                  <w:r>
                    <w:rPr>
                      <w:rFonts w:hint="eastAsia" w:cs="Times New Roman"/>
                      <w:b/>
                      <w:color w:val="auto"/>
                      <w:sz w:val="21"/>
                      <w:szCs w:val="21"/>
                      <w:vertAlign w:val="baseline"/>
                      <w:lang w:val="en-US" w:eastAsia="zh-CN"/>
                    </w:rPr>
                    <w:t>年产量</w:t>
                  </w:r>
                </w:p>
              </w:tc>
              <w:tc>
                <w:tcPr>
                  <w:tcW w:w="781" w:type="pct"/>
                  <w:vAlign w:val="center"/>
                </w:tcPr>
                <w:p w14:paraId="3DB13B5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eastAsia="宋体" w:cs="Times New Roman"/>
                      <w:b/>
                      <w:color w:val="auto"/>
                      <w:sz w:val="21"/>
                      <w:szCs w:val="21"/>
                      <w:vertAlign w:val="baseline"/>
                      <w:lang w:val="en-US" w:eastAsia="zh-CN"/>
                    </w:rPr>
                  </w:pPr>
                  <w:r>
                    <w:rPr>
                      <w:rFonts w:hint="eastAsia" w:cs="Times New Roman"/>
                      <w:b/>
                      <w:color w:val="auto"/>
                      <w:sz w:val="21"/>
                      <w:szCs w:val="21"/>
                      <w:vertAlign w:val="baseline"/>
                      <w:lang w:val="en-US" w:eastAsia="zh-CN"/>
                    </w:rPr>
                    <w:t>重量</w:t>
                  </w:r>
                </w:p>
              </w:tc>
              <w:tc>
                <w:tcPr>
                  <w:tcW w:w="981" w:type="pct"/>
                  <w:vAlign w:val="center"/>
                </w:tcPr>
                <w:p w14:paraId="6373570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cs="Times New Roman"/>
                      <w:b/>
                      <w:color w:val="auto"/>
                      <w:sz w:val="21"/>
                      <w:szCs w:val="21"/>
                      <w:vertAlign w:val="baseline"/>
                      <w:lang w:val="en-US" w:eastAsia="zh-CN"/>
                    </w:rPr>
                  </w:pPr>
                  <w:r>
                    <w:rPr>
                      <w:rFonts w:hint="eastAsia" w:cs="Times New Roman"/>
                      <w:b/>
                      <w:color w:val="auto"/>
                      <w:sz w:val="21"/>
                      <w:szCs w:val="21"/>
                      <w:vertAlign w:val="baseline"/>
                      <w:lang w:val="en-US" w:eastAsia="zh-CN"/>
                    </w:rPr>
                    <w:t>包装规格</w:t>
                  </w:r>
                </w:p>
              </w:tc>
              <w:tc>
                <w:tcPr>
                  <w:tcW w:w="981" w:type="pct"/>
                  <w:vAlign w:val="center"/>
                </w:tcPr>
                <w:p w14:paraId="2689D90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eastAsia="宋体" w:cs="Times New Roman"/>
                      <w:b/>
                      <w:color w:val="auto"/>
                      <w:sz w:val="21"/>
                      <w:szCs w:val="21"/>
                      <w:vertAlign w:val="baseline"/>
                      <w:lang w:val="en-US" w:eastAsia="zh-CN"/>
                    </w:rPr>
                  </w:pPr>
                  <w:r>
                    <w:rPr>
                      <w:rFonts w:hint="eastAsia" w:cs="Times New Roman"/>
                      <w:b/>
                      <w:color w:val="auto"/>
                      <w:sz w:val="21"/>
                      <w:szCs w:val="21"/>
                      <w:vertAlign w:val="baseline"/>
                      <w:lang w:val="en-US" w:eastAsia="zh-CN"/>
                    </w:rPr>
                    <w:t>年运行时数</w:t>
                  </w:r>
                </w:p>
              </w:tc>
            </w:tr>
            <w:tr w14:paraId="487F9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0" w:type="pct"/>
                  <w:vAlign w:val="center"/>
                </w:tcPr>
                <w:p w14:paraId="01C198A8">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1</w:t>
                  </w:r>
                </w:p>
              </w:tc>
              <w:tc>
                <w:tcPr>
                  <w:tcW w:w="987" w:type="pct"/>
                  <w:vAlign w:val="center"/>
                </w:tcPr>
                <w:p w14:paraId="70340E7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牛肉干</w:t>
                  </w:r>
                </w:p>
              </w:tc>
              <w:tc>
                <w:tcPr>
                  <w:tcW w:w="796" w:type="pct"/>
                  <w:vAlign w:val="center"/>
                </w:tcPr>
                <w:p w14:paraId="1BDA006B">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100吨</w:t>
                  </w:r>
                </w:p>
              </w:tc>
              <w:tc>
                <w:tcPr>
                  <w:tcW w:w="781" w:type="pct"/>
                  <w:vAlign w:val="center"/>
                </w:tcPr>
                <w:p w14:paraId="4D82ECD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100吨</w:t>
                  </w:r>
                </w:p>
              </w:tc>
              <w:tc>
                <w:tcPr>
                  <w:tcW w:w="981" w:type="pct"/>
                  <w:vAlign w:val="center"/>
                </w:tcPr>
                <w:p w14:paraId="31B4CAE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1/2kg/袋装</w:t>
                  </w:r>
                </w:p>
              </w:tc>
              <w:tc>
                <w:tcPr>
                  <w:tcW w:w="981" w:type="pct"/>
                  <w:vAlign w:val="center"/>
                </w:tcPr>
                <w:p w14:paraId="22486A48">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2080</w:t>
                  </w:r>
                </w:p>
              </w:tc>
            </w:tr>
            <w:tr w14:paraId="5CA41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0" w:type="pct"/>
                  <w:vAlign w:val="center"/>
                </w:tcPr>
                <w:p w14:paraId="6128E1D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2</w:t>
                  </w:r>
                </w:p>
              </w:tc>
              <w:tc>
                <w:tcPr>
                  <w:tcW w:w="987" w:type="pct"/>
                  <w:vAlign w:val="center"/>
                </w:tcPr>
                <w:p w14:paraId="65D9898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牛羊肉罐头</w:t>
                  </w:r>
                </w:p>
              </w:tc>
              <w:tc>
                <w:tcPr>
                  <w:tcW w:w="796" w:type="pct"/>
                  <w:vAlign w:val="center"/>
                </w:tcPr>
                <w:p w14:paraId="4B2C2B1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300万罐</w:t>
                  </w:r>
                </w:p>
              </w:tc>
              <w:tc>
                <w:tcPr>
                  <w:tcW w:w="781" w:type="pct"/>
                  <w:vAlign w:val="center"/>
                </w:tcPr>
                <w:p w14:paraId="5AFC0E8C">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750吨</w:t>
                  </w:r>
                </w:p>
              </w:tc>
              <w:tc>
                <w:tcPr>
                  <w:tcW w:w="981" w:type="pct"/>
                  <w:vAlign w:val="center"/>
                </w:tcPr>
                <w:p w14:paraId="65A4E70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200～300g罐装</w:t>
                  </w:r>
                </w:p>
              </w:tc>
              <w:tc>
                <w:tcPr>
                  <w:tcW w:w="981" w:type="pct"/>
                  <w:vAlign w:val="center"/>
                </w:tcPr>
                <w:p w14:paraId="705265E2">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2080</w:t>
                  </w:r>
                </w:p>
              </w:tc>
            </w:tr>
          </w:tbl>
          <w:p w14:paraId="6CACF545">
            <w:pPr>
              <w:pStyle w:val="68"/>
              <w:keepNext w:val="0"/>
              <w:keepLines w:val="0"/>
              <w:pageBreakBefore w:val="0"/>
              <w:widowControl w:val="0"/>
              <w:kinsoku/>
              <w:wordWrap/>
              <w:overflowPunct/>
              <w:topLinePunct w:val="0"/>
              <w:autoSpaceDE w:val="0"/>
              <w:autoSpaceDN w:val="0"/>
              <w:bidi w:val="0"/>
              <w:adjustRightInd w:val="0"/>
              <w:snapToGrid w:val="0"/>
              <w:ind w:left="0" w:leftChars="0" w:firstLine="480" w:firstLineChars="200"/>
              <w:textAlignment w:val="auto"/>
              <w:rPr>
                <w:rFonts w:hint="eastAsia" w:cs="Times New Roman"/>
                <w:b w:val="0"/>
                <w:bCs/>
                <w:color w:val="auto"/>
              </w:rPr>
            </w:pPr>
            <w:r>
              <w:rPr>
                <w:rFonts w:hint="eastAsia" w:cs="Times New Roman"/>
                <w:b w:val="0"/>
                <w:bCs/>
                <w:color w:val="auto"/>
              </w:rPr>
              <w:t>本项目牛肉</w:t>
            </w:r>
            <w:r>
              <w:rPr>
                <w:rFonts w:hint="eastAsia" w:cs="Times New Roman"/>
                <w:b w:val="0"/>
                <w:bCs/>
                <w:color w:val="auto"/>
                <w:lang w:val="en-US" w:eastAsia="zh-CN"/>
              </w:rPr>
              <w:t>干</w:t>
            </w:r>
            <w:r>
              <w:rPr>
                <w:rFonts w:hint="eastAsia" w:cs="Times New Roman"/>
                <w:b w:val="0"/>
                <w:bCs/>
                <w:color w:val="auto"/>
              </w:rPr>
              <w:t>产品质量执行《</w:t>
            </w:r>
            <w:r>
              <w:rPr>
                <w:rFonts w:hint="eastAsia" w:cs="Times New Roman"/>
                <w:b w:val="0"/>
                <w:bCs/>
                <w:color w:val="auto"/>
                <w:lang w:val="en-US" w:eastAsia="zh-CN"/>
              </w:rPr>
              <w:t>肉干质量通则</w:t>
            </w:r>
            <w:r>
              <w:rPr>
                <w:rFonts w:hint="eastAsia" w:cs="Times New Roman"/>
                <w:b w:val="0"/>
                <w:bCs/>
                <w:color w:val="auto"/>
              </w:rPr>
              <w:t>》（GB/T 23</w:t>
            </w:r>
            <w:r>
              <w:rPr>
                <w:rFonts w:hint="eastAsia" w:cs="Times New Roman"/>
                <w:b w:val="0"/>
                <w:bCs/>
                <w:color w:val="auto"/>
                <w:lang w:val="en-US" w:eastAsia="zh-CN"/>
              </w:rPr>
              <w:t>969</w:t>
            </w:r>
            <w:r>
              <w:rPr>
                <w:rFonts w:hint="eastAsia" w:cs="Times New Roman"/>
                <w:b w:val="0"/>
                <w:bCs/>
                <w:color w:val="auto"/>
              </w:rPr>
              <w:t>-20</w:t>
            </w:r>
            <w:r>
              <w:rPr>
                <w:rFonts w:hint="eastAsia" w:cs="Times New Roman"/>
                <w:b w:val="0"/>
                <w:bCs/>
                <w:color w:val="auto"/>
                <w:lang w:val="en-US" w:eastAsia="zh-CN"/>
              </w:rPr>
              <w:t>22</w:t>
            </w:r>
            <w:r>
              <w:rPr>
                <w:rFonts w:hint="eastAsia" w:cs="Times New Roman"/>
                <w:b w:val="0"/>
                <w:bCs/>
                <w:color w:val="auto"/>
              </w:rPr>
              <w:t>）中质量标准，本项目生产的</w:t>
            </w:r>
            <w:r>
              <w:rPr>
                <w:rFonts w:hint="eastAsia" w:cs="Times New Roman"/>
                <w:b w:val="0"/>
                <w:bCs/>
                <w:color w:val="auto"/>
                <w:lang w:val="en-US" w:eastAsia="zh-CN"/>
              </w:rPr>
              <w:t>牛羊肉罐头</w:t>
            </w:r>
            <w:r>
              <w:rPr>
                <w:rFonts w:hint="eastAsia" w:cs="Times New Roman"/>
                <w:b w:val="0"/>
                <w:bCs/>
                <w:color w:val="auto"/>
              </w:rPr>
              <w:t>，执行《</w:t>
            </w:r>
            <w:r>
              <w:rPr>
                <w:rFonts w:hint="eastAsia" w:cs="Times New Roman"/>
                <w:b w:val="0"/>
                <w:bCs/>
                <w:color w:val="auto"/>
                <w:lang w:val="en-US" w:eastAsia="zh-CN"/>
              </w:rPr>
              <w:t>牛肉类、羊肉类罐头质量通则</w:t>
            </w:r>
            <w:r>
              <w:rPr>
                <w:rFonts w:hint="eastAsia" w:cs="Times New Roman"/>
                <w:b w:val="0"/>
                <w:bCs/>
                <w:color w:val="auto"/>
              </w:rPr>
              <w:t xml:space="preserve">》（GB/T </w:t>
            </w:r>
            <w:r>
              <w:rPr>
                <w:rFonts w:hint="eastAsia" w:cs="Times New Roman"/>
                <w:b w:val="0"/>
                <w:bCs/>
                <w:color w:val="auto"/>
                <w:lang w:val="en-US" w:eastAsia="zh-CN"/>
              </w:rPr>
              <w:t>13214</w:t>
            </w:r>
            <w:r>
              <w:rPr>
                <w:rFonts w:hint="eastAsia" w:cs="Times New Roman"/>
                <w:b w:val="0"/>
                <w:bCs/>
                <w:color w:val="auto"/>
              </w:rPr>
              <w:t>-20</w:t>
            </w:r>
            <w:r>
              <w:rPr>
                <w:rFonts w:hint="eastAsia" w:cs="Times New Roman"/>
                <w:b w:val="0"/>
                <w:bCs/>
                <w:color w:val="auto"/>
                <w:lang w:val="en-US" w:eastAsia="zh-CN"/>
              </w:rPr>
              <w:t>21</w:t>
            </w:r>
            <w:r>
              <w:rPr>
                <w:rFonts w:hint="eastAsia" w:cs="Times New Roman"/>
                <w:b w:val="0"/>
                <w:bCs/>
                <w:color w:val="auto"/>
              </w:rPr>
              <w:t>）中质量标准</w:t>
            </w:r>
            <w:r>
              <w:rPr>
                <w:rFonts w:hint="eastAsia" w:cs="Times New Roman"/>
                <w:b w:val="0"/>
                <w:bCs/>
                <w:color w:val="auto"/>
                <w:lang w:eastAsia="zh-CN"/>
              </w:rPr>
              <w:t>，</w:t>
            </w:r>
            <w:r>
              <w:rPr>
                <w:rFonts w:hint="eastAsia" w:cs="Times New Roman"/>
                <w:b w:val="0"/>
                <w:bCs/>
                <w:color w:val="auto"/>
              </w:rPr>
              <w:t>具体见下表。</w:t>
            </w:r>
          </w:p>
          <w:p w14:paraId="06DCBBF4">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center"/>
              <w:textAlignment w:val="auto"/>
              <w:rPr>
                <w:rFonts w:hint="default" w:eastAsia="宋体"/>
                <w:color w:val="auto"/>
                <w:sz w:val="24"/>
                <w:szCs w:val="32"/>
                <w:lang w:val="en-US" w:eastAsia="zh-CN"/>
              </w:rPr>
            </w:pPr>
            <w:r>
              <w:rPr>
                <w:rFonts w:hint="default" w:ascii="Times New Roman" w:hAnsi="Times New Roman" w:eastAsia="宋体" w:cs="Times New Roman"/>
                <w:b/>
                <w:bCs/>
                <w:color w:val="auto"/>
                <w:sz w:val="21"/>
                <w:szCs w:val="21"/>
                <w:lang w:val="en-US" w:eastAsia="zh-CN"/>
              </w:rPr>
              <w:t>表2-</w:t>
            </w:r>
            <w:r>
              <w:rPr>
                <w:rFonts w:hint="eastAsia" w:cs="Times New Roman"/>
                <w:b/>
                <w:bCs/>
                <w:color w:val="auto"/>
                <w:sz w:val="21"/>
                <w:szCs w:val="21"/>
                <w:lang w:val="en-US" w:eastAsia="zh-CN"/>
              </w:rPr>
              <w:t>3</w:t>
            </w:r>
            <w:r>
              <w:rPr>
                <w:rFonts w:hint="default" w:ascii="Times New Roman" w:hAnsi="Times New Roman" w:eastAsia="宋体" w:cs="Times New Roman"/>
                <w:b/>
                <w:bCs/>
                <w:color w:val="auto"/>
                <w:sz w:val="21"/>
                <w:szCs w:val="21"/>
                <w:lang w:val="en-US" w:eastAsia="zh-CN"/>
              </w:rPr>
              <w:t xml:space="preserve">  产品</w:t>
            </w:r>
            <w:r>
              <w:rPr>
                <w:rFonts w:hint="eastAsia" w:cs="Times New Roman"/>
                <w:b/>
                <w:bCs/>
                <w:color w:val="auto"/>
                <w:sz w:val="21"/>
                <w:szCs w:val="21"/>
                <w:lang w:val="en-US" w:eastAsia="zh-CN"/>
              </w:rPr>
              <w:t>质量标准</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1239"/>
              <w:gridCol w:w="1132"/>
              <w:gridCol w:w="486"/>
              <w:gridCol w:w="1714"/>
              <w:gridCol w:w="683"/>
              <w:gridCol w:w="16"/>
              <w:gridCol w:w="699"/>
              <w:gridCol w:w="702"/>
              <w:gridCol w:w="741"/>
            </w:tblGrid>
            <w:tr w14:paraId="4C6F8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pct"/>
                  <w:gridSpan w:val="2"/>
                  <w:vAlign w:val="center"/>
                </w:tcPr>
                <w:p w14:paraId="306A949F">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color w:val="auto"/>
                      <w:sz w:val="21"/>
                      <w:szCs w:val="21"/>
                      <w:vertAlign w:val="baseline"/>
                      <w:lang w:val="en-US" w:eastAsia="zh-CN"/>
                    </w:rPr>
                  </w:pPr>
                  <w:r>
                    <w:rPr>
                      <w:rFonts w:hint="default" w:ascii="Times New Roman" w:hAnsi="Times New Roman" w:cs="Times New Roman"/>
                      <w:b/>
                      <w:color w:val="auto"/>
                      <w:sz w:val="21"/>
                      <w:szCs w:val="21"/>
                      <w:vertAlign w:val="baseline"/>
                      <w:lang w:val="en-US" w:eastAsia="zh-CN"/>
                    </w:rPr>
                    <w:t>质量标准</w:t>
                  </w:r>
                </w:p>
              </w:tc>
              <w:tc>
                <w:tcPr>
                  <w:tcW w:w="2134" w:type="pct"/>
                  <w:gridSpan w:val="3"/>
                  <w:vAlign w:val="center"/>
                </w:tcPr>
                <w:p w14:paraId="7480F865">
                  <w:pPr>
                    <w:pStyle w:val="68"/>
                    <w:keepNext w:val="0"/>
                    <w:keepLines w:val="0"/>
                    <w:pageBreakBefore w:val="0"/>
                    <w:widowControl w:val="0"/>
                    <w:kinsoku/>
                    <w:wordWrap w:val="0"/>
                    <w:overflowPunct/>
                    <w:topLinePunct/>
                    <w:autoSpaceDE/>
                    <w:autoSpaceDN/>
                    <w:bidi w:val="0"/>
                    <w:adjustRightInd w:val="0"/>
                    <w:snapToGrid w:val="0"/>
                    <w:spacing w:line="240" w:lineRule="auto"/>
                    <w:ind w:firstLine="0" w:firstLineChars="0"/>
                    <w:jc w:val="left"/>
                    <w:textAlignment w:val="auto"/>
                    <w:rPr>
                      <w:rFonts w:hint="default" w:ascii="Times New Roman" w:hAnsi="Times New Roman" w:cs="Times New Roman"/>
                      <w:b/>
                      <w:color w:val="auto"/>
                      <w:sz w:val="21"/>
                      <w:szCs w:val="21"/>
                      <w:vertAlign w:val="baseline"/>
                    </w:rPr>
                  </w:pPr>
                  <w:r>
                    <w:rPr>
                      <w:rFonts w:hint="default" w:ascii="Times New Roman" w:hAnsi="Times New Roman" w:cs="Times New Roman"/>
                      <w:b/>
                      <w:color w:val="auto"/>
                      <w:sz w:val="21"/>
                      <w:szCs w:val="21"/>
                      <w:vertAlign w:val="baseline"/>
                    </w:rPr>
                    <w:t>《</w:t>
                  </w:r>
                  <w:r>
                    <w:rPr>
                      <w:rFonts w:hint="default" w:ascii="Times New Roman" w:hAnsi="Times New Roman" w:cs="Times New Roman"/>
                      <w:b/>
                      <w:color w:val="auto"/>
                      <w:sz w:val="21"/>
                      <w:szCs w:val="21"/>
                      <w:vertAlign w:val="baseline"/>
                      <w:lang w:val="en-US" w:eastAsia="zh-CN"/>
                    </w:rPr>
                    <w:t>肉干质量通则</w:t>
                  </w:r>
                  <w:r>
                    <w:rPr>
                      <w:rFonts w:hint="default" w:ascii="Times New Roman" w:hAnsi="Times New Roman" w:cs="Times New Roman"/>
                      <w:b/>
                      <w:color w:val="auto"/>
                      <w:sz w:val="21"/>
                      <w:szCs w:val="21"/>
                      <w:vertAlign w:val="baseline"/>
                    </w:rPr>
                    <w:t>》（GB/T 23</w:t>
                  </w:r>
                  <w:r>
                    <w:rPr>
                      <w:rFonts w:hint="default" w:ascii="Times New Roman" w:hAnsi="Times New Roman" w:cs="Times New Roman"/>
                      <w:b/>
                      <w:color w:val="auto"/>
                      <w:sz w:val="21"/>
                      <w:szCs w:val="21"/>
                      <w:vertAlign w:val="baseline"/>
                      <w:lang w:val="en-US" w:eastAsia="zh-CN"/>
                    </w:rPr>
                    <w:t>969</w:t>
                  </w:r>
                  <w:r>
                    <w:rPr>
                      <w:rFonts w:hint="default" w:ascii="Times New Roman" w:hAnsi="Times New Roman" w:cs="Times New Roman"/>
                      <w:b/>
                      <w:color w:val="auto"/>
                      <w:sz w:val="21"/>
                      <w:szCs w:val="21"/>
                      <w:vertAlign w:val="baseline"/>
                    </w:rPr>
                    <w:t>-20</w:t>
                  </w:r>
                  <w:r>
                    <w:rPr>
                      <w:rFonts w:hint="default" w:ascii="Times New Roman" w:hAnsi="Times New Roman" w:cs="Times New Roman"/>
                      <w:b/>
                      <w:color w:val="auto"/>
                      <w:sz w:val="21"/>
                      <w:szCs w:val="21"/>
                      <w:vertAlign w:val="baseline"/>
                      <w:lang w:val="en-US" w:eastAsia="zh-CN"/>
                    </w:rPr>
                    <w:t>22</w:t>
                  </w:r>
                  <w:r>
                    <w:rPr>
                      <w:rFonts w:hint="default" w:ascii="Times New Roman" w:hAnsi="Times New Roman" w:cs="Times New Roman"/>
                      <w:b/>
                      <w:color w:val="auto"/>
                      <w:sz w:val="21"/>
                      <w:szCs w:val="21"/>
                      <w:vertAlign w:val="baseline"/>
                    </w:rPr>
                    <w:t>）</w:t>
                  </w:r>
                </w:p>
              </w:tc>
              <w:tc>
                <w:tcPr>
                  <w:tcW w:w="1800" w:type="pct"/>
                  <w:gridSpan w:val="5"/>
                  <w:vAlign w:val="center"/>
                </w:tcPr>
                <w:p w14:paraId="1CBDB935">
                  <w:pPr>
                    <w:pStyle w:val="68"/>
                    <w:keepNext w:val="0"/>
                    <w:keepLines w:val="0"/>
                    <w:pageBreakBefore w:val="0"/>
                    <w:widowControl w:val="0"/>
                    <w:kinsoku/>
                    <w:wordWrap w:val="0"/>
                    <w:overflowPunct/>
                    <w:topLinePunct/>
                    <w:autoSpaceDE/>
                    <w:autoSpaceDN/>
                    <w:bidi w:val="0"/>
                    <w:adjustRightInd w:val="0"/>
                    <w:snapToGrid w:val="0"/>
                    <w:spacing w:line="240" w:lineRule="auto"/>
                    <w:ind w:firstLine="0" w:firstLineChars="0"/>
                    <w:jc w:val="left"/>
                    <w:textAlignment w:val="auto"/>
                    <w:rPr>
                      <w:rFonts w:hint="default" w:ascii="Times New Roman" w:hAnsi="Times New Roman" w:cs="Times New Roman"/>
                      <w:b/>
                      <w:color w:val="auto"/>
                      <w:sz w:val="21"/>
                      <w:szCs w:val="21"/>
                      <w:vertAlign w:val="baseline"/>
                    </w:rPr>
                  </w:pPr>
                  <w:r>
                    <w:rPr>
                      <w:rFonts w:hint="default" w:ascii="Times New Roman" w:hAnsi="Times New Roman" w:cs="Times New Roman"/>
                      <w:b/>
                      <w:color w:val="auto"/>
                      <w:sz w:val="21"/>
                      <w:szCs w:val="21"/>
                      <w:vertAlign w:val="baseline"/>
                    </w:rPr>
                    <w:t>《牛肉类、羊肉类罐头质量通则》（GB/T 13214-2021）</w:t>
                  </w:r>
                </w:p>
              </w:tc>
            </w:tr>
            <w:tr w14:paraId="425E4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pct"/>
                  <w:gridSpan w:val="2"/>
                  <w:vAlign w:val="center"/>
                </w:tcPr>
                <w:p w14:paraId="485FDD6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color w:val="auto"/>
                      <w:sz w:val="21"/>
                      <w:szCs w:val="21"/>
                      <w:vertAlign w:val="baseline"/>
                      <w:lang w:val="en-US" w:eastAsia="zh-CN"/>
                    </w:rPr>
                  </w:pPr>
                  <w:r>
                    <w:rPr>
                      <w:rFonts w:hint="default" w:ascii="Times New Roman" w:hAnsi="Times New Roman" w:cs="Times New Roman"/>
                      <w:b/>
                      <w:color w:val="auto"/>
                      <w:sz w:val="21"/>
                      <w:szCs w:val="21"/>
                      <w:vertAlign w:val="baseline"/>
                      <w:lang w:val="en-US" w:eastAsia="zh-CN"/>
                    </w:rPr>
                    <w:t>项目</w:t>
                  </w:r>
                </w:p>
              </w:tc>
              <w:tc>
                <w:tcPr>
                  <w:tcW w:w="725" w:type="pct"/>
                  <w:vAlign w:val="center"/>
                </w:tcPr>
                <w:p w14:paraId="3E4BFC9A">
                  <w:pPr>
                    <w:pStyle w:val="68"/>
                    <w:keepNext w:val="0"/>
                    <w:keepLines w:val="0"/>
                    <w:pageBreakBefore w:val="0"/>
                    <w:widowControl w:val="0"/>
                    <w:kinsoku/>
                    <w:wordWrap w:val="0"/>
                    <w:overflowPunct/>
                    <w:topLinePunct/>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b/>
                      <w:color w:val="auto"/>
                      <w:sz w:val="21"/>
                      <w:szCs w:val="21"/>
                      <w:vertAlign w:val="baseline"/>
                      <w:lang w:val="en-US" w:eastAsia="zh-CN"/>
                    </w:rPr>
                  </w:pPr>
                  <w:r>
                    <w:rPr>
                      <w:rFonts w:hint="eastAsia" w:ascii="Times New Roman" w:hAnsi="Times New Roman" w:cs="Times New Roman"/>
                      <w:b/>
                      <w:color w:val="auto"/>
                      <w:sz w:val="21"/>
                      <w:szCs w:val="21"/>
                      <w:vertAlign w:val="baseline"/>
                      <w:lang w:val="en-US" w:eastAsia="zh-CN"/>
                    </w:rPr>
                    <w:t>肉干</w:t>
                  </w:r>
                </w:p>
              </w:tc>
              <w:tc>
                <w:tcPr>
                  <w:tcW w:w="1409" w:type="pct"/>
                  <w:gridSpan w:val="2"/>
                  <w:vAlign w:val="center"/>
                </w:tcPr>
                <w:p w14:paraId="68E1BC39">
                  <w:pPr>
                    <w:pStyle w:val="68"/>
                    <w:keepNext w:val="0"/>
                    <w:keepLines w:val="0"/>
                    <w:pageBreakBefore w:val="0"/>
                    <w:widowControl w:val="0"/>
                    <w:kinsoku/>
                    <w:wordWrap w:val="0"/>
                    <w:overflowPunct/>
                    <w:topLinePunct/>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b/>
                      <w:color w:val="auto"/>
                      <w:sz w:val="21"/>
                      <w:szCs w:val="21"/>
                      <w:vertAlign w:val="baseline"/>
                      <w:lang w:val="en-US" w:eastAsia="zh-CN"/>
                    </w:rPr>
                  </w:pPr>
                  <w:r>
                    <w:rPr>
                      <w:rFonts w:hint="eastAsia" w:ascii="Times New Roman" w:hAnsi="Times New Roman" w:cs="Times New Roman"/>
                      <w:b/>
                      <w:color w:val="auto"/>
                      <w:sz w:val="21"/>
                      <w:szCs w:val="21"/>
                      <w:vertAlign w:val="baseline"/>
                      <w:lang w:val="en-US" w:eastAsia="zh-CN"/>
                    </w:rPr>
                    <w:t>肉糜干</w:t>
                  </w:r>
                </w:p>
              </w:tc>
              <w:tc>
                <w:tcPr>
                  <w:tcW w:w="873" w:type="pct"/>
                  <w:gridSpan w:val="3"/>
                  <w:vAlign w:val="center"/>
                </w:tcPr>
                <w:p w14:paraId="30F87760">
                  <w:pPr>
                    <w:pStyle w:val="68"/>
                    <w:keepNext w:val="0"/>
                    <w:keepLines w:val="0"/>
                    <w:pageBreakBefore w:val="0"/>
                    <w:widowControl w:val="0"/>
                    <w:kinsoku/>
                    <w:wordWrap w:val="0"/>
                    <w:overflowPunct/>
                    <w:topLinePunct/>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b/>
                      <w:color w:val="auto"/>
                      <w:sz w:val="21"/>
                      <w:szCs w:val="21"/>
                      <w:vertAlign w:val="baseline"/>
                      <w:lang w:val="en-US" w:eastAsia="zh-CN"/>
                    </w:rPr>
                  </w:pPr>
                  <w:r>
                    <w:rPr>
                      <w:rFonts w:hint="eastAsia" w:ascii="Times New Roman" w:hAnsi="Times New Roman" w:cs="Times New Roman"/>
                      <w:b/>
                      <w:color w:val="auto"/>
                      <w:sz w:val="21"/>
                      <w:szCs w:val="21"/>
                      <w:vertAlign w:val="baseline"/>
                      <w:lang w:val="en-US" w:eastAsia="zh-CN"/>
                    </w:rPr>
                    <w:t>优级品</w:t>
                  </w:r>
                </w:p>
              </w:tc>
              <w:tc>
                <w:tcPr>
                  <w:tcW w:w="926" w:type="pct"/>
                  <w:gridSpan w:val="2"/>
                  <w:vAlign w:val="center"/>
                </w:tcPr>
                <w:p w14:paraId="6134296E">
                  <w:pPr>
                    <w:pStyle w:val="68"/>
                    <w:keepNext w:val="0"/>
                    <w:keepLines w:val="0"/>
                    <w:pageBreakBefore w:val="0"/>
                    <w:widowControl w:val="0"/>
                    <w:kinsoku/>
                    <w:wordWrap w:val="0"/>
                    <w:overflowPunct/>
                    <w:topLinePunct/>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b/>
                      <w:color w:val="auto"/>
                      <w:sz w:val="21"/>
                      <w:szCs w:val="21"/>
                      <w:vertAlign w:val="baseline"/>
                      <w:lang w:val="en-US" w:eastAsia="zh-CN"/>
                    </w:rPr>
                  </w:pPr>
                  <w:r>
                    <w:rPr>
                      <w:rFonts w:hint="eastAsia" w:ascii="Times New Roman" w:hAnsi="Times New Roman" w:cs="Times New Roman"/>
                      <w:b/>
                      <w:color w:val="auto"/>
                      <w:sz w:val="21"/>
                      <w:szCs w:val="21"/>
                      <w:vertAlign w:val="baseline"/>
                      <w:lang w:val="en-US" w:eastAsia="zh-CN"/>
                    </w:rPr>
                    <w:t>合格品</w:t>
                  </w:r>
                </w:p>
              </w:tc>
            </w:tr>
            <w:tr w14:paraId="2455F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1" w:type="pct"/>
                  <w:vMerge w:val="restart"/>
                  <w:vAlign w:val="center"/>
                </w:tcPr>
                <w:p w14:paraId="5C27BBA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感官要求</w:t>
                  </w:r>
                </w:p>
              </w:tc>
              <w:tc>
                <w:tcPr>
                  <w:tcW w:w="793" w:type="pct"/>
                  <w:vAlign w:val="center"/>
                </w:tcPr>
                <w:p w14:paraId="0C48C8B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形态</w:t>
                  </w:r>
                </w:p>
              </w:tc>
              <w:tc>
                <w:tcPr>
                  <w:tcW w:w="725" w:type="pct"/>
                  <w:vAlign w:val="center"/>
                </w:tcPr>
                <w:p w14:paraId="10C6416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rPr>
                    <w:t>呈片、条、粒、丝或其他形状,同一品种大小基本均匀,表面可带有细小纤维或调味料</w:t>
                  </w:r>
                </w:p>
              </w:tc>
              <w:tc>
                <w:tcPr>
                  <w:tcW w:w="1409" w:type="pct"/>
                  <w:gridSpan w:val="2"/>
                  <w:vAlign w:val="center"/>
                </w:tcPr>
                <w:p w14:paraId="07EC62C7">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rPr>
                    <w:t>呈片、粒状或其他规则形状,同一品种大小基本均匀</w:t>
                  </w:r>
                </w:p>
              </w:tc>
              <w:tc>
                <w:tcPr>
                  <w:tcW w:w="873" w:type="pct"/>
                  <w:gridSpan w:val="3"/>
                  <w:vAlign w:val="center"/>
                </w:tcPr>
                <w:p w14:paraId="012FC802">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rPr>
                    <w:t>牛肉午餐肉罐头</w:t>
                  </w:r>
                  <w:r>
                    <w:rPr>
                      <w:rFonts w:hint="eastAsia" w:cs="Times New Roman"/>
                      <w:b w:val="0"/>
                      <w:bCs/>
                      <w:color w:val="auto"/>
                      <w:sz w:val="21"/>
                      <w:szCs w:val="21"/>
                      <w:vertAlign w:val="baseline"/>
                      <w:lang w:eastAsia="zh-CN"/>
                    </w:rPr>
                    <w:t>：</w:t>
                  </w:r>
                  <w:r>
                    <w:rPr>
                      <w:rFonts w:hint="default" w:ascii="Times New Roman" w:hAnsi="Times New Roman" w:cs="Times New Roman"/>
                      <w:b w:val="0"/>
                      <w:bCs/>
                      <w:color w:val="auto"/>
                      <w:sz w:val="21"/>
                      <w:szCs w:val="21"/>
                      <w:vertAlign w:val="baseline"/>
                    </w:rPr>
                    <w:t>组织紧密,切面光滑,富有弹性，允许少量直径小于8mm的气孔，表面平整缺角不超过周长的10%,脂肪和胶冻析出量不超过净含量的0.5%。</w:t>
                  </w:r>
                </w:p>
                <w:p w14:paraId="2B291EC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rPr>
                    <w:t>咸牛肉罐头、咸羊肉罐头</w:t>
                  </w:r>
                  <w:r>
                    <w:rPr>
                      <w:rFonts w:hint="eastAsia" w:cs="Times New Roman"/>
                      <w:b w:val="0"/>
                      <w:bCs/>
                      <w:color w:val="auto"/>
                      <w:sz w:val="21"/>
                      <w:szCs w:val="21"/>
                      <w:vertAlign w:val="baseline"/>
                      <w:lang w:eastAsia="zh-CN"/>
                    </w:rPr>
                    <w:t>：</w:t>
                  </w:r>
                  <w:r>
                    <w:rPr>
                      <w:rFonts w:hint="default" w:ascii="Times New Roman" w:hAnsi="Times New Roman" w:cs="Times New Roman"/>
                      <w:b w:val="0"/>
                      <w:bCs/>
                      <w:color w:val="auto"/>
                      <w:sz w:val="21"/>
                      <w:szCs w:val="21"/>
                      <w:vertAlign w:val="baseline"/>
                    </w:rPr>
                    <w:t>切面有松散小肉块，小于1cm</w:t>
                  </w:r>
                  <w:r>
                    <w:rPr>
                      <w:rFonts w:hint="eastAsia" w:cs="Times New Roman"/>
                      <w:b w:val="0"/>
                      <w:bCs/>
                      <w:color w:val="auto"/>
                      <w:sz w:val="21"/>
                      <w:szCs w:val="21"/>
                      <w:vertAlign w:val="superscript"/>
                      <w:lang w:val="en-US" w:eastAsia="zh-CN"/>
                    </w:rPr>
                    <w:t>2</w:t>
                  </w:r>
                  <w:r>
                    <w:rPr>
                      <w:rFonts w:hint="default" w:ascii="Times New Roman" w:hAnsi="Times New Roman" w:cs="Times New Roman"/>
                      <w:b w:val="0"/>
                      <w:bCs/>
                      <w:color w:val="auto"/>
                      <w:sz w:val="21"/>
                      <w:szCs w:val="21"/>
                      <w:vertAlign w:val="baseline"/>
                    </w:rPr>
                    <w:t>的粗组织膜不超过2块，表面平整,缺角不超过周长的10%,胶冻和汁液析出量不超过净含量的1%。允许内容物一端有少量脂肪析出，但平均厚度不超过2mm</w:t>
                  </w:r>
                </w:p>
              </w:tc>
              <w:tc>
                <w:tcPr>
                  <w:tcW w:w="926" w:type="pct"/>
                  <w:gridSpan w:val="2"/>
                  <w:vAlign w:val="center"/>
                </w:tcPr>
                <w:p w14:paraId="3FD1B8E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rPr>
                    <w:t>牛肉午餐肉罐头</w:t>
                  </w:r>
                  <w:r>
                    <w:rPr>
                      <w:rFonts w:hint="eastAsia" w:cs="Times New Roman"/>
                      <w:b w:val="0"/>
                      <w:bCs/>
                      <w:color w:val="auto"/>
                      <w:sz w:val="21"/>
                      <w:szCs w:val="21"/>
                      <w:vertAlign w:val="baseline"/>
                      <w:lang w:eastAsia="zh-CN"/>
                    </w:rPr>
                    <w:t>：</w:t>
                  </w:r>
                  <w:r>
                    <w:rPr>
                      <w:rFonts w:hint="default" w:ascii="Times New Roman" w:hAnsi="Times New Roman" w:cs="Times New Roman"/>
                      <w:b w:val="0"/>
                      <w:bCs/>
                      <w:color w:val="auto"/>
                      <w:sz w:val="21"/>
                      <w:szCs w:val="21"/>
                      <w:vertAlign w:val="baseline"/>
                    </w:rPr>
                    <w:t>组织紧密,切面光滑,富有弹性，允许少量直径小于8mm的气孔，表面平整，缺角不超过周长的30%,脂肪和胶冻析出量不超过净含量的1%</w:t>
                  </w:r>
                </w:p>
                <w:p w14:paraId="73967865">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rPr>
                    <w:t>咸牛肉罐头、咸羊肉罐头</w:t>
                  </w:r>
                  <w:r>
                    <w:rPr>
                      <w:rFonts w:hint="eastAsia" w:cs="Times New Roman"/>
                      <w:b w:val="0"/>
                      <w:bCs/>
                      <w:color w:val="auto"/>
                      <w:sz w:val="21"/>
                      <w:szCs w:val="21"/>
                      <w:vertAlign w:val="baseline"/>
                      <w:lang w:eastAsia="zh-CN"/>
                    </w:rPr>
                    <w:t>：</w:t>
                  </w:r>
                  <w:r>
                    <w:rPr>
                      <w:rFonts w:hint="default" w:ascii="Times New Roman" w:hAnsi="Times New Roman" w:cs="Times New Roman"/>
                      <w:b w:val="0"/>
                      <w:bCs/>
                      <w:color w:val="auto"/>
                      <w:sz w:val="21"/>
                      <w:szCs w:val="21"/>
                      <w:vertAlign w:val="baseline"/>
                    </w:rPr>
                    <w:t>切面有松散小肉块，小于1cm</w:t>
                  </w:r>
                  <w:r>
                    <w:rPr>
                      <w:rFonts w:hint="eastAsia" w:cs="Times New Roman"/>
                      <w:b w:val="0"/>
                      <w:bCs/>
                      <w:color w:val="auto"/>
                      <w:sz w:val="21"/>
                      <w:szCs w:val="21"/>
                      <w:vertAlign w:val="superscript"/>
                      <w:lang w:val="en-US" w:eastAsia="zh-CN"/>
                    </w:rPr>
                    <w:t>2</w:t>
                  </w:r>
                  <w:r>
                    <w:rPr>
                      <w:rFonts w:hint="default" w:ascii="Times New Roman" w:hAnsi="Times New Roman" w:cs="Times New Roman"/>
                      <w:b w:val="0"/>
                      <w:bCs/>
                      <w:color w:val="auto"/>
                      <w:sz w:val="21"/>
                      <w:szCs w:val="21"/>
                      <w:vertAlign w:val="baseline"/>
                    </w:rPr>
                    <w:t>的粗组织膜不超过3块,表面平整,缺角不超过周长的30%,胶冻和汁液析出量不超过净含量的3%。允许内容物一端有少量脂肪析出，但平均厚度不超过3mm</w:t>
                  </w:r>
                </w:p>
              </w:tc>
            </w:tr>
            <w:tr w14:paraId="04E64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1" w:type="pct"/>
                  <w:vMerge w:val="continue"/>
                  <w:vAlign w:val="center"/>
                </w:tcPr>
                <w:p w14:paraId="4F037F89">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p>
              </w:tc>
              <w:tc>
                <w:tcPr>
                  <w:tcW w:w="793" w:type="pct"/>
                  <w:vAlign w:val="center"/>
                </w:tcPr>
                <w:p w14:paraId="31CB0B7F">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色泽</w:t>
                  </w:r>
                </w:p>
              </w:tc>
              <w:tc>
                <w:tcPr>
                  <w:tcW w:w="725" w:type="pct"/>
                  <w:vAlign w:val="center"/>
                </w:tcPr>
                <w:p w14:paraId="27F55B7B">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rPr>
                    <w:t>呈棕黄色、棕红色、褐色、黄褐色或者黑色,色泽基本均匀</w:t>
                  </w:r>
                </w:p>
              </w:tc>
              <w:tc>
                <w:tcPr>
                  <w:tcW w:w="1409" w:type="pct"/>
                  <w:gridSpan w:val="2"/>
                  <w:vAlign w:val="center"/>
                </w:tcPr>
                <w:p w14:paraId="4955475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rPr>
                    <w:t>呈棕黄色、棕红色或黄褐色,色泽基本均匀</w:t>
                  </w:r>
                </w:p>
              </w:tc>
              <w:tc>
                <w:tcPr>
                  <w:tcW w:w="1800" w:type="pct"/>
                  <w:gridSpan w:val="5"/>
                  <w:vAlign w:val="center"/>
                </w:tcPr>
                <w:p w14:paraId="69F2C291">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rPr>
                    <w:t>具有该产品应有的色泽</w:t>
                  </w:r>
                </w:p>
              </w:tc>
            </w:tr>
            <w:tr w14:paraId="2BF3A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1" w:type="pct"/>
                  <w:vMerge w:val="continue"/>
                  <w:vAlign w:val="center"/>
                </w:tcPr>
                <w:p w14:paraId="7AC5EE7C">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p>
              </w:tc>
              <w:tc>
                <w:tcPr>
                  <w:tcW w:w="793" w:type="pct"/>
                  <w:vAlign w:val="center"/>
                </w:tcPr>
                <w:p w14:paraId="6EDF37CF">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滋味与气味</w:t>
                  </w:r>
                </w:p>
              </w:tc>
              <w:tc>
                <w:tcPr>
                  <w:tcW w:w="2134" w:type="pct"/>
                  <w:gridSpan w:val="3"/>
                  <w:vAlign w:val="center"/>
                </w:tcPr>
                <w:p w14:paraId="553074C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left"/>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rPr>
                    <w:t>具有该品种特有的香气和滋味,甜</w:t>
                  </w:r>
                  <w:r>
                    <w:rPr>
                      <w:rFonts w:hint="eastAsia" w:ascii="Times New Roman" w:hAnsi="Times New Roman" w:cs="Times New Roman"/>
                      <w:b w:val="0"/>
                      <w:bCs/>
                      <w:color w:val="auto"/>
                      <w:sz w:val="21"/>
                      <w:szCs w:val="21"/>
                      <w:vertAlign w:val="baseline"/>
                      <w:lang w:val="en-US" w:eastAsia="zh-CN"/>
                    </w:rPr>
                    <w:t>咸</w:t>
                  </w:r>
                  <w:r>
                    <w:rPr>
                      <w:rFonts w:hint="default" w:ascii="Times New Roman" w:hAnsi="Times New Roman" w:cs="Times New Roman"/>
                      <w:b w:val="0"/>
                      <w:bCs/>
                      <w:color w:val="auto"/>
                      <w:sz w:val="21"/>
                      <w:szCs w:val="21"/>
                      <w:vertAlign w:val="baseline"/>
                    </w:rPr>
                    <w:t>适中</w:t>
                  </w:r>
                </w:p>
              </w:tc>
              <w:tc>
                <w:tcPr>
                  <w:tcW w:w="1800" w:type="pct"/>
                  <w:gridSpan w:val="5"/>
                  <w:vAlign w:val="center"/>
                </w:tcPr>
                <w:p w14:paraId="5A9B3B79">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left"/>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rPr>
                    <w:t>具有该产品应有的滋味和气味、无异味</w:t>
                  </w:r>
                </w:p>
              </w:tc>
            </w:tr>
            <w:tr w14:paraId="63705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1" w:type="pct"/>
                  <w:vMerge w:val="continue"/>
                  <w:vAlign w:val="center"/>
                </w:tcPr>
                <w:p w14:paraId="1E5469F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p>
              </w:tc>
              <w:tc>
                <w:tcPr>
                  <w:tcW w:w="793" w:type="pct"/>
                  <w:vAlign w:val="center"/>
                </w:tcPr>
                <w:p w14:paraId="1CE4D14F">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杂质</w:t>
                  </w:r>
                </w:p>
              </w:tc>
              <w:tc>
                <w:tcPr>
                  <w:tcW w:w="2134" w:type="pct"/>
                  <w:gridSpan w:val="3"/>
                  <w:vAlign w:val="center"/>
                </w:tcPr>
                <w:p w14:paraId="1BC0F067">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rPr>
                    <w:t>无正常视力可见外来杂质</w:t>
                  </w:r>
                </w:p>
              </w:tc>
              <w:tc>
                <w:tcPr>
                  <w:tcW w:w="1800" w:type="pct"/>
                  <w:gridSpan w:val="5"/>
                  <w:vAlign w:val="center"/>
                </w:tcPr>
                <w:p w14:paraId="0338BBF2">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rPr>
                    <w:t>无外来杂质</w:t>
                  </w:r>
                </w:p>
              </w:tc>
            </w:tr>
            <w:tr w14:paraId="7FE65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1" w:type="pct"/>
                  <w:vMerge w:val="restart"/>
                  <w:vAlign w:val="center"/>
                </w:tcPr>
                <w:p w14:paraId="21B3F24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理化指标</w:t>
                  </w:r>
                </w:p>
              </w:tc>
              <w:tc>
                <w:tcPr>
                  <w:tcW w:w="793" w:type="pct"/>
                  <w:vMerge w:val="restart"/>
                  <w:vAlign w:val="center"/>
                </w:tcPr>
                <w:p w14:paraId="533F49EC">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项目</w:t>
                  </w:r>
                </w:p>
              </w:tc>
              <w:tc>
                <w:tcPr>
                  <w:tcW w:w="1038" w:type="pct"/>
                  <w:gridSpan w:val="2"/>
                  <w:vMerge w:val="restart"/>
                  <w:vAlign w:val="center"/>
                </w:tcPr>
                <w:p w14:paraId="1B67878C">
                  <w:pPr>
                    <w:pStyle w:val="68"/>
                    <w:keepNext w:val="0"/>
                    <w:keepLines w:val="0"/>
                    <w:pageBreakBefore w:val="0"/>
                    <w:widowControl w:val="0"/>
                    <w:kinsoku/>
                    <w:wordWrap w:val="0"/>
                    <w:overflowPunct/>
                    <w:topLinePunct/>
                    <w:autoSpaceDE/>
                    <w:autoSpaceDN/>
                    <w:bidi w:val="0"/>
                    <w:adjustRightInd w:val="0"/>
                    <w:snapToGrid w:val="0"/>
                    <w:spacing w:line="240" w:lineRule="auto"/>
                    <w:ind w:firstLine="0" w:firstLineChars="0"/>
                    <w:jc w:val="center"/>
                    <w:textAlignment w:val="auto"/>
                    <w:rPr>
                      <w:rFonts w:hint="eastAsia" w:ascii="Times New Roman" w:hAnsi="Times New Roman"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牛肉干</w:t>
                  </w:r>
                </w:p>
              </w:tc>
              <w:tc>
                <w:tcPr>
                  <w:tcW w:w="1096" w:type="pct"/>
                  <w:vMerge w:val="restart"/>
                  <w:vAlign w:val="center"/>
                </w:tcPr>
                <w:p w14:paraId="20F143ED">
                  <w:pPr>
                    <w:pStyle w:val="68"/>
                    <w:keepNext w:val="0"/>
                    <w:keepLines w:val="0"/>
                    <w:pageBreakBefore w:val="0"/>
                    <w:widowControl w:val="0"/>
                    <w:kinsoku/>
                    <w:wordWrap w:val="0"/>
                    <w:overflowPunct/>
                    <w:topLinePunct/>
                    <w:autoSpaceDE/>
                    <w:autoSpaceDN/>
                    <w:bidi w:val="0"/>
                    <w:adjustRightInd w:val="0"/>
                    <w:snapToGrid w:val="0"/>
                    <w:spacing w:line="240" w:lineRule="auto"/>
                    <w:ind w:firstLine="0" w:firstLineChars="0"/>
                    <w:jc w:val="center"/>
                    <w:textAlignment w:val="auto"/>
                    <w:rPr>
                      <w:rFonts w:hint="eastAsia" w:ascii="Times New Roman" w:hAnsi="Times New Roman"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牛肉糜干</w:t>
                  </w:r>
                </w:p>
              </w:tc>
              <w:tc>
                <w:tcPr>
                  <w:tcW w:w="873" w:type="pct"/>
                  <w:gridSpan w:val="3"/>
                  <w:vAlign w:val="center"/>
                </w:tcPr>
                <w:p w14:paraId="675B4D2B">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牛肉午餐肉罐头</w:t>
                  </w:r>
                </w:p>
              </w:tc>
              <w:tc>
                <w:tcPr>
                  <w:tcW w:w="926" w:type="pct"/>
                  <w:gridSpan w:val="2"/>
                  <w:vAlign w:val="center"/>
                </w:tcPr>
                <w:p w14:paraId="1B73935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咸牛肉罐头、咸羊肉罐头</w:t>
                  </w:r>
                </w:p>
              </w:tc>
            </w:tr>
            <w:tr w14:paraId="08B5E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1" w:type="pct"/>
                  <w:vMerge w:val="continue"/>
                  <w:vAlign w:val="center"/>
                </w:tcPr>
                <w:p w14:paraId="57D247F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color w:val="auto"/>
                      <w:sz w:val="21"/>
                      <w:szCs w:val="21"/>
                      <w:vertAlign w:val="baseline"/>
                      <w:lang w:val="en-US" w:eastAsia="zh-CN"/>
                    </w:rPr>
                  </w:pPr>
                </w:p>
              </w:tc>
              <w:tc>
                <w:tcPr>
                  <w:tcW w:w="793" w:type="pct"/>
                  <w:vMerge w:val="continue"/>
                  <w:vAlign w:val="center"/>
                </w:tcPr>
                <w:p w14:paraId="4A311CE1">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color w:val="auto"/>
                      <w:sz w:val="21"/>
                      <w:szCs w:val="21"/>
                      <w:vertAlign w:val="baseline"/>
                      <w:lang w:val="en-US" w:eastAsia="zh-CN"/>
                    </w:rPr>
                  </w:pPr>
                </w:p>
              </w:tc>
              <w:tc>
                <w:tcPr>
                  <w:tcW w:w="1038" w:type="pct"/>
                  <w:gridSpan w:val="2"/>
                  <w:vMerge w:val="continue"/>
                  <w:vAlign w:val="center"/>
                </w:tcPr>
                <w:p w14:paraId="2267B4F8">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color w:val="auto"/>
                      <w:sz w:val="21"/>
                      <w:szCs w:val="21"/>
                      <w:vertAlign w:val="baseline"/>
                      <w:lang w:val="en-US" w:eastAsia="zh-CN"/>
                    </w:rPr>
                  </w:pPr>
                </w:p>
              </w:tc>
              <w:tc>
                <w:tcPr>
                  <w:tcW w:w="1096" w:type="pct"/>
                  <w:vMerge w:val="continue"/>
                  <w:vAlign w:val="center"/>
                </w:tcPr>
                <w:p w14:paraId="1F2B0805">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color w:val="auto"/>
                      <w:sz w:val="21"/>
                      <w:szCs w:val="21"/>
                      <w:vertAlign w:val="baseline"/>
                      <w:lang w:val="en-US" w:eastAsia="zh-CN"/>
                    </w:rPr>
                  </w:pPr>
                </w:p>
              </w:tc>
              <w:tc>
                <w:tcPr>
                  <w:tcW w:w="435" w:type="pct"/>
                  <w:vAlign w:val="center"/>
                </w:tcPr>
                <w:p w14:paraId="6B8D0A81">
                  <w:pPr>
                    <w:pStyle w:val="68"/>
                    <w:keepNext w:val="0"/>
                    <w:keepLines w:val="0"/>
                    <w:pageBreakBefore w:val="0"/>
                    <w:widowControl w:val="0"/>
                    <w:kinsoku/>
                    <w:wordWrap w:val="0"/>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eastAsia" w:ascii="Times New Roman" w:hAnsi="Times New Roman" w:cs="Times New Roman"/>
                      <w:b w:val="0"/>
                      <w:bCs/>
                      <w:color w:val="auto"/>
                      <w:sz w:val="21"/>
                      <w:szCs w:val="21"/>
                      <w:vertAlign w:val="baseline"/>
                      <w:lang w:val="en-US" w:eastAsia="zh-CN"/>
                    </w:rPr>
                    <w:t>优级品</w:t>
                  </w:r>
                </w:p>
              </w:tc>
              <w:tc>
                <w:tcPr>
                  <w:tcW w:w="438" w:type="pct"/>
                  <w:gridSpan w:val="2"/>
                  <w:vAlign w:val="center"/>
                </w:tcPr>
                <w:p w14:paraId="78688CCF">
                  <w:pPr>
                    <w:pStyle w:val="68"/>
                    <w:keepNext w:val="0"/>
                    <w:keepLines w:val="0"/>
                    <w:pageBreakBefore w:val="0"/>
                    <w:widowControl w:val="0"/>
                    <w:kinsoku/>
                    <w:wordWrap w:val="0"/>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eastAsia" w:ascii="Times New Roman" w:hAnsi="Times New Roman" w:cs="Times New Roman"/>
                      <w:b w:val="0"/>
                      <w:bCs/>
                      <w:color w:val="auto"/>
                      <w:sz w:val="21"/>
                      <w:szCs w:val="21"/>
                      <w:vertAlign w:val="baseline"/>
                      <w:lang w:val="en-US" w:eastAsia="zh-CN"/>
                    </w:rPr>
                    <w:t>合格品</w:t>
                  </w:r>
                </w:p>
              </w:tc>
              <w:tc>
                <w:tcPr>
                  <w:tcW w:w="451" w:type="pct"/>
                  <w:vAlign w:val="center"/>
                </w:tcPr>
                <w:p w14:paraId="00BB8963">
                  <w:pPr>
                    <w:pStyle w:val="68"/>
                    <w:keepNext w:val="0"/>
                    <w:keepLines w:val="0"/>
                    <w:pageBreakBefore w:val="0"/>
                    <w:widowControl w:val="0"/>
                    <w:kinsoku/>
                    <w:wordWrap w:val="0"/>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eastAsia" w:ascii="Times New Roman" w:hAnsi="Times New Roman" w:cs="Times New Roman"/>
                      <w:b w:val="0"/>
                      <w:bCs/>
                      <w:color w:val="auto"/>
                      <w:sz w:val="21"/>
                      <w:szCs w:val="21"/>
                      <w:vertAlign w:val="baseline"/>
                      <w:lang w:val="en-US" w:eastAsia="zh-CN"/>
                    </w:rPr>
                    <w:t>优级品</w:t>
                  </w:r>
                </w:p>
              </w:tc>
              <w:tc>
                <w:tcPr>
                  <w:tcW w:w="475" w:type="pct"/>
                  <w:vAlign w:val="center"/>
                </w:tcPr>
                <w:p w14:paraId="3E7D378F">
                  <w:pPr>
                    <w:pStyle w:val="68"/>
                    <w:keepNext w:val="0"/>
                    <w:keepLines w:val="0"/>
                    <w:pageBreakBefore w:val="0"/>
                    <w:widowControl w:val="0"/>
                    <w:kinsoku/>
                    <w:wordWrap w:val="0"/>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eastAsia" w:ascii="Times New Roman" w:hAnsi="Times New Roman" w:cs="Times New Roman"/>
                      <w:b w:val="0"/>
                      <w:bCs/>
                      <w:color w:val="auto"/>
                      <w:sz w:val="21"/>
                      <w:szCs w:val="21"/>
                      <w:vertAlign w:val="baseline"/>
                      <w:lang w:val="en-US" w:eastAsia="zh-CN"/>
                    </w:rPr>
                    <w:t>合格品</w:t>
                  </w:r>
                </w:p>
              </w:tc>
            </w:tr>
            <w:tr w14:paraId="0A8FE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1" w:type="pct"/>
                  <w:vMerge w:val="continue"/>
                  <w:vAlign w:val="center"/>
                </w:tcPr>
                <w:p w14:paraId="5081F16F">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color w:val="auto"/>
                      <w:sz w:val="21"/>
                      <w:szCs w:val="21"/>
                      <w:vertAlign w:val="baseline"/>
                      <w:lang w:val="en-US" w:eastAsia="zh-CN"/>
                    </w:rPr>
                  </w:pPr>
                </w:p>
              </w:tc>
              <w:tc>
                <w:tcPr>
                  <w:tcW w:w="793" w:type="pct"/>
                  <w:vMerge w:val="restart"/>
                  <w:vAlign w:val="center"/>
                </w:tcPr>
                <w:p w14:paraId="2EEA651F">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水分/（g/100g）</w:t>
                  </w:r>
                </w:p>
              </w:tc>
              <w:tc>
                <w:tcPr>
                  <w:tcW w:w="2134" w:type="pct"/>
                  <w:gridSpan w:val="3"/>
                  <w:vAlign w:val="center"/>
                </w:tcPr>
                <w:p w14:paraId="5A73410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color w:val="auto"/>
                      <w:sz w:val="21"/>
                      <w:szCs w:val="21"/>
                      <w:vertAlign w:val="baseline"/>
                      <w:lang w:val="en-US" w:eastAsia="zh-CN"/>
                    </w:rPr>
                  </w:pPr>
                  <w:r>
                    <w:rPr>
                      <w:rFonts w:hint="default" w:ascii="Times New Roman" w:hAnsi="Times New Roman" w:cs="Times New Roman"/>
                      <w:b w:val="0"/>
                      <w:bCs/>
                      <w:color w:val="auto"/>
                      <w:sz w:val="21"/>
                      <w:szCs w:val="21"/>
                      <w:vertAlign w:val="baseline"/>
                      <w:lang w:val="en-US" w:eastAsia="zh-CN"/>
                    </w:rPr>
                    <w:t>≤20.0（煮制类肉干、肉糜干）</w:t>
                  </w:r>
                </w:p>
              </w:tc>
              <w:tc>
                <w:tcPr>
                  <w:tcW w:w="873" w:type="pct"/>
                  <w:gridSpan w:val="3"/>
                  <w:vMerge w:val="restart"/>
                  <w:vAlign w:val="center"/>
                </w:tcPr>
                <w:p w14:paraId="3B3F4975">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lang w:val="en-US" w:eastAsia="zh-CN"/>
                    </w:rPr>
                    <w:t>≤</w:t>
                  </w:r>
                  <w:r>
                    <w:rPr>
                      <w:rFonts w:hint="eastAsia" w:ascii="Times New Roman" w:hAnsi="Times New Roman" w:cs="Times New Roman"/>
                      <w:b w:val="0"/>
                      <w:bCs/>
                      <w:color w:val="auto"/>
                      <w:sz w:val="21"/>
                      <w:szCs w:val="21"/>
                      <w:vertAlign w:val="baseline"/>
                      <w:lang w:val="en-US" w:eastAsia="zh-CN"/>
                    </w:rPr>
                    <w:t>62</w:t>
                  </w:r>
                  <w:r>
                    <w:rPr>
                      <w:rFonts w:hint="default" w:ascii="Times New Roman" w:hAnsi="Times New Roman" w:cs="Times New Roman"/>
                      <w:b w:val="0"/>
                      <w:bCs/>
                      <w:color w:val="auto"/>
                      <w:sz w:val="21"/>
                      <w:szCs w:val="21"/>
                      <w:vertAlign w:val="baseline"/>
                      <w:lang w:val="en-US" w:eastAsia="zh-CN"/>
                    </w:rPr>
                    <w:t>.0</w:t>
                  </w:r>
                </w:p>
              </w:tc>
              <w:tc>
                <w:tcPr>
                  <w:tcW w:w="451" w:type="pct"/>
                  <w:vMerge w:val="restart"/>
                  <w:vAlign w:val="center"/>
                </w:tcPr>
                <w:p w14:paraId="76F5042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lang w:val="en-US" w:eastAsia="zh-CN"/>
                    </w:rPr>
                    <w:t>≤</w:t>
                  </w:r>
                  <w:r>
                    <w:rPr>
                      <w:rFonts w:hint="eastAsia" w:ascii="Times New Roman" w:hAnsi="Times New Roman" w:cs="Times New Roman"/>
                      <w:b w:val="0"/>
                      <w:bCs/>
                      <w:color w:val="auto"/>
                      <w:sz w:val="21"/>
                      <w:szCs w:val="21"/>
                      <w:vertAlign w:val="baseline"/>
                      <w:lang w:val="en-US" w:eastAsia="zh-CN"/>
                    </w:rPr>
                    <w:t>62</w:t>
                  </w:r>
                  <w:r>
                    <w:rPr>
                      <w:rFonts w:hint="default" w:ascii="Times New Roman" w:hAnsi="Times New Roman" w:cs="Times New Roman"/>
                      <w:b w:val="0"/>
                      <w:bCs/>
                      <w:color w:val="auto"/>
                      <w:sz w:val="21"/>
                      <w:szCs w:val="21"/>
                      <w:vertAlign w:val="baseline"/>
                      <w:lang w:val="en-US" w:eastAsia="zh-CN"/>
                    </w:rPr>
                    <w:t>.0</w:t>
                  </w:r>
                </w:p>
              </w:tc>
              <w:tc>
                <w:tcPr>
                  <w:tcW w:w="475" w:type="pct"/>
                  <w:vMerge w:val="restart"/>
                  <w:vAlign w:val="center"/>
                </w:tcPr>
                <w:p w14:paraId="6F423E45">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lang w:val="en-US" w:eastAsia="zh-CN"/>
                    </w:rPr>
                  </w:pPr>
                  <w:r>
                    <w:rPr>
                      <w:rFonts w:hint="default" w:ascii="Times New Roman" w:hAnsi="Times New Roman" w:cs="Times New Roman"/>
                      <w:b w:val="0"/>
                      <w:bCs/>
                      <w:color w:val="auto"/>
                      <w:sz w:val="21"/>
                      <w:szCs w:val="21"/>
                      <w:vertAlign w:val="baseline"/>
                      <w:lang w:val="en-US" w:eastAsia="zh-CN"/>
                    </w:rPr>
                    <w:t>≤</w:t>
                  </w:r>
                  <w:r>
                    <w:rPr>
                      <w:rFonts w:hint="eastAsia" w:ascii="Times New Roman" w:hAnsi="Times New Roman" w:cs="Times New Roman"/>
                      <w:b w:val="0"/>
                      <w:bCs/>
                      <w:color w:val="auto"/>
                      <w:sz w:val="21"/>
                      <w:szCs w:val="21"/>
                      <w:vertAlign w:val="baseline"/>
                      <w:lang w:val="en-US" w:eastAsia="zh-CN"/>
                    </w:rPr>
                    <w:t>66</w:t>
                  </w:r>
                  <w:r>
                    <w:rPr>
                      <w:rFonts w:hint="default" w:ascii="Times New Roman" w:hAnsi="Times New Roman" w:cs="Times New Roman"/>
                      <w:b w:val="0"/>
                      <w:bCs/>
                      <w:color w:val="auto"/>
                      <w:sz w:val="21"/>
                      <w:szCs w:val="21"/>
                      <w:vertAlign w:val="baseline"/>
                      <w:lang w:val="en-US" w:eastAsia="zh-CN"/>
                    </w:rPr>
                    <w:t>.0</w:t>
                  </w:r>
                </w:p>
              </w:tc>
            </w:tr>
            <w:tr w14:paraId="492BC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1" w:type="pct"/>
                  <w:vMerge w:val="continue"/>
                  <w:vAlign w:val="center"/>
                </w:tcPr>
                <w:p w14:paraId="5A6B800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color w:val="auto"/>
                      <w:sz w:val="21"/>
                      <w:szCs w:val="21"/>
                      <w:vertAlign w:val="baseline"/>
                      <w:lang w:val="en-US" w:eastAsia="zh-CN"/>
                    </w:rPr>
                  </w:pPr>
                </w:p>
              </w:tc>
              <w:tc>
                <w:tcPr>
                  <w:tcW w:w="793" w:type="pct"/>
                  <w:vMerge w:val="continue"/>
                  <w:vAlign w:val="center"/>
                </w:tcPr>
                <w:p w14:paraId="04AEC72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color w:val="auto"/>
                      <w:sz w:val="21"/>
                      <w:szCs w:val="21"/>
                      <w:vertAlign w:val="baseline"/>
                      <w:lang w:val="en-US" w:eastAsia="zh-CN"/>
                    </w:rPr>
                  </w:pPr>
                </w:p>
              </w:tc>
              <w:tc>
                <w:tcPr>
                  <w:tcW w:w="2134" w:type="pct"/>
                  <w:gridSpan w:val="3"/>
                  <w:vAlign w:val="center"/>
                </w:tcPr>
                <w:p w14:paraId="27D7ECC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lang w:val="en-US" w:eastAsia="zh-CN"/>
                    </w:rPr>
                  </w:pPr>
                  <w:r>
                    <w:rPr>
                      <w:rFonts w:hint="default" w:ascii="Times New Roman" w:hAnsi="Times New Roman" w:cs="Times New Roman"/>
                      <w:b w:val="0"/>
                      <w:bCs/>
                      <w:color w:val="auto"/>
                      <w:sz w:val="21"/>
                      <w:szCs w:val="21"/>
                      <w:vertAlign w:val="baseline"/>
                      <w:lang w:val="en-US" w:eastAsia="zh-CN"/>
                    </w:rPr>
                    <w:t>≤40.0（蒸烤类肉干、肉糜干）</w:t>
                  </w:r>
                </w:p>
              </w:tc>
              <w:tc>
                <w:tcPr>
                  <w:tcW w:w="873" w:type="pct"/>
                  <w:gridSpan w:val="3"/>
                  <w:vMerge w:val="continue"/>
                  <w:vAlign w:val="center"/>
                </w:tcPr>
                <w:p w14:paraId="490A37A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color w:val="auto"/>
                      <w:sz w:val="21"/>
                      <w:szCs w:val="21"/>
                      <w:vertAlign w:val="baseline"/>
                      <w:lang w:val="en-US" w:eastAsia="zh-CN"/>
                    </w:rPr>
                  </w:pPr>
                </w:p>
              </w:tc>
              <w:tc>
                <w:tcPr>
                  <w:tcW w:w="451" w:type="pct"/>
                  <w:vMerge w:val="continue"/>
                  <w:vAlign w:val="center"/>
                </w:tcPr>
                <w:p w14:paraId="345D211D">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color w:val="auto"/>
                      <w:sz w:val="21"/>
                      <w:szCs w:val="21"/>
                      <w:vertAlign w:val="baseline"/>
                      <w:lang w:val="en-US" w:eastAsia="zh-CN"/>
                    </w:rPr>
                  </w:pPr>
                </w:p>
              </w:tc>
              <w:tc>
                <w:tcPr>
                  <w:tcW w:w="475" w:type="pct"/>
                  <w:vMerge w:val="continue"/>
                  <w:vAlign w:val="center"/>
                </w:tcPr>
                <w:p w14:paraId="43B750D2">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color w:val="auto"/>
                      <w:sz w:val="21"/>
                      <w:szCs w:val="21"/>
                      <w:vertAlign w:val="baseline"/>
                      <w:lang w:val="en-US" w:eastAsia="zh-CN"/>
                    </w:rPr>
                  </w:pPr>
                </w:p>
              </w:tc>
            </w:tr>
            <w:tr w14:paraId="249BC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1" w:type="pct"/>
                  <w:vMerge w:val="continue"/>
                  <w:vAlign w:val="center"/>
                </w:tcPr>
                <w:p w14:paraId="465CFB4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p>
              </w:tc>
              <w:tc>
                <w:tcPr>
                  <w:tcW w:w="793" w:type="pct"/>
                  <w:vAlign w:val="center"/>
                </w:tcPr>
                <w:p w14:paraId="0B2194F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脂肪/（g/100g）</w:t>
                  </w:r>
                </w:p>
              </w:tc>
              <w:tc>
                <w:tcPr>
                  <w:tcW w:w="725" w:type="pct"/>
                  <w:vAlign w:val="center"/>
                </w:tcPr>
                <w:p w14:paraId="2E26C9A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lang w:val="en-US" w:eastAsia="zh-CN"/>
                    </w:rPr>
                    <w:t>≤10.0</w:t>
                  </w:r>
                </w:p>
              </w:tc>
              <w:tc>
                <w:tcPr>
                  <w:tcW w:w="1409" w:type="pct"/>
                  <w:gridSpan w:val="2"/>
                  <w:vAlign w:val="center"/>
                </w:tcPr>
                <w:p w14:paraId="71B7941A">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lang w:val="en-US" w:eastAsia="zh-CN"/>
                    </w:rPr>
                  </w:pPr>
                  <w:r>
                    <w:rPr>
                      <w:rFonts w:hint="default" w:ascii="Times New Roman" w:hAnsi="Times New Roman" w:cs="Times New Roman"/>
                      <w:b w:val="0"/>
                      <w:bCs/>
                      <w:color w:val="auto"/>
                      <w:sz w:val="21"/>
                      <w:szCs w:val="21"/>
                      <w:vertAlign w:val="baseline"/>
                      <w:lang w:val="en-US" w:eastAsia="zh-CN"/>
                    </w:rPr>
                    <w:t>≤10.0</w:t>
                  </w:r>
                </w:p>
              </w:tc>
              <w:tc>
                <w:tcPr>
                  <w:tcW w:w="445" w:type="pct"/>
                  <w:gridSpan w:val="2"/>
                  <w:vAlign w:val="center"/>
                </w:tcPr>
                <w:p w14:paraId="4CFF783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lang w:val="en-US" w:eastAsia="zh-CN"/>
                    </w:rPr>
                    <w:t>≤</w:t>
                  </w:r>
                  <w:r>
                    <w:rPr>
                      <w:rFonts w:hint="eastAsia" w:ascii="Times New Roman" w:hAnsi="Times New Roman" w:cs="Times New Roman"/>
                      <w:b w:val="0"/>
                      <w:bCs/>
                      <w:color w:val="auto"/>
                      <w:sz w:val="21"/>
                      <w:szCs w:val="21"/>
                      <w:vertAlign w:val="baseline"/>
                      <w:lang w:val="en-US" w:eastAsia="zh-CN"/>
                    </w:rPr>
                    <w:t>25</w:t>
                  </w:r>
                  <w:r>
                    <w:rPr>
                      <w:rFonts w:hint="default" w:ascii="Times New Roman" w:hAnsi="Times New Roman" w:cs="Times New Roman"/>
                      <w:b w:val="0"/>
                      <w:bCs/>
                      <w:color w:val="auto"/>
                      <w:sz w:val="21"/>
                      <w:szCs w:val="21"/>
                      <w:vertAlign w:val="baseline"/>
                      <w:lang w:val="en-US" w:eastAsia="zh-CN"/>
                    </w:rPr>
                    <w:t>.0</w:t>
                  </w:r>
                </w:p>
              </w:tc>
              <w:tc>
                <w:tcPr>
                  <w:tcW w:w="428" w:type="pct"/>
                  <w:vAlign w:val="center"/>
                </w:tcPr>
                <w:p w14:paraId="72270739">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lang w:val="en-US" w:eastAsia="zh-CN"/>
                    </w:rPr>
                    <w:t>≤</w:t>
                  </w:r>
                  <w:r>
                    <w:rPr>
                      <w:rFonts w:hint="eastAsia" w:ascii="Times New Roman" w:hAnsi="Times New Roman" w:cs="Times New Roman"/>
                      <w:b w:val="0"/>
                      <w:bCs/>
                      <w:color w:val="auto"/>
                      <w:sz w:val="21"/>
                      <w:szCs w:val="21"/>
                      <w:vertAlign w:val="baseline"/>
                      <w:lang w:val="en-US" w:eastAsia="zh-CN"/>
                    </w:rPr>
                    <w:t>28</w:t>
                  </w:r>
                  <w:r>
                    <w:rPr>
                      <w:rFonts w:hint="default" w:ascii="Times New Roman" w:hAnsi="Times New Roman" w:cs="Times New Roman"/>
                      <w:b w:val="0"/>
                      <w:bCs/>
                      <w:color w:val="auto"/>
                      <w:sz w:val="21"/>
                      <w:szCs w:val="21"/>
                      <w:vertAlign w:val="baseline"/>
                      <w:lang w:val="en-US" w:eastAsia="zh-CN"/>
                    </w:rPr>
                    <w:t>.0</w:t>
                  </w:r>
                </w:p>
              </w:tc>
              <w:tc>
                <w:tcPr>
                  <w:tcW w:w="451" w:type="pct"/>
                  <w:vAlign w:val="center"/>
                </w:tcPr>
                <w:p w14:paraId="535FA805">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lang w:val="en-US" w:eastAsia="zh-CN"/>
                    </w:rPr>
                    <w:t>≤1</w:t>
                  </w:r>
                  <w:r>
                    <w:rPr>
                      <w:rFonts w:hint="eastAsia" w:ascii="Times New Roman" w:hAnsi="Times New Roman" w:cs="Times New Roman"/>
                      <w:b w:val="0"/>
                      <w:bCs/>
                      <w:color w:val="auto"/>
                      <w:sz w:val="21"/>
                      <w:szCs w:val="21"/>
                      <w:vertAlign w:val="baseline"/>
                      <w:lang w:val="en-US" w:eastAsia="zh-CN"/>
                    </w:rPr>
                    <w:t>8</w:t>
                  </w:r>
                  <w:r>
                    <w:rPr>
                      <w:rFonts w:hint="default" w:ascii="Times New Roman" w:hAnsi="Times New Roman" w:cs="Times New Roman"/>
                      <w:b w:val="0"/>
                      <w:bCs/>
                      <w:color w:val="auto"/>
                      <w:sz w:val="21"/>
                      <w:szCs w:val="21"/>
                      <w:vertAlign w:val="baseline"/>
                      <w:lang w:val="en-US" w:eastAsia="zh-CN"/>
                    </w:rPr>
                    <w:t>.0</w:t>
                  </w:r>
                </w:p>
              </w:tc>
              <w:tc>
                <w:tcPr>
                  <w:tcW w:w="475" w:type="pct"/>
                  <w:vAlign w:val="center"/>
                </w:tcPr>
                <w:p w14:paraId="2E0BBEFA">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lang w:val="en-US" w:eastAsia="zh-CN"/>
                    </w:rPr>
                    <w:t>≤</w:t>
                  </w:r>
                  <w:r>
                    <w:rPr>
                      <w:rFonts w:hint="eastAsia" w:ascii="Times New Roman" w:hAnsi="Times New Roman" w:cs="Times New Roman"/>
                      <w:b w:val="0"/>
                      <w:bCs/>
                      <w:color w:val="auto"/>
                      <w:sz w:val="21"/>
                      <w:szCs w:val="21"/>
                      <w:vertAlign w:val="baseline"/>
                      <w:lang w:val="en-US" w:eastAsia="zh-CN"/>
                    </w:rPr>
                    <w:t>2</w:t>
                  </w:r>
                  <w:r>
                    <w:rPr>
                      <w:rFonts w:hint="default" w:ascii="Times New Roman" w:hAnsi="Times New Roman" w:cs="Times New Roman"/>
                      <w:b w:val="0"/>
                      <w:bCs/>
                      <w:color w:val="auto"/>
                      <w:sz w:val="21"/>
                      <w:szCs w:val="21"/>
                      <w:vertAlign w:val="baseline"/>
                      <w:lang w:val="en-US" w:eastAsia="zh-CN"/>
                    </w:rPr>
                    <w:t>0.0</w:t>
                  </w:r>
                </w:p>
              </w:tc>
            </w:tr>
            <w:tr w14:paraId="20059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1" w:type="pct"/>
                  <w:vMerge w:val="continue"/>
                  <w:vAlign w:val="center"/>
                </w:tcPr>
                <w:p w14:paraId="2E3A49E7">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p>
              </w:tc>
              <w:tc>
                <w:tcPr>
                  <w:tcW w:w="793" w:type="pct"/>
                  <w:vAlign w:val="center"/>
                </w:tcPr>
                <w:p w14:paraId="4698A025">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蛋白质/（g/100g）</w:t>
                  </w:r>
                </w:p>
              </w:tc>
              <w:tc>
                <w:tcPr>
                  <w:tcW w:w="725" w:type="pct"/>
                  <w:vAlign w:val="center"/>
                </w:tcPr>
                <w:p w14:paraId="08ABDAB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lang w:val="en-US" w:eastAsia="zh-CN"/>
                    </w:rPr>
                    <w:t>≥30.0</w:t>
                  </w:r>
                </w:p>
              </w:tc>
              <w:tc>
                <w:tcPr>
                  <w:tcW w:w="1409" w:type="pct"/>
                  <w:gridSpan w:val="2"/>
                  <w:vAlign w:val="center"/>
                </w:tcPr>
                <w:p w14:paraId="20139826">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lang w:val="en-US" w:eastAsia="zh-CN"/>
                    </w:rPr>
                    <w:t>≥23.0</w:t>
                  </w:r>
                </w:p>
              </w:tc>
              <w:tc>
                <w:tcPr>
                  <w:tcW w:w="445" w:type="pct"/>
                  <w:gridSpan w:val="2"/>
                  <w:vAlign w:val="center"/>
                </w:tcPr>
                <w:p w14:paraId="0E93D6CB">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lang w:val="en-US" w:eastAsia="zh-CN"/>
                    </w:rPr>
                    <w:t>≥</w:t>
                  </w:r>
                  <w:r>
                    <w:rPr>
                      <w:rFonts w:hint="eastAsia" w:ascii="Times New Roman" w:hAnsi="Times New Roman" w:cs="Times New Roman"/>
                      <w:b w:val="0"/>
                      <w:bCs/>
                      <w:color w:val="auto"/>
                      <w:sz w:val="21"/>
                      <w:szCs w:val="21"/>
                      <w:vertAlign w:val="baseline"/>
                      <w:lang w:val="en-US" w:eastAsia="zh-CN"/>
                    </w:rPr>
                    <w:t>12</w:t>
                  </w:r>
                  <w:r>
                    <w:rPr>
                      <w:rFonts w:hint="default" w:ascii="Times New Roman" w:hAnsi="Times New Roman" w:cs="Times New Roman"/>
                      <w:b w:val="0"/>
                      <w:bCs/>
                      <w:color w:val="auto"/>
                      <w:sz w:val="21"/>
                      <w:szCs w:val="21"/>
                      <w:vertAlign w:val="baseline"/>
                      <w:lang w:val="en-US" w:eastAsia="zh-CN"/>
                    </w:rPr>
                    <w:t>.0</w:t>
                  </w:r>
                </w:p>
              </w:tc>
              <w:tc>
                <w:tcPr>
                  <w:tcW w:w="428" w:type="pct"/>
                  <w:vAlign w:val="center"/>
                </w:tcPr>
                <w:p w14:paraId="1D67DF2B">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lang w:val="en-US" w:eastAsia="zh-CN"/>
                    </w:rPr>
                    <w:t>≥</w:t>
                  </w:r>
                  <w:r>
                    <w:rPr>
                      <w:rFonts w:hint="eastAsia" w:ascii="Times New Roman" w:hAnsi="Times New Roman" w:cs="Times New Roman"/>
                      <w:b w:val="0"/>
                      <w:bCs/>
                      <w:color w:val="auto"/>
                      <w:sz w:val="21"/>
                      <w:szCs w:val="21"/>
                      <w:vertAlign w:val="baseline"/>
                      <w:lang w:val="en-US" w:eastAsia="zh-CN"/>
                    </w:rPr>
                    <w:t>1</w:t>
                  </w:r>
                  <w:r>
                    <w:rPr>
                      <w:rFonts w:hint="default" w:ascii="Times New Roman" w:hAnsi="Times New Roman" w:cs="Times New Roman"/>
                      <w:b w:val="0"/>
                      <w:bCs/>
                      <w:color w:val="auto"/>
                      <w:sz w:val="21"/>
                      <w:szCs w:val="21"/>
                      <w:vertAlign w:val="baseline"/>
                      <w:lang w:val="en-US" w:eastAsia="zh-CN"/>
                    </w:rPr>
                    <w:t>0.0</w:t>
                  </w:r>
                </w:p>
              </w:tc>
              <w:tc>
                <w:tcPr>
                  <w:tcW w:w="451" w:type="pct"/>
                  <w:vAlign w:val="center"/>
                </w:tcPr>
                <w:p w14:paraId="7D7586A1">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lang w:val="en-US" w:eastAsia="zh-CN"/>
                    </w:rPr>
                    <w:t>≥</w:t>
                  </w:r>
                  <w:r>
                    <w:rPr>
                      <w:rFonts w:hint="eastAsia" w:ascii="Times New Roman" w:hAnsi="Times New Roman" w:cs="Times New Roman"/>
                      <w:b w:val="0"/>
                      <w:bCs/>
                      <w:color w:val="auto"/>
                      <w:sz w:val="21"/>
                      <w:szCs w:val="21"/>
                      <w:vertAlign w:val="baseline"/>
                      <w:lang w:val="en-US" w:eastAsia="zh-CN"/>
                    </w:rPr>
                    <w:t>2</w:t>
                  </w:r>
                  <w:r>
                    <w:rPr>
                      <w:rFonts w:hint="default" w:ascii="Times New Roman" w:hAnsi="Times New Roman" w:cs="Times New Roman"/>
                      <w:b w:val="0"/>
                      <w:bCs/>
                      <w:color w:val="auto"/>
                      <w:sz w:val="21"/>
                      <w:szCs w:val="21"/>
                      <w:vertAlign w:val="baseline"/>
                      <w:lang w:val="en-US" w:eastAsia="zh-CN"/>
                    </w:rPr>
                    <w:t>0.0</w:t>
                  </w:r>
                </w:p>
              </w:tc>
              <w:tc>
                <w:tcPr>
                  <w:tcW w:w="475" w:type="pct"/>
                  <w:vAlign w:val="center"/>
                </w:tcPr>
                <w:p w14:paraId="63E63B4E">
                  <w:pPr>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lang w:val="en-US" w:eastAsia="zh-CN"/>
                    </w:rPr>
                    <w:t>≥</w:t>
                  </w:r>
                  <w:r>
                    <w:rPr>
                      <w:rFonts w:hint="eastAsia" w:ascii="Times New Roman" w:hAnsi="Times New Roman" w:cs="Times New Roman"/>
                      <w:b w:val="0"/>
                      <w:bCs/>
                      <w:color w:val="auto"/>
                      <w:sz w:val="21"/>
                      <w:szCs w:val="21"/>
                      <w:vertAlign w:val="baseline"/>
                      <w:lang w:val="en-US" w:eastAsia="zh-CN"/>
                    </w:rPr>
                    <w:t>18</w:t>
                  </w:r>
                  <w:r>
                    <w:rPr>
                      <w:rFonts w:hint="default" w:ascii="Times New Roman" w:hAnsi="Times New Roman" w:cs="Times New Roman"/>
                      <w:b w:val="0"/>
                      <w:bCs/>
                      <w:color w:val="auto"/>
                      <w:sz w:val="21"/>
                      <w:szCs w:val="21"/>
                      <w:vertAlign w:val="baseline"/>
                      <w:lang w:val="en-US" w:eastAsia="zh-CN"/>
                    </w:rPr>
                    <w:t>.0</w:t>
                  </w:r>
                </w:p>
              </w:tc>
            </w:tr>
            <w:tr w14:paraId="31CC3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1" w:type="pct"/>
                  <w:vMerge w:val="continue"/>
                  <w:vAlign w:val="center"/>
                </w:tcPr>
                <w:p w14:paraId="2DB582D2">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p>
              </w:tc>
              <w:tc>
                <w:tcPr>
                  <w:tcW w:w="793" w:type="pct"/>
                  <w:vAlign w:val="center"/>
                </w:tcPr>
                <w:p w14:paraId="6F0DE4D5">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氯化物（以Nacl计）/（g/100g）</w:t>
                  </w:r>
                </w:p>
              </w:tc>
              <w:tc>
                <w:tcPr>
                  <w:tcW w:w="2134" w:type="pct"/>
                  <w:gridSpan w:val="3"/>
                  <w:vAlign w:val="center"/>
                </w:tcPr>
                <w:p w14:paraId="11AAC72D">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lang w:val="en-US" w:eastAsia="zh-CN"/>
                    </w:rPr>
                    <w:t>≤</w:t>
                  </w:r>
                  <w:r>
                    <w:rPr>
                      <w:rFonts w:hint="eastAsia" w:ascii="Times New Roman" w:hAnsi="Times New Roman" w:cs="Times New Roman"/>
                      <w:b w:val="0"/>
                      <w:bCs/>
                      <w:color w:val="auto"/>
                      <w:sz w:val="21"/>
                      <w:szCs w:val="21"/>
                      <w:vertAlign w:val="baseline"/>
                      <w:lang w:val="en-US" w:eastAsia="zh-CN"/>
                    </w:rPr>
                    <w:t>5</w:t>
                  </w:r>
                  <w:r>
                    <w:rPr>
                      <w:rFonts w:hint="default" w:ascii="Times New Roman" w:hAnsi="Times New Roman" w:cs="Times New Roman"/>
                      <w:b w:val="0"/>
                      <w:bCs/>
                      <w:color w:val="auto"/>
                      <w:sz w:val="21"/>
                      <w:szCs w:val="21"/>
                      <w:vertAlign w:val="baseline"/>
                      <w:lang w:val="en-US" w:eastAsia="zh-CN"/>
                    </w:rPr>
                    <w:t>.0</w:t>
                  </w:r>
                </w:p>
              </w:tc>
              <w:tc>
                <w:tcPr>
                  <w:tcW w:w="1800" w:type="pct"/>
                  <w:gridSpan w:val="5"/>
                  <w:vAlign w:val="center"/>
                </w:tcPr>
                <w:p w14:paraId="10C2A779">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w:t>
                  </w:r>
                </w:p>
              </w:tc>
            </w:tr>
            <w:tr w14:paraId="40ECC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271" w:type="pct"/>
                  <w:vMerge w:val="continue"/>
                  <w:vAlign w:val="center"/>
                </w:tcPr>
                <w:p w14:paraId="0F0560DB">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p>
              </w:tc>
              <w:tc>
                <w:tcPr>
                  <w:tcW w:w="793" w:type="pct"/>
                  <w:vAlign w:val="center"/>
                </w:tcPr>
                <w:p w14:paraId="4357C6C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总糖（以蔗糖计）/（g/100g）</w:t>
                  </w:r>
                </w:p>
              </w:tc>
              <w:tc>
                <w:tcPr>
                  <w:tcW w:w="2134" w:type="pct"/>
                  <w:gridSpan w:val="3"/>
                  <w:vAlign w:val="center"/>
                </w:tcPr>
                <w:p w14:paraId="795B6167">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r>
                    <w:rPr>
                      <w:rFonts w:hint="default" w:ascii="Times New Roman" w:hAnsi="Times New Roman" w:cs="Times New Roman"/>
                      <w:b w:val="0"/>
                      <w:bCs/>
                      <w:color w:val="auto"/>
                      <w:sz w:val="21"/>
                      <w:szCs w:val="21"/>
                      <w:vertAlign w:val="baseline"/>
                      <w:lang w:val="en-US" w:eastAsia="zh-CN"/>
                    </w:rPr>
                    <w:t>≤</w:t>
                  </w:r>
                  <w:r>
                    <w:rPr>
                      <w:rFonts w:hint="eastAsia" w:ascii="Times New Roman" w:hAnsi="Times New Roman" w:cs="Times New Roman"/>
                      <w:b w:val="0"/>
                      <w:bCs/>
                      <w:color w:val="auto"/>
                      <w:sz w:val="21"/>
                      <w:szCs w:val="21"/>
                      <w:vertAlign w:val="baseline"/>
                      <w:lang w:val="en-US" w:eastAsia="zh-CN"/>
                    </w:rPr>
                    <w:t>35</w:t>
                  </w:r>
                  <w:r>
                    <w:rPr>
                      <w:rFonts w:hint="default" w:ascii="Times New Roman" w:hAnsi="Times New Roman" w:cs="Times New Roman"/>
                      <w:b w:val="0"/>
                      <w:bCs/>
                      <w:color w:val="auto"/>
                      <w:sz w:val="21"/>
                      <w:szCs w:val="21"/>
                      <w:vertAlign w:val="baseline"/>
                      <w:lang w:val="en-US" w:eastAsia="zh-CN"/>
                    </w:rPr>
                    <w:t>.0</w:t>
                  </w:r>
                </w:p>
              </w:tc>
              <w:tc>
                <w:tcPr>
                  <w:tcW w:w="1800" w:type="pct"/>
                  <w:gridSpan w:val="5"/>
                  <w:vAlign w:val="center"/>
                </w:tcPr>
                <w:p w14:paraId="69740467">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w:t>
                  </w:r>
                </w:p>
              </w:tc>
            </w:tr>
            <w:tr w14:paraId="62843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1" w:type="pct"/>
                  <w:vMerge w:val="continue"/>
                  <w:vAlign w:val="center"/>
                </w:tcPr>
                <w:p w14:paraId="2B1839C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p>
              </w:tc>
              <w:tc>
                <w:tcPr>
                  <w:tcW w:w="793" w:type="pct"/>
                  <w:vAlign w:val="center"/>
                </w:tcPr>
                <w:p w14:paraId="7A8F941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淀粉/%</w:t>
                  </w:r>
                </w:p>
              </w:tc>
              <w:tc>
                <w:tcPr>
                  <w:tcW w:w="2134" w:type="pct"/>
                  <w:gridSpan w:val="3"/>
                  <w:vAlign w:val="center"/>
                </w:tcPr>
                <w:p w14:paraId="7275A9C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w:t>
                  </w:r>
                </w:p>
              </w:tc>
              <w:tc>
                <w:tcPr>
                  <w:tcW w:w="435" w:type="pct"/>
                  <w:vAlign w:val="center"/>
                </w:tcPr>
                <w:p w14:paraId="6E325D2F">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7</w:t>
                  </w:r>
                </w:p>
              </w:tc>
              <w:tc>
                <w:tcPr>
                  <w:tcW w:w="438" w:type="pct"/>
                  <w:gridSpan w:val="2"/>
                  <w:vAlign w:val="center"/>
                </w:tcPr>
                <w:p w14:paraId="6B6040F7">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8</w:t>
                  </w:r>
                </w:p>
              </w:tc>
              <w:tc>
                <w:tcPr>
                  <w:tcW w:w="926" w:type="pct"/>
                  <w:gridSpan w:val="2"/>
                  <w:vAlign w:val="center"/>
                </w:tcPr>
                <w:p w14:paraId="33DE75C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5</w:t>
                  </w:r>
                </w:p>
              </w:tc>
            </w:tr>
            <w:tr w14:paraId="040DF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1" w:type="pct"/>
                  <w:vMerge w:val="continue"/>
                  <w:vAlign w:val="center"/>
                </w:tcPr>
                <w:p w14:paraId="056F2E0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p>
              </w:tc>
              <w:tc>
                <w:tcPr>
                  <w:tcW w:w="793" w:type="pct"/>
                  <w:vAlign w:val="center"/>
                </w:tcPr>
                <w:p w14:paraId="0196EEBD">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水分/%</w:t>
                  </w:r>
                </w:p>
              </w:tc>
              <w:tc>
                <w:tcPr>
                  <w:tcW w:w="2134" w:type="pct"/>
                  <w:gridSpan w:val="3"/>
                  <w:vAlign w:val="center"/>
                </w:tcPr>
                <w:p w14:paraId="5A12C38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w:t>
                  </w:r>
                </w:p>
              </w:tc>
              <w:tc>
                <w:tcPr>
                  <w:tcW w:w="873" w:type="pct"/>
                  <w:gridSpan w:val="3"/>
                  <w:vAlign w:val="center"/>
                </w:tcPr>
                <w:p w14:paraId="677CD67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62</w:t>
                  </w:r>
                </w:p>
              </w:tc>
              <w:tc>
                <w:tcPr>
                  <w:tcW w:w="451" w:type="pct"/>
                  <w:vAlign w:val="center"/>
                </w:tcPr>
                <w:p w14:paraId="55D1C61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62</w:t>
                  </w:r>
                </w:p>
              </w:tc>
              <w:tc>
                <w:tcPr>
                  <w:tcW w:w="475" w:type="pct"/>
                  <w:vAlign w:val="center"/>
                </w:tcPr>
                <w:p w14:paraId="77E3C42D">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66</w:t>
                  </w:r>
                </w:p>
              </w:tc>
            </w:tr>
            <w:tr w14:paraId="766EF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1" w:type="pct"/>
                  <w:vMerge w:val="restart"/>
                  <w:vAlign w:val="center"/>
                </w:tcPr>
                <w:p w14:paraId="14D18F11">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氯化钠含量</w:t>
                  </w:r>
                </w:p>
              </w:tc>
              <w:tc>
                <w:tcPr>
                  <w:tcW w:w="4728" w:type="pct"/>
                  <w:gridSpan w:val="9"/>
                  <w:vAlign w:val="center"/>
                </w:tcPr>
                <w:p w14:paraId="7CC2DA71">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腌制类牛肉、羊肉罐头</w:t>
                  </w:r>
                </w:p>
              </w:tc>
            </w:tr>
            <w:tr w14:paraId="04C4F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1" w:type="pct"/>
                  <w:vMerge w:val="continue"/>
                  <w:vAlign w:val="center"/>
                </w:tcPr>
                <w:p w14:paraId="46B92EC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rPr>
                  </w:pPr>
                </w:p>
              </w:tc>
              <w:tc>
                <w:tcPr>
                  <w:tcW w:w="793" w:type="pct"/>
                  <w:vAlign w:val="center"/>
                </w:tcPr>
                <w:p w14:paraId="11C528B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氯化钠含量/%</w:t>
                  </w:r>
                </w:p>
              </w:tc>
              <w:tc>
                <w:tcPr>
                  <w:tcW w:w="2134" w:type="pct"/>
                  <w:gridSpan w:val="3"/>
                  <w:vAlign w:val="center"/>
                </w:tcPr>
                <w:p w14:paraId="3EEF326B">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color w:val="auto"/>
                      <w:sz w:val="21"/>
                      <w:szCs w:val="21"/>
                      <w:vertAlign w:val="baseline"/>
                      <w:lang w:val="en-US" w:eastAsia="zh-CN"/>
                    </w:rPr>
                  </w:pPr>
                  <w:r>
                    <w:rPr>
                      <w:rFonts w:hint="eastAsia" w:ascii="Times New Roman" w:hAnsi="Times New Roman" w:cs="Times New Roman"/>
                      <w:b w:val="0"/>
                      <w:bCs/>
                      <w:color w:val="auto"/>
                      <w:sz w:val="21"/>
                      <w:szCs w:val="21"/>
                      <w:vertAlign w:val="baseline"/>
                      <w:lang w:val="en-US" w:eastAsia="zh-CN"/>
                    </w:rPr>
                    <w:t>/</w:t>
                  </w:r>
                </w:p>
              </w:tc>
              <w:tc>
                <w:tcPr>
                  <w:tcW w:w="1800" w:type="pct"/>
                  <w:gridSpan w:val="5"/>
                  <w:vAlign w:val="center"/>
                </w:tcPr>
                <w:p w14:paraId="03519558">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color w:val="auto"/>
                      <w:sz w:val="21"/>
                      <w:szCs w:val="21"/>
                      <w:vertAlign w:val="baseline"/>
                      <w:lang w:val="en-US" w:eastAsia="zh-CN"/>
                    </w:rPr>
                  </w:pPr>
                  <w:r>
                    <w:rPr>
                      <w:rFonts w:hint="default" w:ascii="Times New Roman" w:hAnsi="Times New Roman" w:cs="Times New Roman"/>
                      <w:b w:val="0"/>
                      <w:bCs/>
                      <w:color w:val="auto"/>
                      <w:sz w:val="21"/>
                      <w:szCs w:val="21"/>
                      <w:vertAlign w:val="baseline"/>
                      <w:lang w:val="en-US" w:eastAsia="zh-CN"/>
                    </w:rPr>
                    <w:t>≤</w:t>
                  </w:r>
                  <w:r>
                    <w:rPr>
                      <w:rFonts w:hint="eastAsia" w:ascii="Times New Roman" w:hAnsi="Times New Roman" w:cs="Times New Roman"/>
                      <w:b w:val="0"/>
                      <w:bCs/>
                      <w:color w:val="auto"/>
                      <w:sz w:val="21"/>
                      <w:szCs w:val="21"/>
                      <w:vertAlign w:val="baseline"/>
                      <w:lang w:val="en-US" w:eastAsia="zh-CN"/>
                    </w:rPr>
                    <w:t>2.5</w:t>
                  </w:r>
                </w:p>
              </w:tc>
            </w:tr>
          </w:tbl>
          <w:p w14:paraId="2F900FDA">
            <w:pPr>
              <w:pStyle w:val="68"/>
              <w:ind w:firstLine="482"/>
              <w:rPr>
                <w:rFonts w:cs="Times New Roman"/>
                <w:b/>
                <w:color w:val="auto"/>
              </w:rPr>
            </w:pPr>
            <w:r>
              <w:rPr>
                <w:rFonts w:hint="eastAsia" w:cs="Times New Roman"/>
                <w:b/>
                <w:color w:val="auto"/>
                <w:lang w:val="en-US" w:eastAsia="zh-CN"/>
              </w:rPr>
              <w:t>4</w:t>
            </w:r>
            <w:r>
              <w:rPr>
                <w:rFonts w:cs="Times New Roman"/>
                <w:b/>
                <w:color w:val="auto"/>
              </w:rPr>
              <w:t>、主要设备</w:t>
            </w:r>
          </w:p>
          <w:p w14:paraId="6A56D9C2">
            <w:pPr>
              <w:pStyle w:val="70"/>
              <w:keepNext w:val="0"/>
              <w:keepLines w:val="0"/>
              <w:pageBreakBefore w:val="0"/>
              <w:widowControl w:val="0"/>
              <w:kinsoku/>
              <w:wordWrap/>
              <w:overflowPunct w:val="0"/>
              <w:topLinePunct w:val="0"/>
              <w:autoSpaceDE w:val="0"/>
              <w:autoSpaceDN w:val="0"/>
              <w:bidi w:val="0"/>
              <w:adjustRightInd w:val="0"/>
              <w:snapToGrid w:val="0"/>
              <w:spacing w:before="0" w:beforeLines="0" w:line="360" w:lineRule="auto"/>
              <w:jc w:val="center"/>
              <w:textAlignment w:val="auto"/>
              <w:rPr>
                <w:color w:val="auto"/>
              </w:rPr>
            </w:pPr>
            <w:r>
              <w:rPr>
                <w:color w:val="auto"/>
              </w:rPr>
              <w:t>表2-</w:t>
            </w:r>
            <w:r>
              <w:rPr>
                <w:rFonts w:hint="eastAsia"/>
                <w:color w:val="auto"/>
                <w:lang w:val="en-US" w:eastAsia="zh-CN"/>
              </w:rPr>
              <w:t xml:space="preserve">4  </w:t>
            </w:r>
            <w:r>
              <w:rPr>
                <w:color w:val="auto"/>
              </w:rPr>
              <w:t>主要设备一览表</w:t>
            </w:r>
          </w:p>
          <w:tbl>
            <w:tblPr>
              <w:tblStyle w:val="12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1099"/>
              <w:gridCol w:w="3790"/>
              <w:gridCol w:w="951"/>
              <w:gridCol w:w="676"/>
              <w:gridCol w:w="647"/>
            </w:tblGrid>
            <w:tr w14:paraId="022C9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 w:hRule="atLeast"/>
                <w:jc w:val="center"/>
              </w:trPr>
              <w:tc>
                <w:tcPr>
                  <w:tcW w:w="431" w:type="pct"/>
                  <w:tcBorders>
                    <w:tl2br w:val="nil"/>
                    <w:tr2bl w:val="nil"/>
                  </w:tcBorders>
                  <w:vAlign w:val="center"/>
                </w:tcPr>
                <w:p w14:paraId="58D38889">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序号</w:t>
                  </w:r>
                </w:p>
              </w:tc>
              <w:tc>
                <w:tcPr>
                  <w:tcW w:w="701" w:type="pct"/>
                  <w:tcBorders>
                    <w:tl2br w:val="nil"/>
                    <w:tr2bl w:val="nil"/>
                  </w:tcBorders>
                  <w:vAlign w:val="center"/>
                </w:tcPr>
                <w:p w14:paraId="0147C6FD">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设备名称</w:t>
                  </w:r>
                </w:p>
              </w:tc>
              <w:tc>
                <w:tcPr>
                  <w:tcW w:w="2418" w:type="pct"/>
                  <w:tcBorders>
                    <w:tl2br w:val="nil"/>
                    <w:tr2bl w:val="nil"/>
                  </w:tcBorders>
                  <w:vAlign w:val="center"/>
                </w:tcPr>
                <w:p w14:paraId="1F859C6A">
                  <w:pPr>
                    <w:pStyle w:val="69"/>
                    <w:keepNext w:val="0"/>
                    <w:keepLines w:val="0"/>
                    <w:pageBreakBefore w:val="0"/>
                    <w:kinsoku/>
                    <w:wordWrap/>
                    <w:topLinePunct w:val="0"/>
                    <w:bidi w:val="0"/>
                    <w:adjustRightInd w:val="0"/>
                    <w:snapToGrid w:val="0"/>
                    <w:jc w:val="center"/>
                    <w:textAlignment w:val="auto"/>
                    <w:rPr>
                      <w:rFonts w:hint="eastAsia"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基本参数</w:t>
                  </w:r>
                </w:p>
              </w:tc>
              <w:tc>
                <w:tcPr>
                  <w:tcW w:w="606" w:type="pct"/>
                  <w:tcBorders>
                    <w:tl2br w:val="nil"/>
                    <w:tr2bl w:val="nil"/>
                  </w:tcBorders>
                  <w:vAlign w:val="center"/>
                </w:tcPr>
                <w:p w14:paraId="2F34942E">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设备型号</w:t>
                  </w:r>
                </w:p>
              </w:tc>
              <w:tc>
                <w:tcPr>
                  <w:tcW w:w="431" w:type="pct"/>
                  <w:tcBorders>
                    <w:tl2br w:val="nil"/>
                    <w:tr2bl w:val="nil"/>
                  </w:tcBorders>
                  <w:vAlign w:val="center"/>
                </w:tcPr>
                <w:p w14:paraId="499D4277">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单位</w:t>
                  </w:r>
                </w:p>
              </w:tc>
              <w:tc>
                <w:tcPr>
                  <w:tcW w:w="408" w:type="pct"/>
                  <w:tcBorders>
                    <w:tl2br w:val="nil"/>
                    <w:tr2bl w:val="nil"/>
                  </w:tcBorders>
                  <w:vAlign w:val="center"/>
                </w:tcPr>
                <w:p w14:paraId="7CAC3931">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数量</w:t>
                  </w:r>
                </w:p>
              </w:tc>
            </w:tr>
            <w:tr w14:paraId="4973A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 w:hRule="atLeast"/>
                <w:jc w:val="center"/>
              </w:trPr>
              <w:tc>
                <w:tcPr>
                  <w:tcW w:w="5000" w:type="pct"/>
                  <w:gridSpan w:val="6"/>
                  <w:tcBorders>
                    <w:tl2br w:val="nil"/>
                    <w:tr2bl w:val="nil"/>
                  </w:tcBorders>
                  <w:vAlign w:val="center"/>
                </w:tcPr>
                <w:p w14:paraId="2B98C2AE">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牛肉干设备</w:t>
                  </w:r>
                </w:p>
              </w:tc>
            </w:tr>
            <w:tr w14:paraId="23D8F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 w:hRule="atLeast"/>
                <w:jc w:val="center"/>
              </w:trPr>
              <w:tc>
                <w:tcPr>
                  <w:tcW w:w="431" w:type="pct"/>
                  <w:tcBorders>
                    <w:tl2br w:val="nil"/>
                    <w:tr2bl w:val="nil"/>
                  </w:tcBorders>
                  <w:vAlign w:val="center"/>
                </w:tcPr>
                <w:p w14:paraId="39F9C754">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1</w:t>
                  </w:r>
                </w:p>
              </w:tc>
              <w:tc>
                <w:tcPr>
                  <w:tcW w:w="701" w:type="pct"/>
                  <w:tcBorders>
                    <w:tl2br w:val="nil"/>
                    <w:tr2bl w:val="nil"/>
                  </w:tcBorders>
                  <w:vAlign w:val="center"/>
                </w:tcPr>
                <w:p w14:paraId="448D43AE">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去筋膜机</w:t>
                  </w:r>
                </w:p>
              </w:tc>
              <w:tc>
                <w:tcPr>
                  <w:tcW w:w="2418" w:type="pct"/>
                  <w:tcBorders>
                    <w:tl2br w:val="nil"/>
                    <w:tr2bl w:val="nil"/>
                  </w:tcBorders>
                  <w:vAlign w:val="center"/>
                </w:tcPr>
                <w:p w14:paraId="33E3C89F">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工作宽度：620mm</w:t>
                  </w:r>
                </w:p>
                <w:p w14:paraId="18524968">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切割速度：38米/分钟</w:t>
                  </w:r>
                </w:p>
                <w:p w14:paraId="48F52D05">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去膜厚度：0.1mm-2mm</w:t>
                  </w:r>
                </w:p>
                <w:p w14:paraId="61091816">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外形尺寸：950×620×980mm</w:t>
                  </w:r>
                </w:p>
                <w:p w14:paraId="6BAAF215">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电机功率：1.1</w:t>
                  </w:r>
                  <w:r>
                    <w:rPr>
                      <w:rFonts w:hint="eastAsia" w:cs="Times New Roman"/>
                      <w:b w:val="0"/>
                      <w:bCs w:val="0"/>
                      <w:i w:val="0"/>
                      <w:iCs w:val="0"/>
                      <w:color w:val="auto"/>
                      <w:sz w:val="21"/>
                      <w:szCs w:val="21"/>
                      <w:lang w:val="en-US" w:eastAsia="zh-CN"/>
                    </w:rPr>
                    <w:t>kW</w:t>
                  </w:r>
                </w:p>
                <w:p w14:paraId="63C51A6B">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刀片尺寸：620×20×1mm</w:t>
                  </w:r>
                </w:p>
                <w:p w14:paraId="0899FE37">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电压：380V</w:t>
                  </w:r>
                </w:p>
                <w:p w14:paraId="3336A437">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压缩空气：5&lt;P&lt;10</w:t>
                  </w:r>
                </w:p>
                <w:p w14:paraId="694B64F0">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重量：220kg</w:t>
                  </w:r>
                </w:p>
                <w:p w14:paraId="0815DE89">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耗气量：300L/分钟</w:t>
                  </w:r>
                </w:p>
              </w:tc>
              <w:tc>
                <w:tcPr>
                  <w:tcW w:w="606" w:type="pct"/>
                  <w:tcBorders>
                    <w:tl2br w:val="nil"/>
                    <w:tr2bl w:val="nil"/>
                  </w:tcBorders>
                  <w:vAlign w:val="center"/>
                </w:tcPr>
                <w:p w14:paraId="792D7074">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XFP-620</w:t>
                  </w:r>
                </w:p>
              </w:tc>
              <w:tc>
                <w:tcPr>
                  <w:tcW w:w="431" w:type="pct"/>
                  <w:tcBorders>
                    <w:tl2br w:val="nil"/>
                    <w:tr2bl w:val="nil"/>
                  </w:tcBorders>
                  <w:vAlign w:val="center"/>
                </w:tcPr>
                <w:p w14:paraId="081F257E">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台</w:t>
                  </w:r>
                </w:p>
              </w:tc>
              <w:tc>
                <w:tcPr>
                  <w:tcW w:w="408" w:type="pct"/>
                  <w:tcBorders>
                    <w:tl2br w:val="nil"/>
                    <w:tr2bl w:val="nil"/>
                  </w:tcBorders>
                  <w:vAlign w:val="center"/>
                </w:tcPr>
                <w:p w14:paraId="503B959C">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1</w:t>
                  </w:r>
                </w:p>
              </w:tc>
            </w:tr>
            <w:tr w14:paraId="5F454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vAlign w:val="center"/>
                </w:tcPr>
                <w:p w14:paraId="56C9C92E">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2</w:t>
                  </w:r>
                </w:p>
              </w:tc>
              <w:tc>
                <w:tcPr>
                  <w:tcW w:w="701" w:type="pct"/>
                  <w:tcBorders>
                    <w:tl2br w:val="nil"/>
                    <w:tr2bl w:val="nil"/>
                  </w:tcBorders>
                  <w:vAlign w:val="center"/>
                </w:tcPr>
                <w:p w14:paraId="6DE19B75">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迪克修割刀</w:t>
                  </w:r>
                </w:p>
              </w:tc>
              <w:tc>
                <w:tcPr>
                  <w:tcW w:w="2418" w:type="pct"/>
                  <w:tcBorders>
                    <w:tl2br w:val="nil"/>
                    <w:tr2bl w:val="nil"/>
                  </w:tcBorders>
                  <w:vAlign w:val="center"/>
                </w:tcPr>
                <w:p w14:paraId="64086E1D">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长度：18CM</w:t>
                  </w:r>
                </w:p>
              </w:tc>
              <w:tc>
                <w:tcPr>
                  <w:tcW w:w="606" w:type="pct"/>
                  <w:tcBorders>
                    <w:tl2br w:val="nil"/>
                    <w:tr2bl w:val="nil"/>
                  </w:tcBorders>
                  <w:vAlign w:val="center"/>
                </w:tcPr>
                <w:p w14:paraId="7F61FB55">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8234818</w:t>
                  </w:r>
                </w:p>
              </w:tc>
              <w:tc>
                <w:tcPr>
                  <w:tcW w:w="431" w:type="pct"/>
                  <w:tcBorders>
                    <w:tl2br w:val="nil"/>
                    <w:tr2bl w:val="nil"/>
                  </w:tcBorders>
                  <w:vAlign w:val="center"/>
                </w:tcPr>
                <w:p w14:paraId="55E8AEDC">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台</w:t>
                  </w:r>
                </w:p>
              </w:tc>
              <w:tc>
                <w:tcPr>
                  <w:tcW w:w="408" w:type="pct"/>
                  <w:tcBorders>
                    <w:tl2br w:val="nil"/>
                    <w:tr2bl w:val="nil"/>
                  </w:tcBorders>
                  <w:vAlign w:val="center"/>
                </w:tcPr>
                <w:p w14:paraId="3AE19B19">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20</w:t>
                  </w:r>
                </w:p>
              </w:tc>
            </w:tr>
            <w:tr w14:paraId="1B227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2CB90323">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default" w:ascii="Times New Roman" w:hAnsi="Times New Roman" w:eastAsia="宋体" w:cs="Times New Roman"/>
                      <w:b w:val="0"/>
                      <w:bCs w:val="0"/>
                      <w:i w:val="0"/>
                      <w:iCs w:val="0"/>
                      <w:color w:val="auto"/>
                      <w:sz w:val="21"/>
                      <w:szCs w:val="21"/>
                    </w:rPr>
                    <w:t>3</w:t>
                  </w:r>
                </w:p>
              </w:tc>
              <w:tc>
                <w:tcPr>
                  <w:tcW w:w="701" w:type="pct"/>
                  <w:tcBorders>
                    <w:tl2br w:val="nil"/>
                    <w:tr2bl w:val="nil"/>
                  </w:tcBorders>
                  <w:vAlign w:val="center"/>
                </w:tcPr>
                <w:p w14:paraId="2DE7FD45">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解冻线</w:t>
                  </w:r>
                </w:p>
              </w:tc>
              <w:tc>
                <w:tcPr>
                  <w:tcW w:w="2418" w:type="pct"/>
                  <w:tcBorders>
                    <w:tl2br w:val="nil"/>
                    <w:tr2bl w:val="nil"/>
                  </w:tcBorders>
                  <w:vAlign w:val="center"/>
                </w:tcPr>
                <w:p w14:paraId="032CB519">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外形尺寸6000*1450*1900mm</w:t>
                  </w:r>
                </w:p>
                <w:p w14:paraId="644057B4">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电源：380v/50</w:t>
                  </w:r>
                  <w:r>
                    <w:rPr>
                      <w:rFonts w:hint="eastAsia" w:cs="Times New Roman"/>
                      <w:b w:val="0"/>
                      <w:bCs w:val="0"/>
                      <w:i w:val="0"/>
                      <w:iCs w:val="0"/>
                      <w:color w:val="auto"/>
                      <w:sz w:val="21"/>
                      <w:szCs w:val="21"/>
                      <w:lang w:val="en-US" w:eastAsia="zh-CN"/>
                    </w:rPr>
                    <w:t>Hz</w:t>
                  </w:r>
                </w:p>
                <w:p w14:paraId="186F534F">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功率：10.7</w:t>
                  </w:r>
                  <w:r>
                    <w:rPr>
                      <w:rFonts w:hint="eastAsia" w:cs="Times New Roman"/>
                      <w:b w:val="0"/>
                      <w:bCs w:val="0"/>
                      <w:i w:val="0"/>
                      <w:iCs w:val="0"/>
                      <w:color w:val="auto"/>
                      <w:sz w:val="21"/>
                      <w:szCs w:val="21"/>
                      <w:lang w:val="en-US" w:eastAsia="zh-CN"/>
                    </w:rPr>
                    <w:t>kW</w:t>
                  </w:r>
                </w:p>
                <w:p w14:paraId="0EF4C225">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网带宽度：800mm</w:t>
                  </w:r>
                </w:p>
                <w:p w14:paraId="0AE644B0">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网带：不锈钢螺旋网带</w:t>
                  </w:r>
                </w:p>
                <w:p w14:paraId="39FD8941">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架体：60*40*2mm</w:t>
                  </w:r>
                </w:p>
              </w:tc>
              <w:tc>
                <w:tcPr>
                  <w:tcW w:w="606" w:type="pct"/>
                  <w:tcBorders>
                    <w:tl2br w:val="nil"/>
                    <w:tr2bl w:val="nil"/>
                  </w:tcBorders>
                  <w:vAlign w:val="center"/>
                </w:tcPr>
                <w:p w14:paraId="778BC1AB">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7F65366F">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3B597197">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1</w:t>
                  </w:r>
                </w:p>
              </w:tc>
            </w:tr>
            <w:tr w14:paraId="011A0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58935454">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default" w:ascii="Times New Roman" w:hAnsi="Times New Roman" w:eastAsia="宋体" w:cs="Times New Roman"/>
                      <w:b w:val="0"/>
                      <w:bCs w:val="0"/>
                      <w:i w:val="0"/>
                      <w:iCs w:val="0"/>
                      <w:color w:val="auto"/>
                      <w:sz w:val="21"/>
                      <w:szCs w:val="21"/>
                    </w:rPr>
                    <w:t>4</w:t>
                  </w:r>
                </w:p>
              </w:tc>
              <w:tc>
                <w:tcPr>
                  <w:tcW w:w="701" w:type="pct"/>
                  <w:tcBorders>
                    <w:tl2br w:val="nil"/>
                    <w:tr2bl w:val="nil"/>
                  </w:tcBorders>
                  <w:vAlign w:val="center"/>
                </w:tcPr>
                <w:p w14:paraId="1E6580F7">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开条机</w:t>
                  </w:r>
                </w:p>
              </w:tc>
              <w:tc>
                <w:tcPr>
                  <w:tcW w:w="2418" w:type="pct"/>
                  <w:tcBorders>
                    <w:tl2br w:val="nil"/>
                    <w:tr2bl w:val="nil"/>
                  </w:tcBorders>
                  <w:vAlign w:val="center"/>
                </w:tcPr>
                <w:p w14:paraId="435C7D40">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外形尺寸：1180*720*1100mm</w:t>
                  </w:r>
                </w:p>
                <w:p w14:paraId="20A94F92">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电源：380v/50</w:t>
                  </w:r>
                  <w:r>
                    <w:rPr>
                      <w:rFonts w:hint="eastAsia" w:cs="Times New Roman"/>
                      <w:b w:val="0"/>
                      <w:bCs w:val="0"/>
                      <w:i w:val="0"/>
                      <w:iCs w:val="0"/>
                      <w:color w:val="auto"/>
                      <w:sz w:val="21"/>
                      <w:szCs w:val="21"/>
                      <w:lang w:val="en-US" w:eastAsia="zh-CN"/>
                    </w:rPr>
                    <w:t>Hz</w:t>
                  </w:r>
                </w:p>
                <w:p w14:paraId="3F948883">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功率：2.2</w:t>
                  </w:r>
                  <w:r>
                    <w:rPr>
                      <w:rFonts w:hint="eastAsia" w:cs="Times New Roman"/>
                      <w:b w:val="0"/>
                      <w:bCs w:val="0"/>
                      <w:i w:val="0"/>
                      <w:iCs w:val="0"/>
                      <w:color w:val="auto"/>
                      <w:sz w:val="21"/>
                      <w:szCs w:val="21"/>
                      <w:lang w:val="en-US" w:eastAsia="zh-CN"/>
                    </w:rPr>
                    <w:t>kW</w:t>
                  </w:r>
                </w:p>
                <w:p w14:paraId="28FEE21A">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设备材质：食品级不锈钢</w:t>
                  </w:r>
                </w:p>
              </w:tc>
              <w:tc>
                <w:tcPr>
                  <w:tcW w:w="606" w:type="pct"/>
                  <w:tcBorders>
                    <w:tl2br w:val="nil"/>
                    <w:tr2bl w:val="nil"/>
                  </w:tcBorders>
                  <w:vAlign w:val="center"/>
                </w:tcPr>
                <w:p w14:paraId="23EC7AB8">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500</w:t>
                  </w:r>
                </w:p>
              </w:tc>
              <w:tc>
                <w:tcPr>
                  <w:tcW w:w="431" w:type="pct"/>
                  <w:tcBorders>
                    <w:tl2br w:val="nil"/>
                    <w:tr2bl w:val="nil"/>
                  </w:tcBorders>
                  <w:vAlign w:val="center"/>
                </w:tcPr>
                <w:p w14:paraId="1DF6DE3A">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39DF9017">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2</w:t>
                  </w:r>
                </w:p>
              </w:tc>
            </w:tr>
            <w:tr w14:paraId="170B0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0645A55B">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default" w:ascii="Times New Roman" w:hAnsi="Times New Roman" w:eastAsia="宋体" w:cs="Times New Roman"/>
                      <w:b w:val="0"/>
                      <w:bCs w:val="0"/>
                      <w:i w:val="0"/>
                      <w:iCs w:val="0"/>
                      <w:color w:val="auto"/>
                      <w:sz w:val="21"/>
                      <w:szCs w:val="21"/>
                    </w:rPr>
                    <w:t>5</w:t>
                  </w:r>
                </w:p>
              </w:tc>
              <w:tc>
                <w:tcPr>
                  <w:tcW w:w="701" w:type="pct"/>
                  <w:tcBorders>
                    <w:tl2br w:val="nil"/>
                    <w:tr2bl w:val="nil"/>
                  </w:tcBorders>
                  <w:vAlign w:val="center"/>
                </w:tcPr>
                <w:p w14:paraId="7D8C6F87">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自动上料滚揉机</w:t>
                  </w:r>
                </w:p>
              </w:tc>
              <w:tc>
                <w:tcPr>
                  <w:tcW w:w="2418" w:type="pct"/>
                  <w:tcBorders>
                    <w:tl2br w:val="nil"/>
                    <w:tr2bl w:val="nil"/>
                  </w:tcBorders>
                  <w:vAlign w:val="center"/>
                </w:tcPr>
                <w:p w14:paraId="4F3403E1">
                  <w:pPr>
                    <w:keepNext w:val="0"/>
                    <w:keepLines w:val="0"/>
                    <w:pageBreakBefore w:val="0"/>
                    <w:widowControl w:val="0"/>
                    <w:kinsoku/>
                    <w:wordWrap w:val="0"/>
                    <w:overflowPunct/>
                    <w:topLinePunct/>
                    <w:autoSpaceDE/>
                    <w:autoSpaceDN/>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外型尺寸（长/宽/高）mm：2100×1285×2000</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材质：SUS304不锈钢</w:t>
                  </w:r>
                </w:p>
                <w:p w14:paraId="18CDA9DD">
                  <w:pPr>
                    <w:keepNext w:val="0"/>
                    <w:keepLines w:val="0"/>
                    <w:pageBreakBefore w:val="0"/>
                    <w:widowControl w:val="0"/>
                    <w:kinsoku/>
                    <w:wordWrap w:val="0"/>
                    <w:overflowPunct/>
                    <w:topLinePunct/>
                    <w:autoSpaceDE/>
                    <w:autoSpaceDN/>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容积（L）：1000升</w:t>
                  </w:r>
                </w:p>
                <w:p w14:paraId="4FAEC7BB">
                  <w:pPr>
                    <w:keepNext w:val="0"/>
                    <w:keepLines w:val="0"/>
                    <w:pageBreakBefore w:val="0"/>
                    <w:widowControl w:val="0"/>
                    <w:kinsoku/>
                    <w:wordWrap w:val="0"/>
                    <w:overflowPunct/>
                    <w:topLinePunct/>
                    <w:autoSpaceDE/>
                    <w:autoSpaceDN/>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生产能力：最大800</w:t>
                  </w:r>
                  <w:r>
                    <w:rPr>
                      <w:rFonts w:hint="eastAsia" w:cs="Times New Roman"/>
                      <w:b w:val="0"/>
                      <w:bCs w:val="0"/>
                      <w:i w:val="0"/>
                      <w:iCs w:val="0"/>
                      <w:color w:val="auto"/>
                      <w:sz w:val="21"/>
                      <w:szCs w:val="21"/>
                      <w:lang w:val="en-US" w:eastAsia="zh-CN"/>
                    </w:rPr>
                    <w:t>kg</w:t>
                  </w:r>
                  <w:r>
                    <w:rPr>
                      <w:rFonts w:hint="default" w:ascii="Times New Roman" w:hAnsi="Times New Roman" w:eastAsia="宋体" w:cs="Times New Roman"/>
                      <w:b w:val="0"/>
                      <w:bCs w:val="0"/>
                      <w:i w:val="0"/>
                      <w:iCs w:val="0"/>
                      <w:color w:val="auto"/>
                      <w:sz w:val="21"/>
                      <w:szCs w:val="21"/>
                      <w:lang w:val="en-US" w:eastAsia="zh-CN"/>
                    </w:rPr>
                    <w:t>/锅总功率（kw）：4.1千瓦转速（r/min）：0-12/分钟 整机重量（kg）：≈580公斤</w:t>
                  </w:r>
                </w:p>
                <w:p w14:paraId="65CBFBE3">
                  <w:pPr>
                    <w:keepNext w:val="0"/>
                    <w:keepLines w:val="0"/>
                    <w:pageBreakBefore w:val="0"/>
                    <w:widowControl w:val="0"/>
                    <w:kinsoku/>
                    <w:wordWrap w:val="0"/>
                    <w:overflowPunct/>
                    <w:topLinePunct/>
                    <w:autoSpaceDE/>
                    <w:autoSpaceDN/>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真空度：-0.09MPa</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整机最高点（mm）：2400(安装空间不得低于此高度）</w:t>
                  </w:r>
                </w:p>
              </w:tc>
              <w:tc>
                <w:tcPr>
                  <w:tcW w:w="606" w:type="pct"/>
                  <w:tcBorders>
                    <w:tl2br w:val="nil"/>
                    <w:tr2bl w:val="nil"/>
                  </w:tcBorders>
                  <w:vAlign w:val="center"/>
                </w:tcPr>
                <w:p w14:paraId="493A045E">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1000L</w:t>
                  </w:r>
                </w:p>
              </w:tc>
              <w:tc>
                <w:tcPr>
                  <w:tcW w:w="431" w:type="pct"/>
                  <w:tcBorders>
                    <w:tl2br w:val="nil"/>
                    <w:tr2bl w:val="nil"/>
                  </w:tcBorders>
                  <w:vAlign w:val="center"/>
                </w:tcPr>
                <w:p w14:paraId="71495523">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5DA119DE">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2</w:t>
                  </w:r>
                </w:p>
              </w:tc>
            </w:tr>
            <w:tr w14:paraId="3334E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57E1BE80">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default" w:ascii="Times New Roman" w:hAnsi="Times New Roman" w:eastAsia="宋体" w:cs="Times New Roman"/>
                      <w:b w:val="0"/>
                      <w:bCs w:val="0"/>
                      <w:i w:val="0"/>
                      <w:iCs w:val="0"/>
                      <w:color w:val="auto"/>
                      <w:sz w:val="21"/>
                      <w:szCs w:val="21"/>
                    </w:rPr>
                    <w:t>6</w:t>
                  </w:r>
                </w:p>
              </w:tc>
              <w:tc>
                <w:tcPr>
                  <w:tcW w:w="701" w:type="pct"/>
                  <w:tcBorders>
                    <w:tl2br w:val="nil"/>
                    <w:tr2bl w:val="nil"/>
                  </w:tcBorders>
                  <w:vAlign w:val="center"/>
                </w:tcPr>
                <w:p w14:paraId="76A81B16">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风干房</w:t>
                  </w:r>
                </w:p>
              </w:tc>
              <w:tc>
                <w:tcPr>
                  <w:tcW w:w="2418" w:type="pct"/>
                  <w:tcBorders>
                    <w:tl2br w:val="nil"/>
                    <w:tr2bl w:val="nil"/>
                  </w:tcBorders>
                  <w:vAlign w:val="center"/>
                </w:tcPr>
                <w:p w14:paraId="57F1D9F8">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精华版制作风干室</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面积：3500MM*6000MM</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风扇吹风机</w:t>
                  </w:r>
                </w:p>
              </w:tc>
              <w:tc>
                <w:tcPr>
                  <w:tcW w:w="606" w:type="pct"/>
                  <w:tcBorders>
                    <w:tl2br w:val="nil"/>
                    <w:tr2bl w:val="nil"/>
                  </w:tcBorders>
                  <w:vAlign w:val="center"/>
                </w:tcPr>
                <w:p w14:paraId="3360083C">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49480671">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7B6FC8EC">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1</w:t>
                  </w:r>
                </w:p>
              </w:tc>
            </w:tr>
            <w:tr w14:paraId="722E3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773D55DB">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default" w:ascii="Times New Roman" w:hAnsi="Times New Roman" w:eastAsia="宋体" w:cs="Times New Roman"/>
                      <w:b w:val="0"/>
                      <w:bCs w:val="0"/>
                      <w:i w:val="0"/>
                      <w:iCs w:val="0"/>
                      <w:color w:val="auto"/>
                      <w:sz w:val="21"/>
                      <w:szCs w:val="21"/>
                    </w:rPr>
                    <w:t>7</w:t>
                  </w:r>
                </w:p>
              </w:tc>
              <w:tc>
                <w:tcPr>
                  <w:tcW w:w="701" w:type="pct"/>
                  <w:tcBorders>
                    <w:tl2br w:val="nil"/>
                    <w:tr2bl w:val="nil"/>
                  </w:tcBorders>
                  <w:vAlign w:val="center"/>
                </w:tcPr>
                <w:p w14:paraId="67492AD7">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小料车</w:t>
                  </w:r>
                </w:p>
              </w:tc>
              <w:tc>
                <w:tcPr>
                  <w:tcW w:w="2418" w:type="pct"/>
                  <w:tcBorders>
                    <w:tl2br w:val="nil"/>
                    <w:tr2bl w:val="nil"/>
                  </w:tcBorders>
                  <w:vAlign w:val="center"/>
                </w:tcPr>
                <w:p w14:paraId="3232FF7D">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外形尺寸：730*790*650mm</w:t>
                  </w:r>
                </w:p>
                <w:p w14:paraId="4CF4E247">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内径尺寸：610*610*500mm</w:t>
                  </w:r>
                </w:p>
                <w:p w14:paraId="3C69BA6D">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材质：食品级不锈钢制作料车重量：32kg（左右）料车轮子：尼龙制作板材厚度：2mm</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体积：0.6m</w:t>
                  </w:r>
                  <w:r>
                    <w:rPr>
                      <w:rFonts w:hint="eastAsia" w:cs="Times New Roman"/>
                      <w:b w:val="0"/>
                      <w:bCs w:val="0"/>
                      <w:i w:val="0"/>
                      <w:iCs w:val="0"/>
                      <w:color w:val="auto"/>
                      <w:sz w:val="21"/>
                      <w:szCs w:val="21"/>
                      <w:vertAlign w:val="superscript"/>
                      <w:lang w:val="en-US" w:eastAsia="zh-CN"/>
                    </w:rPr>
                    <w:t>3</w:t>
                  </w:r>
                </w:p>
              </w:tc>
              <w:tc>
                <w:tcPr>
                  <w:tcW w:w="606" w:type="pct"/>
                  <w:tcBorders>
                    <w:tl2br w:val="nil"/>
                    <w:tr2bl w:val="nil"/>
                  </w:tcBorders>
                  <w:vAlign w:val="center"/>
                </w:tcPr>
                <w:p w14:paraId="5EEA0271">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66D587EE">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291D3C69">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20</w:t>
                  </w:r>
                </w:p>
              </w:tc>
            </w:tr>
            <w:tr w14:paraId="2F399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28F46592">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default" w:ascii="Times New Roman" w:hAnsi="Times New Roman" w:eastAsia="宋体" w:cs="Times New Roman"/>
                      <w:b w:val="0"/>
                      <w:bCs w:val="0"/>
                      <w:i w:val="0"/>
                      <w:iCs w:val="0"/>
                      <w:color w:val="auto"/>
                      <w:sz w:val="21"/>
                      <w:szCs w:val="21"/>
                    </w:rPr>
                    <w:t>8</w:t>
                  </w:r>
                </w:p>
              </w:tc>
              <w:tc>
                <w:tcPr>
                  <w:tcW w:w="701" w:type="pct"/>
                  <w:tcBorders>
                    <w:tl2br w:val="nil"/>
                    <w:tr2bl w:val="nil"/>
                  </w:tcBorders>
                  <w:vAlign w:val="center"/>
                </w:tcPr>
                <w:p w14:paraId="39CA2664">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切肉片机</w:t>
                  </w:r>
                </w:p>
              </w:tc>
              <w:tc>
                <w:tcPr>
                  <w:tcW w:w="2418" w:type="pct"/>
                  <w:tcBorders>
                    <w:tl2br w:val="nil"/>
                    <w:tr2bl w:val="nil"/>
                  </w:tcBorders>
                  <w:vAlign w:val="center"/>
                </w:tcPr>
                <w:p w14:paraId="64F7FC3A">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肉片厚度可以调试，自带输送带</w:t>
                  </w:r>
                </w:p>
              </w:tc>
              <w:tc>
                <w:tcPr>
                  <w:tcW w:w="606" w:type="pct"/>
                  <w:tcBorders>
                    <w:tl2br w:val="nil"/>
                    <w:tr2bl w:val="nil"/>
                  </w:tcBorders>
                  <w:vAlign w:val="center"/>
                </w:tcPr>
                <w:p w14:paraId="0C53A0E2">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6B775A89">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6BFDCF05">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1</w:t>
                  </w:r>
                </w:p>
              </w:tc>
            </w:tr>
            <w:tr w14:paraId="264A2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2162F780">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default" w:ascii="Times New Roman" w:hAnsi="Times New Roman" w:eastAsia="宋体" w:cs="Times New Roman"/>
                      <w:b w:val="0"/>
                      <w:bCs w:val="0"/>
                      <w:i w:val="0"/>
                      <w:iCs w:val="0"/>
                      <w:color w:val="auto"/>
                      <w:sz w:val="21"/>
                      <w:szCs w:val="21"/>
                    </w:rPr>
                    <w:t>9</w:t>
                  </w:r>
                </w:p>
              </w:tc>
              <w:tc>
                <w:tcPr>
                  <w:tcW w:w="701" w:type="pct"/>
                  <w:tcBorders>
                    <w:tl2br w:val="nil"/>
                    <w:tr2bl w:val="nil"/>
                  </w:tcBorders>
                  <w:vAlign w:val="center"/>
                </w:tcPr>
                <w:p w14:paraId="1FA2CB5B">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拉伸膜真空包装机</w:t>
                  </w:r>
                </w:p>
              </w:tc>
              <w:tc>
                <w:tcPr>
                  <w:tcW w:w="2418" w:type="pct"/>
                  <w:tcBorders>
                    <w:tl2br w:val="nil"/>
                    <w:tr2bl w:val="nil"/>
                  </w:tcBorders>
                  <w:vAlign w:val="center"/>
                </w:tcPr>
                <w:p w14:paraId="2957B79A">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包装机外形尺寸：6800mmx1100mmx1800mm</w:t>
                  </w:r>
                </w:p>
                <w:p w14:paraId="13AF1261">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上膜宽度/下膜宽度：</w:t>
                  </w:r>
                </w:p>
                <w:p w14:paraId="1A23CB67">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498mm/522mm</w:t>
                  </w:r>
                </w:p>
                <w:p w14:paraId="25CD940C">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工作室成型温度/热封温度：</w:t>
                  </w:r>
                </w:p>
                <w:p w14:paraId="2F7AF0A9">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70-120℃/125-150℃</w:t>
                  </w:r>
                </w:p>
                <w:p w14:paraId="6D582EBC">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工作室成型压力/热封压力：</w:t>
                  </w:r>
                </w:p>
                <w:p w14:paraId="4A59D612">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0.15Mpa/0.15-0.3Mpa</w:t>
                  </w:r>
                </w:p>
                <w:p w14:paraId="55B9FDA5">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工作室成型时间：2-3S</w:t>
                  </w:r>
                </w:p>
                <w:p w14:paraId="45892012">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工作室热封时间：1.5-2.5S</w:t>
                  </w:r>
                </w:p>
                <w:p w14:paraId="3C4698E8">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真空度：≤200pa</w:t>
                  </w:r>
                </w:p>
                <w:p w14:paraId="126D155C">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步进次数：5-6个步进/min</w:t>
                  </w:r>
                </w:p>
                <w:p w14:paraId="171CE679">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电源电压/总功率：</w:t>
                  </w:r>
                </w:p>
                <w:p w14:paraId="225E5A87">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380V/50</w:t>
                  </w:r>
                  <w:r>
                    <w:rPr>
                      <w:rFonts w:hint="eastAsia" w:cs="Times New Roman"/>
                      <w:b w:val="0"/>
                      <w:bCs w:val="0"/>
                      <w:i w:val="0"/>
                      <w:iCs w:val="0"/>
                      <w:color w:val="auto"/>
                      <w:sz w:val="21"/>
                      <w:szCs w:val="21"/>
                      <w:lang w:val="en-US" w:eastAsia="zh-CN"/>
                    </w:rPr>
                    <w:t>Hz</w:t>
                  </w:r>
                  <w:r>
                    <w:rPr>
                      <w:rFonts w:hint="default" w:ascii="Times New Roman" w:hAnsi="Times New Roman" w:eastAsia="宋体" w:cs="Times New Roman"/>
                      <w:b w:val="0"/>
                      <w:bCs w:val="0"/>
                      <w:i w:val="0"/>
                      <w:iCs w:val="0"/>
                      <w:color w:val="auto"/>
                      <w:sz w:val="21"/>
                      <w:szCs w:val="21"/>
                      <w:lang w:val="en-US" w:eastAsia="zh-CN"/>
                    </w:rPr>
                    <w:t>/最大功率：17</w:t>
                  </w:r>
                  <w:r>
                    <w:rPr>
                      <w:rFonts w:hint="eastAsia" w:cs="Times New Roman"/>
                      <w:b w:val="0"/>
                      <w:bCs w:val="0"/>
                      <w:i w:val="0"/>
                      <w:iCs w:val="0"/>
                      <w:color w:val="auto"/>
                      <w:sz w:val="21"/>
                      <w:szCs w:val="21"/>
                      <w:lang w:val="en-US" w:eastAsia="zh-CN"/>
                    </w:rPr>
                    <w:t>kW</w:t>
                  </w:r>
                  <w:r>
                    <w:rPr>
                      <w:rFonts w:hint="default" w:ascii="Times New Roman" w:hAnsi="Times New Roman" w:eastAsia="宋体" w:cs="Times New Roman"/>
                      <w:b w:val="0"/>
                      <w:bCs w:val="0"/>
                      <w:i w:val="0"/>
                      <w:iCs w:val="0"/>
                      <w:color w:val="auto"/>
                      <w:sz w:val="21"/>
                      <w:szCs w:val="21"/>
                      <w:lang w:val="en-US" w:eastAsia="zh-CN"/>
                    </w:rPr>
                    <w:t>（实际平均能耗低于8kw）</w:t>
                  </w:r>
                </w:p>
                <w:p w14:paraId="3FA772C8">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支撑主体材质：S30408不锈钢</w:t>
                  </w:r>
                </w:p>
                <w:p w14:paraId="52F88DCC">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压缩空气压力：≥0.6Mpa</w:t>
                  </w:r>
                </w:p>
                <w:p w14:paraId="02FDDADA">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整机重量：约1900</w:t>
                  </w:r>
                  <w:r>
                    <w:rPr>
                      <w:rFonts w:hint="eastAsia" w:cs="Times New Roman"/>
                      <w:b w:val="0"/>
                      <w:bCs w:val="0"/>
                      <w:i w:val="0"/>
                      <w:iCs w:val="0"/>
                      <w:color w:val="auto"/>
                      <w:sz w:val="21"/>
                      <w:szCs w:val="21"/>
                      <w:lang w:val="en-US" w:eastAsia="zh-CN"/>
                    </w:rPr>
                    <w:t>kg</w:t>
                  </w:r>
                </w:p>
              </w:tc>
              <w:tc>
                <w:tcPr>
                  <w:tcW w:w="606" w:type="pct"/>
                  <w:tcBorders>
                    <w:tl2br w:val="nil"/>
                    <w:tr2bl w:val="nil"/>
                  </w:tcBorders>
                  <w:vAlign w:val="center"/>
                </w:tcPr>
                <w:p w14:paraId="3FACDB0B">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420</w:t>
                  </w:r>
                </w:p>
              </w:tc>
              <w:tc>
                <w:tcPr>
                  <w:tcW w:w="431" w:type="pct"/>
                  <w:tcBorders>
                    <w:tl2br w:val="nil"/>
                    <w:tr2bl w:val="nil"/>
                  </w:tcBorders>
                  <w:vAlign w:val="center"/>
                </w:tcPr>
                <w:p w14:paraId="3D47DEDC">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1EC51E16">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r w14:paraId="5950E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7BAE8E8A">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default" w:ascii="Times New Roman" w:hAnsi="Times New Roman" w:eastAsia="宋体" w:cs="Times New Roman"/>
                      <w:b w:val="0"/>
                      <w:bCs w:val="0"/>
                      <w:i w:val="0"/>
                      <w:iCs w:val="0"/>
                      <w:color w:val="auto"/>
                      <w:sz w:val="21"/>
                      <w:szCs w:val="21"/>
                    </w:rPr>
                    <w:t>10</w:t>
                  </w:r>
                </w:p>
              </w:tc>
              <w:tc>
                <w:tcPr>
                  <w:tcW w:w="701" w:type="pct"/>
                  <w:tcBorders>
                    <w:tl2br w:val="nil"/>
                    <w:tr2bl w:val="nil"/>
                  </w:tcBorders>
                  <w:vAlign w:val="center"/>
                </w:tcPr>
                <w:p w14:paraId="351B7C84">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油水分离油炸锅</w:t>
                  </w:r>
                </w:p>
              </w:tc>
              <w:tc>
                <w:tcPr>
                  <w:tcW w:w="2418" w:type="pct"/>
                  <w:tcBorders>
                    <w:tl2br w:val="nil"/>
                    <w:tr2bl w:val="nil"/>
                  </w:tcBorders>
                  <w:vAlign w:val="center"/>
                </w:tcPr>
                <w:p w14:paraId="77567174">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外形尺寸：1500*1000*1500mm</w:t>
                  </w:r>
                </w:p>
                <w:p w14:paraId="1E053195">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炸框尺寸：1000*800*400mm</w:t>
                  </w:r>
                </w:p>
                <w:p w14:paraId="116DFD58">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电源：380v/50</w:t>
                  </w:r>
                  <w:r>
                    <w:rPr>
                      <w:rFonts w:hint="eastAsia" w:cs="Times New Roman"/>
                      <w:b w:val="0"/>
                      <w:bCs w:val="0"/>
                      <w:i w:val="0"/>
                      <w:iCs w:val="0"/>
                      <w:color w:val="auto"/>
                      <w:sz w:val="21"/>
                      <w:szCs w:val="21"/>
                      <w:lang w:val="en-US" w:eastAsia="zh-CN"/>
                    </w:rPr>
                    <w:t>Hz</w:t>
                  </w:r>
                </w:p>
                <w:p w14:paraId="2AD428B5">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加热方式：电加热</w:t>
                  </w:r>
                </w:p>
                <w:p w14:paraId="5804CFAF">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加热功率：33</w:t>
                  </w:r>
                  <w:r>
                    <w:rPr>
                      <w:rFonts w:hint="eastAsia" w:cs="Times New Roman"/>
                      <w:b w:val="0"/>
                      <w:bCs w:val="0"/>
                      <w:i w:val="0"/>
                      <w:iCs w:val="0"/>
                      <w:color w:val="auto"/>
                      <w:sz w:val="21"/>
                      <w:szCs w:val="21"/>
                      <w:lang w:val="en-US" w:eastAsia="zh-CN"/>
                    </w:rPr>
                    <w:t>kW</w:t>
                  </w:r>
                </w:p>
                <w:p w14:paraId="6A1F9565">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出料功率：0.75</w:t>
                  </w:r>
                  <w:r>
                    <w:rPr>
                      <w:rFonts w:hint="eastAsia" w:cs="Times New Roman"/>
                      <w:b w:val="0"/>
                      <w:bCs w:val="0"/>
                      <w:i w:val="0"/>
                      <w:iCs w:val="0"/>
                      <w:color w:val="auto"/>
                      <w:sz w:val="21"/>
                      <w:szCs w:val="21"/>
                      <w:lang w:val="en-US" w:eastAsia="zh-CN"/>
                    </w:rPr>
                    <w:t>kW</w:t>
                  </w:r>
                  <w:r>
                    <w:rPr>
                      <w:rFonts w:hint="default" w:ascii="Times New Roman" w:hAnsi="Times New Roman" w:eastAsia="宋体" w:cs="Times New Roman"/>
                      <w:b w:val="0"/>
                      <w:bCs w:val="0"/>
                      <w:i w:val="0"/>
                      <w:iCs w:val="0"/>
                      <w:color w:val="auto"/>
                      <w:sz w:val="21"/>
                      <w:szCs w:val="21"/>
                      <w:lang w:val="en-US" w:eastAsia="zh-CN"/>
                    </w:rPr>
                    <w:t>二级减速</w:t>
                  </w:r>
                </w:p>
                <w:p w14:paraId="3983D2A3">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板材厚度：2mm</w:t>
                  </w:r>
                </w:p>
                <w:p w14:paraId="60FBEC62">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架体：60*40*2mm</w:t>
                  </w:r>
                </w:p>
              </w:tc>
              <w:tc>
                <w:tcPr>
                  <w:tcW w:w="606" w:type="pct"/>
                  <w:tcBorders>
                    <w:tl2br w:val="nil"/>
                    <w:tr2bl w:val="nil"/>
                  </w:tcBorders>
                  <w:vAlign w:val="center"/>
                </w:tcPr>
                <w:p w14:paraId="4CBDF80D">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6C55CEDF">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3C1AAF4A">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r w14:paraId="17C0B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7623F5A1">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default" w:ascii="Times New Roman" w:hAnsi="Times New Roman" w:eastAsia="宋体" w:cs="Times New Roman"/>
                      <w:b w:val="0"/>
                      <w:bCs w:val="0"/>
                      <w:i w:val="0"/>
                      <w:iCs w:val="0"/>
                      <w:color w:val="auto"/>
                      <w:sz w:val="21"/>
                      <w:szCs w:val="21"/>
                    </w:rPr>
                    <w:t>11</w:t>
                  </w:r>
                </w:p>
              </w:tc>
              <w:tc>
                <w:tcPr>
                  <w:tcW w:w="701" w:type="pct"/>
                  <w:tcBorders>
                    <w:tl2br w:val="nil"/>
                    <w:tr2bl w:val="nil"/>
                  </w:tcBorders>
                  <w:vAlign w:val="center"/>
                </w:tcPr>
                <w:p w14:paraId="2012C31A">
                  <w:pPr>
                    <w:jc w:val="center"/>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cs="Times New Roman"/>
                      <w:color w:val="auto"/>
                      <w:sz w:val="21"/>
                      <w:szCs w:val="21"/>
                      <w:lang w:val="en-US" w:eastAsia="zh-CN"/>
                    </w:rPr>
                    <w:t>货淋室</w:t>
                  </w:r>
                </w:p>
              </w:tc>
              <w:tc>
                <w:tcPr>
                  <w:tcW w:w="2418" w:type="pct"/>
                  <w:tcBorders>
                    <w:tl2br w:val="nil"/>
                    <w:tr2bl w:val="nil"/>
                  </w:tcBorders>
                  <w:vAlign w:val="center"/>
                </w:tcPr>
                <w:p w14:paraId="1A550F49">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606" w:type="pct"/>
                  <w:tcBorders>
                    <w:tl2br w:val="nil"/>
                    <w:tr2bl w:val="nil"/>
                  </w:tcBorders>
                  <w:vAlign w:val="center"/>
                </w:tcPr>
                <w:p w14:paraId="6549FE80">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01F882E7">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49AC27CE">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2</w:t>
                  </w:r>
                </w:p>
              </w:tc>
            </w:tr>
            <w:tr w14:paraId="11C65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66D4C6E5">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default" w:ascii="Times New Roman" w:hAnsi="Times New Roman" w:eastAsia="宋体" w:cs="Times New Roman"/>
                      <w:b w:val="0"/>
                      <w:bCs w:val="0"/>
                      <w:i w:val="0"/>
                      <w:iCs w:val="0"/>
                      <w:color w:val="auto"/>
                      <w:sz w:val="21"/>
                      <w:szCs w:val="21"/>
                    </w:rPr>
                    <w:t>12</w:t>
                  </w:r>
                </w:p>
              </w:tc>
              <w:tc>
                <w:tcPr>
                  <w:tcW w:w="701" w:type="pct"/>
                  <w:tcBorders>
                    <w:tl2br w:val="nil"/>
                    <w:tr2bl w:val="nil"/>
                  </w:tcBorders>
                  <w:vAlign w:val="center"/>
                </w:tcPr>
                <w:p w14:paraId="5D61E7D7">
                  <w:pPr>
                    <w:jc w:val="center"/>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cs="Times New Roman"/>
                      <w:color w:val="auto"/>
                      <w:sz w:val="21"/>
                      <w:szCs w:val="21"/>
                    </w:rPr>
                    <w:t>风淋消毒室</w:t>
                  </w:r>
                </w:p>
              </w:tc>
              <w:tc>
                <w:tcPr>
                  <w:tcW w:w="2418" w:type="pct"/>
                  <w:tcBorders>
                    <w:tl2br w:val="nil"/>
                    <w:tr2bl w:val="nil"/>
                  </w:tcBorders>
                  <w:vAlign w:val="center"/>
                </w:tcPr>
                <w:p w14:paraId="142D6697">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外机尺寸：4500*1400*2100</w:t>
                  </w:r>
                </w:p>
                <w:p w14:paraId="2FD1FEF1">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风淋消毒一体化304材质，双面吹风</w:t>
                  </w:r>
                </w:p>
              </w:tc>
              <w:tc>
                <w:tcPr>
                  <w:tcW w:w="606" w:type="pct"/>
                  <w:tcBorders>
                    <w:tl2br w:val="nil"/>
                    <w:tr2bl w:val="nil"/>
                  </w:tcBorders>
                  <w:vAlign w:val="center"/>
                </w:tcPr>
                <w:p w14:paraId="36198D40">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6275A677">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30D2BA63">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r w14:paraId="2834D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4E0C000B">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default" w:ascii="Times New Roman" w:hAnsi="Times New Roman" w:eastAsia="宋体" w:cs="Times New Roman"/>
                      <w:b w:val="0"/>
                      <w:bCs w:val="0"/>
                      <w:i w:val="0"/>
                      <w:iCs w:val="0"/>
                      <w:color w:val="auto"/>
                      <w:sz w:val="21"/>
                      <w:szCs w:val="21"/>
                    </w:rPr>
                    <w:t>13</w:t>
                  </w:r>
                </w:p>
              </w:tc>
              <w:tc>
                <w:tcPr>
                  <w:tcW w:w="701" w:type="pct"/>
                  <w:tcBorders>
                    <w:tl2br w:val="nil"/>
                    <w:tr2bl w:val="nil"/>
                  </w:tcBorders>
                  <w:vAlign w:val="center"/>
                </w:tcPr>
                <w:p w14:paraId="29A56ADD">
                  <w:pPr>
                    <w:jc w:val="center"/>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cs="Times New Roman"/>
                      <w:color w:val="auto"/>
                      <w:sz w:val="21"/>
                      <w:szCs w:val="21"/>
                    </w:rPr>
                    <w:t>紫外线杀菌灯</w:t>
                  </w:r>
                </w:p>
              </w:tc>
              <w:tc>
                <w:tcPr>
                  <w:tcW w:w="2418" w:type="pct"/>
                  <w:tcBorders>
                    <w:tl2br w:val="nil"/>
                    <w:tr2bl w:val="nil"/>
                  </w:tcBorders>
                  <w:vAlign w:val="center"/>
                </w:tcPr>
                <w:p w14:paraId="38A36638">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1200*30</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颜色：白色</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材质：铝合金</w:t>
                  </w:r>
                </w:p>
                <w:p w14:paraId="2536A076">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安装：吊顶</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灯管：石英灯管</w:t>
                  </w:r>
                </w:p>
              </w:tc>
              <w:tc>
                <w:tcPr>
                  <w:tcW w:w="606" w:type="pct"/>
                  <w:tcBorders>
                    <w:tl2br w:val="nil"/>
                    <w:tr2bl w:val="nil"/>
                  </w:tcBorders>
                  <w:vAlign w:val="center"/>
                </w:tcPr>
                <w:p w14:paraId="19E6B704">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305FBBE0">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6653C5C4">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40</w:t>
                  </w:r>
                </w:p>
              </w:tc>
            </w:tr>
            <w:tr w14:paraId="39784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7266C3DE">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default" w:ascii="Times New Roman" w:hAnsi="Times New Roman" w:eastAsia="宋体" w:cs="Times New Roman"/>
                      <w:b w:val="0"/>
                      <w:bCs w:val="0"/>
                      <w:i w:val="0"/>
                      <w:iCs w:val="0"/>
                      <w:color w:val="auto"/>
                      <w:sz w:val="21"/>
                      <w:szCs w:val="21"/>
                    </w:rPr>
                    <w:t>14</w:t>
                  </w:r>
                </w:p>
              </w:tc>
              <w:tc>
                <w:tcPr>
                  <w:tcW w:w="701" w:type="pct"/>
                  <w:tcBorders>
                    <w:tl2br w:val="nil"/>
                    <w:tr2bl w:val="nil"/>
                  </w:tcBorders>
                  <w:vAlign w:val="center"/>
                </w:tcPr>
                <w:p w14:paraId="72B6D021">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rPr>
                    <w:t>大型烤肉机</w:t>
                  </w:r>
                </w:p>
              </w:tc>
              <w:tc>
                <w:tcPr>
                  <w:tcW w:w="2418" w:type="pct"/>
                  <w:tcBorders>
                    <w:tl2br w:val="nil"/>
                    <w:tr2bl w:val="nil"/>
                  </w:tcBorders>
                  <w:vAlign w:val="center"/>
                </w:tcPr>
                <w:p w14:paraId="7831B45F">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外尺寸：1500*2000*18000</w:t>
                  </w:r>
                </w:p>
                <w:p w14:paraId="5155B0C4">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容量：32盘</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功率：47</w:t>
                  </w:r>
                  <w:r>
                    <w:rPr>
                      <w:rFonts w:hint="eastAsia" w:cs="Times New Roman"/>
                      <w:b w:val="0"/>
                      <w:bCs w:val="0"/>
                      <w:i w:val="0"/>
                      <w:iCs w:val="0"/>
                      <w:color w:val="auto"/>
                      <w:sz w:val="21"/>
                      <w:szCs w:val="21"/>
                      <w:lang w:val="en-US" w:eastAsia="zh-CN"/>
                    </w:rPr>
                    <w:t>kW</w:t>
                  </w:r>
                </w:p>
              </w:tc>
              <w:tc>
                <w:tcPr>
                  <w:tcW w:w="606" w:type="pct"/>
                  <w:tcBorders>
                    <w:tl2br w:val="nil"/>
                    <w:tr2bl w:val="nil"/>
                  </w:tcBorders>
                  <w:vAlign w:val="center"/>
                </w:tcPr>
                <w:p w14:paraId="5F2467C6">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5857AA28">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751ECC73">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2</w:t>
                  </w:r>
                </w:p>
              </w:tc>
            </w:tr>
            <w:tr w14:paraId="436BF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0969C2AA">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default" w:ascii="Times New Roman" w:hAnsi="Times New Roman" w:eastAsia="宋体" w:cs="Times New Roman"/>
                      <w:b w:val="0"/>
                      <w:bCs w:val="0"/>
                      <w:i w:val="0"/>
                      <w:iCs w:val="0"/>
                      <w:color w:val="auto"/>
                      <w:sz w:val="21"/>
                      <w:szCs w:val="21"/>
                    </w:rPr>
                    <w:t>15</w:t>
                  </w:r>
                </w:p>
              </w:tc>
              <w:tc>
                <w:tcPr>
                  <w:tcW w:w="701" w:type="pct"/>
                  <w:tcBorders>
                    <w:tl2br w:val="nil"/>
                    <w:tr2bl w:val="nil"/>
                  </w:tcBorders>
                  <w:vAlign w:val="center"/>
                </w:tcPr>
                <w:p w14:paraId="3680EE1B">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分割案板</w:t>
                  </w:r>
                </w:p>
              </w:tc>
              <w:tc>
                <w:tcPr>
                  <w:tcW w:w="2418" w:type="pct"/>
                  <w:tcBorders>
                    <w:tl2br w:val="nil"/>
                    <w:tr2bl w:val="nil"/>
                  </w:tcBorders>
                  <w:vAlign w:val="center"/>
                </w:tcPr>
                <w:p w14:paraId="12512B3F">
                  <w:pPr>
                    <w:keepNext w:val="0"/>
                    <w:keepLines w:val="0"/>
                    <w:pageBreakBefore w:val="0"/>
                    <w:kinsoku/>
                    <w:wordWrap/>
                    <w:topLinePunct w:val="0"/>
                    <w:bidi w:val="0"/>
                    <w:adjustRightInd w:val="0"/>
                    <w:snapToGrid w:val="0"/>
                    <w:jc w:val="both"/>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外形尺寸：1900*900*800mm</w:t>
                  </w:r>
                </w:p>
                <w:p w14:paraId="7F0C34B5">
                  <w:pPr>
                    <w:keepNext w:val="0"/>
                    <w:keepLines w:val="0"/>
                    <w:pageBreakBefore w:val="0"/>
                    <w:kinsoku/>
                    <w:wordWrap/>
                    <w:topLinePunct w:val="0"/>
                    <w:bidi w:val="0"/>
                    <w:adjustRightInd w:val="0"/>
                    <w:snapToGrid w:val="0"/>
                    <w:jc w:val="both"/>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案板材质：食品级不锈钢板材厚度：2mm</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架体：60*40*2mm</w:t>
                  </w:r>
                </w:p>
              </w:tc>
              <w:tc>
                <w:tcPr>
                  <w:tcW w:w="606" w:type="pct"/>
                  <w:tcBorders>
                    <w:tl2br w:val="nil"/>
                    <w:tr2bl w:val="nil"/>
                  </w:tcBorders>
                  <w:vAlign w:val="center"/>
                </w:tcPr>
                <w:p w14:paraId="2DF778AF">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62368925">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79711046">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10</w:t>
                  </w:r>
                </w:p>
              </w:tc>
            </w:tr>
            <w:tr w14:paraId="3D687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5629C2B8">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default" w:ascii="Times New Roman" w:hAnsi="Times New Roman" w:eastAsia="宋体" w:cs="Times New Roman"/>
                      <w:b w:val="0"/>
                      <w:bCs w:val="0"/>
                      <w:i w:val="0"/>
                      <w:iCs w:val="0"/>
                      <w:color w:val="auto"/>
                      <w:sz w:val="21"/>
                      <w:szCs w:val="21"/>
                    </w:rPr>
                    <w:t>16</w:t>
                  </w:r>
                </w:p>
              </w:tc>
              <w:tc>
                <w:tcPr>
                  <w:tcW w:w="701" w:type="pct"/>
                  <w:tcBorders>
                    <w:tl2br w:val="nil"/>
                    <w:tr2bl w:val="nil"/>
                  </w:tcBorders>
                  <w:shd w:val="clear" w:color="auto" w:fill="auto"/>
                  <w:vAlign w:val="center"/>
                </w:tcPr>
                <w:p w14:paraId="704B7494">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kern w:val="2"/>
                      <w:sz w:val="21"/>
                      <w:szCs w:val="21"/>
                      <w:lang w:val="en-US" w:eastAsia="zh-CN" w:bidi="ar-SA"/>
                    </w:rPr>
                  </w:pPr>
                  <w:r>
                    <w:rPr>
                      <w:rFonts w:hint="default" w:ascii="Times New Roman" w:hAnsi="Times New Roman" w:eastAsia="宋体" w:cs="Times New Roman"/>
                      <w:b w:val="0"/>
                      <w:bCs w:val="0"/>
                      <w:i w:val="0"/>
                      <w:iCs w:val="0"/>
                      <w:color w:val="auto"/>
                      <w:sz w:val="21"/>
                      <w:szCs w:val="21"/>
                    </w:rPr>
                    <w:t>直线洗罐机</w:t>
                  </w:r>
                </w:p>
              </w:tc>
              <w:tc>
                <w:tcPr>
                  <w:tcW w:w="2418" w:type="pct"/>
                  <w:tcBorders>
                    <w:tl2br w:val="nil"/>
                    <w:tr2bl w:val="nil"/>
                  </w:tcBorders>
                  <w:vAlign w:val="center"/>
                </w:tcPr>
                <w:p w14:paraId="7215EC58">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电源：220V50/60Hz</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功率：0.75</w:t>
                  </w:r>
                  <w:r>
                    <w:rPr>
                      <w:rFonts w:hint="eastAsia" w:cs="Times New Roman"/>
                      <w:b w:val="0"/>
                      <w:bCs w:val="0"/>
                      <w:i w:val="0"/>
                      <w:iCs w:val="0"/>
                      <w:color w:val="auto"/>
                      <w:sz w:val="21"/>
                      <w:szCs w:val="21"/>
                      <w:lang w:val="en-US" w:eastAsia="zh-CN"/>
                    </w:rPr>
                    <w:t>kW</w:t>
                  </w:r>
                </w:p>
                <w:p w14:paraId="2B1DBD79">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单机</w:t>
                  </w:r>
                  <w:r>
                    <w:rPr>
                      <w:rFonts w:hint="eastAsia" w:cs="Times New Roman"/>
                      <w:b w:val="0"/>
                      <w:bCs w:val="0"/>
                      <w:i w:val="0"/>
                      <w:iCs w:val="0"/>
                      <w:color w:val="auto"/>
                      <w:sz w:val="21"/>
                      <w:szCs w:val="21"/>
                      <w:lang w:val="en-US" w:eastAsia="zh-CN"/>
                    </w:rPr>
                    <w:t>噪声</w:t>
                  </w:r>
                  <w:r>
                    <w:rPr>
                      <w:rFonts w:hint="default" w:ascii="Times New Roman" w:hAnsi="Times New Roman" w:eastAsia="宋体" w:cs="Times New Roman"/>
                      <w:b w:val="0"/>
                      <w:bCs w:val="0"/>
                      <w:i w:val="0"/>
                      <w:iCs w:val="0"/>
                      <w:color w:val="auto"/>
                      <w:sz w:val="21"/>
                      <w:szCs w:val="21"/>
                      <w:lang w:val="en-US" w:eastAsia="zh-CN"/>
                    </w:rPr>
                    <w:t>：≤70dB</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净化空气：微米</w:t>
                  </w:r>
                </w:p>
                <w:p w14:paraId="3085A20C">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清洗时间：3-8秒</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重量：500kg</w:t>
                  </w:r>
                </w:p>
                <w:p w14:paraId="631B6647">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外形尺寸：1500×900×1800mm</w:t>
                  </w:r>
                </w:p>
              </w:tc>
              <w:tc>
                <w:tcPr>
                  <w:tcW w:w="606" w:type="pct"/>
                  <w:tcBorders>
                    <w:tl2br w:val="nil"/>
                    <w:tr2bl w:val="nil"/>
                  </w:tcBorders>
                  <w:vAlign w:val="center"/>
                </w:tcPr>
                <w:p w14:paraId="6E2A77DF">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04CCF70C">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7F124699">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r w14:paraId="23EEB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6BB16324">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eastAsia" w:ascii="Times New Roman" w:hAnsi="Times New Roman" w:eastAsia="宋体" w:cs="Times New Roman"/>
                      <w:b w:val="0"/>
                      <w:bCs w:val="0"/>
                      <w:i w:val="0"/>
                      <w:iCs w:val="0"/>
                      <w:color w:val="auto"/>
                      <w:sz w:val="21"/>
                      <w:szCs w:val="21"/>
                      <w:lang w:val="en-US" w:eastAsia="zh-CN"/>
                    </w:rPr>
                    <w:t>17</w:t>
                  </w:r>
                </w:p>
              </w:tc>
              <w:tc>
                <w:tcPr>
                  <w:tcW w:w="701" w:type="pct"/>
                  <w:tcBorders>
                    <w:tl2br w:val="nil"/>
                    <w:tr2bl w:val="nil"/>
                  </w:tcBorders>
                  <w:shd w:val="clear" w:color="auto" w:fill="auto"/>
                  <w:vAlign w:val="center"/>
                </w:tcPr>
                <w:p w14:paraId="57507F8C">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kern w:val="2"/>
                      <w:sz w:val="21"/>
                      <w:szCs w:val="21"/>
                      <w:lang w:val="en-US" w:eastAsia="zh-CN" w:bidi="ar-SA"/>
                    </w:rPr>
                  </w:pPr>
                  <w:r>
                    <w:rPr>
                      <w:rFonts w:hint="default" w:ascii="Times New Roman" w:hAnsi="Times New Roman" w:eastAsia="宋体" w:cs="Times New Roman"/>
                      <w:b w:val="0"/>
                      <w:bCs w:val="0"/>
                      <w:i w:val="0"/>
                      <w:iCs w:val="0"/>
                      <w:color w:val="auto"/>
                      <w:sz w:val="21"/>
                      <w:szCs w:val="21"/>
                    </w:rPr>
                    <w:t>手动罐装机</w:t>
                  </w:r>
                  <w:r>
                    <w:rPr>
                      <w:rFonts w:hint="default" w:ascii="Times New Roman" w:hAnsi="Times New Roman" w:eastAsia="宋体"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lang w:val="en-US" w:eastAsia="zh-CN"/>
                    </w:rPr>
                    <w:t>罐装盘</w:t>
                  </w:r>
                  <w:r>
                    <w:rPr>
                      <w:rFonts w:hint="default" w:ascii="Times New Roman" w:hAnsi="Times New Roman" w:eastAsia="宋体" w:cs="Times New Roman"/>
                      <w:b w:val="0"/>
                      <w:bCs w:val="0"/>
                      <w:i w:val="0"/>
                      <w:iCs w:val="0"/>
                      <w:color w:val="auto"/>
                      <w:sz w:val="21"/>
                      <w:szCs w:val="21"/>
                      <w:lang w:eastAsia="zh-CN"/>
                    </w:rPr>
                    <w:t>）</w:t>
                  </w:r>
                </w:p>
              </w:tc>
              <w:tc>
                <w:tcPr>
                  <w:tcW w:w="2418" w:type="pct"/>
                  <w:tcBorders>
                    <w:tl2br w:val="nil"/>
                    <w:tr2bl w:val="nil"/>
                  </w:tcBorders>
                  <w:vAlign w:val="center"/>
                </w:tcPr>
                <w:p w14:paraId="43FCB1B3">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人工填装肉自动输送封口机</w:t>
                  </w:r>
                </w:p>
              </w:tc>
              <w:tc>
                <w:tcPr>
                  <w:tcW w:w="606" w:type="pct"/>
                  <w:tcBorders>
                    <w:tl2br w:val="nil"/>
                    <w:tr2bl w:val="nil"/>
                  </w:tcBorders>
                  <w:vAlign w:val="center"/>
                </w:tcPr>
                <w:p w14:paraId="2BCAD90B">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4B1DB52B">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76FD035C">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2</w:t>
                  </w:r>
                </w:p>
              </w:tc>
            </w:tr>
            <w:tr w14:paraId="2D0AE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30B62675">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eastAsia" w:ascii="Times New Roman" w:hAnsi="Times New Roman" w:eastAsia="宋体" w:cs="Times New Roman"/>
                      <w:b w:val="0"/>
                      <w:bCs w:val="0"/>
                      <w:i w:val="0"/>
                      <w:iCs w:val="0"/>
                      <w:color w:val="auto"/>
                      <w:sz w:val="21"/>
                      <w:szCs w:val="21"/>
                      <w:lang w:val="en-US" w:eastAsia="zh-CN"/>
                    </w:rPr>
                    <w:t>18</w:t>
                  </w:r>
                </w:p>
              </w:tc>
              <w:tc>
                <w:tcPr>
                  <w:tcW w:w="701" w:type="pct"/>
                  <w:tcBorders>
                    <w:tl2br w:val="nil"/>
                    <w:tr2bl w:val="nil"/>
                  </w:tcBorders>
                  <w:shd w:val="clear" w:color="auto" w:fill="auto"/>
                  <w:vAlign w:val="center"/>
                </w:tcPr>
                <w:p w14:paraId="61A520C6">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kern w:val="2"/>
                      <w:sz w:val="21"/>
                      <w:szCs w:val="21"/>
                      <w:lang w:val="en-US" w:eastAsia="zh-CN" w:bidi="ar-SA"/>
                    </w:rPr>
                  </w:pPr>
                  <w:r>
                    <w:rPr>
                      <w:rFonts w:hint="default" w:ascii="Times New Roman" w:hAnsi="Times New Roman" w:eastAsia="宋体" w:cs="Times New Roman"/>
                      <w:b w:val="0"/>
                      <w:bCs w:val="0"/>
                      <w:i w:val="0"/>
                      <w:iCs w:val="0"/>
                      <w:color w:val="auto"/>
                      <w:sz w:val="21"/>
                      <w:szCs w:val="21"/>
                    </w:rPr>
                    <w:t>真空旋盖机</w:t>
                  </w:r>
                </w:p>
              </w:tc>
              <w:tc>
                <w:tcPr>
                  <w:tcW w:w="2418" w:type="pct"/>
                  <w:tcBorders>
                    <w:tl2br w:val="nil"/>
                    <w:tr2bl w:val="nil"/>
                  </w:tcBorders>
                  <w:vAlign w:val="center"/>
                </w:tcPr>
                <w:p w14:paraId="21F757C6">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功率：2.5千瓦</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外形尺寸：1600*1000*1800</w:t>
                  </w:r>
                </w:p>
              </w:tc>
              <w:tc>
                <w:tcPr>
                  <w:tcW w:w="606" w:type="pct"/>
                  <w:tcBorders>
                    <w:tl2br w:val="nil"/>
                    <w:tr2bl w:val="nil"/>
                  </w:tcBorders>
                  <w:vAlign w:val="center"/>
                </w:tcPr>
                <w:p w14:paraId="03C85A2F">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7BFCD1CF">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69740DD3">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r w14:paraId="14F28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39C3D3B2">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eastAsia" w:ascii="Times New Roman" w:hAnsi="Times New Roman" w:eastAsia="宋体" w:cs="Times New Roman"/>
                      <w:b w:val="0"/>
                      <w:bCs w:val="0"/>
                      <w:i w:val="0"/>
                      <w:iCs w:val="0"/>
                      <w:color w:val="auto"/>
                      <w:sz w:val="21"/>
                      <w:szCs w:val="21"/>
                      <w:lang w:val="en-US" w:eastAsia="zh-CN"/>
                    </w:rPr>
                    <w:t>19</w:t>
                  </w:r>
                </w:p>
              </w:tc>
              <w:tc>
                <w:tcPr>
                  <w:tcW w:w="701" w:type="pct"/>
                  <w:tcBorders>
                    <w:tl2br w:val="nil"/>
                    <w:tr2bl w:val="nil"/>
                  </w:tcBorders>
                  <w:shd w:val="clear" w:color="auto" w:fill="auto"/>
                  <w:vAlign w:val="center"/>
                </w:tcPr>
                <w:p w14:paraId="585AAE30">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kern w:val="2"/>
                      <w:sz w:val="21"/>
                      <w:szCs w:val="21"/>
                      <w:lang w:val="en-US" w:eastAsia="zh-CN" w:bidi="ar-SA"/>
                    </w:rPr>
                  </w:pPr>
                  <w:r>
                    <w:rPr>
                      <w:rFonts w:hint="default" w:ascii="Times New Roman" w:hAnsi="Times New Roman" w:eastAsia="宋体" w:cs="Times New Roman"/>
                      <w:b w:val="0"/>
                      <w:bCs w:val="0"/>
                      <w:i w:val="0"/>
                      <w:iCs w:val="0"/>
                      <w:color w:val="auto"/>
                      <w:sz w:val="21"/>
                      <w:szCs w:val="21"/>
                    </w:rPr>
                    <w:t>贴标机</w:t>
                  </w:r>
                </w:p>
              </w:tc>
              <w:tc>
                <w:tcPr>
                  <w:tcW w:w="2418" w:type="pct"/>
                  <w:tcBorders>
                    <w:tl2br w:val="nil"/>
                    <w:tr2bl w:val="nil"/>
                  </w:tcBorders>
                  <w:vAlign w:val="center"/>
                </w:tcPr>
                <w:p w14:paraId="1731733C">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功率：16.5千瓦</w:t>
                  </w:r>
                </w:p>
                <w:p w14:paraId="3FBFA105">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尺寸：2400*850*1700</w:t>
                  </w:r>
                </w:p>
              </w:tc>
              <w:tc>
                <w:tcPr>
                  <w:tcW w:w="606" w:type="pct"/>
                  <w:tcBorders>
                    <w:tl2br w:val="nil"/>
                    <w:tr2bl w:val="nil"/>
                  </w:tcBorders>
                  <w:vAlign w:val="center"/>
                </w:tcPr>
                <w:p w14:paraId="6CB88CCC">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0BAAB2DE">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76F85E2E">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r w14:paraId="271B9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500CA7CA">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eastAsia" w:ascii="Times New Roman" w:hAnsi="Times New Roman" w:eastAsia="宋体" w:cs="Times New Roman"/>
                      <w:b w:val="0"/>
                      <w:bCs w:val="0"/>
                      <w:i w:val="0"/>
                      <w:iCs w:val="0"/>
                      <w:color w:val="auto"/>
                      <w:sz w:val="21"/>
                      <w:szCs w:val="21"/>
                      <w:lang w:val="en-US" w:eastAsia="zh-CN"/>
                    </w:rPr>
                    <w:t>20</w:t>
                  </w:r>
                </w:p>
              </w:tc>
              <w:tc>
                <w:tcPr>
                  <w:tcW w:w="701" w:type="pct"/>
                  <w:tcBorders>
                    <w:tl2br w:val="nil"/>
                    <w:tr2bl w:val="nil"/>
                  </w:tcBorders>
                  <w:shd w:val="clear" w:color="auto" w:fill="auto"/>
                  <w:vAlign w:val="center"/>
                </w:tcPr>
                <w:p w14:paraId="2003D82E">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kern w:val="2"/>
                      <w:sz w:val="21"/>
                      <w:szCs w:val="21"/>
                      <w:lang w:val="en-US" w:eastAsia="zh-CN" w:bidi="ar-SA"/>
                    </w:rPr>
                  </w:pPr>
                  <w:r>
                    <w:rPr>
                      <w:rFonts w:hint="default" w:ascii="Times New Roman" w:hAnsi="Times New Roman" w:eastAsia="宋体" w:cs="Times New Roman"/>
                      <w:b w:val="0"/>
                      <w:bCs w:val="0"/>
                      <w:i w:val="0"/>
                      <w:iCs w:val="0"/>
                      <w:color w:val="auto"/>
                      <w:sz w:val="21"/>
                      <w:szCs w:val="21"/>
                    </w:rPr>
                    <w:t>高温杀菌锅</w:t>
                  </w:r>
                </w:p>
              </w:tc>
              <w:tc>
                <w:tcPr>
                  <w:tcW w:w="2418" w:type="pct"/>
                  <w:tcBorders>
                    <w:tl2br w:val="nil"/>
                    <w:tr2bl w:val="nil"/>
                  </w:tcBorders>
                  <w:vAlign w:val="center"/>
                </w:tcPr>
                <w:p w14:paraId="39728211">
                  <w:pPr>
                    <w:keepNext w:val="0"/>
                    <w:keepLines w:val="0"/>
                    <w:pageBreakBefore w:val="0"/>
                    <w:widowControl w:val="0"/>
                    <w:kinsoku/>
                    <w:wordWrap w:val="0"/>
                    <w:overflowPunct/>
                    <w:topLinePunct/>
                    <w:autoSpaceDE/>
                    <w:autoSpaceDN/>
                    <w:bidi w:val="0"/>
                    <w:adjustRightInd w:val="0"/>
                    <w:snapToGrid w:val="0"/>
                    <w:jc w:val="left"/>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杀菌锅内径*筒长*全容积</w:t>
                  </w:r>
                  <w:r>
                    <w:rPr>
                      <w:rFonts w:hint="eastAsia"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rPr>
                    <w:t>900*1800/mm*1.32m</w:t>
                  </w:r>
                  <w:r>
                    <w:rPr>
                      <w:rFonts w:hint="default" w:ascii="Times New Roman" w:hAnsi="Times New Roman" w:eastAsia="宋体" w:cs="Times New Roman"/>
                      <w:b w:val="0"/>
                      <w:bCs w:val="0"/>
                      <w:i w:val="0"/>
                      <w:iCs w:val="0"/>
                      <w:color w:val="auto"/>
                      <w:sz w:val="21"/>
                      <w:szCs w:val="21"/>
                      <w:vertAlign w:val="superscript"/>
                    </w:rPr>
                    <w:t>3</w:t>
                  </w:r>
                </w:p>
                <w:p w14:paraId="232F21CB">
                  <w:pPr>
                    <w:keepNext w:val="0"/>
                    <w:keepLines w:val="0"/>
                    <w:pageBreakBefore w:val="0"/>
                    <w:widowControl w:val="0"/>
                    <w:kinsoku/>
                    <w:wordWrap w:val="0"/>
                    <w:overflowPunct/>
                    <w:topLinePunct/>
                    <w:autoSpaceDE/>
                    <w:autoSpaceDN/>
                    <w:bidi w:val="0"/>
                    <w:adjustRightInd w:val="0"/>
                    <w:snapToGrid w:val="0"/>
                    <w:jc w:val="left"/>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热水罐内径*筒长*全容积</w:t>
                  </w:r>
                  <w:r>
                    <w:rPr>
                      <w:rFonts w:hint="eastAsia"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rPr>
                    <w:t>900*1800mm*1.32m</w:t>
                  </w:r>
                  <w:r>
                    <w:rPr>
                      <w:rFonts w:hint="default" w:ascii="Times New Roman" w:hAnsi="Times New Roman" w:eastAsia="宋体" w:cs="Times New Roman"/>
                      <w:b w:val="0"/>
                      <w:bCs w:val="0"/>
                      <w:i w:val="0"/>
                      <w:iCs w:val="0"/>
                      <w:color w:val="auto"/>
                      <w:sz w:val="21"/>
                      <w:szCs w:val="21"/>
                      <w:vertAlign w:val="superscript"/>
                    </w:rPr>
                    <w:t>3</w:t>
                  </w:r>
                </w:p>
                <w:p w14:paraId="1F38E974">
                  <w:pPr>
                    <w:keepNext w:val="0"/>
                    <w:keepLines w:val="0"/>
                    <w:pageBreakBefore w:val="0"/>
                    <w:widowControl w:val="0"/>
                    <w:kinsoku/>
                    <w:wordWrap w:val="0"/>
                    <w:overflowPunct/>
                    <w:topLinePunct/>
                    <w:autoSpaceDE/>
                    <w:autoSpaceDN/>
                    <w:bidi w:val="0"/>
                    <w:adjustRightInd w:val="0"/>
                    <w:snapToGrid w:val="0"/>
                    <w:jc w:val="left"/>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电源电压</w:t>
                  </w:r>
                  <w:r>
                    <w:rPr>
                      <w:rFonts w:hint="eastAsia"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rPr>
                    <w:t>380v/50</w:t>
                  </w:r>
                  <w:r>
                    <w:rPr>
                      <w:rFonts w:hint="eastAsia" w:cs="Times New Roman"/>
                      <w:b w:val="0"/>
                      <w:bCs w:val="0"/>
                      <w:i w:val="0"/>
                      <w:iCs w:val="0"/>
                      <w:color w:val="auto"/>
                      <w:sz w:val="21"/>
                      <w:szCs w:val="21"/>
                      <w:lang w:eastAsia="zh-CN"/>
                    </w:rPr>
                    <w:t>Hz，</w:t>
                  </w:r>
                  <w:r>
                    <w:rPr>
                      <w:rFonts w:hint="default" w:ascii="Times New Roman" w:hAnsi="Times New Roman" w:eastAsia="宋体" w:cs="Times New Roman"/>
                      <w:b w:val="0"/>
                      <w:bCs w:val="0"/>
                      <w:i w:val="0"/>
                      <w:iCs w:val="0"/>
                      <w:color w:val="auto"/>
                      <w:sz w:val="21"/>
                      <w:szCs w:val="21"/>
                    </w:rPr>
                    <w:t>设计压力</w:t>
                  </w:r>
                  <w:r>
                    <w:rPr>
                      <w:rFonts w:hint="eastAsia"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rPr>
                    <w:t>0.35Mpa</w:t>
                  </w:r>
                </w:p>
                <w:p w14:paraId="7998CA2C">
                  <w:pPr>
                    <w:keepNext w:val="0"/>
                    <w:keepLines w:val="0"/>
                    <w:pageBreakBefore w:val="0"/>
                    <w:widowControl w:val="0"/>
                    <w:kinsoku/>
                    <w:wordWrap w:val="0"/>
                    <w:overflowPunct/>
                    <w:topLinePunct/>
                    <w:autoSpaceDE/>
                    <w:autoSpaceDN/>
                    <w:bidi w:val="0"/>
                    <w:adjustRightInd w:val="0"/>
                    <w:snapToGrid w:val="0"/>
                    <w:jc w:val="left"/>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最高工作压力</w:t>
                  </w:r>
                  <w:r>
                    <w:rPr>
                      <w:rFonts w:hint="eastAsia"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rPr>
                    <w:t>0.3Mpa</w:t>
                  </w:r>
                  <w:r>
                    <w:rPr>
                      <w:rFonts w:hint="eastAsia"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rPr>
                    <w:t>设计温度</w:t>
                  </w:r>
                  <w:r>
                    <w:rPr>
                      <w:rFonts w:hint="eastAsia"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rPr>
                    <w:t>147℃</w:t>
                  </w:r>
                </w:p>
                <w:p w14:paraId="486D4269">
                  <w:pPr>
                    <w:keepNext w:val="0"/>
                    <w:keepLines w:val="0"/>
                    <w:pageBreakBefore w:val="0"/>
                    <w:widowControl w:val="0"/>
                    <w:kinsoku/>
                    <w:wordWrap w:val="0"/>
                    <w:overflowPunct/>
                    <w:topLinePunct/>
                    <w:autoSpaceDE/>
                    <w:autoSpaceDN/>
                    <w:bidi w:val="0"/>
                    <w:adjustRightInd w:val="0"/>
                    <w:snapToGrid w:val="0"/>
                    <w:jc w:val="left"/>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工作温度</w:t>
                  </w:r>
                  <w:r>
                    <w:rPr>
                      <w:rFonts w:hint="eastAsia"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rPr>
                    <w:t>143℃</w:t>
                  </w:r>
                </w:p>
                <w:p w14:paraId="6410D6DE">
                  <w:pPr>
                    <w:keepNext w:val="0"/>
                    <w:keepLines w:val="0"/>
                    <w:pageBreakBefore w:val="0"/>
                    <w:widowControl w:val="0"/>
                    <w:kinsoku/>
                    <w:wordWrap w:val="0"/>
                    <w:overflowPunct/>
                    <w:topLinePunct/>
                    <w:autoSpaceDE/>
                    <w:autoSpaceDN/>
                    <w:bidi w:val="0"/>
                    <w:adjustRightInd w:val="0"/>
                    <w:snapToGrid w:val="0"/>
                    <w:jc w:val="left"/>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杀菌盘尺寸</w:t>
                  </w:r>
                  <w:r>
                    <w:rPr>
                      <w:rFonts w:hint="eastAsia"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rPr>
                    <w:t>900*600*150mm</w:t>
                  </w:r>
                  <w:r>
                    <w:rPr>
                      <w:rFonts w:hint="eastAsia"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rPr>
                    <w:t>壁厚</w:t>
                  </w:r>
                  <w:r>
                    <w:rPr>
                      <w:rFonts w:hint="eastAsia"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rPr>
                    <w:t>1mm</w:t>
                  </w:r>
                </w:p>
                <w:p w14:paraId="15555128">
                  <w:pPr>
                    <w:keepNext w:val="0"/>
                    <w:keepLines w:val="0"/>
                    <w:pageBreakBefore w:val="0"/>
                    <w:widowControl w:val="0"/>
                    <w:kinsoku/>
                    <w:wordWrap w:val="0"/>
                    <w:overflowPunct/>
                    <w:topLinePunct/>
                    <w:autoSpaceDE/>
                    <w:autoSpaceDN/>
                    <w:bidi w:val="0"/>
                    <w:adjustRightInd w:val="0"/>
                    <w:snapToGrid w:val="0"/>
                    <w:jc w:val="left"/>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杀菌锅锅体材质</w:t>
                  </w:r>
                  <w:r>
                    <w:rPr>
                      <w:rFonts w:hint="eastAsia"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rPr>
                    <w:t>S30408不锈钢</w:t>
                  </w:r>
                  <w:r>
                    <w:rPr>
                      <w:rFonts w:hint="eastAsia"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rPr>
                    <w:t>壁厚</w:t>
                  </w:r>
                  <w:r>
                    <w:rPr>
                      <w:rFonts w:hint="eastAsia"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rPr>
                    <w:t>4mm</w:t>
                  </w:r>
                </w:p>
                <w:p w14:paraId="4801E38C">
                  <w:pPr>
                    <w:keepNext w:val="0"/>
                    <w:keepLines w:val="0"/>
                    <w:pageBreakBefore w:val="0"/>
                    <w:widowControl w:val="0"/>
                    <w:kinsoku/>
                    <w:wordWrap w:val="0"/>
                    <w:overflowPunct/>
                    <w:topLinePunct/>
                    <w:autoSpaceDE/>
                    <w:autoSpaceDN/>
                    <w:bidi w:val="0"/>
                    <w:adjustRightInd w:val="0"/>
                    <w:snapToGrid w:val="0"/>
                    <w:jc w:val="left"/>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rPr>
                    <w:t>热水罐锅体材质</w:t>
                  </w:r>
                  <w:r>
                    <w:rPr>
                      <w:rFonts w:hint="eastAsia"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rPr>
                    <w:t>S30408不锈钢</w:t>
                  </w:r>
                  <w:r>
                    <w:rPr>
                      <w:rFonts w:hint="eastAsia"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rPr>
                    <w:t>13.壁厚</w:t>
                  </w:r>
                  <w:r>
                    <w:rPr>
                      <w:rFonts w:hint="eastAsia" w:cs="Times New Roman"/>
                      <w:b w:val="0"/>
                      <w:bCs w:val="0"/>
                      <w:i w:val="0"/>
                      <w:iCs w:val="0"/>
                      <w:color w:val="auto"/>
                      <w:sz w:val="21"/>
                      <w:szCs w:val="21"/>
                      <w:lang w:eastAsia="zh-CN"/>
                    </w:rPr>
                    <w:t>：</w:t>
                  </w:r>
                  <w:r>
                    <w:rPr>
                      <w:rFonts w:hint="default" w:ascii="Times New Roman" w:hAnsi="Times New Roman" w:eastAsia="宋体" w:cs="Times New Roman"/>
                      <w:b w:val="0"/>
                      <w:bCs w:val="0"/>
                      <w:i w:val="0"/>
                      <w:iCs w:val="0"/>
                      <w:color w:val="auto"/>
                      <w:sz w:val="21"/>
                      <w:szCs w:val="21"/>
                    </w:rPr>
                    <w:t>4mm</w:t>
                  </w:r>
                </w:p>
              </w:tc>
              <w:tc>
                <w:tcPr>
                  <w:tcW w:w="606" w:type="pct"/>
                  <w:tcBorders>
                    <w:tl2br w:val="nil"/>
                    <w:tr2bl w:val="nil"/>
                  </w:tcBorders>
                  <w:vAlign w:val="center"/>
                </w:tcPr>
                <w:p w14:paraId="6E4F0C63">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rPr>
                    <w:t>900</w:t>
                  </w:r>
                </w:p>
              </w:tc>
              <w:tc>
                <w:tcPr>
                  <w:tcW w:w="431" w:type="pct"/>
                  <w:tcBorders>
                    <w:tl2br w:val="nil"/>
                    <w:tr2bl w:val="nil"/>
                  </w:tcBorders>
                  <w:vAlign w:val="center"/>
                </w:tcPr>
                <w:p w14:paraId="02E6C1A5">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13C796B2">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r w14:paraId="0EB6C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789E4F77">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eastAsia" w:ascii="Times New Roman" w:hAnsi="Times New Roman" w:eastAsia="宋体" w:cs="Times New Roman"/>
                      <w:b w:val="0"/>
                      <w:bCs w:val="0"/>
                      <w:i w:val="0"/>
                      <w:iCs w:val="0"/>
                      <w:color w:val="auto"/>
                      <w:sz w:val="21"/>
                      <w:szCs w:val="21"/>
                      <w:lang w:val="en-US" w:eastAsia="zh-CN"/>
                    </w:rPr>
                    <w:t>21</w:t>
                  </w:r>
                </w:p>
              </w:tc>
              <w:tc>
                <w:tcPr>
                  <w:tcW w:w="701" w:type="pct"/>
                  <w:tcBorders>
                    <w:tl2br w:val="nil"/>
                    <w:tr2bl w:val="nil"/>
                  </w:tcBorders>
                  <w:shd w:val="clear" w:color="auto" w:fill="auto"/>
                  <w:vAlign w:val="center"/>
                </w:tcPr>
                <w:p w14:paraId="05A70467">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kern w:val="2"/>
                      <w:sz w:val="21"/>
                      <w:szCs w:val="21"/>
                      <w:lang w:val="en-US" w:eastAsia="zh-CN" w:bidi="ar-SA"/>
                    </w:rPr>
                  </w:pPr>
                  <w:r>
                    <w:rPr>
                      <w:rFonts w:hint="default" w:ascii="Times New Roman" w:hAnsi="Times New Roman" w:eastAsia="宋体" w:cs="Times New Roman"/>
                      <w:b w:val="0"/>
                      <w:bCs w:val="0"/>
                      <w:i w:val="0"/>
                      <w:iCs w:val="0"/>
                      <w:color w:val="auto"/>
                      <w:sz w:val="21"/>
                      <w:szCs w:val="21"/>
                      <w:lang w:val="en-US" w:eastAsia="zh-CN"/>
                    </w:rPr>
                    <w:t>清洗机</w:t>
                  </w:r>
                </w:p>
              </w:tc>
              <w:tc>
                <w:tcPr>
                  <w:tcW w:w="2418" w:type="pct"/>
                  <w:tcBorders>
                    <w:tl2br w:val="nil"/>
                    <w:tr2bl w:val="nil"/>
                  </w:tcBorders>
                  <w:vAlign w:val="center"/>
                </w:tcPr>
                <w:p w14:paraId="615E76C5">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外形尺寸：4000*1400*1350mm</w:t>
                  </w:r>
                </w:p>
                <w:p w14:paraId="1E822FE5">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电源：380v/50</w:t>
                  </w:r>
                  <w:r>
                    <w:rPr>
                      <w:rFonts w:hint="eastAsia" w:cs="Times New Roman"/>
                      <w:b w:val="0"/>
                      <w:bCs w:val="0"/>
                      <w:i w:val="0"/>
                      <w:iCs w:val="0"/>
                      <w:color w:val="auto"/>
                      <w:sz w:val="21"/>
                      <w:szCs w:val="21"/>
                      <w:lang w:val="en-US" w:eastAsia="zh-CN"/>
                    </w:rPr>
                    <w:t>Hz</w:t>
                  </w:r>
                </w:p>
                <w:p w14:paraId="366C2CF3">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传动功率：0.75</w:t>
                  </w:r>
                  <w:r>
                    <w:rPr>
                      <w:rFonts w:hint="eastAsia" w:cs="Times New Roman"/>
                      <w:b w:val="0"/>
                      <w:bCs w:val="0"/>
                      <w:i w:val="0"/>
                      <w:iCs w:val="0"/>
                      <w:color w:val="auto"/>
                      <w:sz w:val="21"/>
                      <w:szCs w:val="21"/>
                      <w:lang w:val="en-US" w:eastAsia="zh-CN"/>
                    </w:rPr>
                    <w:t>kW</w:t>
                  </w:r>
                </w:p>
                <w:p w14:paraId="360782B0">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风泵功率：1.5</w:t>
                  </w:r>
                  <w:r>
                    <w:rPr>
                      <w:rFonts w:hint="eastAsia" w:cs="Times New Roman"/>
                      <w:b w:val="0"/>
                      <w:bCs w:val="0"/>
                      <w:i w:val="0"/>
                      <w:iCs w:val="0"/>
                      <w:color w:val="auto"/>
                      <w:sz w:val="21"/>
                      <w:szCs w:val="21"/>
                      <w:lang w:val="en-US" w:eastAsia="zh-CN"/>
                    </w:rPr>
                    <w:t>kW</w:t>
                  </w:r>
                </w:p>
                <w:p w14:paraId="04034FF2">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水泵功率：1.5</w:t>
                  </w:r>
                  <w:r>
                    <w:rPr>
                      <w:rFonts w:hint="eastAsia" w:cs="Times New Roman"/>
                      <w:b w:val="0"/>
                      <w:bCs w:val="0"/>
                      <w:i w:val="0"/>
                      <w:iCs w:val="0"/>
                      <w:color w:val="auto"/>
                      <w:sz w:val="21"/>
                      <w:szCs w:val="21"/>
                      <w:lang w:val="en-US" w:eastAsia="zh-CN"/>
                    </w:rPr>
                    <w:t>kW</w:t>
                  </w:r>
                </w:p>
                <w:p w14:paraId="6830D49C">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网带宽度：800mm</w:t>
                  </w:r>
                </w:p>
                <w:p w14:paraId="3FF1694B">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架体：60*40*2mm</w:t>
                  </w:r>
                </w:p>
                <w:p w14:paraId="7F3089FF">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设备材质：食品级不锈钢</w:t>
                  </w:r>
                </w:p>
                <w:p w14:paraId="512FAE11">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板材厚度：2.5mm</w:t>
                  </w:r>
                </w:p>
              </w:tc>
              <w:tc>
                <w:tcPr>
                  <w:tcW w:w="606" w:type="pct"/>
                  <w:tcBorders>
                    <w:tl2br w:val="nil"/>
                    <w:tr2bl w:val="nil"/>
                  </w:tcBorders>
                  <w:vAlign w:val="center"/>
                </w:tcPr>
                <w:p w14:paraId="76330A69">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15716F34">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2ED5B23C">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r w14:paraId="61FD4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753FA013">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eastAsia" w:ascii="Times New Roman" w:hAnsi="Times New Roman" w:eastAsia="宋体" w:cs="Times New Roman"/>
                      <w:b w:val="0"/>
                      <w:bCs w:val="0"/>
                      <w:i w:val="0"/>
                      <w:iCs w:val="0"/>
                      <w:color w:val="auto"/>
                      <w:sz w:val="21"/>
                      <w:szCs w:val="21"/>
                      <w:lang w:val="en-US" w:eastAsia="zh-CN"/>
                    </w:rPr>
                    <w:t>22</w:t>
                  </w:r>
                </w:p>
              </w:tc>
              <w:tc>
                <w:tcPr>
                  <w:tcW w:w="701" w:type="pct"/>
                  <w:tcBorders>
                    <w:tl2br w:val="nil"/>
                    <w:tr2bl w:val="nil"/>
                  </w:tcBorders>
                  <w:shd w:val="clear" w:color="auto" w:fill="auto"/>
                  <w:vAlign w:val="center"/>
                </w:tcPr>
                <w:p w14:paraId="45D9FD16">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kern w:val="2"/>
                      <w:sz w:val="21"/>
                      <w:szCs w:val="21"/>
                      <w:lang w:val="en-US" w:eastAsia="zh-CN" w:bidi="ar-SA"/>
                    </w:rPr>
                  </w:pPr>
                  <w:r>
                    <w:rPr>
                      <w:rFonts w:hint="default" w:ascii="Times New Roman" w:hAnsi="Times New Roman" w:eastAsia="宋体" w:cs="Times New Roman"/>
                      <w:b w:val="0"/>
                      <w:bCs w:val="0"/>
                      <w:i w:val="0"/>
                      <w:iCs w:val="0"/>
                      <w:color w:val="auto"/>
                      <w:sz w:val="21"/>
                      <w:szCs w:val="21"/>
                      <w:lang w:val="en-US" w:eastAsia="zh-CN"/>
                    </w:rPr>
                    <w:t>震动沥水机</w:t>
                  </w:r>
                </w:p>
              </w:tc>
              <w:tc>
                <w:tcPr>
                  <w:tcW w:w="2418" w:type="pct"/>
                  <w:tcBorders>
                    <w:tl2br w:val="nil"/>
                    <w:tr2bl w:val="nil"/>
                  </w:tcBorders>
                  <w:vAlign w:val="center"/>
                </w:tcPr>
                <w:p w14:paraId="79C02474">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外形尺寸：2000*1200*900mm</w:t>
                  </w:r>
                </w:p>
                <w:p w14:paraId="56827F41">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电源：380v/50</w:t>
                  </w:r>
                  <w:r>
                    <w:rPr>
                      <w:rFonts w:hint="eastAsia" w:cs="Times New Roman"/>
                      <w:b w:val="0"/>
                      <w:bCs w:val="0"/>
                      <w:i w:val="0"/>
                      <w:iCs w:val="0"/>
                      <w:color w:val="auto"/>
                      <w:sz w:val="21"/>
                      <w:szCs w:val="21"/>
                      <w:lang w:val="en-US" w:eastAsia="zh-CN"/>
                    </w:rPr>
                    <w:t>Hz</w:t>
                  </w:r>
                </w:p>
                <w:p w14:paraId="4BD64F33">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电机功率：0.75</w:t>
                  </w:r>
                  <w:r>
                    <w:rPr>
                      <w:rFonts w:hint="eastAsia" w:cs="Times New Roman"/>
                      <w:b w:val="0"/>
                      <w:bCs w:val="0"/>
                      <w:i w:val="0"/>
                      <w:iCs w:val="0"/>
                      <w:color w:val="auto"/>
                      <w:sz w:val="21"/>
                      <w:szCs w:val="21"/>
                      <w:lang w:val="en-US" w:eastAsia="zh-CN"/>
                    </w:rPr>
                    <w:t>kW</w:t>
                  </w:r>
                </w:p>
                <w:p w14:paraId="7DA1AA8D">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振频：950次/分</w:t>
                  </w:r>
                </w:p>
                <w:p w14:paraId="117A6F66">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筛网孔径：按需定制</w:t>
                  </w:r>
                </w:p>
                <w:p w14:paraId="2E5D1FC1">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架体：60*40*2mm</w:t>
                  </w:r>
                </w:p>
                <w:p w14:paraId="2AFA7D82">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设备材质：食品级不锈钢</w:t>
                  </w:r>
                </w:p>
              </w:tc>
              <w:tc>
                <w:tcPr>
                  <w:tcW w:w="606" w:type="pct"/>
                  <w:tcBorders>
                    <w:tl2br w:val="nil"/>
                    <w:tr2bl w:val="nil"/>
                  </w:tcBorders>
                  <w:vAlign w:val="center"/>
                </w:tcPr>
                <w:p w14:paraId="50F2C843">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041BC7DA">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0560443B">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r w14:paraId="2F25D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4E041554">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eastAsia" w:ascii="Times New Roman" w:hAnsi="Times New Roman" w:eastAsia="宋体" w:cs="Times New Roman"/>
                      <w:b w:val="0"/>
                      <w:bCs w:val="0"/>
                      <w:i w:val="0"/>
                      <w:iCs w:val="0"/>
                      <w:color w:val="auto"/>
                      <w:sz w:val="21"/>
                      <w:szCs w:val="21"/>
                      <w:lang w:val="en-US" w:eastAsia="zh-CN"/>
                    </w:rPr>
                    <w:t>23</w:t>
                  </w:r>
                </w:p>
              </w:tc>
              <w:tc>
                <w:tcPr>
                  <w:tcW w:w="701" w:type="pct"/>
                  <w:tcBorders>
                    <w:tl2br w:val="nil"/>
                    <w:tr2bl w:val="nil"/>
                  </w:tcBorders>
                  <w:shd w:val="clear" w:color="auto" w:fill="auto"/>
                  <w:vAlign w:val="center"/>
                </w:tcPr>
                <w:p w14:paraId="42205031">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kern w:val="2"/>
                      <w:sz w:val="21"/>
                      <w:szCs w:val="21"/>
                      <w:lang w:val="en-US" w:eastAsia="zh-CN" w:bidi="ar-SA"/>
                    </w:rPr>
                  </w:pPr>
                  <w:r>
                    <w:rPr>
                      <w:rFonts w:hint="default" w:ascii="Times New Roman" w:hAnsi="Times New Roman" w:eastAsia="宋体" w:cs="Times New Roman"/>
                      <w:b w:val="0"/>
                      <w:bCs w:val="0"/>
                      <w:i w:val="0"/>
                      <w:iCs w:val="0"/>
                      <w:color w:val="auto"/>
                      <w:sz w:val="21"/>
                      <w:szCs w:val="21"/>
                      <w:lang w:val="en-US" w:eastAsia="zh-CN"/>
                    </w:rPr>
                    <w:t>风干线</w:t>
                  </w:r>
                </w:p>
              </w:tc>
              <w:tc>
                <w:tcPr>
                  <w:tcW w:w="2418" w:type="pct"/>
                  <w:tcBorders>
                    <w:tl2br w:val="nil"/>
                    <w:tr2bl w:val="nil"/>
                  </w:tcBorders>
                  <w:vAlign w:val="center"/>
                </w:tcPr>
                <w:p w14:paraId="7EE9951C">
                  <w:pPr>
                    <w:keepNext w:val="0"/>
                    <w:keepLines w:val="0"/>
                    <w:pageBreakBefore w:val="0"/>
                    <w:kinsoku/>
                    <w:wordWrap/>
                    <w:topLinePunct w:val="0"/>
                    <w:bidi w:val="0"/>
                    <w:adjustRightInd w:val="0"/>
                    <w:snapToGrid w:val="0"/>
                    <w:jc w:val="both"/>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外形尺寸：4000*1400*1350mm</w:t>
                  </w:r>
                </w:p>
                <w:p w14:paraId="2BF3A5FB">
                  <w:pPr>
                    <w:keepNext w:val="0"/>
                    <w:keepLines w:val="0"/>
                    <w:pageBreakBefore w:val="0"/>
                    <w:kinsoku/>
                    <w:wordWrap/>
                    <w:topLinePunct w:val="0"/>
                    <w:bidi w:val="0"/>
                    <w:adjustRightInd w:val="0"/>
                    <w:snapToGrid w:val="0"/>
                    <w:jc w:val="both"/>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电源：380v/50</w:t>
                  </w:r>
                  <w:r>
                    <w:rPr>
                      <w:rFonts w:hint="eastAsia" w:cs="Times New Roman"/>
                      <w:b w:val="0"/>
                      <w:bCs w:val="0"/>
                      <w:i w:val="0"/>
                      <w:iCs w:val="0"/>
                      <w:color w:val="auto"/>
                      <w:sz w:val="21"/>
                      <w:szCs w:val="21"/>
                      <w:lang w:val="en-US" w:eastAsia="zh-CN"/>
                    </w:rPr>
                    <w:t>Hz</w:t>
                  </w:r>
                </w:p>
                <w:p w14:paraId="3A0C8F47">
                  <w:pPr>
                    <w:keepNext w:val="0"/>
                    <w:keepLines w:val="0"/>
                    <w:pageBreakBefore w:val="0"/>
                    <w:kinsoku/>
                    <w:wordWrap/>
                    <w:topLinePunct w:val="0"/>
                    <w:bidi w:val="0"/>
                    <w:adjustRightInd w:val="0"/>
                    <w:snapToGrid w:val="0"/>
                    <w:jc w:val="both"/>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网带宽度：800mm</w:t>
                  </w:r>
                </w:p>
                <w:p w14:paraId="4C194460">
                  <w:pPr>
                    <w:keepNext w:val="0"/>
                    <w:keepLines w:val="0"/>
                    <w:pageBreakBefore w:val="0"/>
                    <w:kinsoku/>
                    <w:wordWrap/>
                    <w:topLinePunct w:val="0"/>
                    <w:bidi w:val="0"/>
                    <w:adjustRightInd w:val="0"/>
                    <w:snapToGrid w:val="0"/>
                    <w:jc w:val="both"/>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网带：不锈钢螺旋网带</w:t>
                  </w:r>
                </w:p>
                <w:p w14:paraId="77B669DE">
                  <w:pPr>
                    <w:keepNext w:val="0"/>
                    <w:keepLines w:val="0"/>
                    <w:pageBreakBefore w:val="0"/>
                    <w:kinsoku/>
                    <w:wordWrap/>
                    <w:topLinePunct w:val="0"/>
                    <w:bidi w:val="0"/>
                    <w:adjustRightInd w:val="0"/>
                    <w:snapToGrid w:val="0"/>
                    <w:jc w:val="both"/>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风机功率：0.08</w:t>
                  </w:r>
                  <w:r>
                    <w:rPr>
                      <w:rFonts w:hint="eastAsia" w:cs="Times New Roman"/>
                      <w:b w:val="0"/>
                      <w:bCs w:val="0"/>
                      <w:i w:val="0"/>
                      <w:iCs w:val="0"/>
                      <w:color w:val="auto"/>
                      <w:sz w:val="21"/>
                      <w:szCs w:val="21"/>
                      <w:lang w:val="en-US" w:eastAsia="zh-CN"/>
                    </w:rPr>
                    <w:t>kW</w:t>
                  </w:r>
                </w:p>
                <w:p w14:paraId="74FD76C3">
                  <w:pPr>
                    <w:keepNext w:val="0"/>
                    <w:keepLines w:val="0"/>
                    <w:pageBreakBefore w:val="0"/>
                    <w:kinsoku/>
                    <w:wordWrap/>
                    <w:topLinePunct w:val="0"/>
                    <w:bidi w:val="0"/>
                    <w:adjustRightInd w:val="0"/>
                    <w:snapToGrid w:val="0"/>
                    <w:jc w:val="both"/>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风机数量：12台</w:t>
                  </w:r>
                </w:p>
                <w:p w14:paraId="127D8146">
                  <w:pPr>
                    <w:keepNext w:val="0"/>
                    <w:keepLines w:val="0"/>
                    <w:pageBreakBefore w:val="0"/>
                    <w:kinsoku/>
                    <w:wordWrap/>
                    <w:topLinePunct w:val="0"/>
                    <w:bidi w:val="0"/>
                    <w:adjustRightInd w:val="0"/>
                    <w:snapToGrid w:val="0"/>
                    <w:jc w:val="both"/>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传动功率：1.5</w:t>
                  </w:r>
                  <w:r>
                    <w:rPr>
                      <w:rFonts w:hint="eastAsia" w:cs="Times New Roman"/>
                      <w:b w:val="0"/>
                      <w:bCs w:val="0"/>
                      <w:i w:val="0"/>
                      <w:iCs w:val="0"/>
                      <w:color w:val="auto"/>
                      <w:sz w:val="21"/>
                      <w:szCs w:val="21"/>
                      <w:lang w:val="en-US" w:eastAsia="zh-CN"/>
                    </w:rPr>
                    <w:t>kW</w:t>
                  </w:r>
                </w:p>
                <w:p w14:paraId="538A5853">
                  <w:pPr>
                    <w:keepNext w:val="0"/>
                    <w:keepLines w:val="0"/>
                    <w:pageBreakBefore w:val="0"/>
                    <w:kinsoku/>
                    <w:wordWrap/>
                    <w:topLinePunct w:val="0"/>
                    <w:bidi w:val="0"/>
                    <w:adjustRightInd w:val="0"/>
                    <w:snapToGrid w:val="0"/>
                    <w:jc w:val="both"/>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架体：60*40*2mm</w:t>
                  </w:r>
                </w:p>
                <w:p w14:paraId="16FED523">
                  <w:pPr>
                    <w:keepNext w:val="0"/>
                    <w:keepLines w:val="0"/>
                    <w:pageBreakBefore w:val="0"/>
                    <w:kinsoku/>
                    <w:wordWrap/>
                    <w:topLinePunct w:val="0"/>
                    <w:bidi w:val="0"/>
                    <w:adjustRightInd w:val="0"/>
                    <w:snapToGrid w:val="0"/>
                    <w:jc w:val="both"/>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设备材质：食品级不锈钢</w:t>
                  </w:r>
                </w:p>
              </w:tc>
              <w:tc>
                <w:tcPr>
                  <w:tcW w:w="606" w:type="pct"/>
                  <w:tcBorders>
                    <w:tl2br w:val="nil"/>
                    <w:tr2bl w:val="nil"/>
                  </w:tcBorders>
                  <w:vAlign w:val="center"/>
                </w:tcPr>
                <w:p w14:paraId="05657D90">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145071AA">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37F8DAD3">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r w14:paraId="2DD62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6E1AA3DA">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eastAsia" w:ascii="Times New Roman" w:hAnsi="Times New Roman" w:eastAsia="宋体" w:cs="Times New Roman"/>
                      <w:b w:val="0"/>
                      <w:bCs w:val="0"/>
                      <w:i w:val="0"/>
                      <w:iCs w:val="0"/>
                      <w:color w:val="auto"/>
                      <w:sz w:val="21"/>
                      <w:szCs w:val="21"/>
                      <w:lang w:val="en-US" w:eastAsia="zh-CN"/>
                    </w:rPr>
                    <w:t>24</w:t>
                  </w:r>
                </w:p>
              </w:tc>
              <w:tc>
                <w:tcPr>
                  <w:tcW w:w="701" w:type="pct"/>
                  <w:tcBorders>
                    <w:tl2br w:val="nil"/>
                    <w:tr2bl w:val="nil"/>
                  </w:tcBorders>
                  <w:shd w:val="clear" w:color="auto" w:fill="auto"/>
                  <w:vAlign w:val="center"/>
                </w:tcPr>
                <w:p w14:paraId="287C4EFE">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kern w:val="2"/>
                      <w:sz w:val="21"/>
                      <w:szCs w:val="21"/>
                      <w:lang w:val="en-US" w:eastAsia="zh-CN" w:bidi="ar-SA"/>
                    </w:rPr>
                  </w:pPr>
                  <w:r>
                    <w:rPr>
                      <w:rFonts w:hint="default" w:ascii="Times New Roman" w:hAnsi="Times New Roman" w:eastAsia="宋体" w:cs="Times New Roman"/>
                      <w:b w:val="0"/>
                      <w:bCs w:val="0"/>
                      <w:i w:val="0"/>
                      <w:iCs w:val="0"/>
                      <w:color w:val="auto"/>
                      <w:sz w:val="21"/>
                      <w:szCs w:val="21"/>
                      <w:lang w:val="en-US" w:eastAsia="zh-CN"/>
                    </w:rPr>
                    <w:t>各种盘子</w:t>
                  </w:r>
                </w:p>
              </w:tc>
              <w:tc>
                <w:tcPr>
                  <w:tcW w:w="2418" w:type="pct"/>
                  <w:tcBorders>
                    <w:tl2br w:val="nil"/>
                    <w:tr2bl w:val="nil"/>
                  </w:tcBorders>
                  <w:vAlign w:val="center"/>
                </w:tcPr>
                <w:p w14:paraId="6680AB3C">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尺寸大小的不锈钢材质的食品级别的盘子</w:t>
                  </w:r>
                </w:p>
              </w:tc>
              <w:tc>
                <w:tcPr>
                  <w:tcW w:w="606" w:type="pct"/>
                  <w:tcBorders>
                    <w:tl2br w:val="nil"/>
                    <w:tr2bl w:val="nil"/>
                  </w:tcBorders>
                  <w:vAlign w:val="center"/>
                </w:tcPr>
                <w:p w14:paraId="6FF7E9F4">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p>
              </w:tc>
              <w:tc>
                <w:tcPr>
                  <w:tcW w:w="431" w:type="pct"/>
                  <w:tcBorders>
                    <w:tl2br w:val="nil"/>
                    <w:tr2bl w:val="nil"/>
                  </w:tcBorders>
                  <w:vAlign w:val="center"/>
                </w:tcPr>
                <w:p w14:paraId="1C9146F9">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5EF8697D">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20</w:t>
                  </w:r>
                </w:p>
              </w:tc>
            </w:tr>
            <w:tr w14:paraId="42475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5299DFCB">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eastAsia" w:ascii="Times New Roman" w:hAnsi="Times New Roman" w:eastAsia="宋体" w:cs="Times New Roman"/>
                      <w:b w:val="0"/>
                      <w:bCs w:val="0"/>
                      <w:i w:val="0"/>
                      <w:iCs w:val="0"/>
                      <w:color w:val="auto"/>
                      <w:sz w:val="21"/>
                      <w:szCs w:val="21"/>
                      <w:lang w:val="en-US" w:eastAsia="zh-CN"/>
                    </w:rPr>
                    <w:t>25</w:t>
                  </w:r>
                </w:p>
              </w:tc>
              <w:tc>
                <w:tcPr>
                  <w:tcW w:w="701" w:type="pct"/>
                  <w:tcBorders>
                    <w:tl2br w:val="nil"/>
                    <w:tr2bl w:val="nil"/>
                  </w:tcBorders>
                  <w:shd w:val="clear" w:color="auto" w:fill="auto"/>
                  <w:vAlign w:val="center"/>
                </w:tcPr>
                <w:p w14:paraId="2995EB23">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kern w:val="2"/>
                      <w:sz w:val="21"/>
                      <w:szCs w:val="21"/>
                      <w:lang w:val="en-US" w:eastAsia="zh-CN" w:bidi="ar-SA"/>
                    </w:rPr>
                  </w:pPr>
                  <w:r>
                    <w:rPr>
                      <w:rFonts w:hint="default" w:ascii="Times New Roman" w:hAnsi="Times New Roman" w:eastAsia="宋体" w:cs="Times New Roman"/>
                      <w:b w:val="0"/>
                      <w:bCs w:val="0"/>
                      <w:i w:val="0"/>
                      <w:iCs w:val="0"/>
                      <w:color w:val="auto"/>
                      <w:sz w:val="21"/>
                      <w:szCs w:val="21"/>
                      <w:lang w:val="en-US" w:eastAsia="zh-CN"/>
                    </w:rPr>
                    <w:t>卤煮锅</w:t>
                  </w:r>
                </w:p>
              </w:tc>
              <w:tc>
                <w:tcPr>
                  <w:tcW w:w="2418" w:type="pct"/>
                  <w:tcBorders>
                    <w:tl2br w:val="nil"/>
                    <w:tr2bl w:val="nil"/>
                  </w:tcBorders>
                  <w:vAlign w:val="center"/>
                </w:tcPr>
                <w:p w14:paraId="08D40F66">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600升夹层锅</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功率：36千瓦</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产量：500/H</w:t>
                  </w:r>
                </w:p>
              </w:tc>
              <w:tc>
                <w:tcPr>
                  <w:tcW w:w="606" w:type="pct"/>
                  <w:tcBorders>
                    <w:tl2br w:val="nil"/>
                    <w:tr2bl w:val="nil"/>
                  </w:tcBorders>
                  <w:vAlign w:val="center"/>
                </w:tcPr>
                <w:p w14:paraId="79C47DC4">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1000L带内胆</w:t>
                  </w:r>
                </w:p>
              </w:tc>
              <w:tc>
                <w:tcPr>
                  <w:tcW w:w="431" w:type="pct"/>
                  <w:tcBorders>
                    <w:tl2br w:val="nil"/>
                    <w:tr2bl w:val="nil"/>
                  </w:tcBorders>
                  <w:vAlign w:val="center"/>
                </w:tcPr>
                <w:p w14:paraId="3CB76E66">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68D5CDBB">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r w14:paraId="2A28F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2DE127F4">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eastAsia" w:ascii="Times New Roman" w:hAnsi="Times New Roman" w:eastAsia="宋体" w:cs="Times New Roman"/>
                      <w:b w:val="0"/>
                      <w:bCs w:val="0"/>
                      <w:i w:val="0"/>
                      <w:iCs w:val="0"/>
                      <w:color w:val="auto"/>
                      <w:sz w:val="21"/>
                      <w:szCs w:val="21"/>
                      <w:lang w:val="en-US" w:eastAsia="zh-CN"/>
                    </w:rPr>
                    <w:t>26</w:t>
                  </w:r>
                </w:p>
              </w:tc>
              <w:tc>
                <w:tcPr>
                  <w:tcW w:w="701" w:type="pct"/>
                  <w:tcBorders>
                    <w:tl2br w:val="nil"/>
                    <w:tr2bl w:val="nil"/>
                  </w:tcBorders>
                  <w:shd w:val="clear" w:color="auto" w:fill="auto"/>
                  <w:vAlign w:val="center"/>
                </w:tcPr>
                <w:p w14:paraId="11925339">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kern w:val="2"/>
                      <w:sz w:val="21"/>
                      <w:szCs w:val="21"/>
                      <w:lang w:val="en-US" w:eastAsia="zh-CN" w:bidi="ar-SA"/>
                    </w:rPr>
                  </w:pPr>
                  <w:r>
                    <w:rPr>
                      <w:rFonts w:hint="default" w:ascii="Times New Roman" w:hAnsi="Times New Roman" w:eastAsia="宋体" w:cs="Times New Roman"/>
                      <w:b w:val="0"/>
                      <w:bCs w:val="0"/>
                      <w:i w:val="0"/>
                      <w:iCs w:val="0"/>
                      <w:color w:val="auto"/>
                      <w:sz w:val="21"/>
                      <w:szCs w:val="21"/>
                      <w:lang w:val="en-US" w:eastAsia="zh-CN"/>
                    </w:rPr>
                    <w:t>真空包装机</w:t>
                  </w:r>
                </w:p>
              </w:tc>
              <w:tc>
                <w:tcPr>
                  <w:tcW w:w="2418" w:type="pct"/>
                  <w:tcBorders>
                    <w:tl2br w:val="nil"/>
                    <w:tr2bl w:val="nil"/>
                  </w:tcBorders>
                  <w:vAlign w:val="center"/>
                </w:tcPr>
                <w:p w14:paraId="7578C5A5">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606" w:type="pct"/>
                  <w:tcBorders>
                    <w:tl2br w:val="nil"/>
                    <w:tr2bl w:val="nil"/>
                  </w:tcBorders>
                  <w:vAlign w:val="center"/>
                </w:tcPr>
                <w:p w14:paraId="0F56F262">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71FF8C0F">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30CEC6D4">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r w14:paraId="5AAAE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shd w:val="clear" w:color="auto" w:fill="auto"/>
                  <w:vAlign w:val="center"/>
                </w:tcPr>
                <w:p w14:paraId="0ACE70D1">
                  <w:pPr>
                    <w:pStyle w:val="69"/>
                    <w:keepNext w:val="0"/>
                    <w:keepLines w:val="0"/>
                    <w:pageBreakBefore w:val="0"/>
                    <w:kinsoku/>
                    <w:wordWrap/>
                    <w:topLinePunct w:val="0"/>
                    <w:bidi w:val="0"/>
                    <w:adjustRightInd w:val="0"/>
                    <w:snapToGrid w:val="0"/>
                    <w:jc w:val="center"/>
                    <w:textAlignment w:val="auto"/>
                    <w:rPr>
                      <w:rFonts w:hint="default" w:eastAsia="宋体"/>
                      <w:b w:val="0"/>
                      <w:bCs w:val="0"/>
                      <w:i w:val="0"/>
                      <w:iCs w:val="0"/>
                      <w:color w:val="auto"/>
                      <w:sz w:val="21"/>
                      <w:szCs w:val="21"/>
                      <w:lang w:val="en-US" w:eastAsia="zh-CN" w:bidi="ar-SA"/>
                    </w:rPr>
                  </w:pPr>
                  <w:r>
                    <w:rPr>
                      <w:rFonts w:hint="eastAsia" w:ascii="Times New Roman" w:hAnsi="Times New Roman" w:eastAsia="宋体" w:cs="Times New Roman"/>
                      <w:b w:val="0"/>
                      <w:bCs w:val="0"/>
                      <w:i w:val="0"/>
                      <w:iCs w:val="0"/>
                      <w:color w:val="auto"/>
                      <w:sz w:val="21"/>
                      <w:szCs w:val="21"/>
                      <w:lang w:val="en-US" w:eastAsia="zh-CN"/>
                    </w:rPr>
                    <w:t>27</w:t>
                  </w:r>
                </w:p>
              </w:tc>
              <w:tc>
                <w:tcPr>
                  <w:tcW w:w="701" w:type="pct"/>
                  <w:tcBorders>
                    <w:tl2br w:val="nil"/>
                    <w:tr2bl w:val="nil"/>
                  </w:tcBorders>
                  <w:shd w:val="clear" w:color="auto" w:fill="auto"/>
                  <w:vAlign w:val="center"/>
                </w:tcPr>
                <w:p w14:paraId="0E277E93">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kern w:val="2"/>
                      <w:sz w:val="21"/>
                      <w:szCs w:val="21"/>
                      <w:lang w:val="en-US" w:eastAsia="zh-CN" w:bidi="ar-SA"/>
                    </w:rPr>
                  </w:pPr>
                  <w:r>
                    <w:rPr>
                      <w:rFonts w:hint="default" w:ascii="Times New Roman" w:hAnsi="Times New Roman" w:eastAsia="宋体" w:cs="Times New Roman"/>
                      <w:b w:val="0"/>
                      <w:bCs w:val="0"/>
                      <w:i w:val="0"/>
                      <w:iCs w:val="0"/>
                      <w:color w:val="auto"/>
                      <w:sz w:val="21"/>
                      <w:szCs w:val="21"/>
                      <w:lang w:val="en-US" w:eastAsia="zh-CN"/>
                    </w:rPr>
                    <w:t>输送带及相关的配件</w:t>
                  </w:r>
                </w:p>
              </w:tc>
              <w:tc>
                <w:tcPr>
                  <w:tcW w:w="2418" w:type="pct"/>
                  <w:tcBorders>
                    <w:tl2br w:val="nil"/>
                    <w:tr2bl w:val="nil"/>
                  </w:tcBorders>
                  <w:vAlign w:val="center"/>
                </w:tcPr>
                <w:p w14:paraId="4218F943">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606" w:type="pct"/>
                  <w:tcBorders>
                    <w:tl2br w:val="nil"/>
                    <w:tr2bl w:val="nil"/>
                  </w:tcBorders>
                  <w:vAlign w:val="center"/>
                </w:tcPr>
                <w:p w14:paraId="6646419E">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23780F23">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3F3E3ADF">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r w14:paraId="0C58B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vAlign w:val="center"/>
                </w:tcPr>
                <w:p w14:paraId="244F8B42">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28</w:t>
                  </w:r>
                </w:p>
              </w:tc>
              <w:tc>
                <w:tcPr>
                  <w:tcW w:w="701" w:type="pct"/>
                  <w:tcBorders>
                    <w:tl2br w:val="nil"/>
                    <w:tr2bl w:val="nil"/>
                  </w:tcBorders>
                  <w:shd w:val="clear" w:color="auto" w:fill="auto"/>
                  <w:vAlign w:val="center"/>
                </w:tcPr>
                <w:p w14:paraId="1DE6CA86">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kern w:val="2"/>
                      <w:sz w:val="21"/>
                      <w:szCs w:val="21"/>
                      <w:lang w:val="en-US" w:eastAsia="zh-CN" w:bidi="ar-SA"/>
                    </w:rPr>
                  </w:pPr>
                  <w:r>
                    <w:rPr>
                      <w:rFonts w:hint="default" w:ascii="Times New Roman" w:hAnsi="Times New Roman" w:eastAsia="宋体" w:cs="Times New Roman"/>
                      <w:b w:val="0"/>
                      <w:bCs w:val="0"/>
                      <w:i w:val="0"/>
                      <w:iCs w:val="0"/>
                      <w:color w:val="auto"/>
                      <w:sz w:val="21"/>
                      <w:szCs w:val="21"/>
                      <w:lang w:val="en-US" w:eastAsia="zh-CN"/>
                    </w:rPr>
                    <w:t>气浮式污水处理器</w:t>
                  </w:r>
                </w:p>
              </w:tc>
              <w:tc>
                <w:tcPr>
                  <w:tcW w:w="2418" w:type="pct"/>
                  <w:tcBorders>
                    <w:tl2br w:val="nil"/>
                    <w:tr2bl w:val="nil"/>
                  </w:tcBorders>
                  <w:vAlign w:val="center"/>
                </w:tcPr>
                <w:p w14:paraId="28F9B5E2">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Q235碳Q235碳钢材质；内外部环氧煤沥青防腐；6mm</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一体化设备尺寸：4500mm×1500mm×1500mm</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钢材质；内外部环氧</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煤沥青防腐；6mm</w:t>
                  </w:r>
                </w:p>
              </w:tc>
              <w:tc>
                <w:tcPr>
                  <w:tcW w:w="606" w:type="pct"/>
                  <w:tcBorders>
                    <w:tl2br w:val="nil"/>
                    <w:tr2bl w:val="nil"/>
                  </w:tcBorders>
                  <w:vAlign w:val="center"/>
                </w:tcPr>
                <w:p w14:paraId="2AD0F307">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5722BE5D">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7A39DF49">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11</w:t>
                  </w:r>
                </w:p>
              </w:tc>
            </w:tr>
            <w:tr w14:paraId="76AF3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000" w:type="pct"/>
                  <w:gridSpan w:val="6"/>
                  <w:tcBorders>
                    <w:tl2br w:val="nil"/>
                    <w:tr2bl w:val="nil"/>
                  </w:tcBorders>
                  <w:vAlign w:val="center"/>
                </w:tcPr>
                <w:p w14:paraId="7CCEDD28">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牛肉罐头设备</w:t>
                  </w:r>
                </w:p>
              </w:tc>
            </w:tr>
            <w:tr w14:paraId="2672A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vAlign w:val="center"/>
                </w:tcPr>
                <w:p w14:paraId="43193744">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c>
                <w:tcPr>
                  <w:tcW w:w="701" w:type="pct"/>
                  <w:tcBorders>
                    <w:tl2br w:val="nil"/>
                    <w:tr2bl w:val="nil"/>
                  </w:tcBorders>
                  <w:shd w:val="clear" w:color="auto" w:fill="auto"/>
                  <w:vAlign w:val="center"/>
                </w:tcPr>
                <w:p w14:paraId="3574011D">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切丁机</w:t>
                  </w:r>
                </w:p>
              </w:tc>
              <w:tc>
                <w:tcPr>
                  <w:tcW w:w="2418" w:type="pct"/>
                  <w:tcBorders>
                    <w:tl2br w:val="nil"/>
                    <w:tr2bl w:val="nil"/>
                  </w:tcBorders>
                  <w:vAlign w:val="center"/>
                </w:tcPr>
                <w:p w14:paraId="4E49117A">
                  <w:pPr>
                    <w:keepNext w:val="0"/>
                    <w:keepLines w:val="0"/>
                    <w:pageBreakBefore w:val="0"/>
                    <w:kinsoku/>
                    <w:wordWrap/>
                    <w:topLinePunct w:val="0"/>
                    <w:bidi w:val="0"/>
                    <w:adjustRightInd w:val="0"/>
                    <w:snapToGrid w:val="0"/>
                    <w:jc w:val="left"/>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350型号</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功率：3千瓦</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尺寸：1480*800*980</w:t>
                  </w:r>
                  <w:r>
                    <w:rPr>
                      <w:rFonts w:hint="eastAsia" w:cs="Times New Roman"/>
                      <w:b w:val="0"/>
                      <w:bCs w:val="0"/>
                      <w:i w:val="0"/>
                      <w:iCs w:val="0"/>
                      <w:color w:val="auto"/>
                      <w:sz w:val="21"/>
                      <w:szCs w:val="21"/>
                      <w:lang w:val="en-US" w:eastAsia="zh-CN"/>
                    </w:rPr>
                    <w:t>，</w:t>
                  </w:r>
                  <w:r>
                    <w:rPr>
                      <w:rFonts w:hint="default" w:ascii="Times New Roman" w:hAnsi="Times New Roman" w:eastAsia="宋体" w:cs="Times New Roman"/>
                      <w:b w:val="0"/>
                      <w:bCs w:val="0"/>
                      <w:i w:val="0"/>
                      <w:iCs w:val="0"/>
                      <w:color w:val="auto"/>
                      <w:sz w:val="21"/>
                      <w:szCs w:val="21"/>
                      <w:lang w:val="en-US" w:eastAsia="zh-CN"/>
                    </w:rPr>
                    <w:t>产量：200-500/H</w:t>
                  </w:r>
                </w:p>
              </w:tc>
              <w:tc>
                <w:tcPr>
                  <w:tcW w:w="606" w:type="pct"/>
                  <w:tcBorders>
                    <w:tl2br w:val="nil"/>
                    <w:tr2bl w:val="nil"/>
                  </w:tcBorders>
                  <w:vAlign w:val="center"/>
                </w:tcPr>
                <w:p w14:paraId="2F8C5A9F">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279FC9A8">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56FC6633">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r w14:paraId="28EC0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vAlign w:val="center"/>
                </w:tcPr>
                <w:p w14:paraId="120FA1D3">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2</w:t>
                  </w:r>
                </w:p>
              </w:tc>
              <w:tc>
                <w:tcPr>
                  <w:tcW w:w="701" w:type="pct"/>
                  <w:tcBorders>
                    <w:tl2br w:val="nil"/>
                    <w:tr2bl w:val="nil"/>
                  </w:tcBorders>
                  <w:shd w:val="clear" w:color="auto" w:fill="auto"/>
                  <w:vAlign w:val="center"/>
                </w:tcPr>
                <w:p w14:paraId="1CFD1C53">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卤煮锅</w:t>
                  </w:r>
                </w:p>
              </w:tc>
              <w:tc>
                <w:tcPr>
                  <w:tcW w:w="2418" w:type="pct"/>
                  <w:tcBorders>
                    <w:tl2br w:val="nil"/>
                    <w:tr2bl w:val="nil"/>
                  </w:tcBorders>
                  <w:vAlign w:val="center"/>
                </w:tcPr>
                <w:p w14:paraId="1875F58F">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606" w:type="pct"/>
                  <w:tcBorders>
                    <w:tl2br w:val="nil"/>
                    <w:tr2bl w:val="nil"/>
                  </w:tcBorders>
                  <w:vAlign w:val="center"/>
                </w:tcPr>
                <w:p w14:paraId="79FA6196">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388BF2B1">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cs="Times New Roman"/>
                      <w:b w:val="0"/>
                      <w:bCs w:val="0"/>
                      <w:i w:val="0"/>
                      <w:iCs w:val="0"/>
                      <w:color w:val="auto"/>
                      <w:sz w:val="21"/>
                      <w:szCs w:val="21"/>
                      <w:lang w:val="en-US" w:eastAsia="zh-CN"/>
                    </w:rPr>
                    <w:t>台</w:t>
                  </w:r>
                </w:p>
              </w:tc>
              <w:tc>
                <w:tcPr>
                  <w:tcW w:w="408" w:type="pct"/>
                  <w:tcBorders>
                    <w:tl2br w:val="nil"/>
                    <w:tr2bl w:val="nil"/>
                  </w:tcBorders>
                  <w:vAlign w:val="center"/>
                </w:tcPr>
                <w:p w14:paraId="24D1F18F">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2</w:t>
                  </w:r>
                </w:p>
              </w:tc>
            </w:tr>
            <w:tr w14:paraId="1C134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vAlign w:val="center"/>
                </w:tcPr>
                <w:p w14:paraId="6831D17F">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3</w:t>
                  </w:r>
                </w:p>
              </w:tc>
              <w:tc>
                <w:tcPr>
                  <w:tcW w:w="701" w:type="pct"/>
                  <w:tcBorders>
                    <w:tl2br w:val="nil"/>
                    <w:tr2bl w:val="nil"/>
                  </w:tcBorders>
                  <w:shd w:val="clear" w:color="auto" w:fill="auto"/>
                  <w:vAlign w:val="center"/>
                </w:tcPr>
                <w:p w14:paraId="16B078DA">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洗罐机</w:t>
                  </w:r>
                </w:p>
              </w:tc>
              <w:tc>
                <w:tcPr>
                  <w:tcW w:w="2418" w:type="pct"/>
                  <w:tcBorders>
                    <w:tl2br w:val="nil"/>
                    <w:tr2bl w:val="nil"/>
                  </w:tcBorders>
                  <w:vAlign w:val="center"/>
                </w:tcPr>
                <w:p w14:paraId="579942EE">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606" w:type="pct"/>
                  <w:tcBorders>
                    <w:tl2br w:val="nil"/>
                    <w:tr2bl w:val="nil"/>
                  </w:tcBorders>
                  <w:vAlign w:val="center"/>
                </w:tcPr>
                <w:p w14:paraId="45B8ED73">
                  <w:pPr>
                    <w:keepNext w:val="0"/>
                    <w:keepLines w:val="0"/>
                    <w:pageBreakBefore w:val="0"/>
                    <w:kinsoku/>
                    <w:wordWrap/>
                    <w:topLinePunct w:val="0"/>
                    <w:bidi w:val="0"/>
                    <w:adjustRightInd w:val="0"/>
                    <w:snapToGrid w:val="0"/>
                    <w:jc w:val="center"/>
                    <w:textAlignment w:val="auto"/>
                    <w:rPr>
                      <w:rFonts w:hint="eastAsia" w:ascii="Times New Roman" w:hAnsi="Times New Roman" w:eastAsia="宋体" w:cs="Times New Roman"/>
                      <w:b w:val="0"/>
                      <w:bCs w:val="0"/>
                      <w:i w:val="0"/>
                      <w:iCs w:val="0"/>
                      <w:color w:val="auto"/>
                      <w:sz w:val="21"/>
                      <w:szCs w:val="21"/>
                      <w:lang w:val="en-US" w:eastAsia="zh-CN"/>
                    </w:rPr>
                  </w:pPr>
                </w:p>
              </w:tc>
              <w:tc>
                <w:tcPr>
                  <w:tcW w:w="431" w:type="pct"/>
                  <w:tcBorders>
                    <w:tl2br w:val="nil"/>
                    <w:tr2bl w:val="nil"/>
                  </w:tcBorders>
                  <w:vAlign w:val="center"/>
                </w:tcPr>
                <w:p w14:paraId="03F64585">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cs="Times New Roman"/>
                      <w:b w:val="0"/>
                      <w:bCs w:val="0"/>
                      <w:i w:val="0"/>
                      <w:iCs w:val="0"/>
                      <w:color w:val="auto"/>
                      <w:sz w:val="21"/>
                      <w:szCs w:val="21"/>
                      <w:lang w:val="en-US" w:eastAsia="zh-CN"/>
                    </w:rPr>
                    <w:t>台</w:t>
                  </w:r>
                </w:p>
              </w:tc>
              <w:tc>
                <w:tcPr>
                  <w:tcW w:w="408" w:type="pct"/>
                  <w:tcBorders>
                    <w:tl2br w:val="nil"/>
                    <w:tr2bl w:val="nil"/>
                  </w:tcBorders>
                  <w:vAlign w:val="center"/>
                </w:tcPr>
                <w:p w14:paraId="77E77981">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r w14:paraId="26E1E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vAlign w:val="center"/>
                </w:tcPr>
                <w:p w14:paraId="187139F0">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4</w:t>
                  </w:r>
                </w:p>
              </w:tc>
              <w:tc>
                <w:tcPr>
                  <w:tcW w:w="701" w:type="pct"/>
                  <w:tcBorders>
                    <w:tl2br w:val="nil"/>
                    <w:tr2bl w:val="nil"/>
                  </w:tcBorders>
                  <w:shd w:val="clear" w:color="auto" w:fill="auto"/>
                  <w:vAlign w:val="center"/>
                </w:tcPr>
                <w:p w14:paraId="0448EC2B">
                  <w:pPr>
                    <w:keepNext w:val="0"/>
                    <w:keepLines w:val="0"/>
                    <w:pageBreakBefore w:val="0"/>
                    <w:kinsoku/>
                    <w:wordWrap/>
                    <w:topLinePunct w:val="0"/>
                    <w:bidi w:val="0"/>
                    <w:adjustRightInd w:val="0"/>
                    <w:snapToGrid w:val="0"/>
                    <w:jc w:val="center"/>
                    <w:textAlignment w:val="auto"/>
                    <w:rPr>
                      <w:rFonts w:hint="eastAsia" w:ascii="Times New Roman" w:hAnsi="Times New Roman" w:eastAsia="宋体" w:cs="Times New Roman"/>
                      <w:b w:val="0"/>
                      <w:bCs w:val="0"/>
                      <w:i w:val="0"/>
                      <w:iCs w:val="0"/>
                      <w:color w:val="auto"/>
                      <w:sz w:val="21"/>
                      <w:szCs w:val="21"/>
                      <w:lang w:val="en-US" w:eastAsia="zh-CN"/>
                    </w:rPr>
                  </w:pPr>
                  <w:r>
                    <w:rPr>
                      <w:rFonts w:hint="eastAsia" w:ascii="宋体" w:hAnsi="宋体" w:eastAsia="宋体" w:cs="宋体"/>
                      <w:color w:val="auto"/>
                      <w:szCs w:val="21"/>
                    </w:rPr>
                    <w:t>人工灌装机</w:t>
                  </w:r>
                </w:p>
              </w:tc>
              <w:tc>
                <w:tcPr>
                  <w:tcW w:w="2418" w:type="pct"/>
                  <w:tcBorders>
                    <w:tl2br w:val="nil"/>
                    <w:tr2bl w:val="nil"/>
                  </w:tcBorders>
                  <w:vAlign w:val="center"/>
                </w:tcPr>
                <w:p w14:paraId="2FF74C9C">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606" w:type="pct"/>
                  <w:tcBorders>
                    <w:tl2br w:val="nil"/>
                    <w:tr2bl w:val="nil"/>
                  </w:tcBorders>
                  <w:vAlign w:val="center"/>
                </w:tcPr>
                <w:p w14:paraId="407A06F0">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2EBF25D8">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cs="Times New Roman"/>
                      <w:b w:val="0"/>
                      <w:bCs w:val="0"/>
                      <w:i w:val="0"/>
                      <w:iCs w:val="0"/>
                      <w:color w:val="auto"/>
                      <w:sz w:val="21"/>
                      <w:szCs w:val="21"/>
                      <w:lang w:val="en-US" w:eastAsia="zh-CN"/>
                    </w:rPr>
                    <w:t>台</w:t>
                  </w:r>
                </w:p>
              </w:tc>
              <w:tc>
                <w:tcPr>
                  <w:tcW w:w="408" w:type="pct"/>
                  <w:tcBorders>
                    <w:tl2br w:val="nil"/>
                    <w:tr2bl w:val="nil"/>
                  </w:tcBorders>
                  <w:vAlign w:val="center"/>
                </w:tcPr>
                <w:p w14:paraId="737CB40D">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r w14:paraId="1178C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vAlign w:val="center"/>
                </w:tcPr>
                <w:p w14:paraId="3AEFDFF9">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5</w:t>
                  </w:r>
                </w:p>
              </w:tc>
              <w:tc>
                <w:tcPr>
                  <w:tcW w:w="701" w:type="pct"/>
                  <w:tcBorders>
                    <w:tl2br w:val="nil"/>
                    <w:tr2bl w:val="nil"/>
                  </w:tcBorders>
                  <w:shd w:val="clear" w:color="auto" w:fill="auto"/>
                  <w:vAlign w:val="center"/>
                </w:tcPr>
                <w:p w14:paraId="05B64E50">
                  <w:pPr>
                    <w:keepNext w:val="0"/>
                    <w:keepLines w:val="0"/>
                    <w:pageBreakBefore w:val="0"/>
                    <w:kinsoku/>
                    <w:wordWrap/>
                    <w:topLinePunct w:val="0"/>
                    <w:bidi w:val="0"/>
                    <w:adjustRightInd w:val="0"/>
                    <w:snapToGrid w:val="0"/>
                    <w:jc w:val="center"/>
                    <w:textAlignment w:val="auto"/>
                    <w:rPr>
                      <w:rFonts w:hint="eastAsia" w:ascii="Times New Roman" w:hAnsi="Times New Roman" w:eastAsia="宋体" w:cs="Times New Roman"/>
                      <w:b w:val="0"/>
                      <w:bCs w:val="0"/>
                      <w:i w:val="0"/>
                      <w:iCs w:val="0"/>
                      <w:color w:val="auto"/>
                      <w:sz w:val="21"/>
                      <w:szCs w:val="21"/>
                      <w:lang w:val="en-US" w:eastAsia="zh-CN"/>
                    </w:rPr>
                  </w:pPr>
                  <w:r>
                    <w:rPr>
                      <w:rFonts w:hint="eastAsia" w:ascii="宋体" w:hAnsi="宋体" w:eastAsia="宋体" w:cs="宋体"/>
                      <w:color w:val="auto"/>
                      <w:szCs w:val="21"/>
                    </w:rPr>
                    <w:t>真空旋盖机</w:t>
                  </w:r>
                </w:p>
              </w:tc>
              <w:tc>
                <w:tcPr>
                  <w:tcW w:w="2418" w:type="pct"/>
                  <w:tcBorders>
                    <w:tl2br w:val="nil"/>
                    <w:tr2bl w:val="nil"/>
                  </w:tcBorders>
                  <w:vAlign w:val="center"/>
                </w:tcPr>
                <w:p w14:paraId="52947669">
                  <w:pPr>
                    <w:keepNext w:val="0"/>
                    <w:keepLines w:val="0"/>
                    <w:pageBreakBefore w:val="0"/>
                    <w:kinsoku/>
                    <w:wordWrap/>
                    <w:topLinePunct w:val="0"/>
                    <w:bidi w:val="0"/>
                    <w:adjustRightInd w:val="0"/>
                    <w:snapToGrid w:val="0"/>
                    <w:jc w:val="left"/>
                    <w:textAlignment w:val="auto"/>
                    <w:rPr>
                      <w:rFonts w:hint="eastAsia"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功率：2.5千瓦</w:t>
                  </w:r>
                  <w:r>
                    <w:rPr>
                      <w:rFonts w:hint="eastAsia" w:cs="Times New Roman"/>
                      <w:b w:val="0"/>
                      <w:bCs w:val="0"/>
                      <w:i w:val="0"/>
                      <w:iCs w:val="0"/>
                      <w:color w:val="auto"/>
                      <w:sz w:val="21"/>
                      <w:szCs w:val="21"/>
                      <w:lang w:val="en-US" w:eastAsia="zh-CN"/>
                    </w:rPr>
                    <w:t>，</w:t>
                  </w:r>
                  <w:r>
                    <w:rPr>
                      <w:rFonts w:hint="eastAsia" w:ascii="Times New Roman" w:hAnsi="Times New Roman" w:eastAsia="宋体" w:cs="Times New Roman"/>
                      <w:b w:val="0"/>
                      <w:bCs w:val="0"/>
                      <w:i w:val="0"/>
                      <w:iCs w:val="0"/>
                      <w:color w:val="auto"/>
                      <w:sz w:val="21"/>
                      <w:szCs w:val="21"/>
                      <w:lang w:val="en-US" w:eastAsia="zh-CN"/>
                    </w:rPr>
                    <w:t>外形尺寸：1600*1000*1800</w:t>
                  </w:r>
                </w:p>
              </w:tc>
              <w:tc>
                <w:tcPr>
                  <w:tcW w:w="606" w:type="pct"/>
                  <w:tcBorders>
                    <w:tl2br w:val="nil"/>
                    <w:tr2bl w:val="nil"/>
                  </w:tcBorders>
                  <w:vAlign w:val="center"/>
                </w:tcPr>
                <w:p w14:paraId="6A3699F2">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66DDB72C">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cs="Times New Roman"/>
                      <w:b w:val="0"/>
                      <w:bCs w:val="0"/>
                      <w:i w:val="0"/>
                      <w:iCs w:val="0"/>
                      <w:color w:val="auto"/>
                      <w:sz w:val="21"/>
                      <w:szCs w:val="21"/>
                      <w:lang w:val="en-US" w:eastAsia="zh-CN"/>
                    </w:rPr>
                    <w:t>台</w:t>
                  </w:r>
                </w:p>
              </w:tc>
              <w:tc>
                <w:tcPr>
                  <w:tcW w:w="408" w:type="pct"/>
                  <w:tcBorders>
                    <w:tl2br w:val="nil"/>
                    <w:tr2bl w:val="nil"/>
                  </w:tcBorders>
                  <w:vAlign w:val="center"/>
                </w:tcPr>
                <w:p w14:paraId="1921B54E">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r w14:paraId="388E4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vAlign w:val="center"/>
                </w:tcPr>
                <w:p w14:paraId="41585F78">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6</w:t>
                  </w:r>
                </w:p>
              </w:tc>
              <w:tc>
                <w:tcPr>
                  <w:tcW w:w="701" w:type="pct"/>
                  <w:tcBorders>
                    <w:tl2br w:val="nil"/>
                    <w:tr2bl w:val="nil"/>
                  </w:tcBorders>
                  <w:shd w:val="clear" w:color="auto" w:fill="auto"/>
                  <w:vAlign w:val="center"/>
                </w:tcPr>
                <w:p w14:paraId="65A10079">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杀菌</w:t>
                  </w:r>
                </w:p>
              </w:tc>
              <w:tc>
                <w:tcPr>
                  <w:tcW w:w="2418" w:type="pct"/>
                  <w:tcBorders>
                    <w:tl2br w:val="nil"/>
                    <w:tr2bl w:val="nil"/>
                  </w:tcBorders>
                  <w:vAlign w:val="center"/>
                </w:tcPr>
                <w:p w14:paraId="5CCA02A6">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606" w:type="pct"/>
                  <w:tcBorders>
                    <w:tl2br w:val="nil"/>
                    <w:tr2bl w:val="nil"/>
                  </w:tcBorders>
                  <w:vAlign w:val="center"/>
                </w:tcPr>
                <w:p w14:paraId="677FEECD">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0ADE60E9">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台</w:t>
                  </w:r>
                </w:p>
              </w:tc>
              <w:tc>
                <w:tcPr>
                  <w:tcW w:w="408" w:type="pct"/>
                  <w:tcBorders>
                    <w:tl2br w:val="nil"/>
                    <w:tr2bl w:val="nil"/>
                  </w:tcBorders>
                  <w:vAlign w:val="center"/>
                </w:tcPr>
                <w:p w14:paraId="0127B59E">
                  <w:pPr>
                    <w:keepNext w:val="0"/>
                    <w:keepLines w:val="0"/>
                    <w:pageBreakBefore w:val="0"/>
                    <w:kinsoku/>
                    <w:wordWrap/>
                    <w:topLinePunct w:val="0"/>
                    <w:bidi w:val="0"/>
                    <w:adjustRightInd w:val="0"/>
                    <w:snapToGrid w:val="0"/>
                    <w:jc w:val="center"/>
                    <w:textAlignment w:val="auto"/>
                    <w:rPr>
                      <w:rFonts w:hint="eastAsia"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共用</w:t>
                  </w:r>
                </w:p>
              </w:tc>
            </w:tr>
            <w:tr w14:paraId="54283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1" w:type="pct"/>
                  <w:tcBorders>
                    <w:tl2br w:val="nil"/>
                    <w:tr2bl w:val="nil"/>
                  </w:tcBorders>
                  <w:vAlign w:val="center"/>
                </w:tcPr>
                <w:p w14:paraId="7EAA4944">
                  <w:pPr>
                    <w:pStyle w:val="69"/>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7</w:t>
                  </w:r>
                </w:p>
              </w:tc>
              <w:tc>
                <w:tcPr>
                  <w:tcW w:w="701" w:type="pct"/>
                  <w:tcBorders>
                    <w:tl2br w:val="nil"/>
                    <w:tr2bl w:val="nil"/>
                  </w:tcBorders>
                  <w:shd w:val="clear" w:color="auto" w:fill="auto"/>
                  <w:vAlign w:val="center"/>
                </w:tcPr>
                <w:p w14:paraId="01B48F8F">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贴标机</w:t>
                  </w:r>
                </w:p>
              </w:tc>
              <w:tc>
                <w:tcPr>
                  <w:tcW w:w="2418" w:type="pct"/>
                  <w:tcBorders>
                    <w:tl2br w:val="nil"/>
                    <w:tr2bl w:val="nil"/>
                  </w:tcBorders>
                  <w:vAlign w:val="center"/>
                </w:tcPr>
                <w:p w14:paraId="7093746F">
                  <w:pPr>
                    <w:keepNext w:val="0"/>
                    <w:keepLines w:val="0"/>
                    <w:pageBreakBefore w:val="0"/>
                    <w:widowControl w:val="0"/>
                    <w:kinsoku/>
                    <w:wordWrap w:val="0"/>
                    <w:overflowPunct/>
                    <w:topLinePunct/>
                    <w:autoSpaceDE/>
                    <w:autoSpaceDN/>
                    <w:bidi w:val="0"/>
                    <w:adjustRightInd w:val="0"/>
                    <w:snapToGrid w:val="0"/>
                    <w:jc w:val="left"/>
                    <w:textAlignment w:val="auto"/>
                    <w:rPr>
                      <w:rFonts w:hint="eastAsia"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功率：16.5千瓦</w:t>
                  </w:r>
                  <w:r>
                    <w:rPr>
                      <w:rFonts w:hint="eastAsia" w:cs="Times New Roman"/>
                      <w:b w:val="0"/>
                      <w:bCs w:val="0"/>
                      <w:i w:val="0"/>
                      <w:iCs w:val="0"/>
                      <w:color w:val="auto"/>
                      <w:sz w:val="21"/>
                      <w:szCs w:val="21"/>
                      <w:lang w:val="en-US" w:eastAsia="zh-CN"/>
                    </w:rPr>
                    <w:t>，</w:t>
                  </w:r>
                  <w:r>
                    <w:rPr>
                      <w:rFonts w:hint="eastAsia" w:ascii="Times New Roman" w:hAnsi="Times New Roman" w:eastAsia="宋体" w:cs="Times New Roman"/>
                      <w:b w:val="0"/>
                      <w:bCs w:val="0"/>
                      <w:i w:val="0"/>
                      <w:iCs w:val="0"/>
                      <w:color w:val="auto"/>
                      <w:sz w:val="21"/>
                      <w:szCs w:val="21"/>
                      <w:lang w:val="en-US" w:eastAsia="zh-CN"/>
                    </w:rPr>
                    <w:t>尺寸：2400*850*1700</w:t>
                  </w:r>
                </w:p>
              </w:tc>
              <w:tc>
                <w:tcPr>
                  <w:tcW w:w="606" w:type="pct"/>
                  <w:tcBorders>
                    <w:tl2br w:val="nil"/>
                    <w:tr2bl w:val="nil"/>
                  </w:tcBorders>
                  <w:vAlign w:val="center"/>
                </w:tcPr>
                <w:p w14:paraId="679F3FED">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w:t>
                  </w:r>
                </w:p>
              </w:tc>
              <w:tc>
                <w:tcPr>
                  <w:tcW w:w="431" w:type="pct"/>
                  <w:tcBorders>
                    <w:tl2br w:val="nil"/>
                    <w:tr2bl w:val="nil"/>
                  </w:tcBorders>
                  <w:vAlign w:val="center"/>
                </w:tcPr>
                <w:p w14:paraId="6BF438EF">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cs="Times New Roman"/>
                      <w:b w:val="0"/>
                      <w:bCs w:val="0"/>
                      <w:i w:val="0"/>
                      <w:iCs w:val="0"/>
                      <w:color w:val="auto"/>
                      <w:sz w:val="21"/>
                      <w:szCs w:val="21"/>
                      <w:lang w:val="en-US" w:eastAsia="zh-CN"/>
                    </w:rPr>
                    <w:t>台</w:t>
                  </w:r>
                </w:p>
              </w:tc>
              <w:tc>
                <w:tcPr>
                  <w:tcW w:w="408" w:type="pct"/>
                  <w:tcBorders>
                    <w:tl2br w:val="nil"/>
                    <w:tr2bl w:val="nil"/>
                  </w:tcBorders>
                  <w:vAlign w:val="center"/>
                </w:tcPr>
                <w:p w14:paraId="69BC48FC">
                  <w:pPr>
                    <w:keepNext w:val="0"/>
                    <w:keepLines w:val="0"/>
                    <w:pageBreakBefore w:val="0"/>
                    <w:kinsoku/>
                    <w:wordWrap/>
                    <w:topLinePunct w:val="0"/>
                    <w:bidi w:val="0"/>
                    <w:adjustRightInd w:val="0"/>
                    <w:snapToGrid w:val="0"/>
                    <w:jc w:val="center"/>
                    <w:textAlignment w:val="auto"/>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1</w:t>
                  </w:r>
                </w:p>
              </w:tc>
            </w:tr>
          </w:tbl>
          <w:p w14:paraId="1D19C72B">
            <w:pPr>
              <w:pStyle w:val="68"/>
              <w:ind w:firstLine="482"/>
              <w:rPr>
                <w:rFonts w:cs="Times New Roman"/>
                <w:b/>
                <w:color w:val="auto"/>
              </w:rPr>
            </w:pPr>
            <w:r>
              <w:rPr>
                <w:rFonts w:hint="eastAsia" w:cs="Times New Roman"/>
                <w:b/>
                <w:color w:val="auto"/>
                <w:lang w:val="en-US" w:eastAsia="zh-CN"/>
              </w:rPr>
              <w:t>5</w:t>
            </w:r>
            <w:r>
              <w:rPr>
                <w:rFonts w:hint="eastAsia" w:cs="Times New Roman"/>
                <w:b/>
                <w:color w:val="auto"/>
              </w:rPr>
              <w:t>、</w:t>
            </w:r>
            <w:r>
              <w:rPr>
                <w:rFonts w:cs="Times New Roman"/>
                <w:b/>
                <w:color w:val="auto"/>
              </w:rPr>
              <w:t xml:space="preserve">原辅料消耗 </w:t>
            </w:r>
          </w:p>
          <w:p w14:paraId="741FCB6E">
            <w:pPr>
              <w:pStyle w:val="168"/>
              <w:ind w:firstLine="480"/>
              <w:rPr>
                <w:color w:val="auto"/>
                <w:sz w:val="24"/>
                <w:szCs w:val="24"/>
              </w:rPr>
            </w:pPr>
            <w:r>
              <w:rPr>
                <w:rFonts w:hint="eastAsia"/>
                <w:color w:val="auto"/>
                <w:sz w:val="24"/>
                <w:szCs w:val="24"/>
              </w:rPr>
              <w:t>（</w:t>
            </w:r>
            <w:r>
              <w:rPr>
                <w:color w:val="auto"/>
                <w:sz w:val="24"/>
                <w:szCs w:val="24"/>
              </w:rPr>
              <w:t>1</w:t>
            </w:r>
            <w:r>
              <w:rPr>
                <w:rFonts w:hint="eastAsia"/>
                <w:color w:val="auto"/>
                <w:sz w:val="24"/>
                <w:szCs w:val="24"/>
              </w:rPr>
              <w:t>）</w:t>
            </w:r>
            <w:r>
              <w:rPr>
                <w:color w:val="auto"/>
                <w:sz w:val="24"/>
                <w:szCs w:val="24"/>
              </w:rPr>
              <w:t>原辅材料及能源消耗</w:t>
            </w:r>
          </w:p>
          <w:p w14:paraId="5341051B">
            <w:pPr>
              <w:pStyle w:val="168"/>
              <w:ind w:firstLine="480"/>
              <w:rPr>
                <w:color w:val="auto"/>
                <w:sz w:val="24"/>
                <w:szCs w:val="24"/>
              </w:rPr>
            </w:pPr>
            <w:r>
              <w:rPr>
                <w:color w:val="auto"/>
                <w:sz w:val="24"/>
                <w:szCs w:val="24"/>
              </w:rPr>
              <w:t>本项目主要</w:t>
            </w:r>
            <w:r>
              <w:rPr>
                <w:rFonts w:hint="eastAsia"/>
                <w:color w:val="auto"/>
                <w:sz w:val="24"/>
                <w:szCs w:val="24"/>
                <w:lang w:val="en-US" w:eastAsia="zh-CN"/>
              </w:rPr>
              <w:t>原辅料如下表所示</w:t>
            </w:r>
            <w:r>
              <w:rPr>
                <w:color w:val="auto"/>
                <w:sz w:val="24"/>
                <w:szCs w:val="24"/>
              </w:rPr>
              <w:t>。</w:t>
            </w:r>
          </w:p>
          <w:p w14:paraId="242EC4CC">
            <w:pPr>
              <w:pStyle w:val="39"/>
              <w:keepNext w:val="0"/>
              <w:keepLines w:val="0"/>
              <w:pageBreakBefore w:val="0"/>
              <w:widowControl w:val="0"/>
              <w:kinsoku/>
              <w:wordWrap/>
              <w:overflowPunct/>
              <w:topLinePunct w:val="0"/>
              <w:autoSpaceDE w:val="0"/>
              <w:autoSpaceDN w:val="0"/>
              <w:bidi w:val="0"/>
              <w:adjustRightInd w:val="0"/>
              <w:snapToGrid/>
              <w:spacing w:before="0" w:beforeLines="0" w:line="360" w:lineRule="auto"/>
              <w:jc w:val="center"/>
              <w:textAlignment w:val="auto"/>
              <w:rPr>
                <w:rFonts w:ascii="Times New Roman" w:hAnsi="Times New Roman" w:cs="Times New Roman"/>
                <w:b/>
                <w:bCs/>
                <w:color w:val="auto"/>
                <w:sz w:val="21"/>
                <w:szCs w:val="21"/>
              </w:rPr>
            </w:pPr>
          </w:p>
          <w:p w14:paraId="73E7CE3E">
            <w:pPr>
              <w:pStyle w:val="39"/>
              <w:keepNext w:val="0"/>
              <w:keepLines w:val="0"/>
              <w:pageBreakBefore w:val="0"/>
              <w:widowControl w:val="0"/>
              <w:kinsoku/>
              <w:wordWrap/>
              <w:overflowPunct/>
              <w:topLinePunct w:val="0"/>
              <w:autoSpaceDE w:val="0"/>
              <w:autoSpaceDN w:val="0"/>
              <w:bidi w:val="0"/>
              <w:adjustRightInd w:val="0"/>
              <w:snapToGrid/>
              <w:spacing w:before="0" w:beforeLines="0" w:line="360" w:lineRule="auto"/>
              <w:jc w:val="center"/>
              <w:textAlignment w:val="auto"/>
              <w:rPr>
                <w:rFonts w:ascii="Times New Roman" w:cs="Times New Roman"/>
                <w:b/>
                <w:bCs/>
                <w:color w:val="auto"/>
                <w:sz w:val="21"/>
                <w:szCs w:val="21"/>
              </w:rPr>
            </w:pPr>
            <w:r>
              <w:rPr>
                <w:rFonts w:ascii="Times New Roman" w:hAnsi="Times New Roman" w:cs="Times New Roman"/>
                <w:b/>
                <w:bCs/>
                <w:color w:val="auto"/>
                <w:sz w:val="21"/>
                <w:szCs w:val="21"/>
              </w:rPr>
              <w:t>表2-</w:t>
            </w:r>
            <w:r>
              <w:rPr>
                <w:rFonts w:hint="eastAsia" w:ascii="Times New Roman" w:hAnsi="Times New Roman" w:cs="Times New Roman"/>
                <w:b/>
                <w:bCs/>
                <w:color w:val="auto"/>
                <w:sz w:val="21"/>
                <w:szCs w:val="21"/>
                <w:lang w:val="en-US" w:eastAsia="zh-CN"/>
              </w:rPr>
              <w:t>5</w:t>
            </w:r>
            <w:r>
              <w:rPr>
                <w:rFonts w:hint="eastAsia"/>
                <w:b/>
                <w:bCs/>
                <w:color w:val="auto"/>
                <w:sz w:val="21"/>
                <w:szCs w:val="21"/>
                <w:lang w:val="en-US" w:eastAsia="zh-CN"/>
              </w:rPr>
              <w:t xml:space="preserve">  </w:t>
            </w:r>
            <w:r>
              <w:rPr>
                <w:rFonts w:ascii="Times New Roman" w:cs="Times New Roman"/>
                <w:b/>
                <w:bCs/>
                <w:color w:val="auto"/>
                <w:sz w:val="21"/>
                <w:szCs w:val="21"/>
              </w:rPr>
              <w:t>原辅料消耗一览表</w:t>
            </w:r>
          </w:p>
          <w:tbl>
            <w:tblPr>
              <w:tblStyle w:val="3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23"/>
              <w:gridCol w:w="2305"/>
              <w:gridCol w:w="1703"/>
              <w:gridCol w:w="2507"/>
            </w:tblGrid>
            <w:tr w14:paraId="1BD40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14" w:type="pct"/>
                  <w:gridSpan w:val="2"/>
                  <w:tcBorders>
                    <w:tl2br w:val="nil"/>
                    <w:tr2bl w:val="nil"/>
                  </w:tcBorders>
                  <w:vAlign w:val="center"/>
                </w:tcPr>
                <w:p w14:paraId="2E819BDC">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b/>
                      <w:color w:val="auto"/>
                      <w:szCs w:val="21"/>
                    </w:rPr>
                  </w:pPr>
                  <w:r>
                    <w:rPr>
                      <w:b/>
                      <w:color w:val="auto"/>
                      <w:szCs w:val="21"/>
                    </w:rPr>
                    <w:t>名称</w:t>
                  </w:r>
                </w:p>
              </w:tc>
              <w:tc>
                <w:tcPr>
                  <w:tcW w:w="1086" w:type="pct"/>
                  <w:tcBorders>
                    <w:tl2br w:val="nil"/>
                    <w:tr2bl w:val="nil"/>
                  </w:tcBorders>
                  <w:vAlign w:val="center"/>
                </w:tcPr>
                <w:p w14:paraId="0B608814">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eastAsia="宋体"/>
                      <w:b/>
                      <w:color w:val="auto"/>
                      <w:szCs w:val="21"/>
                      <w:lang w:eastAsia="zh-CN"/>
                    </w:rPr>
                  </w:pPr>
                  <w:r>
                    <w:rPr>
                      <w:b/>
                      <w:color w:val="auto"/>
                      <w:szCs w:val="21"/>
                    </w:rPr>
                    <w:t>年用量</w:t>
                  </w:r>
                  <w:r>
                    <w:rPr>
                      <w:rFonts w:hint="eastAsia"/>
                      <w:b/>
                      <w:color w:val="auto"/>
                      <w:szCs w:val="21"/>
                      <w:lang w:eastAsia="zh-CN"/>
                    </w:rPr>
                    <w:t>（</w:t>
                  </w:r>
                  <w:r>
                    <w:rPr>
                      <w:rFonts w:hint="eastAsia"/>
                      <w:color w:val="auto"/>
                      <w:szCs w:val="21"/>
                      <w:lang w:val="en-US" w:eastAsia="zh-CN"/>
                    </w:rPr>
                    <w:t>t</w:t>
                  </w:r>
                  <w:r>
                    <w:rPr>
                      <w:rFonts w:hint="eastAsia"/>
                      <w:b/>
                      <w:color w:val="auto"/>
                      <w:szCs w:val="21"/>
                      <w:lang w:eastAsia="zh-CN"/>
                    </w:rPr>
                    <w:t>）</w:t>
                  </w:r>
                </w:p>
              </w:tc>
              <w:tc>
                <w:tcPr>
                  <w:tcW w:w="1599" w:type="pct"/>
                  <w:tcBorders>
                    <w:tl2br w:val="nil"/>
                    <w:tr2bl w:val="nil"/>
                  </w:tcBorders>
                  <w:vAlign w:val="center"/>
                </w:tcPr>
                <w:p w14:paraId="5EB4B57A">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eastAsia="宋体"/>
                      <w:b/>
                      <w:color w:val="auto"/>
                      <w:szCs w:val="21"/>
                      <w:lang w:val="en-US" w:eastAsia="zh-CN"/>
                    </w:rPr>
                  </w:pPr>
                  <w:r>
                    <w:rPr>
                      <w:rFonts w:hint="eastAsia"/>
                      <w:b/>
                      <w:color w:val="auto"/>
                      <w:szCs w:val="21"/>
                      <w:lang w:val="en-US" w:eastAsia="zh-CN"/>
                    </w:rPr>
                    <w:t>来源</w:t>
                  </w:r>
                </w:p>
              </w:tc>
            </w:tr>
            <w:tr w14:paraId="02C42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pct"/>
                  <w:vMerge w:val="restart"/>
                  <w:tcBorders>
                    <w:tl2br w:val="nil"/>
                    <w:tr2bl w:val="nil"/>
                  </w:tcBorders>
                  <w:vAlign w:val="center"/>
                </w:tcPr>
                <w:p w14:paraId="291005AE">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b/>
                      <w:color w:val="auto"/>
                      <w:szCs w:val="21"/>
                    </w:rPr>
                  </w:pPr>
                  <w:r>
                    <w:rPr>
                      <w:b/>
                      <w:color w:val="auto"/>
                      <w:szCs w:val="21"/>
                    </w:rPr>
                    <w:t>原辅材料</w:t>
                  </w:r>
                </w:p>
              </w:tc>
              <w:tc>
                <w:tcPr>
                  <w:tcW w:w="1469" w:type="pct"/>
                  <w:tcBorders>
                    <w:tl2br w:val="nil"/>
                    <w:tr2bl w:val="nil"/>
                  </w:tcBorders>
                  <w:vAlign w:val="center"/>
                </w:tcPr>
                <w:p w14:paraId="5C84FAB3">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eastAsia="宋体"/>
                      <w:color w:val="auto"/>
                      <w:szCs w:val="21"/>
                      <w:lang w:val="en-US" w:eastAsia="zh-CN"/>
                    </w:rPr>
                  </w:pPr>
                  <w:r>
                    <w:rPr>
                      <w:color w:val="auto"/>
                      <w:szCs w:val="21"/>
                    </w:rPr>
                    <w:t>肉羊</w:t>
                  </w:r>
                </w:p>
              </w:tc>
              <w:tc>
                <w:tcPr>
                  <w:tcW w:w="1086" w:type="pct"/>
                  <w:tcBorders>
                    <w:tl2br w:val="nil"/>
                    <w:tr2bl w:val="nil"/>
                  </w:tcBorders>
                  <w:vAlign w:val="center"/>
                </w:tcPr>
                <w:p w14:paraId="0AC770CB">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default" w:eastAsia="宋体"/>
                      <w:color w:val="auto"/>
                      <w:lang w:val="en-US" w:eastAsia="zh-CN"/>
                    </w:rPr>
                  </w:pPr>
                  <w:r>
                    <w:rPr>
                      <w:rFonts w:hint="eastAsia"/>
                      <w:color w:val="auto"/>
                      <w:lang w:val="en-US" w:eastAsia="zh-CN"/>
                    </w:rPr>
                    <w:t>240</w:t>
                  </w:r>
                </w:p>
              </w:tc>
              <w:tc>
                <w:tcPr>
                  <w:tcW w:w="1599" w:type="pct"/>
                  <w:tcBorders>
                    <w:tl2br w:val="nil"/>
                    <w:tr2bl w:val="nil"/>
                  </w:tcBorders>
                  <w:vAlign w:val="center"/>
                </w:tcPr>
                <w:p w14:paraId="7CC1B063">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eastAsia" w:eastAsia="宋体"/>
                      <w:color w:val="auto"/>
                      <w:lang w:eastAsia="zh-CN"/>
                    </w:rPr>
                  </w:pPr>
                  <w:r>
                    <w:rPr>
                      <w:rFonts w:hint="eastAsia"/>
                      <w:color w:val="auto"/>
                      <w:lang w:eastAsia="zh-CN"/>
                    </w:rPr>
                    <w:t>当地正规的冷库屠宰厂</w:t>
                  </w:r>
                </w:p>
              </w:tc>
            </w:tr>
            <w:tr w14:paraId="5F562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pct"/>
                  <w:vMerge w:val="continue"/>
                  <w:tcBorders>
                    <w:tl2br w:val="nil"/>
                    <w:tr2bl w:val="nil"/>
                  </w:tcBorders>
                  <w:vAlign w:val="center"/>
                </w:tcPr>
                <w:p w14:paraId="70CDE06B">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b/>
                      <w:color w:val="auto"/>
                      <w:szCs w:val="21"/>
                    </w:rPr>
                  </w:pPr>
                </w:p>
              </w:tc>
              <w:tc>
                <w:tcPr>
                  <w:tcW w:w="1469" w:type="pct"/>
                  <w:tcBorders>
                    <w:tl2br w:val="nil"/>
                    <w:tr2bl w:val="nil"/>
                  </w:tcBorders>
                  <w:vAlign w:val="center"/>
                </w:tcPr>
                <w:p w14:paraId="1D69A11B">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color w:val="auto"/>
                      <w:szCs w:val="21"/>
                    </w:rPr>
                  </w:pPr>
                  <w:r>
                    <w:rPr>
                      <w:color w:val="auto"/>
                      <w:szCs w:val="21"/>
                    </w:rPr>
                    <w:t>肉牛</w:t>
                  </w:r>
                </w:p>
              </w:tc>
              <w:tc>
                <w:tcPr>
                  <w:tcW w:w="1086" w:type="pct"/>
                  <w:tcBorders>
                    <w:tl2br w:val="nil"/>
                    <w:tr2bl w:val="nil"/>
                  </w:tcBorders>
                  <w:vAlign w:val="center"/>
                </w:tcPr>
                <w:p w14:paraId="0C26B5CD">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default" w:eastAsia="宋体"/>
                      <w:color w:val="auto"/>
                      <w:lang w:val="en-US" w:eastAsia="zh-CN"/>
                    </w:rPr>
                  </w:pPr>
                  <w:r>
                    <w:rPr>
                      <w:rFonts w:hint="eastAsia"/>
                      <w:color w:val="auto"/>
                      <w:lang w:val="en-US" w:eastAsia="zh-CN"/>
                    </w:rPr>
                    <w:t>590</w:t>
                  </w:r>
                </w:p>
              </w:tc>
              <w:tc>
                <w:tcPr>
                  <w:tcW w:w="1599" w:type="pct"/>
                  <w:tcBorders>
                    <w:tl2br w:val="nil"/>
                    <w:tr2bl w:val="nil"/>
                  </w:tcBorders>
                  <w:vAlign w:val="center"/>
                </w:tcPr>
                <w:p w14:paraId="1BB3C593">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color w:val="auto"/>
                    </w:rPr>
                  </w:pPr>
                  <w:r>
                    <w:rPr>
                      <w:rFonts w:hint="eastAsia"/>
                      <w:color w:val="auto"/>
                      <w:lang w:eastAsia="zh-CN"/>
                    </w:rPr>
                    <w:t>当地正规的冷库屠宰厂</w:t>
                  </w:r>
                </w:p>
              </w:tc>
            </w:tr>
            <w:tr w14:paraId="5C19A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pct"/>
                  <w:vMerge w:val="continue"/>
                  <w:tcBorders>
                    <w:tl2br w:val="nil"/>
                    <w:tr2bl w:val="nil"/>
                  </w:tcBorders>
                  <w:vAlign w:val="center"/>
                </w:tcPr>
                <w:p w14:paraId="2E68996B">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b/>
                      <w:color w:val="auto"/>
                      <w:szCs w:val="21"/>
                    </w:rPr>
                  </w:pPr>
                </w:p>
              </w:tc>
              <w:tc>
                <w:tcPr>
                  <w:tcW w:w="1469" w:type="pct"/>
                  <w:tcBorders>
                    <w:tl2br w:val="nil"/>
                    <w:tr2bl w:val="nil"/>
                  </w:tcBorders>
                  <w:vAlign w:val="center"/>
                </w:tcPr>
                <w:p w14:paraId="7929844E">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color w:val="auto"/>
                      <w:szCs w:val="21"/>
                    </w:rPr>
                  </w:pPr>
                  <w:r>
                    <w:rPr>
                      <w:color w:val="auto"/>
                      <w:szCs w:val="21"/>
                    </w:rPr>
                    <w:t>消毒剂</w:t>
                  </w:r>
                </w:p>
              </w:tc>
              <w:tc>
                <w:tcPr>
                  <w:tcW w:w="1086" w:type="pct"/>
                  <w:tcBorders>
                    <w:tl2br w:val="nil"/>
                    <w:tr2bl w:val="nil"/>
                  </w:tcBorders>
                  <w:vAlign w:val="center"/>
                </w:tcPr>
                <w:p w14:paraId="02CFB7E6">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default" w:eastAsia="宋体"/>
                      <w:color w:val="auto"/>
                      <w:lang w:val="en-US" w:eastAsia="zh-CN"/>
                    </w:rPr>
                  </w:pPr>
                  <w:r>
                    <w:rPr>
                      <w:rFonts w:hint="eastAsia"/>
                      <w:color w:val="auto"/>
                      <w:lang w:val="en-US" w:eastAsia="zh-CN"/>
                    </w:rPr>
                    <w:t>0.5</w:t>
                  </w:r>
                </w:p>
              </w:tc>
              <w:tc>
                <w:tcPr>
                  <w:tcW w:w="1599" w:type="pct"/>
                  <w:tcBorders>
                    <w:tl2br w:val="nil"/>
                    <w:tr2bl w:val="nil"/>
                  </w:tcBorders>
                  <w:vAlign w:val="center"/>
                </w:tcPr>
                <w:p w14:paraId="0D5D1064">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eastAsia" w:eastAsia="宋体"/>
                      <w:color w:val="auto"/>
                      <w:lang w:val="en-US" w:eastAsia="zh-CN"/>
                    </w:rPr>
                  </w:pPr>
                  <w:r>
                    <w:rPr>
                      <w:rFonts w:hint="eastAsia"/>
                      <w:color w:val="auto"/>
                      <w:lang w:val="en-US" w:eastAsia="zh-CN"/>
                    </w:rPr>
                    <w:t>外购</w:t>
                  </w:r>
                </w:p>
              </w:tc>
            </w:tr>
            <w:tr w14:paraId="252EA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44" w:type="pct"/>
                  <w:vMerge w:val="continue"/>
                  <w:tcBorders>
                    <w:tl2br w:val="nil"/>
                    <w:tr2bl w:val="nil"/>
                  </w:tcBorders>
                  <w:vAlign w:val="center"/>
                </w:tcPr>
                <w:p w14:paraId="40DC1620">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b/>
                      <w:color w:val="auto"/>
                      <w:szCs w:val="21"/>
                    </w:rPr>
                  </w:pPr>
                </w:p>
              </w:tc>
              <w:tc>
                <w:tcPr>
                  <w:tcW w:w="1469" w:type="pct"/>
                  <w:tcBorders>
                    <w:tl2br w:val="nil"/>
                    <w:tr2bl w:val="nil"/>
                  </w:tcBorders>
                  <w:vAlign w:val="center"/>
                </w:tcPr>
                <w:p w14:paraId="742EE3DD">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color w:val="auto"/>
                      <w:szCs w:val="21"/>
                    </w:rPr>
                  </w:pPr>
                  <w:r>
                    <w:rPr>
                      <w:rFonts w:hint="eastAsia"/>
                      <w:color w:val="auto"/>
                      <w:szCs w:val="21"/>
                    </w:rPr>
                    <w:t>除臭剂</w:t>
                  </w:r>
                </w:p>
              </w:tc>
              <w:tc>
                <w:tcPr>
                  <w:tcW w:w="1086" w:type="pct"/>
                  <w:tcBorders>
                    <w:tl2br w:val="nil"/>
                    <w:tr2bl w:val="nil"/>
                  </w:tcBorders>
                  <w:vAlign w:val="center"/>
                </w:tcPr>
                <w:p w14:paraId="3D069556">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default" w:eastAsia="宋体"/>
                      <w:color w:val="auto"/>
                      <w:lang w:val="en-US" w:eastAsia="zh-CN"/>
                    </w:rPr>
                  </w:pPr>
                  <w:r>
                    <w:rPr>
                      <w:rFonts w:hint="eastAsia"/>
                      <w:color w:val="auto"/>
                      <w:lang w:val="en-US" w:eastAsia="zh-CN"/>
                    </w:rPr>
                    <w:t>0.5</w:t>
                  </w:r>
                </w:p>
              </w:tc>
              <w:tc>
                <w:tcPr>
                  <w:tcW w:w="1599" w:type="pct"/>
                  <w:tcBorders>
                    <w:tl2br w:val="nil"/>
                    <w:tr2bl w:val="nil"/>
                  </w:tcBorders>
                  <w:vAlign w:val="center"/>
                </w:tcPr>
                <w:p w14:paraId="6A9885DE">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color w:val="auto"/>
                    </w:rPr>
                  </w:pPr>
                  <w:r>
                    <w:rPr>
                      <w:rFonts w:hint="eastAsia"/>
                      <w:color w:val="auto"/>
                      <w:lang w:val="en-US" w:eastAsia="zh-CN"/>
                    </w:rPr>
                    <w:t>外购</w:t>
                  </w:r>
                </w:p>
              </w:tc>
            </w:tr>
            <w:tr w14:paraId="2BAD9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pct"/>
                  <w:vMerge w:val="continue"/>
                  <w:tcBorders>
                    <w:tl2br w:val="nil"/>
                    <w:tr2bl w:val="nil"/>
                  </w:tcBorders>
                  <w:vAlign w:val="center"/>
                </w:tcPr>
                <w:p w14:paraId="79468453">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b/>
                      <w:color w:val="auto"/>
                      <w:szCs w:val="21"/>
                    </w:rPr>
                  </w:pPr>
                </w:p>
              </w:tc>
              <w:tc>
                <w:tcPr>
                  <w:tcW w:w="1469" w:type="pct"/>
                  <w:tcBorders>
                    <w:tl2br w:val="nil"/>
                    <w:tr2bl w:val="nil"/>
                  </w:tcBorders>
                  <w:vAlign w:val="center"/>
                </w:tcPr>
                <w:p w14:paraId="7DE6496C">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eastAsia="宋体"/>
                      <w:color w:val="auto"/>
                      <w:szCs w:val="21"/>
                      <w:lang w:val="en-US" w:eastAsia="zh-CN"/>
                    </w:rPr>
                  </w:pPr>
                  <w:r>
                    <w:rPr>
                      <w:rFonts w:hint="eastAsia"/>
                      <w:color w:val="auto"/>
                      <w:szCs w:val="21"/>
                      <w:lang w:val="en-US" w:eastAsia="zh-CN"/>
                    </w:rPr>
                    <w:t>盐</w:t>
                  </w:r>
                </w:p>
              </w:tc>
              <w:tc>
                <w:tcPr>
                  <w:tcW w:w="1086" w:type="pct"/>
                  <w:tcBorders>
                    <w:tl2br w:val="nil"/>
                    <w:tr2bl w:val="nil"/>
                  </w:tcBorders>
                  <w:vAlign w:val="center"/>
                </w:tcPr>
                <w:p w14:paraId="5C8856AC">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default" w:eastAsia="宋体"/>
                      <w:color w:val="auto"/>
                      <w:lang w:val="en-US" w:eastAsia="zh-CN"/>
                    </w:rPr>
                  </w:pPr>
                  <w:r>
                    <w:rPr>
                      <w:rFonts w:hint="eastAsia"/>
                      <w:color w:val="auto"/>
                      <w:lang w:val="en-US" w:eastAsia="zh-CN"/>
                    </w:rPr>
                    <w:t>1.5</w:t>
                  </w:r>
                </w:p>
              </w:tc>
              <w:tc>
                <w:tcPr>
                  <w:tcW w:w="1599" w:type="pct"/>
                  <w:tcBorders>
                    <w:tl2br w:val="nil"/>
                    <w:tr2bl w:val="nil"/>
                  </w:tcBorders>
                  <w:vAlign w:val="center"/>
                </w:tcPr>
                <w:p w14:paraId="3BE485AD">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eastAsia"/>
                      <w:color w:val="auto"/>
                    </w:rPr>
                  </w:pPr>
                  <w:r>
                    <w:rPr>
                      <w:rFonts w:hint="eastAsia"/>
                      <w:color w:val="auto"/>
                      <w:lang w:val="en-US" w:eastAsia="zh-CN"/>
                    </w:rPr>
                    <w:t>外购</w:t>
                  </w:r>
                </w:p>
              </w:tc>
            </w:tr>
            <w:tr w14:paraId="2F6A6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pct"/>
                  <w:vMerge w:val="continue"/>
                  <w:tcBorders>
                    <w:tl2br w:val="nil"/>
                    <w:tr2bl w:val="nil"/>
                  </w:tcBorders>
                  <w:vAlign w:val="center"/>
                </w:tcPr>
                <w:p w14:paraId="7C856211">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b/>
                      <w:color w:val="auto"/>
                      <w:szCs w:val="21"/>
                    </w:rPr>
                  </w:pPr>
                </w:p>
              </w:tc>
              <w:tc>
                <w:tcPr>
                  <w:tcW w:w="1469" w:type="pct"/>
                  <w:tcBorders>
                    <w:tl2br w:val="nil"/>
                    <w:tr2bl w:val="nil"/>
                  </w:tcBorders>
                  <w:vAlign w:val="center"/>
                </w:tcPr>
                <w:p w14:paraId="35A13661">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default"/>
                      <w:color w:val="auto"/>
                      <w:szCs w:val="21"/>
                      <w:lang w:val="en-US" w:eastAsia="zh-CN"/>
                    </w:rPr>
                  </w:pPr>
                  <w:r>
                    <w:rPr>
                      <w:rFonts w:hint="eastAsia"/>
                      <w:color w:val="auto"/>
                      <w:szCs w:val="21"/>
                      <w:lang w:val="en-US" w:eastAsia="zh-CN"/>
                    </w:rPr>
                    <w:t>料酒</w:t>
                  </w:r>
                </w:p>
              </w:tc>
              <w:tc>
                <w:tcPr>
                  <w:tcW w:w="1086" w:type="pct"/>
                  <w:tcBorders>
                    <w:tl2br w:val="nil"/>
                    <w:tr2bl w:val="nil"/>
                  </w:tcBorders>
                  <w:vAlign w:val="center"/>
                </w:tcPr>
                <w:p w14:paraId="0ACCE516">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default" w:eastAsia="宋体"/>
                      <w:color w:val="auto"/>
                      <w:lang w:val="en-US" w:eastAsia="zh-CN"/>
                    </w:rPr>
                  </w:pPr>
                  <w:r>
                    <w:rPr>
                      <w:rFonts w:hint="eastAsia"/>
                      <w:color w:val="auto"/>
                      <w:lang w:val="en-US" w:eastAsia="zh-CN"/>
                    </w:rPr>
                    <w:t>1.5</w:t>
                  </w:r>
                </w:p>
              </w:tc>
              <w:tc>
                <w:tcPr>
                  <w:tcW w:w="1599" w:type="pct"/>
                  <w:tcBorders>
                    <w:tl2br w:val="nil"/>
                    <w:tr2bl w:val="nil"/>
                  </w:tcBorders>
                  <w:vAlign w:val="center"/>
                </w:tcPr>
                <w:p w14:paraId="31F3456D">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eastAsia"/>
                      <w:color w:val="auto"/>
                    </w:rPr>
                  </w:pPr>
                  <w:r>
                    <w:rPr>
                      <w:rFonts w:hint="eastAsia"/>
                      <w:color w:val="auto"/>
                      <w:lang w:val="en-US" w:eastAsia="zh-CN"/>
                    </w:rPr>
                    <w:t>外购</w:t>
                  </w:r>
                </w:p>
              </w:tc>
            </w:tr>
            <w:tr w14:paraId="4888C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pct"/>
                  <w:vMerge w:val="continue"/>
                  <w:tcBorders>
                    <w:tl2br w:val="nil"/>
                    <w:tr2bl w:val="nil"/>
                  </w:tcBorders>
                  <w:vAlign w:val="center"/>
                </w:tcPr>
                <w:p w14:paraId="294160E0">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b/>
                      <w:color w:val="auto"/>
                      <w:szCs w:val="21"/>
                    </w:rPr>
                  </w:pPr>
                </w:p>
              </w:tc>
              <w:tc>
                <w:tcPr>
                  <w:tcW w:w="1469" w:type="pct"/>
                  <w:tcBorders>
                    <w:tl2br w:val="nil"/>
                    <w:tr2bl w:val="nil"/>
                  </w:tcBorders>
                  <w:vAlign w:val="center"/>
                </w:tcPr>
                <w:p w14:paraId="101141A5">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default"/>
                      <w:color w:val="auto"/>
                      <w:szCs w:val="21"/>
                      <w:lang w:val="en-US" w:eastAsia="zh-CN"/>
                    </w:rPr>
                  </w:pPr>
                  <w:r>
                    <w:rPr>
                      <w:rFonts w:hint="eastAsia"/>
                      <w:color w:val="auto"/>
                      <w:szCs w:val="21"/>
                      <w:lang w:val="en-US" w:eastAsia="zh-CN"/>
                    </w:rPr>
                    <w:t>姜片</w:t>
                  </w:r>
                </w:p>
              </w:tc>
              <w:tc>
                <w:tcPr>
                  <w:tcW w:w="1086" w:type="pct"/>
                  <w:tcBorders>
                    <w:tl2br w:val="nil"/>
                    <w:tr2bl w:val="nil"/>
                  </w:tcBorders>
                  <w:vAlign w:val="center"/>
                </w:tcPr>
                <w:p w14:paraId="1D52AE51">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eastAsia="宋体"/>
                      <w:color w:val="auto"/>
                      <w:lang w:val="en-US" w:eastAsia="zh-CN"/>
                    </w:rPr>
                  </w:pPr>
                  <w:r>
                    <w:rPr>
                      <w:rFonts w:hint="eastAsia"/>
                      <w:color w:val="auto"/>
                      <w:lang w:val="en-US" w:eastAsia="zh-CN"/>
                    </w:rPr>
                    <w:t>1.5</w:t>
                  </w:r>
                </w:p>
              </w:tc>
              <w:tc>
                <w:tcPr>
                  <w:tcW w:w="1599" w:type="pct"/>
                  <w:tcBorders>
                    <w:tl2br w:val="nil"/>
                    <w:tr2bl w:val="nil"/>
                  </w:tcBorders>
                  <w:vAlign w:val="center"/>
                </w:tcPr>
                <w:p w14:paraId="298BB4B7">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eastAsia"/>
                      <w:color w:val="auto"/>
                    </w:rPr>
                  </w:pPr>
                  <w:r>
                    <w:rPr>
                      <w:rFonts w:hint="eastAsia"/>
                      <w:color w:val="auto"/>
                      <w:lang w:val="en-US" w:eastAsia="zh-CN"/>
                    </w:rPr>
                    <w:t>外购</w:t>
                  </w:r>
                </w:p>
              </w:tc>
            </w:tr>
            <w:tr w14:paraId="27AC4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pct"/>
                  <w:vMerge w:val="continue"/>
                  <w:tcBorders>
                    <w:tl2br w:val="nil"/>
                    <w:tr2bl w:val="nil"/>
                  </w:tcBorders>
                  <w:vAlign w:val="center"/>
                </w:tcPr>
                <w:p w14:paraId="6E4D402A">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b/>
                      <w:color w:val="auto"/>
                      <w:szCs w:val="21"/>
                    </w:rPr>
                  </w:pPr>
                </w:p>
              </w:tc>
              <w:tc>
                <w:tcPr>
                  <w:tcW w:w="1469" w:type="pct"/>
                  <w:tcBorders>
                    <w:tl2br w:val="nil"/>
                    <w:tr2bl w:val="nil"/>
                  </w:tcBorders>
                  <w:vAlign w:val="center"/>
                </w:tcPr>
                <w:p w14:paraId="7E161F59">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default"/>
                      <w:color w:val="auto"/>
                      <w:szCs w:val="21"/>
                      <w:lang w:val="en-US" w:eastAsia="zh-CN"/>
                    </w:rPr>
                  </w:pPr>
                  <w:r>
                    <w:rPr>
                      <w:rFonts w:hint="eastAsia"/>
                      <w:color w:val="auto"/>
                      <w:szCs w:val="21"/>
                      <w:lang w:val="en-US" w:eastAsia="zh-CN"/>
                    </w:rPr>
                    <w:t>葱段</w:t>
                  </w:r>
                </w:p>
              </w:tc>
              <w:tc>
                <w:tcPr>
                  <w:tcW w:w="1086" w:type="pct"/>
                  <w:tcBorders>
                    <w:tl2br w:val="nil"/>
                    <w:tr2bl w:val="nil"/>
                  </w:tcBorders>
                  <w:vAlign w:val="center"/>
                </w:tcPr>
                <w:p w14:paraId="1819ABE6">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eastAsia="宋体"/>
                      <w:color w:val="auto"/>
                      <w:lang w:val="en-US" w:eastAsia="zh-CN"/>
                    </w:rPr>
                  </w:pPr>
                  <w:r>
                    <w:rPr>
                      <w:rFonts w:hint="eastAsia"/>
                      <w:color w:val="auto"/>
                      <w:lang w:val="en-US" w:eastAsia="zh-CN"/>
                    </w:rPr>
                    <w:t>1.5</w:t>
                  </w:r>
                </w:p>
              </w:tc>
              <w:tc>
                <w:tcPr>
                  <w:tcW w:w="1599" w:type="pct"/>
                  <w:tcBorders>
                    <w:tl2br w:val="nil"/>
                    <w:tr2bl w:val="nil"/>
                  </w:tcBorders>
                  <w:vAlign w:val="center"/>
                </w:tcPr>
                <w:p w14:paraId="212982DE">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eastAsia"/>
                      <w:color w:val="auto"/>
                    </w:rPr>
                  </w:pPr>
                  <w:r>
                    <w:rPr>
                      <w:rFonts w:hint="eastAsia"/>
                      <w:color w:val="auto"/>
                      <w:lang w:val="en-US" w:eastAsia="zh-CN"/>
                    </w:rPr>
                    <w:t>外购</w:t>
                  </w:r>
                </w:p>
              </w:tc>
            </w:tr>
            <w:tr w14:paraId="77D4C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pct"/>
                  <w:vMerge w:val="continue"/>
                  <w:tcBorders>
                    <w:tl2br w:val="nil"/>
                    <w:tr2bl w:val="nil"/>
                  </w:tcBorders>
                  <w:vAlign w:val="center"/>
                </w:tcPr>
                <w:p w14:paraId="572BAA9C">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b/>
                      <w:color w:val="auto"/>
                      <w:szCs w:val="21"/>
                    </w:rPr>
                  </w:pPr>
                </w:p>
              </w:tc>
              <w:tc>
                <w:tcPr>
                  <w:tcW w:w="1469" w:type="pct"/>
                  <w:tcBorders>
                    <w:tl2br w:val="nil"/>
                    <w:tr2bl w:val="nil"/>
                  </w:tcBorders>
                  <w:vAlign w:val="center"/>
                </w:tcPr>
                <w:p w14:paraId="5BCE1D13">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default"/>
                      <w:color w:val="auto"/>
                      <w:szCs w:val="21"/>
                      <w:lang w:val="en-US" w:eastAsia="zh-CN"/>
                    </w:rPr>
                  </w:pPr>
                  <w:r>
                    <w:rPr>
                      <w:rFonts w:hint="eastAsia"/>
                      <w:color w:val="auto"/>
                      <w:szCs w:val="21"/>
                      <w:lang w:val="en-US" w:eastAsia="zh-CN"/>
                    </w:rPr>
                    <w:t>黑胡椒</w:t>
                  </w:r>
                </w:p>
              </w:tc>
              <w:tc>
                <w:tcPr>
                  <w:tcW w:w="1086" w:type="pct"/>
                  <w:tcBorders>
                    <w:tl2br w:val="nil"/>
                    <w:tr2bl w:val="nil"/>
                  </w:tcBorders>
                  <w:vAlign w:val="center"/>
                </w:tcPr>
                <w:p w14:paraId="2B53DA12">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eastAsia="宋体"/>
                      <w:color w:val="auto"/>
                      <w:lang w:val="en-US" w:eastAsia="zh-CN"/>
                    </w:rPr>
                  </w:pPr>
                  <w:r>
                    <w:rPr>
                      <w:rFonts w:hint="eastAsia"/>
                      <w:color w:val="auto"/>
                      <w:lang w:val="en-US" w:eastAsia="zh-CN"/>
                    </w:rPr>
                    <w:t>1.5</w:t>
                  </w:r>
                </w:p>
              </w:tc>
              <w:tc>
                <w:tcPr>
                  <w:tcW w:w="1599" w:type="pct"/>
                  <w:tcBorders>
                    <w:tl2br w:val="nil"/>
                    <w:tr2bl w:val="nil"/>
                  </w:tcBorders>
                  <w:vAlign w:val="center"/>
                </w:tcPr>
                <w:p w14:paraId="0CC856AE">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eastAsia"/>
                      <w:color w:val="auto"/>
                    </w:rPr>
                  </w:pPr>
                  <w:r>
                    <w:rPr>
                      <w:rFonts w:hint="eastAsia"/>
                      <w:color w:val="auto"/>
                      <w:lang w:val="en-US" w:eastAsia="zh-CN"/>
                    </w:rPr>
                    <w:t>外购</w:t>
                  </w:r>
                </w:p>
              </w:tc>
            </w:tr>
            <w:tr w14:paraId="7A659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pct"/>
                  <w:vMerge w:val="continue"/>
                  <w:tcBorders>
                    <w:tl2br w:val="nil"/>
                    <w:tr2bl w:val="nil"/>
                  </w:tcBorders>
                  <w:vAlign w:val="center"/>
                </w:tcPr>
                <w:p w14:paraId="188F1B02">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b/>
                      <w:color w:val="auto"/>
                      <w:szCs w:val="21"/>
                    </w:rPr>
                  </w:pPr>
                </w:p>
              </w:tc>
              <w:tc>
                <w:tcPr>
                  <w:tcW w:w="1469" w:type="pct"/>
                  <w:tcBorders>
                    <w:tl2br w:val="nil"/>
                    <w:tr2bl w:val="nil"/>
                  </w:tcBorders>
                  <w:vAlign w:val="center"/>
                </w:tcPr>
                <w:p w14:paraId="313C4DBC">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default"/>
                      <w:color w:val="auto"/>
                      <w:szCs w:val="21"/>
                      <w:lang w:val="en-US" w:eastAsia="zh-CN"/>
                    </w:rPr>
                  </w:pPr>
                  <w:r>
                    <w:rPr>
                      <w:rFonts w:hint="eastAsia"/>
                      <w:color w:val="auto"/>
                      <w:szCs w:val="21"/>
                      <w:lang w:val="en-US" w:eastAsia="zh-CN"/>
                    </w:rPr>
                    <w:t>香辛料</w:t>
                  </w:r>
                </w:p>
              </w:tc>
              <w:tc>
                <w:tcPr>
                  <w:tcW w:w="1086" w:type="pct"/>
                  <w:tcBorders>
                    <w:tl2br w:val="nil"/>
                    <w:tr2bl w:val="nil"/>
                  </w:tcBorders>
                  <w:vAlign w:val="center"/>
                </w:tcPr>
                <w:p w14:paraId="2F388625">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eastAsia="宋体"/>
                      <w:color w:val="auto"/>
                      <w:lang w:val="en-US" w:eastAsia="zh-CN"/>
                    </w:rPr>
                  </w:pPr>
                  <w:r>
                    <w:rPr>
                      <w:rFonts w:hint="eastAsia"/>
                      <w:color w:val="auto"/>
                      <w:lang w:val="en-US" w:eastAsia="zh-CN"/>
                    </w:rPr>
                    <w:t>1.5</w:t>
                  </w:r>
                </w:p>
              </w:tc>
              <w:tc>
                <w:tcPr>
                  <w:tcW w:w="1599" w:type="pct"/>
                  <w:tcBorders>
                    <w:tl2br w:val="nil"/>
                    <w:tr2bl w:val="nil"/>
                  </w:tcBorders>
                  <w:vAlign w:val="center"/>
                </w:tcPr>
                <w:p w14:paraId="2ECC8CAD">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eastAsia"/>
                      <w:color w:val="auto"/>
                    </w:rPr>
                  </w:pPr>
                  <w:r>
                    <w:rPr>
                      <w:rFonts w:hint="eastAsia"/>
                      <w:color w:val="auto"/>
                      <w:lang w:val="en-US" w:eastAsia="zh-CN"/>
                    </w:rPr>
                    <w:t>外购</w:t>
                  </w:r>
                </w:p>
              </w:tc>
            </w:tr>
            <w:tr w14:paraId="32E35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pct"/>
                  <w:vMerge w:val="continue"/>
                  <w:tcBorders>
                    <w:tl2br w:val="nil"/>
                    <w:tr2bl w:val="nil"/>
                  </w:tcBorders>
                  <w:vAlign w:val="center"/>
                </w:tcPr>
                <w:p w14:paraId="27079C87">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b/>
                      <w:color w:val="auto"/>
                      <w:szCs w:val="21"/>
                    </w:rPr>
                  </w:pPr>
                </w:p>
              </w:tc>
              <w:tc>
                <w:tcPr>
                  <w:tcW w:w="1469" w:type="pct"/>
                  <w:tcBorders>
                    <w:tl2br w:val="nil"/>
                    <w:tr2bl w:val="nil"/>
                  </w:tcBorders>
                  <w:vAlign w:val="center"/>
                </w:tcPr>
                <w:p w14:paraId="4DB7529D">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default"/>
                      <w:color w:val="auto"/>
                      <w:szCs w:val="21"/>
                      <w:lang w:val="en-US" w:eastAsia="zh-CN"/>
                    </w:rPr>
                  </w:pPr>
                  <w:r>
                    <w:rPr>
                      <w:rFonts w:hint="eastAsia"/>
                      <w:color w:val="auto"/>
                      <w:szCs w:val="21"/>
                      <w:lang w:val="en-US" w:eastAsia="zh-CN"/>
                    </w:rPr>
                    <w:t>包装袋</w:t>
                  </w:r>
                </w:p>
              </w:tc>
              <w:tc>
                <w:tcPr>
                  <w:tcW w:w="1086" w:type="pct"/>
                  <w:tcBorders>
                    <w:tl2br w:val="nil"/>
                    <w:tr2bl w:val="nil"/>
                  </w:tcBorders>
                  <w:vAlign w:val="center"/>
                </w:tcPr>
                <w:p w14:paraId="2EAEBA6A">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eastAsia="宋体"/>
                      <w:color w:val="auto"/>
                      <w:lang w:val="en-US" w:eastAsia="zh-CN"/>
                    </w:rPr>
                  </w:pPr>
                  <w:r>
                    <w:rPr>
                      <w:rFonts w:hint="eastAsia"/>
                      <w:color w:val="auto"/>
                      <w:lang w:val="en-US" w:eastAsia="zh-CN"/>
                    </w:rPr>
                    <w:t>1.5</w:t>
                  </w:r>
                </w:p>
              </w:tc>
              <w:tc>
                <w:tcPr>
                  <w:tcW w:w="1599" w:type="pct"/>
                  <w:tcBorders>
                    <w:tl2br w:val="nil"/>
                    <w:tr2bl w:val="nil"/>
                  </w:tcBorders>
                  <w:vAlign w:val="center"/>
                </w:tcPr>
                <w:p w14:paraId="5AEEBBF5">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eastAsia"/>
                      <w:color w:val="auto"/>
                    </w:rPr>
                  </w:pPr>
                  <w:r>
                    <w:rPr>
                      <w:rFonts w:hint="eastAsia"/>
                      <w:color w:val="auto"/>
                      <w:lang w:val="en-US" w:eastAsia="zh-CN"/>
                    </w:rPr>
                    <w:t>外购</w:t>
                  </w:r>
                </w:p>
              </w:tc>
            </w:tr>
            <w:tr w14:paraId="09FAF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pct"/>
                  <w:vMerge w:val="continue"/>
                  <w:tcBorders>
                    <w:tl2br w:val="nil"/>
                    <w:tr2bl w:val="nil"/>
                  </w:tcBorders>
                  <w:vAlign w:val="center"/>
                </w:tcPr>
                <w:p w14:paraId="1C4D77E8">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b/>
                      <w:color w:val="auto"/>
                      <w:szCs w:val="21"/>
                    </w:rPr>
                  </w:pPr>
                </w:p>
              </w:tc>
              <w:tc>
                <w:tcPr>
                  <w:tcW w:w="1469" w:type="pct"/>
                  <w:tcBorders>
                    <w:tl2br w:val="nil"/>
                    <w:tr2bl w:val="nil"/>
                  </w:tcBorders>
                  <w:vAlign w:val="center"/>
                </w:tcPr>
                <w:p w14:paraId="3B001876">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default"/>
                      <w:color w:val="auto"/>
                      <w:szCs w:val="21"/>
                      <w:lang w:val="en-US" w:eastAsia="zh-CN"/>
                    </w:rPr>
                  </w:pPr>
                  <w:r>
                    <w:rPr>
                      <w:rFonts w:hint="eastAsia"/>
                      <w:color w:val="auto"/>
                      <w:szCs w:val="21"/>
                      <w:lang w:val="en-US" w:eastAsia="zh-CN"/>
                    </w:rPr>
                    <w:t>箱子</w:t>
                  </w:r>
                </w:p>
              </w:tc>
              <w:tc>
                <w:tcPr>
                  <w:tcW w:w="1086" w:type="pct"/>
                  <w:tcBorders>
                    <w:tl2br w:val="nil"/>
                    <w:tr2bl w:val="nil"/>
                  </w:tcBorders>
                  <w:vAlign w:val="center"/>
                </w:tcPr>
                <w:p w14:paraId="479D9ED7">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eastAsia" w:eastAsia="宋体"/>
                      <w:color w:val="auto"/>
                      <w:lang w:val="en-US" w:eastAsia="zh-CN"/>
                    </w:rPr>
                  </w:pPr>
                  <w:r>
                    <w:rPr>
                      <w:rFonts w:hint="eastAsia"/>
                      <w:color w:val="auto"/>
                      <w:lang w:val="en-US" w:eastAsia="zh-CN"/>
                    </w:rPr>
                    <w:t>5</w:t>
                  </w:r>
                </w:p>
              </w:tc>
              <w:tc>
                <w:tcPr>
                  <w:tcW w:w="1599" w:type="pct"/>
                  <w:tcBorders>
                    <w:tl2br w:val="nil"/>
                    <w:tr2bl w:val="nil"/>
                  </w:tcBorders>
                  <w:vAlign w:val="center"/>
                </w:tcPr>
                <w:p w14:paraId="165FA11A">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eastAsia"/>
                      <w:color w:val="auto"/>
                    </w:rPr>
                  </w:pPr>
                  <w:r>
                    <w:rPr>
                      <w:rFonts w:hint="eastAsia"/>
                      <w:color w:val="auto"/>
                      <w:lang w:val="en-US" w:eastAsia="zh-CN"/>
                    </w:rPr>
                    <w:t>外购</w:t>
                  </w:r>
                </w:p>
              </w:tc>
            </w:tr>
            <w:tr w14:paraId="68DE2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pct"/>
                  <w:vMerge w:val="continue"/>
                  <w:tcBorders>
                    <w:tl2br w:val="nil"/>
                    <w:tr2bl w:val="nil"/>
                  </w:tcBorders>
                  <w:vAlign w:val="center"/>
                </w:tcPr>
                <w:p w14:paraId="7C48E389">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b/>
                      <w:color w:val="auto"/>
                      <w:szCs w:val="21"/>
                    </w:rPr>
                  </w:pPr>
                </w:p>
              </w:tc>
              <w:tc>
                <w:tcPr>
                  <w:tcW w:w="1469" w:type="pct"/>
                  <w:tcBorders>
                    <w:tl2br w:val="nil"/>
                    <w:tr2bl w:val="nil"/>
                  </w:tcBorders>
                  <w:vAlign w:val="center"/>
                </w:tcPr>
                <w:p w14:paraId="2FEFDAC9">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default"/>
                      <w:color w:val="auto"/>
                      <w:szCs w:val="21"/>
                      <w:lang w:val="en-US" w:eastAsia="zh-CN"/>
                    </w:rPr>
                  </w:pPr>
                  <w:r>
                    <w:rPr>
                      <w:rFonts w:hint="eastAsia"/>
                      <w:color w:val="auto"/>
                      <w:szCs w:val="21"/>
                      <w:lang w:val="en-US" w:eastAsia="zh-CN"/>
                    </w:rPr>
                    <w:t>罐头盒子</w:t>
                  </w:r>
                </w:p>
              </w:tc>
              <w:tc>
                <w:tcPr>
                  <w:tcW w:w="1086" w:type="pct"/>
                  <w:tcBorders>
                    <w:tl2br w:val="nil"/>
                    <w:tr2bl w:val="nil"/>
                  </w:tcBorders>
                  <w:vAlign w:val="center"/>
                </w:tcPr>
                <w:p w14:paraId="52FC0A8E">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eastAsia" w:eastAsia="宋体"/>
                      <w:color w:val="auto"/>
                      <w:lang w:val="en-US" w:eastAsia="zh-CN"/>
                    </w:rPr>
                  </w:pPr>
                  <w:r>
                    <w:rPr>
                      <w:rFonts w:hint="eastAsia"/>
                      <w:color w:val="auto"/>
                      <w:lang w:val="en-US" w:eastAsia="zh-CN"/>
                    </w:rPr>
                    <w:t>5</w:t>
                  </w:r>
                </w:p>
              </w:tc>
              <w:tc>
                <w:tcPr>
                  <w:tcW w:w="1599" w:type="pct"/>
                  <w:tcBorders>
                    <w:tl2br w:val="nil"/>
                    <w:tr2bl w:val="nil"/>
                  </w:tcBorders>
                  <w:vAlign w:val="center"/>
                </w:tcPr>
                <w:p w14:paraId="16C121AF">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eastAsia"/>
                      <w:color w:val="auto"/>
                    </w:rPr>
                  </w:pPr>
                  <w:r>
                    <w:rPr>
                      <w:rFonts w:hint="eastAsia"/>
                      <w:color w:val="auto"/>
                      <w:lang w:val="en-US" w:eastAsia="zh-CN"/>
                    </w:rPr>
                    <w:t>外购</w:t>
                  </w:r>
                </w:p>
              </w:tc>
            </w:tr>
          </w:tbl>
          <w:p w14:paraId="571F440B">
            <w:pPr>
              <w:numPr>
                <w:ilvl w:val="255"/>
                <w:numId w:val="0"/>
              </w:numPr>
              <w:spacing w:line="360" w:lineRule="auto"/>
              <w:ind w:firstLine="482" w:firstLineChars="200"/>
              <w:rPr>
                <w:rFonts w:hint="default"/>
                <w:b/>
                <w:color w:val="auto"/>
                <w:sz w:val="24"/>
                <w:lang w:val="en-US" w:eastAsia="zh-CN"/>
              </w:rPr>
            </w:pPr>
            <w:r>
              <w:rPr>
                <w:rFonts w:hint="eastAsia"/>
                <w:b/>
                <w:color w:val="auto"/>
                <w:sz w:val="24"/>
                <w:lang w:val="en-US" w:eastAsia="zh-CN"/>
              </w:rPr>
              <w:t>6、物料平衡分析</w:t>
            </w:r>
          </w:p>
          <w:p w14:paraId="38A91204">
            <w:pPr>
              <w:numPr>
                <w:ilvl w:val="255"/>
                <w:numId w:val="0"/>
              </w:numPr>
              <w:spacing w:line="360" w:lineRule="auto"/>
              <w:ind w:firstLine="480" w:firstLineChars="200"/>
              <w:rPr>
                <w:rFonts w:hint="default"/>
                <w:b/>
                <w:color w:val="auto"/>
                <w:sz w:val="24"/>
                <w:lang w:val="en-US" w:eastAsia="zh-CN"/>
              </w:rPr>
            </w:pPr>
            <w:r>
              <w:rPr>
                <w:rFonts w:hint="eastAsia"/>
                <w:b w:val="0"/>
                <w:bCs/>
                <w:color w:val="auto"/>
                <w:sz w:val="24"/>
                <w:lang w:val="en-US" w:eastAsia="zh-CN"/>
              </w:rPr>
              <w:t>本项目的物料平衡见下表。</w:t>
            </w:r>
          </w:p>
          <w:p w14:paraId="1F8DF134">
            <w:pPr>
              <w:keepNext w:val="0"/>
              <w:keepLines w:val="0"/>
              <w:pageBreakBefore w:val="0"/>
              <w:widowControl w:val="0"/>
              <w:numPr>
                <w:ilvl w:val="255"/>
                <w:numId w:val="0"/>
              </w:numPr>
              <w:kinsoku/>
              <w:wordWrap/>
              <w:overflowPunct/>
              <w:topLinePunct w:val="0"/>
              <w:autoSpaceDE/>
              <w:autoSpaceDN/>
              <w:bidi w:val="0"/>
              <w:adjustRightInd w:val="0"/>
              <w:snapToGrid w:val="0"/>
              <w:spacing w:line="360" w:lineRule="auto"/>
              <w:ind w:firstLine="0" w:firstLineChars="0"/>
              <w:jc w:val="center"/>
              <w:textAlignment w:val="auto"/>
              <w:rPr>
                <w:rFonts w:hint="default"/>
                <w:b/>
                <w:color w:val="auto"/>
                <w:sz w:val="24"/>
                <w:lang w:val="en-US" w:eastAsia="zh-CN"/>
              </w:rPr>
            </w:pPr>
            <w:r>
              <w:rPr>
                <w:rFonts w:hint="eastAsia"/>
                <w:b/>
                <w:color w:val="auto"/>
                <w:sz w:val="21"/>
                <w:szCs w:val="21"/>
                <w:lang w:val="en-US" w:eastAsia="zh-CN"/>
              </w:rPr>
              <w:t>表2-6  原辅料物料平衡</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4"/>
              <w:gridCol w:w="1081"/>
              <w:gridCol w:w="1206"/>
              <w:gridCol w:w="1049"/>
              <w:gridCol w:w="1294"/>
              <w:gridCol w:w="1258"/>
              <w:gridCol w:w="1096"/>
            </w:tblGrid>
            <w:tr w14:paraId="223A8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vMerge w:val="restart"/>
                  <w:vAlign w:val="center"/>
                </w:tcPr>
                <w:p w14:paraId="6299D1FD">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序号</w:t>
                  </w:r>
                </w:p>
              </w:tc>
              <w:tc>
                <w:tcPr>
                  <w:tcW w:w="1459" w:type="pct"/>
                  <w:gridSpan w:val="2"/>
                  <w:vAlign w:val="center"/>
                </w:tcPr>
                <w:p w14:paraId="1E6B1C6D">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投入</w:t>
                  </w:r>
                </w:p>
              </w:tc>
              <w:tc>
                <w:tcPr>
                  <w:tcW w:w="2995" w:type="pct"/>
                  <w:gridSpan w:val="4"/>
                  <w:vAlign w:val="center"/>
                </w:tcPr>
                <w:p w14:paraId="33116B19">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eastAsia"/>
                      <w:b/>
                      <w:color w:val="auto"/>
                      <w:sz w:val="21"/>
                      <w:szCs w:val="21"/>
                      <w:vertAlign w:val="baseline"/>
                      <w:lang w:val="en-US" w:eastAsia="zh-CN"/>
                    </w:rPr>
                  </w:pPr>
                  <w:r>
                    <w:rPr>
                      <w:rFonts w:hint="eastAsia"/>
                      <w:b/>
                      <w:color w:val="auto"/>
                      <w:sz w:val="21"/>
                      <w:szCs w:val="21"/>
                      <w:vertAlign w:val="baseline"/>
                      <w:lang w:val="en-US" w:eastAsia="zh-CN"/>
                    </w:rPr>
                    <w:t>产出</w:t>
                  </w:r>
                </w:p>
              </w:tc>
            </w:tr>
            <w:tr w14:paraId="76400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vMerge w:val="continue"/>
                  <w:vAlign w:val="center"/>
                </w:tcPr>
                <w:p w14:paraId="5F650E58">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eastAsia"/>
                      <w:b/>
                      <w:color w:val="auto"/>
                      <w:sz w:val="21"/>
                      <w:szCs w:val="21"/>
                      <w:vertAlign w:val="baseline"/>
                      <w:lang w:val="en-US" w:eastAsia="zh-CN"/>
                    </w:rPr>
                  </w:pPr>
                </w:p>
              </w:tc>
              <w:tc>
                <w:tcPr>
                  <w:tcW w:w="690" w:type="pct"/>
                  <w:vAlign w:val="center"/>
                </w:tcPr>
                <w:p w14:paraId="333D4B8A">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物料名称</w:t>
                  </w:r>
                </w:p>
              </w:tc>
              <w:tc>
                <w:tcPr>
                  <w:tcW w:w="769" w:type="pct"/>
                  <w:vAlign w:val="center"/>
                </w:tcPr>
                <w:p w14:paraId="0AA3C21D">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数量（t/a）</w:t>
                  </w:r>
                </w:p>
              </w:tc>
              <w:tc>
                <w:tcPr>
                  <w:tcW w:w="669" w:type="pct"/>
                  <w:vAlign w:val="center"/>
                </w:tcPr>
                <w:p w14:paraId="797D7DC2">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类别</w:t>
                  </w:r>
                </w:p>
              </w:tc>
              <w:tc>
                <w:tcPr>
                  <w:tcW w:w="825" w:type="pct"/>
                  <w:vAlign w:val="center"/>
                </w:tcPr>
                <w:p w14:paraId="06AF3E53">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名称</w:t>
                  </w:r>
                </w:p>
              </w:tc>
              <w:tc>
                <w:tcPr>
                  <w:tcW w:w="802" w:type="pct"/>
                  <w:vAlign w:val="center"/>
                </w:tcPr>
                <w:p w14:paraId="7B2B839B">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数量（t/a）</w:t>
                  </w:r>
                </w:p>
              </w:tc>
              <w:tc>
                <w:tcPr>
                  <w:tcW w:w="697" w:type="pct"/>
                  <w:vAlign w:val="center"/>
                </w:tcPr>
                <w:p w14:paraId="1B7989E2">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备注</w:t>
                  </w:r>
                </w:p>
              </w:tc>
            </w:tr>
            <w:tr w14:paraId="4AEC4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vAlign w:val="center"/>
                </w:tcPr>
                <w:p w14:paraId="12B060FC">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1</w:t>
                  </w:r>
                </w:p>
              </w:tc>
              <w:tc>
                <w:tcPr>
                  <w:tcW w:w="690" w:type="pct"/>
                  <w:vAlign w:val="center"/>
                </w:tcPr>
                <w:p w14:paraId="29E1B3CC">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牛羊肉罐头</w:t>
                  </w:r>
                </w:p>
              </w:tc>
              <w:tc>
                <w:tcPr>
                  <w:tcW w:w="769" w:type="pct"/>
                  <w:vAlign w:val="center"/>
                </w:tcPr>
                <w:p w14:paraId="00D39798">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480</w:t>
                  </w:r>
                </w:p>
              </w:tc>
              <w:tc>
                <w:tcPr>
                  <w:tcW w:w="669" w:type="pct"/>
                  <w:vAlign w:val="center"/>
                </w:tcPr>
                <w:p w14:paraId="6B5455E1">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成品</w:t>
                  </w:r>
                </w:p>
              </w:tc>
              <w:tc>
                <w:tcPr>
                  <w:tcW w:w="825" w:type="pct"/>
                  <w:vAlign w:val="center"/>
                </w:tcPr>
                <w:p w14:paraId="730EEF0C">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牛羊肉罐头</w:t>
                  </w:r>
                </w:p>
              </w:tc>
              <w:tc>
                <w:tcPr>
                  <w:tcW w:w="802" w:type="pct"/>
                  <w:vAlign w:val="center"/>
                </w:tcPr>
                <w:p w14:paraId="28AB91CF">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750</w:t>
                  </w:r>
                </w:p>
              </w:tc>
              <w:tc>
                <w:tcPr>
                  <w:tcW w:w="697" w:type="pct"/>
                  <w:vAlign w:val="center"/>
                </w:tcPr>
                <w:p w14:paraId="494DBC09">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r>
            <w:tr w14:paraId="230D8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vAlign w:val="center"/>
                </w:tcPr>
                <w:p w14:paraId="1F6670F0">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2</w:t>
                  </w:r>
                </w:p>
              </w:tc>
              <w:tc>
                <w:tcPr>
                  <w:tcW w:w="690" w:type="pct"/>
                  <w:vAlign w:val="center"/>
                </w:tcPr>
                <w:p w14:paraId="32EDA164">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牛肉干</w:t>
                  </w:r>
                </w:p>
              </w:tc>
              <w:tc>
                <w:tcPr>
                  <w:tcW w:w="769" w:type="pct"/>
                  <w:vAlign w:val="center"/>
                </w:tcPr>
                <w:p w14:paraId="06601C98">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350</w:t>
                  </w:r>
                </w:p>
              </w:tc>
              <w:tc>
                <w:tcPr>
                  <w:tcW w:w="669" w:type="pct"/>
                  <w:vAlign w:val="center"/>
                </w:tcPr>
                <w:p w14:paraId="1767FB9A">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b/>
                      <w:color w:val="auto"/>
                      <w:sz w:val="21"/>
                      <w:szCs w:val="21"/>
                      <w:vertAlign w:val="baseline"/>
                      <w:lang w:val="en-US" w:eastAsia="zh-CN"/>
                    </w:rPr>
                  </w:pPr>
                  <w:r>
                    <w:rPr>
                      <w:rFonts w:hint="eastAsia"/>
                      <w:b/>
                      <w:color w:val="auto"/>
                      <w:sz w:val="21"/>
                      <w:szCs w:val="21"/>
                      <w:vertAlign w:val="baseline"/>
                      <w:lang w:val="en-US" w:eastAsia="zh-CN"/>
                    </w:rPr>
                    <w:t>成品</w:t>
                  </w:r>
                </w:p>
              </w:tc>
              <w:tc>
                <w:tcPr>
                  <w:tcW w:w="825" w:type="pct"/>
                  <w:vAlign w:val="center"/>
                </w:tcPr>
                <w:p w14:paraId="4782FC81">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ind w:left="0" w:leftChars="0" w:firstLine="0" w:firstLineChars="0"/>
                    <w:jc w:val="center"/>
                    <w:textAlignment w:val="auto"/>
                    <w:rPr>
                      <w:rFonts w:hint="eastAsia"/>
                      <w:b/>
                      <w:color w:val="auto"/>
                      <w:sz w:val="21"/>
                      <w:szCs w:val="21"/>
                      <w:vertAlign w:val="baseline"/>
                      <w:lang w:val="en-US" w:eastAsia="zh-CN"/>
                    </w:rPr>
                  </w:pPr>
                  <w:r>
                    <w:rPr>
                      <w:rFonts w:hint="eastAsia"/>
                      <w:b/>
                      <w:color w:val="auto"/>
                      <w:sz w:val="21"/>
                      <w:szCs w:val="21"/>
                      <w:vertAlign w:val="baseline"/>
                      <w:lang w:val="en-US" w:eastAsia="zh-CN"/>
                    </w:rPr>
                    <w:t>牛肉干</w:t>
                  </w:r>
                </w:p>
              </w:tc>
              <w:tc>
                <w:tcPr>
                  <w:tcW w:w="802" w:type="pct"/>
                  <w:vAlign w:val="center"/>
                </w:tcPr>
                <w:p w14:paraId="10BD7637">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100</w:t>
                  </w:r>
                </w:p>
              </w:tc>
              <w:tc>
                <w:tcPr>
                  <w:tcW w:w="697" w:type="pct"/>
                  <w:vAlign w:val="center"/>
                </w:tcPr>
                <w:p w14:paraId="4D62BBF3">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r>
            <w:tr w14:paraId="7EAB5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vAlign w:val="center"/>
                </w:tcPr>
                <w:p w14:paraId="46319529">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3</w:t>
                  </w:r>
                </w:p>
              </w:tc>
              <w:tc>
                <w:tcPr>
                  <w:tcW w:w="690" w:type="pct"/>
                  <w:vAlign w:val="center"/>
                </w:tcPr>
                <w:p w14:paraId="79EF1F15">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用水</w:t>
                  </w:r>
                </w:p>
              </w:tc>
              <w:tc>
                <w:tcPr>
                  <w:tcW w:w="769" w:type="pct"/>
                  <w:vAlign w:val="center"/>
                </w:tcPr>
                <w:p w14:paraId="2B5B0895">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1125</w:t>
                  </w:r>
                </w:p>
              </w:tc>
              <w:tc>
                <w:tcPr>
                  <w:tcW w:w="669" w:type="pct"/>
                  <w:vAlign w:val="center"/>
                </w:tcPr>
                <w:p w14:paraId="0C725BC2">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废水</w:t>
                  </w:r>
                </w:p>
              </w:tc>
              <w:tc>
                <w:tcPr>
                  <w:tcW w:w="825" w:type="pct"/>
                  <w:vAlign w:val="center"/>
                </w:tcPr>
                <w:p w14:paraId="2E96E228">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腌制、清洗、蒸煮废水</w:t>
                  </w:r>
                </w:p>
              </w:tc>
              <w:tc>
                <w:tcPr>
                  <w:tcW w:w="802" w:type="pct"/>
                  <w:vAlign w:val="center"/>
                </w:tcPr>
                <w:p w14:paraId="210F7BDE">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900</w:t>
                  </w:r>
                </w:p>
              </w:tc>
              <w:tc>
                <w:tcPr>
                  <w:tcW w:w="697" w:type="pct"/>
                  <w:vAlign w:val="center"/>
                </w:tcPr>
                <w:p w14:paraId="1BED4042">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损耗约80%（225）</w:t>
                  </w:r>
                </w:p>
              </w:tc>
            </w:tr>
            <w:tr w14:paraId="1BAED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vAlign w:val="center"/>
                </w:tcPr>
                <w:p w14:paraId="03134A6E">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4</w:t>
                  </w:r>
                </w:p>
              </w:tc>
              <w:tc>
                <w:tcPr>
                  <w:tcW w:w="690" w:type="pct"/>
                  <w:shd w:val="clear" w:color="auto" w:fill="auto"/>
                  <w:vAlign w:val="center"/>
                </w:tcPr>
                <w:p w14:paraId="19A729C1">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ascii="Times New Roman" w:hAnsi="Times New Roman" w:eastAsia="宋体" w:cs="Times New Roman"/>
                      <w:b/>
                      <w:bCs/>
                      <w:color w:val="auto"/>
                      <w:kern w:val="2"/>
                      <w:sz w:val="21"/>
                      <w:szCs w:val="21"/>
                      <w:lang w:val="en-US" w:eastAsia="zh-CN" w:bidi="ar-SA"/>
                    </w:rPr>
                  </w:pPr>
                  <w:r>
                    <w:rPr>
                      <w:rFonts w:hint="eastAsia"/>
                      <w:b/>
                      <w:bCs/>
                      <w:color w:val="auto"/>
                      <w:szCs w:val="21"/>
                      <w:lang w:val="en-US" w:eastAsia="zh-CN"/>
                    </w:rPr>
                    <w:t>盐</w:t>
                  </w:r>
                </w:p>
              </w:tc>
              <w:tc>
                <w:tcPr>
                  <w:tcW w:w="769" w:type="pct"/>
                  <w:vAlign w:val="center"/>
                </w:tcPr>
                <w:p w14:paraId="79B9EFA6">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default"/>
                      <w:b/>
                      <w:color w:val="auto"/>
                      <w:sz w:val="21"/>
                      <w:szCs w:val="21"/>
                      <w:vertAlign w:val="baseline"/>
                      <w:lang w:val="en-US" w:eastAsia="zh-CN"/>
                    </w:rPr>
                  </w:pPr>
                  <w:r>
                    <w:rPr>
                      <w:rFonts w:hint="eastAsia"/>
                      <w:color w:val="auto"/>
                      <w:lang w:val="en-US" w:eastAsia="zh-CN"/>
                    </w:rPr>
                    <w:t>1.5</w:t>
                  </w:r>
                </w:p>
              </w:tc>
              <w:tc>
                <w:tcPr>
                  <w:tcW w:w="669" w:type="pct"/>
                  <w:vMerge w:val="restart"/>
                  <w:vAlign w:val="center"/>
                </w:tcPr>
                <w:p w14:paraId="4BCD61BC">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固废</w:t>
                  </w:r>
                </w:p>
              </w:tc>
              <w:tc>
                <w:tcPr>
                  <w:tcW w:w="825" w:type="pct"/>
                  <w:vAlign w:val="center"/>
                </w:tcPr>
                <w:p w14:paraId="1B5F4075">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废包装材料</w:t>
                  </w:r>
                </w:p>
              </w:tc>
              <w:tc>
                <w:tcPr>
                  <w:tcW w:w="802" w:type="pct"/>
                  <w:vAlign w:val="center"/>
                </w:tcPr>
                <w:p w14:paraId="30A31A3E">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0.2</w:t>
                  </w:r>
                </w:p>
              </w:tc>
              <w:tc>
                <w:tcPr>
                  <w:tcW w:w="697" w:type="pct"/>
                  <w:vAlign w:val="center"/>
                </w:tcPr>
                <w:p w14:paraId="38645DE9">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r>
            <w:tr w14:paraId="61527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shd w:val="clear" w:color="auto" w:fill="auto"/>
                  <w:vAlign w:val="center"/>
                </w:tcPr>
                <w:p w14:paraId="42A90758">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color w:val="auto"/>
                      <w:kern w:val="2"/>
                      <w:sz w:val="21"/>
                      <w:szCs w:val="21"/>
                      <w:vertAlign w:val="baseline"/>
                      <w:lang w:val="en-US" w:eastAsia="zh-CN" w:bidi="ar-SA"/>
                    </w:rPr>
                  </w:pPr>
                  <w:r>
                    <w:rPr>
                      <w:rFonts w:hint="eastAsia"/>
                      <w:b/>
                      <w:color w:val="auto"/>
                      <w:sz w:val="21"/>
                      <w:szCs w:val="21"/>
                      <w:vertAlign w:val="baseline"/>
                      <w:lang w:val="en-US" w:eastAsia="zh-CN"/>
                    </w:rPr>
                    <w:t>5</w:t>
                  </w:r>
                </w:p>
              </w:tc>
              <w:tc>
                <w:tcPr>
                  <w:tcW w:w="690" w:type="pct"/>
                  <w:shd w:val="clear" w:color="auto" w:fill="auto"/>
                  <w:vAlign w:val="center"/>
                </w:tcPr>
                <w:p w14:paraId="558E882E">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ascii="Times New Roman" w:hAnsi="Times New Roman" w:eastAsia="宋体" w:cs="Times New Roman"/>
                      <w:b/>
                      <w:bCs/>
                      <w:color w:val="auto"/>
                      <w:kern w:val="2"/>
                      <w:sz w:val="21"/>
                      <w:szCs w:val="21"/>
                      <w:lang w:val="en-US" w:eastAsia="zh-CN" w:bidi="ar-SA"/>
                    </w:rPr>
                  </w:pPr>
                  <w:r>
                    <w:rPr>
                      <w:rFonts w:hint="eastAsia"/>
                      <w:b/>
                      <w:bCs/>
                      <w:color w:val="auto"/>
                      <w:szCs w:val="21"/>
                      <w:lang w:val="en-US" w:eastAsia="zh-CN"/>
                    </w:rPr>
                    <w:t>料酒</w:t>
                  </w:r>
                </w:p>
              </w:tc>
              <w:tc>
                <w:tcPr>
                  <w:tcW w:w="769" w:type="pct"/>
                  <w:vAlign w:val="center"/>
                </w:tcPr>
                <w:p w14:paraId="14306BA7">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default"/>
                      <w:b/>
                      <w:color w:val="auto"/>
                      <w:sz w:val="21"/>
                      <w:szCs w:val="21"/>
                      <w:vertAlign w:val="baseline"/>
                      <w:lang w:val="en-US" w:eastAsia="zh-CN"/>
                    </w:rPr>
                  </w:pPr>
                  <w:r>
                    <w:rPr>
                      <w:rFonts w:hint="eastAsia"/>
                      <w:color w:val="auto"/>
                      <w:lang w:val="en-US" w:eastAsia="zh-CN"/>
                    </w:rPr>
                    <w:t>1.5</w:t>
                  </w:r>
                </w:p>
              </w:tc>
              <w:tc>
                <w:tcPr>
                  <w:tcW w:w="669" w:type="pct"/>
                  <w:vMerge w:val="continue"/>
                  <w:vAlign w:val="center"/>
                </w:tcPr>
                <w:p w14:paraId="5D0A2778">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eastAsia"/>
                      <w:b/>
                      <w:color w:val="auto"/>
                      <w:sz w:val="21"/>
                      <w:szCs w:val="21"/>
                      <w:vertAlign w:val="baseline"/>
                      <w:lang w:val="en-US" w:eastAsia="zh-CN"/>
                    </w:rPr>
                  </w:pPr>
                </w:p>
              </w:tc>
              <w:tc>
                <w:tcPr>
                  <w:tcW w:w="825" w:type="pct"/>
                  <w:shd w:val="clear" w:color="auto" w:fill="auto"/>
                  <w:vAlign w:val="center"/>
                </w:tcPr>
                <w:p w14:paraId="6B8815D8">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color w:val="auto"/>
                      <w:kern w:val="2"/>
                      <w:sz w:val="21"/>
                      <w:szCs w:val="21"/>
                      <w:vertAlign w:val="baseline"/>
                      <w:lang w:val="en-US" w:eastAsia="zh-CN" w:bidi="ar-SA"/>
                    </w:rPr>
                  </w:pPr>
                  <w:r>
                    <w:rPr>
                      <w:rFonts w:hint="eastAsia"/>
                      <w:b/>
                      <w:color w:val="auto"/>
                      <w:sz w:val="21"/>
                      <w:szCs w:val="21"/>
                      <w:vertAlign w:val="baseline"/>
                      <w:lang w:val="en-US" w:eastAsia="zh-CN"/>
                    </w:rPr>
                    <w:t>肉渣</w:t>
                  </w:r>
                </w:p>
              </w:tc>
              <w:tc>
                <w:tcPr>
                  <w:tcW w:w="802" w:type="pct"/>
                  <w:vAlign w:val="center"/>
                </w:tcPr>
                <w:p w14:paraId="3FA2E219">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0.1</w:t>
                  </w:r>
                </w:p>
              </w:tc>
              <w:tc>
                <w:tcPr>
                  <w:tcW w:w="697" w:type="pct"/>
                  <w:vAlign w:val="center"/>
                </w:tcPr>
                <w:p w14:paraId="0073380C">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r>
            <w:tr w14:paraId="7CABB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shd w:val="clear" w:color="auto" w:fill="auto"/>
                  <w:vAlign w:val="center"/>
                </w:tcPr>
                <w:p w14:paraId="1F2C0D38">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color w:val="auto"/>
                      <w:kern w:val="2"/>
                      <w:sz w:val="21"/>
                      <w:szCs w:val="21"/>
                      <w:vertAlign w:val="baseline"/>
                      <w:lang w:val="en-US" w:eastAsia="zh-CN" w:bidi="ar-SA"/>
                    </w:rPr>
                  </w:pPr>
                  <w:r>
                    <w:rPr>
                      <w:rFonts w:hint="eastAsia"/>
                      <w:b/>
                      <w:color w:val="auto"/>
                      <w:sz w:val="21"/>
                      <w:szCs w:val="21"/>
                      <w:vertAlign w:val="baseline"/>
                      <w:lang w:val="en-US" w:eastAsia="zh-CN"/>
                    </w:rPr>
                    <w:t>6</w:t>
                  </w:r>
                </w:p>
              </w:tc>
              <w:tc>
                <w:tcPr>
                  <w:tcW w:w="690" w:type="pct"/>
                  <w:shd w:val="clear" w:color="auto" w:fill="auto"/>
                  <w:vAlign w:val="center"/>
                </w:tcPr>
                <w:p w14:paraId="4742B2C5">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ascii="Times New Roman" w:hAnsi="Times New Roman" w:eastAsia="宋体" w:cs="Times New Roman"/>
                      <w:b/>
                      <w:bCs/>
                      <w:color w:val="auto"/>
                      <w:kern w:val="2"/>
                      <w:sz w:val="21"/>
                      <w:szCs w:val="21"/>
                      <w:lang w:val="en-US" w:eastAsia="zh-CN" w:bidi="ar-SA"/>
                    </w:rPr>
                  </w:pPr>
                  <w:r>
                    <w:rPr>
                      <w:rFonts w:hint="eastAsia"/>
                      <w:b/>
                      <w:bCs/>
                      <w:color w:val="auto"/>
                      <w:szCs w:val="21"/>
                      <w:lang w:val="en-US" w:eastAsia="zh-CN"/>
                    </w:rPr>
                    <w:t>姜片</w:t>
                  </w:r>
                </w:p>
              </w:tc>
              <w:tc>
                <w:tcPr>
                  <w:tcW w:w="769" w:type="pct"/>
                  <w:vAlign w:val="center"/>
                </w:tcPr>
                <w:p w14:paraId="4F534DBF">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default"/>
                      <w:b/>
                      <w:color w:val="auto"/>
                      <w:sz w:val="21"/>
                      <w:szCs w:val="21"/>
                      <w:vertAlign w:val="baseline"/>
                      <w:lang w:val="en-US" w:eastAsia="zh-CN"/>
                    </w:rPr>
                  </w:pPr>
                  <w:r>
                    <w:rPr>
                      <w:rFonts w:hint="eastAsia"/>
                      <w:color w:val="auto"/>
                      <w:lang w:val="en-US" w:eastAsia="zh-CN"/>
                    </w:rPr>
                    <w:t>1.5</w:t>
                  </w:r>
                </w:p>
              </w:tc>
              <w:tc>
                <w:tcPr>
                  <w:tcW w:w="669" w:type="pct"/>
                  <w:vMerge w:val="continue"/>
                  <w:vAlign w:val="center"/>
                </w:tcPr>
                <w:p w14:paraId="406DCE5C">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eastAsia"/>
                      <w:b/>
                      <w:color w:val="auto"/>
                      <w:sz w:val="21"/>
                      <w:szCs w:val="21"/>
                      <w:vertAlign w:val="baseline"/>
                      <w:lang w:val="en-US" w:eastAsia="zh-CN"/>
                    </w:rPr>
                  </w:pPr>
                </w:p>
              </w:tc>
              <w:tc>
                <w:tcPr>
                  <w:tcW w:w="825" w:type="pct"/>
                  <w:shd w:val="clear" w:color="auto" w:fill="auto"/>
                  <w:vAlign w:val="center"/>
                </w:tcPr>
                <w:p w14:paraId="026C6E78">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color w:val="auto"/>
                      <w:kern w:val="2"/>
                      <w:sz w:val="21"/>
                      <w:szCs w:val="21"/>
                      <w:vertAlign w:val="baseline"/>
                      <w:lang w:val="en-US" w:eastAsia="zh-CN" w:bidi="ar-SA"/>
                    </w:rPr>
                  </w:pPr>
                  <w:r>
                    <w:rPr>
                      <w:rFonts w:hint="eastAsia"/>
                      <w:b/>
                      <w:color w:val="auto"/>
                      <w:sz w:val="21"/>
                      <w:szCs w:val="21"/>
                      <w:vertAlign w:val="baseline"/>
                      <w:lang w:val="en-US" w:eastAsia="zh-CN"/>
                    </w:rPr>
                    <w:t>废油脂</w:t>
                  </w:r>
                </w:p>
              </w:tc>
              <w:tc>
                <w:tcPr>
                  <w:tcW w:w="802" w:type="pct"/>
                  <w:vAlign w:val="center"/>
                </w:tcPr>
                <w:p w14:paraId="7C3FE73B">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0.1</w:t>
                  </w:r>
                </w:p>
              </w:tc>
              <w:tc>
                <w:tcPr>
                  <w:tcW w:w="697" w:type="pct"/>
                  <w:vAlign w:val="center"/>
                </w:tcPr>
                <w:p w14:paraId="069318A4">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r>
            <w:tr w14:paraId="04A1F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shd w:val="clear" w:color="auto" w:fill="auto"/>
                  <w:vAlign w:val="center"/>
                </w:tcPr>
                <w:p w14:paraId="2777001F">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color w:val="auto"/>
                      <w:kern w:val="2"/>
                      <w:sz w:val="21"/>
                      <w:szCs w:val="21"/>
                      <w:vertAlign w:val="baseline"/>
                      <w:lang w:val="en-US" w:eastAsia="zh-CN" w:bidi="ar-SA"/>
                    </w:rPr>
                  </w:pPr>
                  <w:r>
                    <w:rPr>
                      <w:rFonts w:hint="eastAsia"/>
                      <w:b/>
                      <w:color w:val="auto"/>
                      <w:sz w:val="21"/>
                      <w:szCs w:val="21"/>
                      <w:vertAlign w:val="baseline"/>
                      <w:lang w:val="en-US" w:eastAsia="zh-CN"/>
                    </w:rPr>
                    <w:t>7</w:t>
                  </w:r>
                </w:p>
              </w:tc>
              <w:tc>
                <w:tcPr>
                  <w:tcW w:w="690" w:type="pct"/>
                  <w:shd w:val="clear" w:color="auto" w:fill="auto"/>
                  <w:vAlign w:val="center"/>
                </w:tcPr>
                <w:p w14:paraId="5471D2D2">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ascii="Times New Roman" w:hAnsi="Times New Roman" w:eastAsia="宋体" w:cs="Times New Roman"/>
                      <w:b/>
                      <w:bCs/>
                      <w:color w:val="auto"/>
                      <w:kern w:val="2"/>
                      <w:sz w:val="21"/>
                      <w:szCs w:val="21"/>
                      <w:lang w:val="en-US" w:eastAsia="zh-CN" w:bidi="ar-SA"/>
                    </w:rPr>
                  </w:pPr>
                  <w:r>
                    <w:rPr>
                      <w:rFonts w:hint="eastAsia"/>
                      <w:b/>
                      <w:bCs/>
                      <w:color w:val="auto"/>
                      <w:szCs w:val="21"/>
                      <w:lang w:val="en-US" w:eastAsia="zh-CN"/>
                    </w:rPr>
                    <w:t>葱段</w:t>
                  </w:r>
                </w:p>
              </w:tc>
              <w:tc>
                <w:tcPr>
                  <w:tcW w:w="769" w:type="pct"/>
                  <w:vAlign w:val="center"/>
                </w:tcPr>
                <w:p w14:paraId="17210ABC">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default"/>
                      <w:b/>
                      <w:color w:val="auto"/>
                      <w:sz w:val="21"/>
                      <w:szCs w:val="21"/>
                      <w:vertAlign w:val="baseline"/>
                      <w:lang w:val="en-US" w:eastAsia="zh-CN"/>
                    </w:rPr>
                  </w:pPr>
                  <w:r>
                    <w:rPr>
                      <w:rFonts w:hint="eastAsia"/>
                      <w:color w:val="auto"/>
                      <w:lang w:val="en-US" w:eastAsia="zh-CN"/>
                    </w:rPr>
                    <w:t>1.5</w:t>
                  </w:r>
                </w:p>
              </w:tc>
              <w:tc>
                <w:tcPr>
                  <w:tcW w:w="669" w:type="pct"/>
                  <w:vMerge w:val="continue"/>
                  <w:vAlign w:val="center"/>
                </w:tcPr>
                <w:p w14:paraId="22793B06">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eastAsia"/>
                      <w:b/>
                      <w:color w:val="auto"/>
                      <w:sz w:val="21"/>
                      <w:szCs w:val="21"/>
                      <w:vertAlign w:val="baseline"/>
                      <w:lang w:val="en-US" w:eastAsia="zh-CN"/>
                    </w:rPr>
                  </w:pPr>
                </w:p>
              </w:tc>
              <w:tc>
                <w:tcPr>
                  <w:tcW w:w="825" w:type="pct"/>
                  <w:shd w:val="clear" w:color="auto" w:fill="auto"/>
                  <w:vAlign w:val="center"/>
                </w:tcPr>
                <w:p w14:paraId="34C99AB2">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color w:val="auto"/>
                      <w:kern w:val="2"/>
                      <w:sz w:val="21"/>
                      <w:szCs w:val="21"/>
                      <w:vertAlign w:val="baseline"/>
                      <w:lang w:val="en-US" w:eastAsia="zh-CN" w:bidi="ar-SA"/>
                    </w:rPr>
                  </w:pPr>
                  <w:r>
                    <w:rPr>
                      <w:rFonts w:hint="eastAsia"/>
                      <w:b/>
                      <w:color w:val="auto"/>
                      <w:sz w:val="21"/>
                      <w:szCs w:val="21"/>
                      <w:vertAlign w:val="baseline"/>
                      <w:lang w:val="en-US" w:eastAsia="zh-CN"/>
                    </w:rPr>
                    <w:t>不合格原料</w:t>
                  </w:r>
                </w:p>
              </w:tc>
              <w:tc>
                <w:tcPr>
                  <w:tcW w:w="802" w:type="pct"/>
                  <w:vAlign w:val="center"/>
                </w:tcPr>
                <w:p w14:paraId="790EF4EA">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0.1</w:t>
                  </w:r>
                </w:p>
              </w:tc>
              <w:tc>
                <w:tcPr>
                  <w:tcW w:w="697" w:type="pct"/>
                  <w:vAlign w:val="center"/>
                </w:tcPr>
                <w:p w14:paraId="4D14E08A">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r>
            <w:tr w14:paraId="221BD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shd w:val="clear" w:color="auto" w:fill="auto"/>
                  <w:vAlign w:val="center"/>
                </w:tcPr>
                <w:p w14:paraId="4EBE3E47">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color w:val="auto"/>
                      <w:kern w:val="2"/>
                      <w:sz w:val="21"/>
                      <w:szCs w:val="21"/>
                      <w:vertAlign w:val="baseline"/>
                      <w:lang w:val="en-US" w:eastAsia="zh-CN" w:bidi="ar-SA"/>
                    </w:rPr>
                  </w:pPr>
                  <w:r>
                    <w:rPr>
                      <w:rFonts w:hint="eastAsia"/>
                      <w:b/>
                      <w:color w:val="auto"/>
                      <w:sz w:val="21"/>
                      <w:szCs w:val="21"/>
                      <w:vertAlign w:val="baseline"/>
                      <w:lang w:val="en-US" w:eastAsia="zh-CN"/>
                    </w:rPr>
                    <w:t>8</w:t>
                  </w:r>
                </w:p>
              </w:tc>
              <w:tc>
                <w:tcPr>
                  <w:tcW w:w="690" w:type="pct"/>
                  <w:shd w:val="clear" w:color="auto" w:fill="auto"/>
                  <w:vAlign w:val="center"/>
                </w:tcPr>
                <w:p w14:paraId="1FF69369">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ascii="Times New Roman" w:hAnsi="Times New Roman" w:eastAsia="宋体" w:cs="Times New Roman"/>
                      <w:b/>
                      <w:bCs/>
                      <w:color w:val="auto"/>
                      <w:kern w:val="2"/>
                      <w:sz w:val="21"/>
                      <w:szCs w:val="21"/>
                      <w:lang w:val="en-US" w:eastAsia="zh-CN" w:bidi="ar-SA"/>
                    </w:rPr>
                  </w:pPr>
                  <w:r>
                    <w:rPr>
                      <w:rFonts w:hint="eastAsia"/>
                      <w:b/>
                      <w:bCs/>
                      <w:color w:val="auto"/>
                      <w:szCs w:val="21"/>
                      <w:lang w:val="en-US" w:eastAsia="zh-CN"/>
                    </w:rPr>
                    <w:t>黑胡椒</w:t>
                  </w:r>
                </w:p>
              </w:tc>
              <w:tc>
                <w:tcPr>
                  <w:tcW w:w="769" w:type="pct"/>
                  <w:vAlign w:val="center"/>
                </w:tcPr>
                <w:p w14:paraId="5B7D6B5D">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default"/>
                      <w:b/>
                      <w:color w:val="auto"/>
                      <w:sz w:val="21"/>
                      <w:szCs w:val="21"/>
                      <w:vertAlign w:val="baseline"/>
                      <w:lang w:val="en-US" w:eastAsia="zh-CN"/>
                    </w:rPr>
                  </w:pPr>
                  <w:r>
                    <w:rPr>
                      <w:rFonts w:hint="eastAsia"/>
                      <w:color w:val="auto"/>
                      <w:lang w:val="en-US" w:eastAsia="zh-CN"/>
                    </w:rPr>
                    <w:t>1.5</w:t>
                  </w:r>
                </w:p>
              </w:tc>
              <w:tc>
                <w:tcPr>
                  <w:tcW w:w="669" w:type="pct"/>
                  <w:vMerge w:val="continue"/>
                  <w:vAlign w:val="center"/>
                </w:tcPr>
                <w:p w14:paraId="3BD0F6C2">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eastAsia"/>
                      <w:b/>
                      <w:color w:val="auto"/>
                      <w:sz w:val="21"/>
                      <w:szCs w:val="21"/>
                      <w:vertAlign w:val="baseline"/>
                      <w:lang w:val="en-US" w:eastAsia="zh-CN"/>
                    </w:rPr>
                  </w:pPr>
                </w:p>
              </w:tc>
              <w:tc>
                <w:tcPr>
                  <w:tcW w:w="825" w:type="pct"/>
                  <w:shd w:val="clear" w:color="auto" w:fill="auto"/>
                  <w:vAlign w:val="center"/>
                </w:tcPr>
                <w:p w14:paraId="237153C1">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color w:val="auto"/>
                      <w:kern w:val="2"/>
                      <w:sz w:val="21"/>
                      <w:szCs w:val="21"/>
                      <w:vertAlign w:val="baseline"/>
                      <w:lang w:val="en-US" w:eastAsia="zh-CN" w:bidi="ar-SA"/>
                    </w:rPr>
                  </w:pPr>
                  <w:r>
                    <w:rPr>
                      <w:rFonts w:hint="eastAsia" w:cs="Times New Roman"/>
                      <w:b/>
                      <w:color w:val="auto"/>
                      <w:kern w:val="2"/>
                      <w:sz w:val="21"/>
                      <w:szCs w:val="21"/>
                      <w:vertAlign w:val="baseline"/>
                      <w:lang w:val="en-US" w:eastAsia="zh-CN" w:bidi="ar-SA"/>
                    </w:rPr>
                    <w:t>/</w:t>
                  </w:r>
                </w:p>
              </w:tc>
              <w:tc>
                <w:tcPr>
                  <w:tcW w:w="802" w:type="pct"/>
                  <w:vAlign w:val="center"/>
                </w:tcPr>
                <w:p w14:paraId="1773EAB6">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c>
                <w:tcPr>
                  <w:tcW w:w="697" w:type="pct"/>
                  <w:vAlign w:val="center"/>
                </w:tcPr>
                <w:p w14:paraId="29B2C8F2">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r>
            <w:tr w14:paraId="7ADE0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shd w:val="clear" w:color="auto" w:fill="auto"/>
                  <w:vAlign w:val="center"/>
                </w:tcPr>
                <w:p w14:paraId="3B415BD2">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color w:val="auto"/>
                      <w:kern w:val="2"/>
                      <w:sz w:val="21"/>
                      <w:szCs w:val="21"/>
                      <w:vertAlign w:val="baseline"/>
                      <w:lang w:val="en-US" w:eastAsia="zh-CN" w:bidi="ar-SA"/>
                    </w:rPr>
                  </w:pPr>
                  <w:r>
                    <w:rPr>
                      <w:rFonts w:hint="eastAsia"/>
                      <w:b/>
                      <w:color w:val="auto"/>
                      <w:sz w:val="21"/>
                      <w:szCs w:val="21"/>
                      <w:vertAlign w:val="baseline"/>
                      <w:lang w:val="en-US" w:eastAsia="zh-CN"/>
                    </w:rPr>
                    <w:t>9</w:t>
                  </w:r>
                </w:p>
              </w:tc>
              <w:tc>
                <w:tcPr>
                  <w:tcW w:w="690" w:type="pct"/>
                  <w:shd w:val="clear" w:color="auto" w:fill="auto"/>
                  <w:vAlign w:val="center"/>
                </w:tcPr>
                <w:p w14:paraId="1C9AB216">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ascii="Times New Roman" w:hAnsi="Times New Roman" w:eastAsia="宋体" w:cs="Times New Roman"/>
                      <w:b/>
                      <w:bCs/>
                      <w:color w:val="auto"/>
                      <w:kern w:val="2"/>
                      <w:sz w:val="21"/>
                      <w:szCs w:val="21"/>
                      <w:lang w:val="en-US" w:eastAsia="zh-CN" w:bidi="ar-SA"/>
                    </w:rPr>
                  </w:pPr>
                  <w:r>
                    <w:rPr>
                      <w:rFonts w:hint="eastAsia"/>
                      <w:b/>
                      <w:bCs/>
                      <w:color w:val="auto"/>
                      <w:szCs w:val="21"/>
                      <w:lang w:val="en-US" w:eastAsia="zh-CN"/>
                    </w:rPr>
                    <w:t>香辛料</w:t>
                  </w:r>
                </w:p>
              </w:tc>
              <w:tc>
                <w:tcPr>
                  <w:tcW w:w="769" w:type="pct"/>
                  <w:vAlign w:val="center"/>
                </w:tcPr>
                <w:p w14:paraId="588B725A">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default"/>
                      <w:b/>
                      <w:color w:val="auto"/>
                      <w:sz w:val="21"/>
                      <w:szCs w:val="21"/>
                      <w:vertAlign w:val="baseline"/>
                      <w:lang w:val="en-US" w:eastAsia="zh-CN"/>
                    </w:rPr>
                  </w:pPr>
                  <w:r>
                    <w:rPr>
                      <w:rFonts w:hint="eastAsia"/>
                      <w:color w:val="auto"/>
                      <w:lang w:val="en-US" w:eastAsia="zh-CN"/>
                    </w:rPr>
                    <w:t>1.5</w:t>
                  </w:r>
                </w:p>
              </w:tc>
              <w:tc>
                <w:tcPr>
                  <w:tcW w:w="669" w:type="pct"/>
                  <w:vMerge w:val="continue"/>
                  <w:vAlign w:val="center"/>
                </w:tcPr>
                <w:p w14:paraId="1067B447">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eastAsia"/>
                      <w:b/>
                      <w:color w:val="auto"/>
                      <w:sz w:val="21"/>
                      <w:szCs w:val="21"/>
                      <w:vertAlign w:val="baseline"/>
                      <w:lang w:val="en-US" w:eastAsia="zh-CN"/>
                    </w:rPr>
                  </w:pPr>
                </w:p>
              </w:tc>
              <w:tc>
                <w:tcPr>
                  <w:tcW w:w="825" w:type="pct"/>
                  <w:vAlign w:val="center"/>
                </w:tcPr>
                <w:p w14:paraId="17E4D0C9">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c>
                <w:tcPr>
                  <w:tcW w:w="802" w:type="pct"/>
                  <w:vAlign w:val="center"/>
                </w:tcPr>
                <w:p w14:paraId="49F7609B">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c>
                <w:tcPr>
                  <w:tcW w:w="697" w:type="pct"/>
                  <w:vAlign w:val="center"/>
                </w:tcPr>
                <w:p w14:paraId="7F5BC6F6">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r>
            <w:tr w14:paraId="5CCB4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shd w:val="clear" w:color="auto" w:fill="auto"/>
                  <w:vAlign w:val="center"/>
                </w:tcPr>
                <w:p w14:paraId="2108311D">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color w:val="auto"/>
                      <w:kern w:val="2"/>
                      <w:sz w:val="21"/>
                      <w:szCs w:val="21"/>
                      <w:vertAlign w:val="baseline"/>
                      <w:lang w:val="en-US" w:eastAsia="zh-CN" w:bidi="ar-SA"/>
                    </w:rPr>
                  </w:pPr>
                  <w:r>
                    <w:rPr>
                      <w:rFonts w:hint="eastAsia"/>
                      <w:b/>
                      <w:color w:val="auto"/>
                      <w:sz w:val="21"/>
                      <w:szCs w:val="21"/>
                      <w:vertAlign w:val="baseline"/>
                      <w:lang w:val="en-US" w:eastAsia="zh-CN"/>
                    </w:rPr>
                    <w:t>10</w:t>
                  </w:r>
                </w:p>
              </w:tc>
              <w:tc>
                <w:tcPr>
                  <w:tcW w:w="690" w:type="pct"/>
                  <w:shd w:val="clear" w:color="auto" w:fill="auto"/>
                  <w:vAlign w:val="center"/>
                </w:tcPr>
                <w:p w14:paraId="5D56E5B8">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ascii="Times New Roman" w:hAnsi="Times New Roman" w:eastAsia="宋体" w:cs="Times New Roman"/>
                      <w:b/>
                      <w:bCs/>
                      <w:color w:val="auto"/>
                      <w:kern w:val="2"/>
                      <w:sz w:val="21"/>
                      <w:szCs w:val="21"/>
                      <w:lang w:val="en-US" w:eastAsia="zh-CN" w:bidi="ar-SA"/>
                    </w:rPr>
                  </w:pPr>
                  <w:r>
                    <w:rPr>
                      <w:rFonts w:hint="eastAsia"/>
                      <w:b/>
                      <w:bCs/>
                      <w:color w:val="auto"/>
                      <w:szCs w:val="21"/>
                      <w:lang w:val="en-US" w:eastAsia="zh-CN"/>
                    </w:rPr>
                    <w:t>包装袋</w:t>
                  </w:r>
                </w:p>
              </w:tc>
              <w:tc>
                <w:tcPr>
                  <w:tcW w:w="769" w:type="pct"/>
                  <w:vAlign w:val="center"/>
                </w:tcPr>
                <w:p w14:paraId="6CBF7BAA">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default"/>
                      <w:b/>
                      <w:color w:val="auto"/>
                      <w:sz w:val="21"/>
                      <w:szCs w:val="21"/>
                      <w:vertAlign w:val="baseline"/>
                      <w:lang w:val="en-US" w:eastAsia="zh-CN"/>
                    </w:rPr>
                  </w:pPr>
                  <w:r>
                    <w:rPr>
                      <w:rFonts w:hint="eastAsia"/>
                      <w:color w:val="auto"/>
                      <w:lang w:val="en-US" w:eastAsia="zh-CN"/>
                    </w:rPr>
                    <w:t>1.5</w:t>
                  </w:r>
                </w:p>
              </w:tc>
              <w:tc>
                <w:tcPr>
                  <w:tcW w:w="669" w:type="pct"/>
                  <w:vMerge w:val="continue"/>
                  <w:vAlign w:val="center"/>
                </w:tcPr>
                <w:p w14:paraId="12DEF0C7">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eastAsia"/>
                      <w:b/>
                      <w:color w:val="auto"/>
                      <w:sz w:val="21"/>
                      <w:szCs w:val="21"/>
                      <w:vertAlign w:val="baseline"/>
                      <w:lang w:val="en-US" w:eastAsia="zh-CN"/>
                    </w:rPr>
                  </w:pPr>
                </w:p>
              </w:tc>
              <w:tc>
                <w:tcPr>
                  <w:tcW w:w="825" w:type="pct"/>
                  <w:vAlign w:val="center"/>
                </w:tcPr>
                <w:p w14:paraId="6216066E">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c>
                <w:tcPr>
                  <w:tcW w:w="802" w:type="pct"/>
                  <w:vAlign w:val="center"/>
                </w:tcPr>
                <w:p w14:paraId="12CDD928">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c>
                <w:tcPr>
                  <w:tcW w:w="697" w:type="pct"/>
                  <w:vAlign w:val="center"/>
                </w:tcPr>
                <w:p w14:paraId="58580244">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r>
            <w:tr w14:paraId="6E5A1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vAlign w:val="center"/>
                </w:tcPr>
                <w:p w14:paraId="1F3C2AFE">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11</w:t>
                  </w:r>
                </w:p>
              </w:tc>
              <w:tc>
                <w:tcPr>
                  <w:tcW w:w="690" w:type="pct"/>
                  <w:shd w:val="clear" w:color="auto" w:fill="auto"/>
                  <w:vAlign w:val="center"/>
                </w:tcPr>
                <w:p w14:paraId="4D577AAD">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ascii="Times New Roman" w:hAnsi="Times New Roman" w:eastAsia="宋体" w:cs="Times New Roman"/>
                      <w:b/>
                      <w:bCs/>
                      <w:color w:val="auto"/>
                      <w:kern w:val="2"/>
                      <w:sz w:val="21"/>
                      <w:szCs w:val="21"/>
                      <w:lang w:val="en-US" w:eastAsia="zh-CN" w:bidi="ar-SA"/>
                    </w:rPr>
                  </w:pPr>
                  <w:r>
                    <w:rPr>
                      <w:rFonts w:hint="eastAsia"/>
                      <w:b/>
                      <w:bCs/>
                      <w:color w:val="auto"/>
                      <w:szCs w:val="21"/>
                      <w:lang w:val="en-US" w:eastAsia="zh-CN"/>
                    </w:rPr>
                    <w:t>箱子</w:t>
                  </w:r>
                </w:p>
              </w:tc>
              <w:tc>
                <w:tcPr>
                  <w:tcW w:w="769" w:type="pct"/>
                  <w:vAlign w:val="center"/>
                </w:tcPr>
                <w:p w14:paraId="76DD1D34">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eastAsia"/>
                      <w:b/>
                      <w:color w:val="auto"/>
                      <w:sz w:val="21"/>
                      <w:szCs w:val="21"/>
                      <w:vertAlign w:val="baseline"/>
                      <w:lang w:val="en-US" w:eastAsia="zh-CN"/>
                    </w:rPr>
                  </w:pPr>
                  <w:r>
                    <w:rPr>
                      <w:rFonts w:hint="eastAsia"/>
                      <w:color w:val="auto"/>
                      <w:lang w:val="en-US" w:eastAsia="zh-CN"/>
                    </w:rPr>
                    <w:t>5</w:t>
                  </w:r>
                </w:p>
              </w:tc>
              <w:tc>
                <w:tcPr>
                  <w:tcW w:w="669" w:type="pct"/>
                  <w:vMerge w:val="continue"/>
                  <w:vAlign w:val="center"/>
                </w:tcPr>
                <w:p w14:paraId="3D6201E6">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eastAsia"/>
                      <w:b/>
                      <w:color w:val="auto"/>
                      <w:sz w:val="21"/>
                      <w:szCs w:val="21"/>
                      <w:vertAlign w:val="baseline"/>
                      <w:lang w:val="en-US" w:eastAsia="zh-CN"/>
                    </w:rPr>
                  </w:pPr>
                </w:p>
              </w:tc>
              <w:tc>
                <w:tcPr>
                  <w:tcW w:w="825" w:type="pct"/>
                  <w:vAlign w:val="center"/>
                </w:tcPr>
                <w:p w14:paraId="44A73169">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c>
                <w:tcPr>
                  <w:tcW w:w="802" w:type="pct"/>
                  <w:vAlign w:val="center"/>
                </w:tcPr>
                <w:p w14:paraId="3C1CDF62">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c>
                <w:tcPr>
                  <w:tcW w:w="697" w:type="pct"/>
                  <w:vAlign w:val="center"/>
                </w:tcPr>
                <w:p w14:paraId="0E3AC14D">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r>
            <w:tr w14:paraId="4FD44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5" w:type="pct"/>
                  <w:vAlign w:val="center"/>
                </w:tcPr>
                <w:p w14:paraId="703B67DB">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12</w:t>
                  </w:r>
                </w:p>
              </w:tc>
              <w:tc>
                <w:tcPr>
                  <w:tcW w:w="690" w:type="pct"/>
                  <w:shd w:val="clear" w:color="auto" w:fill="auto"/>
                  <w:vAlign w:val="center"/>
                </w:tcPr>
                <w:p w14:paraId="2806BA02">
                  <w:pPr>
                    <w:keepNext w:val="0"/>
                    <w:keepLines w:val="0"/>
                    <w:pageBreakBefore w:val="0"/>
                    <w:widowControl w:val="0"/>
                    <w:kinsoku/>
                    <w:wordWrap/>
                    <w:overflowPunct/>
                    <w:topLinePunct w:val="0"/>
                    <w:bidi w:val="0"/>
                    <w:adjustRightInd/>
                    <w:snapToGrid/>
                    <w:spacing w:line="240" w:lineRule="auto"/>
                    <w:ind w:firstLine="0" w:firstLineChars="0"/>
                    <w:jc w:val="center"/>
                    <w:textAlignment w:val="auto"/>
                    <w:rPr>
                      <w:rFonts w:hint="eastAsia" w:ascii="Times New Roman" w:hAnsi="Times New Roman" w:eastAsia="宋体" w:cs="Times New Roman"/>
                      <w:b/>
                      <w:bCs/>
                      <w:color w:val="auto"/>
                      <w:kern w:val="2"/>
                      <w:sz w:val="21"/>
                      <w:szCs w:val="21"/>
                      <w:lang w:val="en-US" w:eastAsia="zh-CN" w:bidi="ar-SA"/>
                    </w:rPr>
                  </w:pPr>
                  <w:r>
                    <w:rPr>
                      <w:rFonts w:hint="eastAsia"/>
                      <w:b/>
                      <w:bCs/>
                      <w:color w:val="auto"/>
                      <w:szCs w:val="21"/>
                      <w:lang w:val="en-US" w:eastAsia="zh-CN"/>
                    </w:rPr>
                    <w:t>罐头盒子</w:t>
                  </w:r>
                </w:p>
              </w:tc>
              <w:tc>
                <w:tcPr>
                  <w:tcW w:w="769" w:type="pct"/>
                  <w:vAlign w:val="center"/>
                </w:tcPr>
                <w:p w14:paraId="1596E2D5">
                  <w:pPr>
                    <w:pStyle w:val="78"/>
                    <w:keepNext w:val="0"/>
                    <w:keepLines w:val="0"/>
                    <w:pageBreakBefore w:val="0"/>
                    <w:widowControl w:val="0"/>
                    <w:kinsoku/>
                    <w:wordWrap/>
                    <w:overflowPunct/>
                    <w:topLinePunct w:val="0"/>
                    <w:bidi w:val="0"/>
                    <w:adjustRightInd/>
                    <w:snapToGrid/>
                    <w:spacing w:line="240" w:lineRule="auto"/>
                    <w:ind w:firstLine="0" w:firstLineChars="0"/>
                    <w:textAlignment w:val="auto"/>
                    <w:rPr>
                      <w:rFonts w:hint="eastAsia"/>
                      <w:b/>
                      <w:color w:val="auto"/>
                      <w:sz w:val="21"/>
                      <w:szCs w:val="21"/>
                      <w:vertAlign w:val="baseline"/>
                      <w:lang w:val="en-US" w:eastAsia="zh-CN"/>
                    </w:rPr>
                  </w:pPr>
                  <w:r>
                    <w:rPr>
                      <w:rFonts w:hint="eastAsia"/>
                      <w:color w:val="auto"/>
                      <w:lang w:val="en-US" w:eastAsia="zh-CN"/>
                    </w:rPr>
                    <w:t>5</w:t>
                  </w:r>
                </w:p>
              </w:tc>
              <w:tc>
                <w:tcPr>
                  <w:tcW w:w="669" w:type="pct"/>
                  <w:vMerge w:val="continue"/>
                  <w:vAlign w:val="center"/>
                </w:tcPr>
                <w:p w14:paraId="1EA3F4E8">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eastAsia"/>
                      <w:b/>
                      <w:color w:val="auto"/>
                      <w:sz w:val="21"/>
                      <w:szCs w:val="21"/>
                      <w:vertAlign w:val="baseline"/>
                      <w:lang w:val="en-US" w:eastAsia="zh-CN"/>
                    </w:rPr>
                  </w:pPr>
                </w:p>
              </w:tc>
              <w:tc>
                <w:tcPr>
                  <w:tcW w:w="825" w:type="pct"/>
                  <w:vAlign w:val="center"/>
                </w:tcPr>
                <w:p w14:paraId="5441AA35">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c>
                <w:tcPr>
                  <w:tcW w:w="802" w:type="pct"/>
                  <w:vAlign w:val="center"/>
                </w:tcPr>
                <w:p w14:paraId="7251DABC">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c>
                <w:tcPr>
                  <w:tcW w:w="697" w:type="pct"/>
                  <w:vAlign w:val="center"/>
                </w:tcPr>
                <w:p w14:paraId="7F96710F">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w:t>
                  </w:r>
                </w:p>
              </w:tc>
            </w:tr>
            <w:tr w14:paraId="2AC58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5" w:type="pct"/>
                  <w:gridSpan w:val="2"/>
                  <w:vAlign w:val="center"/>
                </w:tcPr>
                <w:p w14:paraId="585127D9">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合计</w:t>
                  </w:r>
                </w:p>
              </w:tc>
              <w:tc>
                <w:tcPr>
                  <w:tcW w:w="769" w:type="pct"/>
                  <w:vAlign w:val="center"/>
                </w:tcPr>
                <w:p w14:paraId="02A76811">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1975.5</w:t>
                  </w:r>
                </w:p>
              </w:tc>
              <w:tc>
                <w:tcPr>
                  <w:tcW w:w="1494" w:type="pct"/>
                  <w:gridSpan w:val="2"/>
                  <w:vAlign w:val="center"/>
                </w:tcPr>
                <w:p w14:paraId="78048DC8">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合计</w:t>
                  </w:r>
                </w:p>
              </w:tc>
              <w:tc>
                <w:tcPr>
                  <w:tcW w:w="802" w:type="pct"/>
                  <w:vAlign w:val="center"/>
                </w:tcPr>
                <w:p w14:paraId="000A1D17">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1750.5</w:t>
                  </w:r>
                </w:p>
              </w:tc>
              <w:tc>
                <w:tcPr>
                  <w:tcW w:w="697" w:type="pct"/>
                  <w:vAlign w:val="center"/>
                </w:tcPr>
                <w:p w14:paraId="08766548">
                  <w:pPr>
                    <w:keepNext w:val="0"/>
                    <w:keepLines w:val="0"/>
                    <w:pageBreakBefore w:val="0"/>
                    <w:widowControl w:val="0"/>
                    <w:numPr>
                      <w:ilvl w:val="255"/>
                      <w:numId w:val="0"/>
                    </w:numPr>
                    <w:kinsoku/>
                    <w:wordWrap/>
                    <w:overflowPunct/>
                    <w:topLinePunct w:val="0"/>
                    <w:autoSpaceDE/>
                    <w:autoSpaceDN/>
                    <w:bidi w:val="0"/>
                    <w:adjustRightInd w:val="0"/>
                    <w:snapToGrid w:val="0"/>
                    <w:spacing w:line="240" w:lineRule="auto"/>
                    <w:jc w:val="center"/>
                    <w:textAlignment w:val="auto"/>
                    <w:rPr>
                      <w:rFonts w:hint="default"/>
                      <w:b/>
                      <w:color w:val="auto"/>
                      <w:sz w:val="21"/>
                      <w:szCs w:val="21"/>
                      <w:vertAlign w:val="baseline"/>
                      <w:lang w:val="en-US" w:eastAsia="zh-CN"/>
                    </w:rPr>
                  </w:pPr>
                  <w:r>
                    <w:rPr>
                      <w:rFonts w:hint="eastAsia"/>
                      <w:b/>
                      <w:color w:val="auto"/>
                      <w:sz w:val="21"/>
                      <w:szCs w:val="21"/>
                      <w:vertAlign w:val="baseline"/>
                      <w:lang w:val="en-US" w:eastAsia="zh-CN"/>
                    </w:rPr>
                    <w:t>225</w:t>
                  </w:r>
                </w:p>
              </w:tc>
            </w:tr>
          </w:tbl>
          <w:p w14:paraId="3D77474A">
            <w:pPr>
              <w:numPr>
                <w:ilvl w:val="255"/>
                <w:numId w:val="0"/>
              </w:numPr>
              <w:spacing w:line="360" w:lineRule="auto"/>
              <w:ind w:firstLine="482" w:firstLineChars="200"/>
              <w:rPr>
                <w:b/>
                <w:color w:val="auto"/>
                <w:sz w:val="24"/>
              </w:rPr>
            </w:pPr>
            <w:r>
              <w:rPr>
                <w:rFonts w:hint="eastAsia"/>
                <w:b/>
                <w:color w:val="auto"/>
                <w:sz w:val="24"/>
                <w:lang w:val="en-US" w:eastAsia="zh-CN"/>
              </w:rPr>
              <w:t>7</w:t>
            </w:r>
            <w:r>
              <w:rPr>
                <w:b/>
                <w:color w:val="auto"/>
                <w:sz w:val="24"/>
              </w:rPr>
              <w:t>、公用工程</w:t>
            </w:r>
          </w:p>
          <w:p w14:paraId="5FA6F755">
            <w:pPr>
              <w:pStyle w:val="156"/>
              <w:numPr>
                <w:ilvl w:val="0"/>
                <w:numId w:val="0"/>
              </w:numPr>
              <w:ind w:firstLine="480" w:firstLineChars="200"/>
              <w:rPr>
                <w:color w:val="auto"/>
              </w:rPr>
            </w:pPr>
            <w:r>
              <w:rPr>
                <w:rFonts w:ascii="Times New Roman" w:hAnsi="Times New Roman" w:eastAsia="宋体" w:cs="Times New Roman"/>
                <w:color w:val="auto"/>
                <w:kern w:val="2"/>
                <w:sz w:val="24"/>
                <w:szCs w:val="24"/>
                <w:lang w:val="en-US" w:eastAsia="zh-CN" w:bidi="ar-SA"/>
              </w:rPr>
              <w:t>（1）</w:t>
            </w:r>
            <w:r>
              <w:rPr>
                <w:rFonts w:hint="eastAsia"/>
                <w:color w:val="auto"/>
              </w:rPr>
              <w:t>用水</w:t>
            </w:r>
          </w:p>
          <w:p w14:paraId="040D8D2A">
            <w:pPr>
              <w:pStyle w:val="156"/>
              <w:rPr>
                <w:color w:val="auto"/>
              </w:rPr>
            </w:pPr>
            <w:r>
              <w:rPr>
                <w:rFonts w:hint="eastAsia"/>
                <w:color w:val="auto"/>
              </w:rPr>
              <w:t>本项目供水由</w:t>
            </w:r>
            <w:r>
              <w:rPr>
                <w:rFonts w:hint="eastAsia"/>
                <w:color w:val="auto"/>
                <w:lang w:val="en-US" w:eastAsia="zh-CN"/>
              </w:rPr>
              <w:t>市政</w:t>
            </w:r>
            <w:r>
              <w:rPr>
                <w:rFonts w:hint="eastAsia"/>
                <w:color w:val="auto"/>
              </w:rPr>
              <w:t>管网提供。</w:t>
            </w:r>
          </w:p>
          <w:p w14:paraId="1369C454">
            <w:pPr>
              <w:pStyle w:val="156"/>
              <w:ind w:firstLine="480"/>
              <w:rPr>
                <w:color w:val="auto"/>
              </w:rPr>
            </w:pPr>
            <w:r>
              <w:rPr>
                <w:color w:val="auto"/>
              </w:rPr>
              <w:t>本项目用水</w:t>
            </w:r>
            <w:r>
              <w:rPr>
                <w:rFonts w:hint="eastAsia"/>
                <w:color w:val="auto"/>
                <w:lang w:eastAsia="zh-CN"/>
              </w:rPr>
              <w:t>项目</w:t>
            </w:r>
            <w:r>
              <w:rPr>
                <w:color w:val="auto"/>
              </w:rPr>
              <w:t>主要是生活用水</w:t>
            </w:r>
            <w:r>
              <w:rPr>
                <w:rFonts w:hint="eastAsia"/>
                <w:color w:val="auto"/>
              </w:rPr>
              <w:t>和生产用水</w:t>
            </w:r>
            <w:r>
              <w:rPr>
                <w:color w:val="auto"/>
              </w:rPr>
              <w:t>。</w:t>
            </w:r>
          </w:p>
          <w:p w14:paraId="7B73E242">
            <w:pPr>
              <w:pStyle w:val="156"/>
              <w:ind w:firstLine="480"/>
              <w:rPr>
                <w:color w:val="auto"/>
                <w:kern w:val="0"/>
              </w:rPr>
            </w:pPr>
            <w:r>
              <w:rPr>
                <w:color w:val="auto"/>
              </w:rPr>
              <w:t>本项目工作人员</w:t>
            </w:r>
            <w:r>
              <w:rPr>
                <w:rFonts w:hint="eastAsia"/>
                <w:color w:val="auto"/>
              </w:rPr>
              <w:t>20</w:t>
            </w:r>
            <w:r>
              <w:rPr>
                <w:color w:val="auto"/>
              </w:rPr>
              <w:t>人，</w:t>
            </w:r>
            <w:r>
              <w:rPr>
                <w:color w:val="auto"/>
                <w:kern w:val="0"/>
              </w:rPr>
              <w:t>年工作</w:t>
            </w:r>
            <w:r>
              <w:rPr>
                <w:rFonts w:hint="eastAsia"/>
                <w:color w:val="auto"/>
                <w:kern w:val="0"/>
                <w:lang w:val="en-US" w:eastAsia="zh-CN"/>
              </w:rPr>
              <w:t>2</w:t>
            </w:r>
            <w:r>
              <w:rPr>
                <w:color w:val="auto"/>
                <w:kern w:val="0"/>
              </w:rPr>
              <w:t>6</w:t>
            </w:r>
            <w:r>
              <w:rPr>
                <w:rFonts w:hint="eastAsia"/>
                <w:color w:val="auto"/>
                <w:kern w:val="0"/>
              </w:rPr>
              <w:t>0</w:t>
            </w:r>
            <w:r>
              <w:rPr>
                <w:color w:val="auto"/>
                <w:kern w:val="0"/>
              </w:rPr>
              <w:t>天，</w:t>
            </w:r>
            <w:r>
              <w:rPr>
                <w:color w:val="auto"/>
              </w:rPr>
              <w:t>8小时工作制，不设置食宿。职工用水仅为日常生活用水，生活用水取50L/人·d，则生活用水量为</w:t>
            </w:r>
            <w:r>
              <w:rPr>
                <w:rFonts w:hint="eastAsia"/>
                <w:color w:val="auto"/>
              </w:rPr>
              <w:t>1.0</w:t>
            </w:r>
            <w:r>
              <w:rPr>
                <w:color w:val="auto"/>
              </w:rPr>
              <w:t>m³/d（</w:t>
            </w:r>
            <w:r>
              <w:rPr>
                <w:rFonts w:hint="eastAsia"/>
                <w:color w:val="auto"/>
                <w:lang w:val="en-US" w:eastAsia="zh-CN"/>
              </w:rPr>
              <w:t>2</w:t>
            </w:r>
            <w:r>
              <w:rPr>
                <w:rFonts w:hint="eastAsia"/>
                <w:color w:val="auto"/>
              </w:rPr>
              <w:t>60</w:t>
            </w:r>
            <w:r>
              <w:rPr>
                <w:color w:val="auto"/>
              </w:rPr>
              <w:t>m³/a）；</w:t>
            </w:r>
            <w:r>
              <w:rPr>
                <w:rFonts w:hint="eastAsia"/>
                <w:color w:val="auto"/>
                <w:lang w:val="en-US" w:eastAsia="zh-CN"/>
              </w:rPr>
              <w:t>根据企业提供的资料</w:t>
            </w:r>
            <w:r>
              <w:rPr>
                <w:rFonts w:hint="eastAsia"/>
                <w:color w:val="auto"/>
              </w:rPr>
              <w:t>，</w:t>
            </w:r>
            <w:r>
              <w:rPr>
                <w:rFonts w:hint="eastAsia"/>
                <w:color w:val="auto"/>
                <w:lang w:val="en-US" w:eastAsia="zh-CN"/>
              </w:rPr>
              <w:t>风干肉制品</w:t>
            </w:r>
            <w:r>
              <w:rPr>
                <w:rFonts w:hint="eastAsia"/>
                <w:color w:val="auto"/>
              </w:rPr>
              <w:t>用水量为</w:t>
            </w:r>
            <w:r>
              <w:rPr>
                <w:rFonts w:hint="eastAsia"/>
                <w:color w:val="auto"/>
                <w:lang w:val="en-US" w:eastAsia="zh-CN"/>
              </w:rPr>
              <w:t>1</w:t>
            </w:r>
            <w:r>
              <w:rPr>
                <w:rFonts w:hint="eastAsia"/>
                <w:color w:val="auto"/>
              </w:rPr>
              <w:t>m</w:t>
            </w:r>
            <w:r>
              <w:rPr>
                <w:rFonts w:hint="eastAsia"/>
                <w:color w:val="auto"/>
                <w:vertAlign w:val="superscript"/>
              </w:rPr>
              <w:t>3</w:t>
            </w:r>
            <w:r>
              <w:rPr>
                <w:rFonts w:hint="eastAsia"/>
                <w:color w:val="auto"/>
              </w:rPr>
              <w:t>/</w:t>
            </w:r>
            <w:r>
              <w:rPr>
                <w:rFonts w:hint="eastAsia"/>
                <w:color w:val="auto"/>
                <w:lang w:val="en-US" w:eastAsia="zh-CN"/>
              </w:rPr>
              <w:t>t</w:t>
            </w:r>
            <w:r>
              <w:rPr>
                <w:color w:val="auto"/>
              </w:rPr>
              <w:t>，</w:t>
            </w:r>
            <w:r>
              <w:rPr>
                <w:rFonts w:hint="eastAsia"/>
                <w:color w:val="auto"/>
                <w:lang w:val="en-US" w:eastAsia="zh-CN"/>
              </w:rPr>
              <w:t>肉类罐头</w:t>
            </w:r>
            <w:r>
              <w:rPr>
                <w:rFonts w:hint="eastAsia"/>
                <w:color w:val="auto"/>
              </w:rPr>
              <w:t>用水量为</w:t>
            </w:r>
            <w:r>
              <w:rPr>
                <w:rFonts w:hint="eastAsia"/>
                <w:color w:val="auto"/>
                <w:lang w:val="en-US" w:eastAsia="zh-CN"/>
              </w:rPr>
              <w:t>1.5</w:t>
            </w:r>
            <w:r>
              <w:rPr>
                <w:rFonts w:hint="eastAsia"/>
                <w:color w:val="auto"/>
              </w:rPr>
              <w:t>m</w:t>
            </w:r>
            <w:r>
              <w:rPr>
                <w:rFonts w:hint="eastAsia"/>
                <w:color w:val="auto"/>
                <w:vertAlign w:val="superscript"/>
              </w:rPr>
              <w:t>3</w:t>
            </w:r>
            <w:r>
              <w:rPr>
                <w:rFonts w:hint="eastAsia"/>
                <w:color w:val="auto"/>
              </w:rPr>
              <w:t>/</w:t>
            </w:r>
            <w:r>
              <w:rPr>
                <w:rFonts w:hint="eastAsia"/>
                <w:color w:val="auto"/>
                <w:lang w:val="en-US" w:eastAsia="zh-CN"/>
              </w:rPr>
              <w:t>t</w:t>
            </w:r>
            <w:r>
              <w:rPr>
                <w:rFonts w:hint="eastAsia"/>
                <w:color w:val="auto"/>
              </w:rPr>
              <w:t>。则</w:t>
            </w:r>
            <w:r>
              <w:rPr>
                <w:rFonts w:hint="eastAsia"/>
                <w:color w:val="auto"/>
                <w:lang w:val="en-US" w:eastAsia="zh-CN"/>
              </w:rPr>
              <w:t>风干肉</w:t>
            </w:r>
            <w:r>
              <w:rPr>
                <w:rFonts w:hint="eastAsia"/>
                <w:color w:val="auto"/>
              </w:rPr>
              <w:t>用水量</w:t>
            </w:r>
            <w:r>
              <w:rPr>
                <w:color w:val="auto"/>
              </w:rPr>
              <w:t>为</w:t>
            </w:r>
            <w:r>
              <w:rPr>
                <w:rFonts w:hint="eastAsia"/>
                <w:color w:val="auto"/>
                <w:lang w:val="en-US" w:eastAsia="zh-CN"/>
              </w:rPr>
              <w:t>0.4</w:t>
            </w:r>
            <w:r>
              <w:rPr>
                <w:color w:val="auto"/>
              </w:rPr>
              <w:t>m³/d（</w:t>
            </w:r>
            <w:r>
              <w:rPr>
                <w:rFonts w:hint="eastAsia"/>
                <w:color w:val="auto"/>
                <w:kern w:val="0"/>
                <w:lang w:val="en-US" w:eastAsia="zh-CN" w:bidi="ar"/>
              </w:rPr>
              <w:t>100</w:t>
            </w:r>
            <w:r>
              <w:rPr>
                <w:color w:val="auto"/>
              </w:rPr>
              <w:t>m³/a）</w:t>
            </w:r>
            <w:r>
              <w:rPr>
                <w:rFonts w:hint="eastAsia"/>
                <w:color w:val="auto"/>
              </w:rPr>
              <w:t>，</w:t>
            </w:r>
            <w:r>
              <w:rPr>
                <w:rFonts w:hint="eastAsia"/>
                <w:color w:val="auto"/>
                <w:lang w:val="en-US" w:eastAsia="zh-CN"/>
              </w:rPr>
              <w:t>肉类罐头</w:t>
            </w:r>
            <w:r>
              <w:rPr>
                <w:rFonts w:hint="eastAsia"/>
                <w:color w:val="auto"/>
              </w:rPr>
              <w:t>用水量</w:t>
            </w:r>
            <w:r>
              <w:rPr>
                <w:color w:val="auto"/>
              </w:rPr>
              <w:t>为</w:t>
            </w:r>
            <w:r>
              <w:rPr>
                <w:rFonts w:hint="eastAsia"/>
                <w:color w:val="auto"/>
                <w:lang w:val="en-US" w:eastAsia="zh-CN"/>
              </w:rPr>
              <w:t>4.3</w:t>
            </w:r>
            <w:r>
              <w:rPr>
                <w:color w:val="auto"/>
              </w:rPr>
              <w:t>m³/d（</w:t>
            </w:r>
            <w:r>
              <w:rPr>
                <w:rFonts w:hint="eastAsia"/>
                <w:color w:val="auto"/>
                <w:kern w:val="0"/>
                <w:lang w:val="en-US" w:eastAsia="zh-CN" w:bidi="ar"/>
              </w:rPr>
              <w:t>1125</w:t>
            </w:r>
            <w:r>
              <w:rPr>
                <w:color w:val="auto"/>
              </w:rPr>
              <w:t>m³/a）</w:t>
            </w:r>
            <w:r>
              <w:rPr>
                <w:rFonts w:hint="eastAsia"/>
                <w:color w:val="auto"/>
              </w:rPr>
              <w:t>。</w:t>
            </w:r>
          </w:p>
          <w:p w14:paraId="18413CCE">
            <w:pPr>
              <w:pStyle w:val="156"/>
              <w:numPr>
                <w:ilvl w:val="255"/>
                <w:numId w:val="0"/>
              </w:numPr>
              <w:ind w:firstLine="480" w:firstLineChars="200"/>
              <w:rPr>
                <w:color w:val="auto"/>
              </w:rPr>
            </w:pPr>
            <w:r>
              <w:rPr>
                <w:color w:val="auto"/>
              </w:rPr>
              <w:t>估算结果详见表2</w:t>
            </w:r>
            <w:r>
              <w:rPr>
                <w:rFonts w:hint="eastAsia"/>
                <w:color w:val="auto"/>
              </w:rPr>
              <w:t>-</w:t>
            </w:r>
            <w:r>
              <w:rPr>
                <w:rFonts w:hint="eastAsia"/>
                <w:color w:val="auto"/>
                <w:lang w:val="en-US" w:eastAsia="zh-CN"/>
              </w:rPr>
              <w:t>6</w:t>
            </w:r>
            <w:r>
              <w:rPr>
                <w:color w:val="auto"/>
              </w:rPr>
              <w:t>。</w:t>
            </w:r>
          </w:p>
          <w:p w14:paraId="7FB0CA4E">
            <w:pPr>
              <w:pStyle w:val="157"/>
              <w:keepNext w:val="0"/>
              <w:keepLines w:val="0"/>
              <w:pageBreakBefore w:val="0"/>
              <w:widowControl w:val="0"/>
              <w:kinsoku/>
              <w:wordWrap/>
              <w:overflowPunct/>
              <w:topLinePunct w:val="0"/>
              <w:autoSpaceDE/>
              <w:autoSpaceDN/>
              <w:bidi w:val="0"/>
              <w:adjustRightInd w:val="0"/>
              <w:snapToGrid w:val="0"/>
              <w:spacing w:before="0" w:beforeLines="0" w:line="360" w:lineRule="auto"/>
              <w:textAlignment w:val="auto"/>
              <w:rPr>
                <w:color w:val="auto"/>
              </w:rPr>
            </w:pPr>
            <w:r>
              <w:rPr>
                <w:color w:val="auto"/>
              </w:rPr>
              <w:t>表2-</w:t>
            </w:r>
            <w:r>
              <w:rPr>
                <w:rFonts w:hint="eastAsia"/>
                <w:color w:val="auto"/>
                <w:lang w:val="en-US" w:eastAsia="zh-CN"/>
              </w:rPr>
              <w:t xml:space="preserve">6   </w:t>
            </w:r>
            <w:r>
              <w:rPr>
                <w:color w:val="auto"/>
              </w:rPr>
              <w:t>项目用水量一览表</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6"/>
              <w:gridCol w:w="2032"/>
              <w:gridCol w:w="1329"/>
              <w:gridCol w:w="1235"/>
              <w:gridCol w:w="1230"/>
              <w:gridCol w:w="1299"/>
            </w:tblGrid>
            <w:tr w14:paraId="2EE3E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57" w:type="pct"/>
                  <w:tcBorders>
                    <w:tl2br w:val="nil"/>
                    <w:tr2bl w:val="nil"/>
                  </w:tcBorders>
                  <w:vAlign w:val="center"/>
                </w:tcPr>
                <w:p w14:paraId="1D157C1F">
                  <w:pPr>
                    <w:pStyle w:val="78"/>
                    <w:rPr>
                      <w:rFonts w:hint="default" w:ascii="Times New Roman" w:hAnsi="Times New Roman" w:cs="Times New Roman"/>
                      <w:color w:val="auto"/>
                      <w:lang w:val="zh-CN"/>
                    </w:rPr>
                  </w:pPr>
                  <w:r>
                    <w:rPr>
                      <w:rFonts w:hint="default" w:ascii="Times New Roman" w:hAnsi="Times New Roman" w:cs="Times New Roman"/>
                      <w:color w:val="auto"/>
                      <w:lang w:val="zh-CN"/>
                    </w:rPr>
                    <w:t>序号</w:t>
                  </w:r>
                </w:p>
              </w:tc>
              <w:tc>
                <w:tcPr>
                  <w:tcW w:w="1295" w:type="pct"/>
                  <w:tcBorders>
                    <w:tl2br w:val="nil"/>
                    <w:tr2bl w:val="nil"/>
                  </w:tcBorders>
                  <w:vAlign w:val="center"/>
                </w:tcPr>
                <w:p w14:paraId="06A0AC50">
                  <w:pPr>
                    <w:pStyle w:val="78"/>
                    <w:rPr>
                      <w:rFonts w:hint="default" w:ascii="Times New Roman" w:hAnsi="Times New Roman" w:cs="Times New Roman"/>
                      <w:color w:val="auto"/>
                      <w:lang w:val="zh-CN"/>
                    </w:rPr>
                  </w:pPr>
                  <w:r>
                    <w:rPr>
                      <w:rFonts w:hint="default" w:ascii="Times New Roman" w:hAnsi="Times New Roman" w:cs="Times New Roman"/>
                      <w:color w:val="auto"/>
                      <w:lang w:val="zh-CN"/>
                    </w:rPr>
                    <w:t>用水项目名称</w:t>
                  </w:r>
                </w:p>
              </w:tc>
              <w:tc>
                <w:tcPr>
                  <w:tcW w:w="847" w:type="pct"/>
                  <w:tcBorders>
                    <w:tl2br w:val="nil"/>
                    <w:tr2bl w:val="nil"/>
                  </w:tcBorders>
                  <w:vAlign w:val="center"/>
                </w:tcPr>
                <w:p w14:paraId="2A926431">
                  <w:pPr>
                    <w:pStyle w:val="78"/>
                    <w:rPr>
                      <w:rFonts w:hint="default" w:ascii="Times New Roman" w:hAnsi="Times New Roman" w:cs="Times New Roman"/>
                      <w:color w:val="auto"/>
                      <w:lang w:val="zh-CN"/>
                    </w:rPr>
                  </w:pPr>
                  <w:r>
                    <w:rPr>
                      <w:rFonts w:hint="default" w:ascii="Times New Roman" w:hAnsi="Times New Roman" w:cs="Times New Roman"/>
                      <w:color w:val="auto"/>
                      <w:lang w:val="zh-CN"/>
                    </w:rPr>
                    <w:t>使用人数或</w:t>
                  </w:r>
                  <w:r>
                    <w:rPr>
                      <w:rFonts w:hint="eastAsia" w:cs="Times New Roman"/>
                      <w:color w:val="auto"/>
                      <w:lang w:val="en-US" w:eastAsia="zh-CN"/>
                    </w:rPr>
                    <w:t>产品</w:t>
                  </w:r>
                  <w:r>
                    <w:rPr>
                      <w:rFonts w:hint="default" w:ascii="Times New Roman" w:hAnsi="Times New Roman" w:cs="Times New Roman"/>
                      <w:color w:val="auto"/>
                      <w:lang w:val="zh-CN"/>
                    </w:rPr>
                    <w:t>单位数</w:t>
                  </w:r>
                </w:p>
              </w:tc>
              <w:tc>
                <w:tcPr>
                  <w:tcW w:w="786" w:type="pct"/>
                  <w:tcBorders>
                    <w:tl2br w:val="nil"/>
                    <w:tr2bl w:val="nil"/>
                  </w:tcBorders>
                  <w:vAlign w:val="center"/>
                </w:tcPr>
                <w:p w14:paraId="1936F3ED">
                  <w:pPr>
                    <w:pStyle w:val="78"/>
                    <w:rPr>
                      <w:rFonts w:hint="default" w:ascii="Times New Roman" w:hAnsi="Times New Roman" w:cs="Times New Roman"/>
                      <w:color w:val="auto"/>
                      <w:lang w:val="zh-CN"/>
                    </w:rPr>
                  </w:pPr>
                  <w:r>
                    <w:rPr>
                      <w:rFonts w:hint="default" w:ascii="Times New Roman" w:hAnsi="Times New Roman" w:cs="Times New Roman"/>
                      <w:color w:val="auto"/>
                      <w:lang w:val="zh-CN"/>
                    </w:rPr>
                    <w:t>用水量标准</w:t>
                  </w:r>
                </w:p>
              </w:tc>
              <w:tc>
                <w:tcPr>
                  <w:tcW w:w="784" w:type="pct"/>
                  <w:tcBorders>
                    <w:tl2br w:val="nil"/>
                    <w:tr2bl w:val="nil"/>
                  </w:tcBorders>
                  <w:vAlign w:val="center"/>
                </w:tcPr>
                <w:p w14:paraId="5F92B8C6">
                  <w:pPr>
                    <w:pStyle w:val="78"/>
                    <w:rPr>
                      <w:rFonts w:hint="default" w:ascii="Times New Roman" w:hAnsi="Times New Roman" w:cs="Times New Roman"/>
                      <w:color w:val="auto"/>
                      <w:lang w:val="zh-CN"/>
                    </w:rPr>
                  </w:pPr>
                  <w:r>
                    <w:rPr>
                      <w:rFonts w:hint="default" w:ascii="Times New Roman" w:hAnsi="Times New Roman" w:cs="Times New Roman"/>
                      <w:color w:val="auto"/>
                      <w:lang w:val="zh-CN"/>
                    </w:rPr>
                    <w:t>日用水量(m³/d)</w:t>
                  </w:r>
                </w:p>
              </w:tc>
              <w:tc>
                <w:tcPr>
                  <w:tcW w:w="828" w:type="pct"/>
                  <w:tcBorders>
                    <w:tl2br w:val="nil"/>
                    <w:tr2bl w:val="nil"/>
                  </w:tcBorders>
                  <w:vAlign w:val="center"/>
                </w:tcPr>
                <w:p w14:paraId="51000058">
                  <w:pPr>
                    <w:pStyle w:val="78"/>
                    <w:rPr>
                      <w:rFonts w:hint="default" w:ascii="Times New Roman" w:hAnsi="Times New Roman" w:cs="Times New Roman"/>
                      <w:color w:val="auto"/>
                    </w:rPr>
                  </w:pPr>
                  <w:r>
                    <w:rPr>
                      <w:rFonts w:hint="default" w:ascii="Times New Roman" w:hAnsi="Times New Roman" w:cs="Times New Roman"/>
                      <w:color w:val="auto"/>
                      <w:lang w:val="zh-CN"/>
                    </w:rPr>
                    <w:t>年用水量(m³/</w:t>
                  </w:r>
                  <w:r>
                    <w:rPr>
                      <w:rFonts w:hint="default" w:ascii="Times New Roman" w:hAnsi="Times New Roman" w:cs="Times New Roman"/>
                      <w:color w:val="auto"/>
                    </w:rPr>
                    <w:t>a)</w:t>
                  </w:r>
                </w:p>
              </w:tc>
            </w:tr>
            <w:tr w14:paraId="3A97C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57" w:type="pct"/>
                  <w:tcBorders>
                    <w:tl2br w:val="nil"/>
                    <w:tr2bl w:val="nil"/>
                  </w:tcBorders>
                  <w:vAlign w:val="center"/>
                </w:tcPr>
                <w:p w14:paraId="50C23F7E">
                  <w:pPr>
                    <w:pStyle w:val="78"/>
                    <w:rPr>
                      <w:rFonts w:hint="default" w:ascii="Times New Roman" w:hAnsi="Times New Roman" w:cs="Times New Roman"/>
                      <w:color w:val="auto"/>
                      <w:lang w:val="zh-CN"/>
                    </w:rPr>
                  </w:pPr>
                  <w:bookmarkStart w:id="5" w:name="OLE_LINK9" w:colFirst="5" w:colLast="7"/>
                  <w:bookmarkStart w:id="6" w:name="_Hlk400711844"/>
                  <w:bookmarkStart w:id="7" w:name="_Hlk313219281"/>
                  <w:bookmarkStart w:id="8" w:name="OLE_LINK1" w:colFirst="6" w:colLast="7"/>
                  <w:bookmarkStart w:id="9" w:name="_Hlk400553578"/>
                  <w:bookmarkStart w:id="10" w:name="OLE_LINK2" w:colFirst="6" w:colLast="7"/>
                  <w:bookmarkStart w:id="11" w:name="OLE_LINK6" w:colFirst="5" w:colLast="5"/>
                  <w:bookmarkStart w:id="12" w:name="OLE_LINK8" w:colFirst="5" w:colLast="7"/>
                  <w:r>
                    <w:rPr>
                      <w:rFonts w:hint="default" w:ascii="Times New Roman" w:hAnsi="Times New Roman" w:cs="Times New Roman"/>
                      <w:color w:val="auto"/>
                      <w:lang w:val="zh-CN"/>
                    </w:rPr>
                    <w:t>1</w:t>
                  </w:r>
                </w:p>
              </w:tc>
              <w:tc>
                <w:tcPr>
                  <w:tcW w:w="1295" w:type="pct"/>
                  <w:tcBorders>
                    <w:tl2br w:val="nil"/>
                    <w:tr2bl w:val="nil"/>
                  </w:tcBorders>
                  <w:vAlign w:val="center"/>
                </w:tcPr>
                <w:p w14:paraId="7B9C7BBC">
                  <w:pPr>
                    <w:pStyle w:val="78"/>
                    <w:rPr>
                      <w:rFonts w:hint="default" w:ascii="Times New Roman" w:hAnsi="Times New Roman" w:cs="Times New Roman"/>
                      <w:color w:val="auto"/>
                      <w:lang w:val="zh-CN"/>
                    </w:rPr>
                  </w:pPr>
                  <w:r>
                    <w:rPr>
                      <w:rFonts w:hint="default" w:ascii="Times New Roman" w:hAnsi="Times New Roman" w:cs="Times New Roman"/>
                      <w:color w:val="auto"/>
                    </w:rPr>
                    <w:t>生活用水</w:t>
                  </w:r>
                </w:p>
              </w:tc>
              <w:tc>
                <w:tcPr>
                  <w:tcW w:w="847" w:type="pct"/>
                  <w:tcBorders>
                    <w:tl2br w:val="nil"/>
                    <w:tr2bl w:val="nil"/>
                  </w:tcBorders>
                  <w:vAlign w:val="center"/>
                </w:tcPr>
                <w:p w14:paraId="5C2068A6">
                  <w:pPr>
                    <w:pStyle w:val="78"/>
                    <w:rPr>
                      <w:rFonts w:hint="default" w:ascii="Times New Roman" w:hAnsi="Times New Roman" w:cs="Times New Roman"/>
                      <w:color w:val="auto"/>
                    </w:rPr>
                  </w:pPr>
                  <w:r>
                    <w:rPr>
                      <w:rFonts w:hint="default" w:ascii="Times New Roman" w:hAnsi="Times New Roman" w:cs="Times New Roman"/>
                      <w:color w:val="auto"/>
                    </w:rPr>
                    <w:t>20人</w:t>
                  </w:r>
                </w:p>
              </w:tc>
              <w:tc>
                <w:tcPr>
                  <w:tcW w:w="786" w:type="pct"/>
                  <w:tcBorders>
                    <w:tl2br w:val="nil"/>
                    <w:tr2bl w:val="nil"/>
                  </w:tcBorders>
                  <w:vAlign w:val="center"/>
                </w:tcPr>
                <w:p w14:paraId="16C39644">
                  <w:pPr>
                    <w:pStyle w:val="78"/>
                    <w:rPr>
                      <w:rFonts w:hint="default" w:ascii="Times New Roman" w:hAnsi="Times New Roman" w:cs="Times New Roman"/>
                      <w:color w:val="auto"/>
                    </w:rPr>
                  </w:pPr>
                  <w:r>
                    <w:rPr>
                      <w:rFonts w:hint="default" w:ascii="Times New Roman" w:hAnsi="Times New Roman" w:cs="Times New Roman"/>
                      <w:color w:val="auto"/>
                    </w:rPr>
                    <w:t>50L/人·d</w:t>
                  </w:r>
                </w:p>
              </w:tc>
              <w:tc>
                <w:tcPr>
                  <w:tcW w:w="784" w:type="pct"/>
                  <w:tcBorders>
                    <w:tl2br w:val="nil"/>
                    <w:tr2bl w:val="nil"/>
                  </w:tcBorders>
                  <w:vAlign w:val="center"/>
                </w:tcPr>
                <w:p w14:paraId="0DF26B57">
                  <w:pPr>
                    <w:widowControl/>
                    <w:jc w:val="center"/>
                    <w:textAlignment w:val="center"/>
                    <w:rPr>
                      <w:rFonts w:hint="default" w:ascii="Times New Roman" w:hAnsi="Times New Roman" w:cs="Times New Roman"/>
                      <w:color w:val="auto"/>
                    </w:rPr>
                  </w:pPr>
                  <w:r>
                    <w:rPr>
                      <w:rFonts w:hint="default" w:ascii="Times New Roman" w:hAnsi="Times New Roman" w:cs="Times New Roman"/>
                      <w:color w:val="auto"/>
                      <w:kern w:val="0"/>
                      <w:szCs w:val="21"/>
                      <w:lang w:bidi="ar"/>
                    </w:rPr>
                    <w:t xml:space="preserve">1.00 </w:t>
                  </w:r>
                </w:p>
              </w:tc>
              <w:tc>
                <w:tcPr>
                  <w:tcW w:w="828" w:type="pct"/>
                  <w:tcBorders>
                    <w:tl2br w:val="nil"/>
                    <w:tr2bl w:val="nil"/>
                  </w:tcBorders>
                  <w:vAlign w:val="center"/>
                </w:tcPr>
                <w:p w14:paraId="045C61EE">
                  <w:pPr>
                    <w:widowControl/>
                    <w:jc w:val="center"/>
                    <w:textAlignment w:val="center"/>
                    <w:rPr>
                      <w:rFonts w:hint="default" w:ascii="Times New Roman" w:hAnsi="Times New Roman" w:cs="Times New Roman"/>
                      <w:color w:val="auto"/>
                    </w:rPr>
                  </w:pPr>
                  <w:r>
                    <w:rPr>
                      <w:rFonts w:hint="default" w:ascii="Times New Roman" w:hAnsi="Times New Roman" w:cs="Times New Roman"/>
                      <w:color w:val="auto"/>
                      <w:kern w:val="0"/>
                      <w:szCs w:val="21"/>
                      <w:lang w:val="en-US" w:eastAsia="zh-CN" w:bidi="ar"/>
                    </w:rPr>
                    <w:t>2</w:t>
                  </w:r>
                  <w:r>
                    <w:rPr>
                      <w:rFonts w:hint="default" w:ascii="Times New Roman" w:hAnsi="Times New Roman" w:cs="Times New Roman"/>
                      <w:color w:val="auto"/>
                      <w:kern w:val="0"/>
                      <w:szCs w:val="21"/>
                      <w:lang w:bidi="ar"/>
                    </w:rPr>
                    <w:t>60</w:t>
                  </w:r>
                </w:p>
              </w:tc>
            </w:tr>
            <w:tr w14:paraId="7C9C2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57" w:type="pct"/>
                  <w:tcBorders>
                    <w:tl2br w:val="nil"/>
                    <w:tr2bl w:val="nil"/>
                  </w:tcBorders>
                  <w:vAlign w:val="center"/>
                </w:tcPr>
                <w:p w14:paraId="5A356BD3">
                  <w:pPr>
                    <w:pStyle w:val="78"/>
                    <w:rPr>
                      <w:rFonts w:hint="default" w:ascii="Times New Roman" w:hAnsi="Times New Roman" w:cs="Times New Roman"/>
                      <w:color w:val="auto"/>
                      <w:lang w:val="zh-CN"/>
                    </w:rPr>
                  </w:pPr>
                  <w:r>
                    <w:rPr>
                      <w:rFonts w:hint="default" w:ascii="Times New Roman" w:hAnsi="Times New Roman" w:cs="Times New Roman"/>
                      <w:color w:val="auto"/>
                      <w:lang w:val="zh-CN"/>
                    </w:rPr>
                    <w:t>2</w:t>
                  </w:r>
                </w:p>
              </w:tc>
              <w:tc>
                <w:tcPr>
                  <w:tcW w:w="1295" w:type="pct"/>
                  <w:tcBorders>
                    <w:tl2br w:val="nil"/>
                    <w:tr2bl w:val="nil"/>
                  </w:tcBorders>
                  <w:vAlign w:val="center"/>
                </w:tcPr>
                <w:p w14:paraId="73AA4A6C">
                  <w:pPr>
                    <w:pStyle w:val="78"/>
                    <w:rPr>
                      <w:rFonts w:hint="default" w:ascii="Times New Roman" w:hAnsi="Times New Roman" w:cs="Times New Roman"/>
                      <w:color w:val="auto"/>
                      <w:u w:val="wave"/>
                      <w:lang w:val="zh-CN"/>
                    </w:rPr>
                  </w:pPr>
                  <w:r>
                    <w:rPr>
                      <w:rFonts w:hint="default" w:ascii="Times New Roman" w:hAnsi="Times New Roman" w:cs="Times New Roman"/>
                      <w:color w:val="auto"/>
                      <w:lang w:val="en-US" w:eastAsia="zh-CN"/>
                    </w:rPr>
                    <w:t>风干肉制品</w:t>
                  </w:r>
                </w:p>
              </w:tc>
              <w:tc>
                <w:tcPr>
                  <w:tcW w:w="847" w:type="pct"/>
                  <w:tcBorders>
                    <w:tl2br w:val="nil"/>
                    <w:tr2bl w:val="nil"/>
                  </w:tcBorders>
                  <w:vAlign w:val="center"/>
                </w:tcPr>
                <w:p w14:paraId="25435BE9">
                  <w:pPr>
                    <w:pStyle w:val="78"/>
                    <w:rPr>
                      <w:rFonts w:hint="default" w:ascii="Times New Roman" w:hAnsi="Times New Roman" w:eastAsia="宋体" w:cs="Times New Roman"/>
                      <w:color w:val="auto"/>
                      <w:u w:val="wave"/>
                      <w:lang w:val="en-US" w:eastAsia="zh-CN"/>
                    </w:rPr>
                  </w:pPr>
                  <w:r>
                    <w:rPr>
                      <w:rFonts w:hint="eastAsia" w:cs="Times New Roman"/>
                      <w:color w:val="auto"/>
                      <w:lang w:val="en-US" w:eastAsia="zh-CN"/>
                    </w:rPr>
                    <w:t>1</w:t>
                  </w:r>
                  <w:r>
                    <w:rPr>
                      <w:rFonts w:hint="default" w:ascii="Times New Roman" w:hAnsi="Times New Roman" w:cs="Times New Roman"/>
                      <w:color w:val="auto"/>
                      <w:lang w:val="en-US" w:eastAsia="zh-CN"/>
                    </w:rPr>
                    <w:t>00t</w:t>
                  </w:r>
                </w:p>
              </w:tc>
              <w:tc>
                <w:tcPr>
                  <w:tcW w:w="786" w:type="pct"/>
                  <w:tcBorders>
                    <w:tl2br w:val="nil"/>
                    <w:tr2bl w:val="nil"/>
                  </w:tcBorders>
                  <w:vAlign w:val="center"/>
                </w:tcPr>
                <w:p w14:paraId="78572E75">
                  <w:pPr>
                    <w:pStyle w:val="78"/>
                    <w:rPr>
                      <w:rFonts w:hint="eastAsia" w:ascii="Times New Roman" w:hAnsi="Times New Roman" w:eastAsia="宋体" w:cs="Times New Roman"/>
                      <w:color w:val="auto"/>
                      <w:lang w:eastAsia="zh-CN"/>
                    </w:rPr>
                  </w:pPr>
                  <w:r>
                    <w:rPr>
                      <w:rFonts w:hint="eastAsia" w:cs="Times New Roman"/>
                      <w:color w:val="auto"/>
                      <w:lang w:val="en-US" w:eastAsia="zh-CN"/>
                    </w:rPr>
                    <w:t>1</w:t>
                  </w:r>
                  <w:r>
                    <w:rPr>
                      <w:rFonts w:hint="default" w:ascii="Times New Roman" w:hAnsi="Times New Roman" w:cs="Times New Roman"/>
                      <w:color w:val="auto"/>
                    </w:rPr>
                    <w:t>m</w:t>
                  </w:r>
                  <w:r>
                    <w:rPr>
                      <w:rFonts w:hint="default" w:ascii="Times New Roman" w:hAnsi="Times New Roman" w:cs="Times New Roman"/>
                      <w:color w:val="auto"/>
                      <w:vertAlign w:val="superscript"/>
                    </w:rPr>
                    <w:t>3</w:t>
                  </w:r>
                  <w:r>
                    <w:rPr>
                      <w:rFonts w:hint="default" w:ascii="Times New Roman" w:hAnsi="Times New Roman" w:cs="Times New Roman"/>
                      <w:color w:val="auto"/>
                    </w:rPr>
                    <w:t>/</w:t>
                  </w:r>
                  <w:r>
                    <w:rPr>
                      <w:rFonts w:hint="eastAsia" w:cs="Times New Roman"/>
                      <w:color w:val="auto"/>
                      <w:lang w:val="en-US" w:eastAsia="zh-CN"/>
                    </w:rPr>
                    <w:t>t</w:t>
                  </w:r>
                </w:p>
              </w:tc>
              <w:tc>
                <w:tcPr>
                  <w:tcW w:w="784" w:type="pct"/>
                  <w:tcBorders>
                    <w:tl2br w:val="nil"/>
                    <w:tr2bl w:val="nil"/>
                  </w:tcBorders>
                  <w:vAlign w:val="center"/>
                </w:tcPr>
                <w:p w14:paraId="2D55550A">
                  <w:pPr>
                    <w:widowControl/>
                    <w:jc w:val="center"/>
                    <w:textAlignment w:val="center"/>
                    <w:rPr>
                      <w:rFonts w:hint="default" w:ascii="Times New Roman" w:hAnsi="Times New Roman" w:eastAsia="宋体" w:cs="Times New Roman"/>
                      <w:color w:val="auto"/>
                      <w:lang w:val="en-US" w:eastAsia="zh-CN"/>
                    </w:rPr>
                  </w:pPr>
                  <w:r>
                    <w:rPr>
                      <w:rFonts w:hint="eastAsia" w:cs="Times New Roman"/>
                      <w:color w:val="auto"/>
                      <w:lang w:val="en-US" w:eastAsia="zh-CN"/>
                    </w:rPr>
                    <w:t>0.4</w:t>
                  </w:r>
                </w:p>
              </w:tc>
              <w:tc>
                <w:tcPr>
                  <w:tcW w:w="828" w:type="pct"/>
                  <w:tcBorders>
                    <w:tl2br w:val="nil"/>
                    <w:tr2bl w:val="nil"/>
                  </w:tcBorders>
                  <w:vAlign w:val="center"/>
                </w:tcPr>
                <w:p w14:paraId="01E9DDA9">
                  <w:pPr>
                    <w:widowControl/>
                    <w:jc w:val="center"/>
                    <w:textAlignment w:val="center"/>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100</w:t>
                  </w:r>
                </w:p>
              </w:tc>
            </w:tr>
            <w:tr w14:paraId="1AFDE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57" w:type="pct"/>
                  <w:tcBorders>
                    <w:tl2br w:val="nil"/>
                    <w:tr2bl w:val="nil"/>
                  </w:tcBorders>
                  <w:vAlign w:val="center"/>
                </w:tcPr>
                <w:p w14:paraId="759C08EC">
                  <w:pPr>
                    <w:pStyle w:val="78"/>
                    <w:rPr>
                      <w:rFonts w:hint="default" w:ascii="Times New Roman" w:hAnsi="Times New Roman" w:cs="Times New Roman"/>
                      <w:color w:val="auto"/>
                      <w:lang w:val="zh-CN"/>
                    </w:rPr>
                  </w:pPr>
                  <w:r>
                    <w:rPr>
                      <w:rFonts w:hint="default" w:ascii="Times New Roman" w:hAnsi="Times New Roman" w:cs="Times New Roman"/>
                      <w:color w:val="auto"/>
                    </w:rPr>
                    <w:t>3</w:t>
                  </w:r>
                </w:p>
              </w:tc>
              <w:tc>
                <w:tcPr>
                  <w:tcW w:w="1295" w:type="pct"/>
                  <w:tcBorders>
                    <w:tl2br w:val="nil"/>
                    <w:tr2bl w:val="nil"/>
                  </w:tcBorders>
                  <w:vAlign w:val="center"/>
                </w:tcPr>
                <w:p w14:paraId="4266B23F">
                  <w:pPr>
                    <w:pStyle w:val="78"/>
                    <w:rPr>
                      <w:rFonts w:hint="default" w:ascii="Times New Roman" w:hAnsi="Times New Roman" w:cs="Times New Roman"/>
                      <w:color w:val="auto"/>
                    </w:rPr>
                  </w:pPr>
                  <w:r>
                    <w:rPr>
                      <w:rFonts w:hint="default" w:ascii="Times New Roman" w:hAnsi="Times New Roman" w:cs="Times New Roman"/>
                      <w:color w:val="auto"/>
                      <w:lang w:val="en-US" w:eastAsia="zh-CN"/>
                    </w:rPr>
                    <w:t>肉类罐头</w:t>
                  </w:r>
                </w:p>
              </w:tc>
              <w:tc>
                <w:tcPr>
                  <w:tcW w:w="847" w:type="pct"/>
                  <w:tcBorders>
                    <w:tl2br w:val="nil"/>
                    <w:tr2bl w:val="nil"/>
                  </w:tcBorders>
                  <w:vAlign w:val="center"/>
                </w:tcPr>
                <w:p w14:paraId="4620BF0C">
                  <w:pPr>
                    <w:pStyle w:val="78"/>
                    <w:rPr>
                      <w:rFonts w:hint="default" w:ascii="Times New Roman" w:hAnsi="Times New Roman" w:eastAsia="宋体" w:cs="Times New Roman"/>
                      <w:color w:val="auto"/>
                      <w:lang w:val="en-US" w:eastAsia="zh-CN"/>
                    </w:rPr>
                  </w:pPr>
                  <w:r>
                    <w:rPr>
                      <w:rFonts w:hint="eastAsia" w:cs="Times New Roman"/>
                      <w:color w:val="auto"/>
                      <w:lang w:val="en-US" w:eastAsia="zh-CN"/>
                    </w:rPr>
                    <w:t>75</w:t>
                  </w:r>
                  <w:r>
                    <w:rPr>
                      <w:rFonts w:hint="default" w:ascii="Times New Roman" w:hAnsi="Times New Roman" w:cs="Times New Roman"/>
                      <w:color w:val="auto"/>
                      <w:lang w:val="en-US" w:eastAsia="zh-CN"/>
                    </w:rPr>
                    <w:t>0t</w:t>
                  </w:r>
                </w:p>
              </w:tc>
              <w:tc>
                <w:tcPr>
                  <w:tcW w:w="786" w:type="pct"/>
                  <w:tcBorders>
                    <w:tl2br w:val="nil"/>
                    <w:tr2bl w:val="nil"/>
                  </w:tcBorders>
                  <w:vAlign w:val="center"/>
                </w:tcPr>
                <w:p w14:paraId="2D91F462">
                  <w:pPr>
                    <w:pStyle w:val="78"/>
                    <w:rPr>
                      <w:rFonts w:hint="eastAsia" w:ascii="Times New Roman" w:hAnsi="Times New Roman" w:eastAsia="宋体" w:cs="Times New Roman"/>
                      <w:color w:val="auto"/>
                      <w:lang w:eastAsia="zh-CN"/>
                    </w:rPr>
                  </w:pPr>
                  <w:r>
                    <w:rPr>
                      <w:rFonts w:hint="eastAsia" w:cs="Times New Roman"/>
                      <w:color w:val="auto"/>
                      <w:lang w:val="en-US" w:eastAsia="zh-CN"/>
                    </w:rPr>
                    <w:t>1.5</w:t>
                  </w:r>
                  <w:r>
                    <w:rPr>
                      <w:rFonts w:hint="default" w:ascii="Times New Roman" w:hAnsi="Times New Roman" w:cs="Times New Roman"/>
                      <w:color w:val="auto"/>
                    </w:rPr>
                    <w:t>m</w:t>
                  </w:r>
                  <w:r>
                    <w:rPr>
                      <w:rFonts w:hint="default" w:ascii="Times New Roman" w:hAnsi="Times New Roman" w:cs="Times New Roman"/>
                      <w:color w:val="auto"/>
                      <w:vertAlign w:val="superscript"/>
                    </w:rPr>
                    <w:t>3</w:t>
                  </w:r>
                  <w:r>
                    <w:rPr>
                      <w:rFonts w:hint="default" w:ascii="Times New Roman" w:hAnsi="Times New Roman" w:cs="Times New Roman"/>
                      <w:color w:val="auto"/>
                    </w:rPr>
                    <w:t>/</w:t>
                  </w:r>
                  <w:r>
                    <w:rPr>
                      <w:rFonts w:hint="eastAsia" w:cs="Times New Roman"/>
                      <w:color w:val="auto"/>
                      <w:lang w:val="en-US" w:eastAsia="zh-CN"/>
                    </w:rPr>
                    <w:t>t</w:t>
                  </w:r>
                </w:p>
              </w:tc>
              <w:tc>
                <w:tcPr>
                  <w:tcW w:w="784" w:type="pct"/>
                  <w:tcBorders>
                    <w:tl2br w:val="nil"/>
                    <w:tr2bl w:val="nil"/>
                  </w:tcBorders>
                  <w:vAlign w:val="center"/>
                </w:tcPr>
                <w:p w14:paraId="612D03CF">
                  <w:pPr>
                    <w:widowControl/>
                    <w:jc w:val="center"/>
                    <w:textAlignment w:val="center"/>
                    <w:rPr>
                      <w:rFonts w:hint="default" w:ascii="Times New Roman" w:hAnsi="Times New Roman" w:eastAsia="宋体" w:cs="Times New Roman"/>
                      <w:color w:val="auto"/>
                      <w:lang w:val="en-US" w:eastAsia="zh-CN"/>
                    </w:rPr>
                  </w:pPr>
                  <w:r>
                    <w:rPr>
                      <w:rFonts w:hint="eastAsia" w:cs="Times New Roman"/>
                      <w:color w:val="auto"/>
                      <w:lang w:val="en-US" w:eastAsia="zh-CN"/>
                    </w:rPr>
                    <w:t>4.3</w:t>
                  </w:r>
                </w:p>
              </w:tc>
              <w:tc>
                <w:tcPr>
                  <w:tcW w:w="828" w:type="pct"/>
                  <w:tcBorders>
                    <w:tl2br w:val="nil"/>
                    <w:tr2bl w:val="nil"/>
                  </w:tcBorders>
                  <w:vAlign w:val="center"/>
                </w:tcPr>
                <w:p w14:paraId="5A59BD27">
                  <w:pPr>
                    <w:widowControl/>
                    <w:jc w:val="center"/>
                    <w:textAlignment w:val="center"/>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1125</w:t>
                  </w:r>
                </w:p>
              </w:tc>
            </w:tr>
            <w:bookmarkEnd w:id="5"/>
            <w:bookmarkEnd w:id="6"/>
            <w:bookmarkEnd w:id="7"/>
            <w:bookmarkEnd w:id="8"/>
            <w:bookmarkEnd w:id="9"/>
            <w:bookmarkEnd w:id="10"/>
            <w:bookmarkEnd w:id="11"/>
            <w:bookmarkEnd w:id="12"/>
            <w:tr w14:paraId="50ABB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3386" w:type="pct"/>
                  <w:gridSpan w:val="4"/>
                  <w:tcBorders>
                    <w:tl2br w:val="nil"/>
                    <w:tr2bl w:val="nil"/>
                  </w:tcBorders>
                  <w:vAlign w:val="center"/>
                </w:tcPr>
                <w:p w14:paraId="4E378B1B">
                  <w:pPr>
                    <w:pStyle w:val="78"/>
                    <w:rPr>
                      <w:rFonts w:hint="default" w:ascii="Times New Roman" w:hAnsi="Times New Roman" w:cs="Times New Roman"/>
                      <w:color w:val="auto"/>
                      <w:u w:val="wave"/>
                      <w:lang w:val="zh-CN"/>
                    </w:rPr>
                  </w:pPr>
                  <w:r>
                    <w:rPr>
                      <w:rFonts w:hint="default" w:ascii="Times New Roman" w:hAnsi="Times New Roman" w:cs="Times New Roman"/>
                      <w:color w:val="auto"/>
                      <w:lang w:val="zh-CN"/>
                    </w:rPr>
                    <w:t>合计</w:t>
                  </w:r>
                </w:p>
              </w:tc>
              <w:tc>
                <w:tcPr>
                  <w:tcW w:w="1233" w:type="dxa"/>
                  <w:tcBorders>
                    <w:tl2br w:val="nil"/>
                    <w:tr2bl w:val="nil"/>
                  </w:tcBorders>
                  <w:vAlign w:val="center"/>
                </w:tcPr>
                <w:p w14:paraId="080F3485">
                  <w:pPr>
                    <w:keepNext w:val="0"/>
                    <w:keepLines w:val="0"/>
                    <w:widowControl/>
                    <w:suppressLineNumbers w:val="0"/>
                    <w:jc w:val="center"/>
                    <w:textAlignment w:val="center"/>
                    <w:rPr>
                      <w:rFonts w:hint="default" w:ascii="Times New Roman" w:hAnsi="Times New Roman" w:eastAsia="宋体" w:cs="Times New Roman"/>
                      <w:color w:val="auto"/>
                      <w:sz w:val="21"/>
                      <w:szCs w:val="21"/>
                      <w:lang w:val="en-US"/>
                    </w:rPr>
                  </w:pPr>
                  <w:r>
                    <w:rPr>
                      <w:rFonts w:hint="eastAsia" w:cs="Times New Roman"/>
                      <w:i w:val="0"/>
                      <w:iCs w:val="0"/>
                      <w:color w:val="auto"/>
                      <w:kern w:val="0"/>
                      <w:sz w:val="21"/>
                      <w:szCs w:val="21"/>
                      <w:u w:val="none"/>
                      <w:lang w:val="en-US" w:eastAsia="zh-CN" w:bidi="ar"/>
                    </w:rPr>
                    <w:t>5.7</w:t>
                  </w:r>
                </w:p>
              </w:tc>
              <w:tc>
                <w:tcPr>
                  <w:tcW w:w="1303" w:type="dxa"/>
                  <w:tcBorders>
                    <w:tl2br w:val="nil"/>
                    <w:tr2bl w:val="nil"/>
                  </w:tcBorders>
                  <w:vAlign w:val="center"/>
                </w:tcPr>
                <w:p w14:paraId="7AF7608D">
                  <w:pPr>
                    <w:keepNext w:val="0"/>
                    <w:keepLines w:val="0"/>
                    <w:widowControl/>
                    <w:suppressLineNumbers w:val="0"/>
                    <w:jc w:val="center"/>
                    <w:textAlignment w:val="center"/>
                    <w:rPr>
                      <w:rFonts w:hint="default" w:ascii="Times New Roman" w:hAnsi="Times New Roman" w:eastAsia="宋体" w:cs="Times New Roman"/>
                      <w:color w:val="auto"/>
                      <w:sz w:val="21"/>
                      <w:szCs w:val="21"/>
                      <w:lang w:val="en-US" w:eastAsia="zh-CN"/>
                    </w:rPr>
                  </w:pPr>
                  <w:r>
                    <w:rPr>
                      <w:rFonts w:hint="eastAsia" w:cs="Times New Roman"/>
                      <w:i w:val="0"/>
                      <w:iCs w:val="0"/>
                      <w:color w:val="auto"/>
                      <w:kern w:val="0"/>
                      <w:sz w:val="21"/>
                      <w:szCs w:val="21"/>
                      <w:u w:val="none"/>
                      <w:lang w:val="en-US" w:eastAsia="zh-CN" w:bidi="ar"/>
                    </w:rPr>
                    <w:t>1485</w:t>
                  </w:r>
                </w:p>
              </w:tc>
            </w:tr>
          </w:tbl>
          <w:p w14:paraId="4A93AE30">
            <w:pPr>
              <w:pStyle w:val="156"/>
              <w:ind w:firstLine="480"/>
              <w:rPr>
                <w:color w:val="auto"/>
              </w:rPr>
            </w:pPr>
            <w:r>
              <w:rPr>
                <w:color w:val="auto"/>
              </w:rPr>
              <w:t>（2）排水</w:t>
            </w:r>
          </w:p>
          <w:p w14:paraId="418CDDF7">
            <w:pPr>
              <w:pStyle w:val="156"/>
              <w:ind w:firstLine="480"/>
              <w:rPr>
                <w:bCs/>
                <w:color w:val="auto"/>
              </w:rPr>
            </w:pPr>
            <w:r>
              <w:rPr>
                <w:bCs/>
                <w:color w:val="auto"/>
              </w:rPr>
              <w:t>本项目生活污水产生量按用水量的80%计，则生活污水产生为</w:t>
            </w:r>
            <w:r>
              <w:rPr>
                <w:rFonts w:hint="eastAsia"/>
                <w:bCs/>
                <w:color w:val="auto"/>
                <w:lang w:val="en-US" w:eastAsia="zh-CN"/>
              </w:rPr>
              <w:t>20</w:t>
            </w:r>
            <w:r>
              <w:rPr>
                <w:rFonts w:hint="eastAsia"/>
                <w:bCs/>
                <w:color w:val="auto"/>
              </w:rPr>
              <w:t>8</w:t>
            </w:r>
            <w:r>
              <w:rPr>
                <w:bCs/>
                <w:color w:val="auto"/>
              </w:rPr>
              <w:t>m³/a</w:t>
            </w:r>
            <w:r>
              <w:rPr>
                <w:rFonts w:hint="eastAsia"/>
                <w:bCs/>
                <w:color w:val="auto"/>
              </w:rPr>
              <w:t>（</w:t>
            </w:r>
            <w:r>
              <w:rPr>
                <w:color w:val="auto"/>
                <w:kern w:val="0"/>
                <w:lang w:bidi="ar"/>
              </w:rPr>
              <w:t>0.80</w:t>
            </w:r>
            <w:r>
              <w:rPr>
                <w:color w:val="auto"/>
                <w:lang w:val="zh-CN"/>
              </w:rPr>
              <w:t>m</w:t>
            </w:r>
            <w:r>
              <w:rPr>
                <w:color w:val="auto"/>
                <w:vertAlign w:val="superscript"/>
                <w:lang w:val="zh-CN"/>
              </w:rPr>
              <w:t>3</w:t>
            </w:r>
            <w:r>
              <w:rPr>
                <w:color w:val="auto"/>
                <w:lang w:val="zh-CN"/>
              </w:rPr>
              <w:t>/</w:t>
            </w:r>
            <w:r>
              <w:rPr>
                <w:rFonts w:hint="eastAsia"/>
                <w:color w:val="auto"/>
              </w:rPr>
              <w:t>d</w:t>
            </w:r>
            <w:r>
              <w:rPr>
                <w:rFonts w:hint="eastAsia"/>
                <w:bCs/>
                <w:color w:val="auto"/>
              </w:rPr>
              <w:t>）</w:t>
            </w:r>
            <w:r>
              <w:rPr>
                <w:bCs/>
                <w:color w:val="auto"/>
              </w:rPr>
              <w:t>，厂内新建</w:t>
            </w:r>
            <w:r>
              <w:rPr>
                <w:rFonts w:hint="eastAsia"/>
                <w:bCs/>
                <w:color w:val="auto"/>
              </w:rPr>
              <w:t>15m</w:t>
            </w:r>
            <w:r>
              <w:rPr>
                <w:rFonts w:hint="eastAsia"/>
                <w:bCs/>
                <w:color w:val="auto"/>
                <w:vertAlign w:val="superscript"/>
              </w:rPr>
              <w:t>3</w:t>
            </w:r>
            <w:r>
              <w:rPr>
                <w:bCs/>
                <w:color w:val="auto"/>
                <w:kern w:val="44"/>
              </w:rPr>
              <w:t>防渗</w:t>
            </w:r>
            <w:r>
              <w:rPr>
                <w:bCs/>
                <w:color w:val="auto"/>
              </w:rPr>
              <w:t>化粪池，生活污水</w:t>
            </w:r>
            <w:r>
              <w:rPr>
                <w:rFonts w:hint="eastAsia"/>
                <w:bCs/>
                <w:color w:val="auto"/>
                <w:kern w:val="44"/>
              </w:rPr>
              <w:t>经防渗化粪池沉淀、腐化处理后，</w:t>
            </w:r>
            <w:r>
              <w:rPr>
                <w:rFonts w:hint="eastAsia"/>
                <w:bCs/>
                <w:color w:val="auto"/>
                <w:kern w:val="44"/>
                <w:lang w:val="en-US" w:eastAsia="zh-CN"/>
              </w:rPr>
              <w:t>排</w:t>
            </w:r>
            <w:r>
              <w:rPr>
                <w:rFonts w:hint="eastAsia"/>
                <w:bCs/>
                <w:color w:val="auto"/>
                <w:kern w:val="44"/>
              </w:rPr>
              <w:t>入</w:t>
            </w:r>
            <w:r>
              <w:rPr>
                <w:rFonts w:hint="eastAsia"/>
                <w:bCs/>
                <w:color w:val="auto"/>
                <w:sz w:val="24"/>
                <w:lang w:val="en-US" w:eastAsia="zh-CN"/>
              </w:rPr>
              <w:t>市政</w:t>
            </w:r>
            <w:r>
              <w:rPr>
                <w:rFonts w:hint="eastAsia"/>
                <w:bCs/>
                <w:color w:val="auto"/>
                <w:kern w:val="44"/>
              </w:rPr>
              <w:t>污水管网</w:t>
            </w:r>
            <w:r>
              <w:rPr>
                <w:rFonts w:hint="eastAsia"/>
                <w:bCs/>
                <w:color w:val="auto"/>
                <w:kern w:val="44"/>
                <w:lang w:eastAsia="zh-CN"/>
              </w:rPr>
              <w:t>，</w:t>
            </w:r>
            <w:r>
              <w:rPr>
                <w:rFonts w:hint="eastAsia"/>
                <w:bCs/>
                <w:color w:val="auto"/>
                <w:kern w:val="44"/>
              </w:rPr>
              <w:t>生产废水进入厂区内污水处理站</w:t>
            </w:r>
            <w:r>
              <w:rPr>
                <w:rFonts w:hint="eastAsia"/>
                <w:bCs/>
                <w:color w:val="auto"/>
                <w:kern w:val="44"/>
                <w:lang w:val="en-US" w:eastAsia="zh-CN"/>
              </w:rPr>
              <w:t>处理后</w:t>
            </w:r>
            <w:r>
              <w:rPr>
                <w:rFonts w:hint="eastAsia"/>
                <w:bCs/>
                <w:color w:val="auto"/>
                <w:kern w:val="44"/>
              </w:rPr>
              <w:t>，</w:t>
            </w:r>
            <w:r>
              <w:rPr>
                <w:rFonts w:hint="eastAsia"/>
                <w:bCs/>
                <w:color w:val="auto"/>
                <w:kern w:val="44"/>
                <w:lang w:val="en-US" w:eastAsia="zh-CN"/>
              </w:rPr>
              <w:t>排</w:t>
            </w:r>
            <w:r>
              <w:rPr>
                <w:rFonts w:hint="eastAsia"/>
                <w:bCs/>
                <w:color w:val="auto"/>
                <w:kern w:val="44"/>
              </w:rPr>
              <w:t>入</w:t>
            </w:r>
            <w:r>
              <w:rPr>
                <w:rFonts w:hint="eastAsia"/>
                <w:bCs/>
                <w:color w:val="auto"/>
                <w:sz w:val="24"/>
                <w:lang w:val="en-US" w:eastAsia="zh-CN"/>
              </w:rPr>
              <w:t>市政</w:t>
            </w:r>
            <w:r>
              <w:rPr>
                <w:rFonts w:hint="eastAsia"/>
                <w:bCs/>
                <w:color w:val="auto"/>
                <w:kern w:val="44"/>
                <w:lang w:val="en-US" w:eastAsia="zh-CN"/>
              </w:rPr>
              <w:t>污水管网</w:t>
            </w:r>
            <w:r>
              <w:rPr>
                <w:bCs/>
                <w:color w:val="auto"/>
              </w:rPr>
              <w:t>；</w:t>
            </w:r>
          </w:p>
          <w:p w14:paraId="511DDD85">
            <w:pPr>
              <w:pStyle w:val="156"/>
              <w:ind w:firstLine="480"/>
              <w:rPr>
                <w:rFonts w:hint="eastAsia"/>
                <w:color w:val="auto"/>
                <w:szCs w:val="21"/>
              </w:rPr>
            </w:pPr>
            <w:r>
              <w:rPr>
                <w:color w:val="auto"/>
              </w:rPr>
              <w:t>根据《屠宰与肉类加工废水治理工程技术规范》（HJ2004-2010）要求废水量取用水量的80%</w:t>
            </w:r>
            <w:r>
              <w:rPr>
                <w:rFonts w:hint="eastAsia"/>
                <w:color w:val="auto"/>
                <w:lang w:eastAsia="zh-CN"/>
              </w:rPr>
              <w:t>～</w:t>
            </w:r>
            <w:r>
              <w:rPr>
                <w:color w:val="auto"/>
              </w:rPr>
              <w:t>90%，</w:t>
            </w:r>
            <w:r>
              <w:rPr>
                <w:rFonts w:hint="eastAsia"/>
                <w:bCs/>
                <w:color w:val="auto"/>
              </w:rPr>
              <w:t>本项目污水排放系数取</w:t>
            </w:r>
            <w:r>
              <w:rPr>
                <w:rFonts w:hint="eastAsia"/>
                <w:color w:val="auto"/>
                <w:szCs w:val="21"/>
              </w:rPr>
              <w:t>0.</w:t>
            </w:r>
            <w:r>
              <w:rPr>
                <w:rFonts w:hint="eastAsia"/>
                <w:color w:val="auto"/>
                <w:szCs w:val="21"/>
                <w:lang w:val="en-US" w:eastAsia="zh-CN"/>
              </w:rPr>
              <w:t>8</w:t>
            </w:r>
            <w:r>
              <w:rPr>
                <w:rFonts w:hint="eastAsia"/>
                <w:color w:val="auto"/>
                <w:szCs w:val="21"/>
              </w:rPr>
              <w:t>，则</w:t>
            </w:r>
            <w:r>
              <w:rPr>
                <w:rFonts w:hint="eastAsia"/>
                <w:color w:val="auto"/>
                <w:szCs w:val="21"/>
                <w:lang w:val="en-US" w:eastAsia="zh-CN"/>
              </w:rPr>
              <w:t>风干肉制品</w:t>
            </w:r>
            <w:r>
              <w:rPr>
                <w:rFonts w:hint="eastAsia"/>
                <w:color w:val="auto"/>
                <w:szCs w:val="21"/>
              </w:rPr>
              <w:t>废水产生量为：</w:t>
            </w:r>
            <w:r>
              <w:rPr>
                <w:rFonts w:hint="eastAsia"/>
                <w:color w:val="auto"/>
                <w:szCs w:val="21"/>
                <w:lang w:val="en-US" w:eastAsia="zh-CN"/>
              </w:rPr>
              <w:t>80</w:t>
            </w:r>
            <w:r>
              <w:rPr>
                <w:rFonts w:hint="eastAsia"/>
                <w:color w:val="auto"/>
                <w:szCs w:val="21"/>
              </w:rPr>
              <w:t>m</w:t>
            </w:r>
            <w:r>
              <w:rPr>
                <w:rFonts w:hint="eastAsia"/>
                <w:color w:val="auto"/>
                <w:szCs w:val="21"/>
                <w:vertAlign w:val="superscript"/>
              </w:rPr>
              <w:t>3</w:t>
            </w:r>
            <w:r>
              <w:rPr>
                <w:rFonts w:hint="eastAsia"/>
                <w:color w:val="auto"/>
                <w:szCs w:val="21"/>
              </w:rPr>
              <w:t>/a，</w:t>
            </w:r>
            <w:r>
              <w:rPr>
                <w:rFonts w:hint="eastAsia"/>
                <w:color w:val="auto"/>
                <w:lang w:val="en-US" w:eastAsia="zh-CN"/>
              </w:rPr>
              <w:t>肉类罐头废水产生量为：</w:t>
            </w:r>
            <w:r>
              <w:rPr>
                <w:rFonts w:hint="eastAsia"/>
                <w:color w:val="auto"/>
                <w:szCs w:val="21"/>
                <w:lang w:val="en-US" w:eastAsia="zh-CN"/>
              </w:rPr>
              <w:t>900</w:t>
            </w:r>
            <w:r>
              <w:rPr>
                <w:rFonts w:hint="eastAsia"/>
                <w:color w:val="auto"/>
                <w:szCs w:val="21"/>
              </w:rPr>
              <w:t>m</w:t>
            </w:r>
            <w:r>
              <w:rPr>
                <w:rFonts w:hint="eastAsia"/>
                <w:color w:val="auto"/>
                <w:szCs w:val="21"/>
                <w:vertAlign w:val="superscript"/>
              </w:rPr>
              <w:t>3</w:t>
            </w:r>
            <w:r>
              <w:rPr>
                <w:rFonts w:hint="eastAsia"/>
                <w:color w:val="auto"/>
                <w:szCs w:val="21"/>
              </w:rPr>
              <w:t>/a，合计生产废水总量为</w:t>
            </w:r>
            <w:r>
              <w:rPr>
                <w:rFonts w:hint="eastAsia"/>
                <w:color w:val="auto"/>
                <w:szCs w:val="21"/>
                <w:lang w:val="en-US" w:eastAsia="zh-CN"/>
              </w:rPr>
              <w:t>980</w:t>
            </w:r>
            <w:r>
              <w:rPr>
                <w:rFonts w:hint="eastAsia"/>
                <w:color w:val="auto"/>
                <w:szCs w:val="21"/>
              </w:rPr>
              <w:t>m</w:t>
            </w:r>
            <w:r>
              <w:rPr>
                <w:rFonts w:hint="eastAsia"/>
                <w:color w:val="auto"/>
                <w:szCs w:val="21"/>
                <w:vertAlign w:val="superscript"/>
              </w:rPr>
              <w:t>3</w:t>
            </w:r>
            <w:r>
              <w:rPr>
                <w:rFonts w:hint="eastAsia"/>
                <w:color w:val="auto"/>
                <w:szCs w:val="21"/>
              </w:rPr>
              <w:t>/a（</w:t>
            </w:r>
            <w:r>
              <w:rPr>
                <w:rFonts w:hint="eastAsia"/>
                <w:color w:val="auto"/>
                <w:szCs w:val="21"/>
                <w:lang w:val="en-US" w:eastAsia="zh-CN"/>
              </w:rPr>
              <w:t>3.8</w:t>
            </w:r>
            <w:r>
              <w:rPr>
                <w:color w:val="auto"/>
                <w:szCs w:val="21"/>
                <w:lang w:val="zh-CN"/>
              </w:rPr>
              <w:t>m</w:t>
            </w:r>
            <w:r>
              <w:rPr>
                <w:color w:val="auto"/>
                <w:szCs w:val="21"/>
                <w:vertAlign w:val="superscript"/>
                <w:lang w:val="zh-CN"/>
              </w:rPr>
              <w:t>3</w:t>
            </w:r>
            <w:r>
              <w:rPr>
                <w:color w:val="auto"/>
                <w:szCs w:val="21"/>
                <w:lang w:val="zh-CN"/>
              </w:rPr>
              <w:t>/</w:t>
            </w:r>
            <w:r>
              <w:rPr>
                <w:rFonts w:hint="eastAsia"/>
                <w:color w:val="auto"/>
                <w:szCs w:val="21"/>
              </w:rPr>
              <w:t>d）</w:t>
            </w:r>
            <w:r>
              <w:rPr>
                <w:rFonts w:hint="eastAsia"/>
                <w:color w:val="auto"/>
                <w:szCs w:val="21"/>
                <w:lang w:eastAsia="zh-CN"/>
              </w:rPr>
              <w:t>，</w:t>
            </w:r>
            <w:r>
              <w:rPr>
                <w:rFonts w:hint="eastAsia"/>
                <w:color w:val="auto"/>
                <w:szCs w:val="21"/>
                <w:lang w:val="en-US" w:eastAsia="zh-CN"/>
              </w:rPr>
              <w:t>本项目生产废水</w:t>
            </w:r>
            <w:r>
              <w:rPr>
                <w:rFonts w:hint="eastAsia"/>
                <w:color w:val="auto"/>
                <w:szCs w:val="21"/>
              </w:rPr>
              <w:t>进入厂区内污水处理站</w:t>
            </w:r>
            <w:r>
              <w:rPr>
                <w:rFonts w:hint="eastAsia"/>
                <w:color w:val="auto"/>
                <w:szCs w:val="21"/>
                <w:lang w:val="en-US" w:eastAsia="zh-CN"/>
              </w:rPr>
              <w:t>处理后</w:t>
            </w:r>
            <w:r>
              <w:rPr>
                <w:rFonts w:hint="eastAsia"/>
                <w:color w:val="auto"/>
                <w:szCs w:val="21"/>
                <w:lang w:eastAsia="zh-CN"/>
              </w:rPr>
              <w:t>，排</w:t>
            </w:r>
            <w:r>
              <w:rPr>
                <w:rFonts w:hint="eastAsia"/>
                <w:color w:val="auto"/>
                <w:szCs w:val="21"/>
              </w:rPr>
              <w:t>入</w:t>
            </w:r>
            <w:r>
              <w:rPr>
                <w:rFonts w:hint="eastAsia"/>
                <w:bCs/>
                <w:color w:val="auto"/>
                <w:sz w:val="24"/>
                <w:lang w:val="en-US" w:eastAsia="zh-CN"/>
              </w:rPr>
              <w:t>市政</w:t>
            </w:r>
            <w:r>
              <w:rPr>
                <w:rFonts w:hint="eastAsia"/>
                <w:color w:val="auto"/>
                <w:szCs w:val="21"/>
                <w:lang w:val="en-US" w:eastAsia="zh-CN"/>
              </w:rPr>
              <w:t>污水管网</w:t>
            </w:r>
            <w:r>
              <w:rPr>
                <w:rFonts w:hint="eastAsia"/>
                <w:color w:val="auto"/>
                <w:szCs w:val="21"/>
              </w:rPr>
              <w:t>。</w:t>
            </w:r>
          </w:p>
          <w:p w14:paraId="1D7F4351">
            <w:pPr>
              <w:pStyle w:val="156"/>
              <w:ind w:firstLine="480"/>
              <w:rPr>
                <w:color w:val="auto"/>
                <w:kern w:val="2"/>
                <w:sz w:val="24"/>
                <w:szCs w:val="24"/>
              </w:rPr>
            </w:pPr>
            <w:r>
              <w:rPr>
                <w:rFonts w:hint="eastAsia"/>
                <w:color w:val="auto"/>
                <w:kern w:val="2"/>
                <w:sz w:val="24"/>
                <w:szCs w:val="24"/>
              </w:rPr>
              <w:t>由工程分析可知，本项目污水处理站最大接纳处理污水规模为</w:t>
            </w:r>
            <w:r>
              <w:rPr>
                <w:rFonts w:hint="eastAsia"/>
                <w:color w:val="auto"/>
                <w:kern w:val="2"/>
                <w:sz w:val="24"/>
                <w:szCs w:val="24"/>
                <w:lang w:val="en-US" w:eastAsia="zh-CN"/>
              </w:rPr>
              <w:t>3.8</w:t>
            </w:r>
            <w:r>
              <w:rPr>
                <w:rFonts w:hint="eastAsia"/>
                <w:color w:val="auto"/>
                <w:kern w:val="2"/>
                <w:sz w:val="24"/>
                <w:szCs w:val="24"/>
              </w:rPr>
              <w:t>m</w:t>
            </w:r>
            <w:r>
              <w:rPr>
                <w:rFonts w:hint="eastAsia"/>
                <w:color w:val="auto"/>
                <w:kern w:val="2"/>
                <w:sz w:val="24"/>
                <w:szCs w:val="24"/>
                <w:vertAlign w:val="superscript"/>
              </w:rPr>
              <w:t>3</w:t>
            </w:r>
            <w:r>
              <w:rPr>
                <w:rFonts w:hint="eastAsia"/>
                <w:color w:val="auto"/>
                <w:kern w:val="2"/>
                <w:sz w:val="24"/>
                <w:szCs w:val="24"/>
              </w:rPr>
              <w:t>/d，考虑1.2变化系数，本评价要求项目设置污水处理站设计处理能力不能低于</w:t>
            </w:r>
            <w:r>
              <w:rPr>
                <w:rFonts w:hint="eastAsia"/>
                <w:color w:val="auto"/>
                <w:kern w:val="2"/>
                <w:sz w:val="24"/>
                <w:szCs w:val="24"/>
                <w:lang w:val="en-US" w:eastAsia="zh-CN"/>
              </w:rPr>
              <w:t>5</w:t>
            </w:r>
            <w:r>
              <w:rPr>
                <w:rFonts w:hint="eastAsia"/>
                <w:color w:val="auto"/>
                <w:kern w:val="2"/>
                <w:sz w:val="24"/>
                <w:szCs w:val="24"/>
              </w:rPr>
              <w:t>m</w:t>
            </w:r>
            <w:r>
              <w:rPr>
                <w:rFonts w:hint="eastAsia"/>
                <w:color w:val="auto"/>
                <w:kern w:val="2"/>
                <w:sz w:val="24"/>
                <w:szCs w:val="24"/>
                <w:vertAlign w:val="superscript"/>
              </w:rPr>
              <w:t>3</w:t>
            </w:r>
            <w:r>
              <w:rPr>
                <w:rFonts w:hint="eastAsia"/>
                <w:color w:val="auto"/>
                <w:kern w:val="2"/>
                <w:sz w:val="24"/>
                <w:szCs w:val="24"/>
              </w:rPr>
              <w:t>/d</w:t>
            </w:r>
            <w:r>
              <w:rPr>
                <w:rFonts w:hint="eastAsia"/>
                <w:color w:val="auto"/>
                <w:kern w:val="2"/>
                <w:sz w:val="24"/>
                <w:szCs w:val="24"/>
                <w:lang w:eastAsia="zh-CN"/>
              </w:rPr>
              <w:t>，</w:t>
            </w:r>
            <w:r>
              <w:rPr>
                <w:rFonts w:hint="eastAsia"/>
                <w:color w:val="auto"/>
                <w:kern w:val="2"/>
                <w:sz w:val="24"/>
                <w:szCs w:val="24"/>
                <w:lang w:val="en-US" w:eastAsia="zh-CN"/>
              </w:rPr>
              <w:t>根据业主提供的资料，本项目污水处理站处理能力为7m</w:t>
            </w:r>
            <w:r>
              <w:rPr>
                <w:rFonts w:hint="eastAsia"/>
                <w:color w:val="auto"/>
                <w:kern w:val="2"/>
                <w:sz w:val="24"/>
                <w:szCs w:val="24"/>
                <w:vertAlign w:val="superscript"/>
                <w:lang w:val="en-US" w:eastAsia="zh-CN"/>
              </w:rPr>
              <w:t>3</w:t>
            </w:r>
            <w:r>
              <w:rPr>
                <w:rFonts w:hint="eastAsia"/>
                <w:color w:val="auto"/>
                <w:kern w:val="2"/>
                <w:sz w:val="24"/>
                <w:szCs w:val="24"/>
                <w:lang w:val="en-US" w:eastAsia="zh-CN"/>
              </w:rPr>
              <w:t>/d，</w:t>
            </w:r>
            <w:r>
              <w:rPr>
                <w:rFonts w:hint="eastAsia"/>
                <w:color w:val="auto"/>
                <w:kern w:val="2"/>
                <w:sz w:val="24"/>
                <w:szCs w:val="24"/>
              </w:rPr>
              <w:t>项目排水估算详见表2-</w:t>
            </w:r>
            <w:r>
              <w:rPr>
                <w:rFonts w:hint="eastAsia"/>
                <w:color w:val="auto"/>
                <w:kern w:val="2"/>
                <w:sz w:val="24"/>
                <w:szCs w:val="24"/>
                <w:lang w:val="en-US" w:eastAsia="zh-CN"/>
              </w:rPr>
              <w:t>7</w:t>
            </w:r>
            <w:r>
              <w:rPr>
                <w:rFonts w:hint="eastAsia"/>
                <w:color w:val="auto"/>
                <w:kern w:val="2"/>
                <w:sz w:val="24"/>
                <w:szCs w:val="24"/>
              </w:rPr>
              <w:t>。</w:t>
            </w:r>
          </w:p>
          <w:p w14:paraId="05328BD2">
            <w:pPr>
              <w:pStyle w:val="157"/>
              <w:keepNext w:val="0"/>
              <w:keepLines w:val="0"/>
              <w:pageBreakBefore w:val="0"/>
              <w:widowControl w:val="0"/>
              <w:kinsoku/>
              <w:wordWrap/>
              <w:overflowPunct/>
              <w:topLinePunct w:val="0"/>
              <w:autoSpaceDE/>
              <w:autoSpaceDN/>
              <w:bidi w:val="0"/>
              <w:adjustRightInd w:val="0"/>
              <w:snapToGrid w:val="0"/>
              <w:spacing w:before="0" w:beforeLines="0" w:line="360" w:lineRule="auto"/>
              <w:textAlignment w:val="auto"/>
              <w:rPr>
                <w:color w:val="auto"/>
              </w:rPr>
            </w:pPr>
            <w:r>
              <w:rPr>
                <w:color w:val="auto"/>
              </w:rPr>
              <w:t>表2-</w:t>
            </w:r>
            <w:r>
              <w:rPr>
                <w:rFonts w:hint="eastAsia"/>
                <w:color w:val="auto"/>
                <w:lang w:val="en-US" w:eastAsia="zh-CN"/>
              </w:rPr>
              <w:t>7</w:t>
            </w:r>
            <w:r>
              <w:rPr>
                <w:color w:val="auto"/>
              </w:rPr>
              <w:t xml:space="preserve">   项目排水估算表</w:t>
            </w:r>
          </w:p>
          <w:tbl>
            <w:tblPr>
              <w:tblStyle w:val="31"/>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1"/>
              <w:gridCol w:w="1519"/>
              <w:gridCol w:w="1018"/>
              <w:gridCol w:w="1088"/>
              <w:gridCol w:w="1308"/>
              <w:gridCol w:w="1248"/>
              <w:gridCol w:w="1113"/>
            </w:tblGrid>
            <w:tr w14:paraId="6BA3A3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345" w:type="pct"/>
                  <w:tcBorders>
                    <w:tl2br w:val="nil"/>
                    <w:tr2bl w:val="nil"/>
                  </w:tcBorders>
                  <w:vAlign w:val="center"/>
                </w:tcPr>
                <w:p w14:paraId="314512AB">
                  <w:pPr>
                    <w:pStyle w:val="78"/>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序号</w:t>
                  </w:r>
                </w:p>
              </w:tc>
              <w:tc>
                <w:tcPr>
                  <w:tcW w:w="969" w:type="pct"/>
                  <w:tcBorders>
                    <w:tl2br w:val="nil"/>
                    <w:tr2bl w:val="nil"/>
                  </w:tcBorders>
                  <w:vAlign w:val="center"/>
                </w:tcPr>
                <w:p w14:paraId="4E4A0A89">
                  <w:pPr>
                    <w:pStyle w:val="78"/>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用水项目名称</w:t>
                  </w:r>
                </w:p>
              </w:tc>
              <w:tc>
                <w:tcPr>
                  <w:tcW w:w="649" w:type="pct"/>
                  <w:tcBorders>
                    <w:tl2br w:val="nil"/>
                    <w:tr2bl w:val="nil"/>
                  </w:tcBorders>
                  <w:vAlign w:val="center"/>
                </w:tcPr>
                <w:p w14:paraId="36C15B7A">
                  <w:pPr>
                    <w:pStyle w:val="78"/>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zh-CN"/>
                    </w:rPr>
                    <w:t>年用水量(m</w:t>
                  </w:r>
                  <w:r>
                    <w:rPr>
                      <w:rFonts w:hint="default" w:ascii="Times New Roman" w:hAnsi="Times New Roman" w:eastAsia="宋体" w:cs="Times New Roman"/>
                      <w:color w:val="auto"/>
                      <w:sz w:val="21"/>
                      <w:szCs w:val="21"/>
                      <w:highlight w:val="none"/>
                      <w:vertAlign w:val="superscript"/>
                      <w:lang w:val="zh-CN"/>
                    </w:rPr>
                    <w:t>3</w:t>
                  </w:r>
                  <w:r>
                    <w:rPr>
                      <w:rFonts w:hint="default" w:ascii="Times New Roman" w:hAnsi="Times New Roman" w:eastAsia="宋体" w:cs="Times New Roman"/>
                      <w:color w:val="auto"/>
                      <w:sz w:val="21"/>
                      <w:szCs w:val="21"/>
                      <w:highlight w:val="none"/>
                      <w:lang w:val="zh-CN"/>
                    </w:rPr>
                    <w:t>/</w:t>
                  </w:r>
                  <w:r>
                    <w:rPr>
                      <w:rFonts w:hint="default" w:ascii="Times New Roman" w:hAnsi="Times New Roman" w:eastAsia="宋体" w:cs="Times New Roman"/>
                      <w:color w:val="auto"/>
                      <w:sz w:val="21"/>
                      <w:szCs w:val="21"/>
                      <w:highlight w:val="none"/>
                    </w:rPr>
                    <w:t>a)</w:t>
                  </w:r>
                </w:p>
              </w:tc>
              <w:tc>
                <w:tcPr>
                  <w:tcW w:w="694" w:type="pct"/>
                  <w:tcBorders>
                    <w:tl2br w:val="nil"/>
                    <w:tr2bl w:val="nil"/>
                  </w:tcBorders>
                  <w:vAlign w:val="center"/>
                </w:tcPr>
                <w:p w14:paraId="03C77C2D">
                  <w:pPr>
                    <w:pStyle w:val="78"/>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排污系数</w:t>
                  </w:r>
                </w:p>
              </w:tc>
              <w:tc>
                <w:tcPr>
                  <w:tcW w:w="834" w:type="pct"/>
                  <w:tcBorders>
                    <w:tl2br w:val="nil"/>
                    <w:tr2bl w:val="nil"/>
                  </w:tcBorders>
                  <w:vAlign w:val="center"/>
                </w:tcPr>
                <w:p w14:paraId="4600F9EF">
                  <w:pPr>
                    <w:pStyle w:val="78"/>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年排水量(m</w:t>
                  </w:r>
                  <w:r>
                    <w:rPr>
                      <w:rFonts w:hint="default" w:ascii="Times New Roman" w:hAnsi="Times New Roman" w:eastAsia="宋体" w:cs="Times New Roman"/>
                      <w:color w:val="auto"/>
                      <w:sz w:val="21"/>
                      <w:szCs w:val="21"/>
                      <w:highlight w:val="none"/>
                      <w:vertAlign w:val="superscript"/>
                      <w:lang w:val="zh-CN"/>
                    </w:rPr>
                    <w:t>3</w:t>
                  </w:r>
                  <w:r>
                    <w:rPr>
                      <w:rFonts w:hint="default" w:ascii="Times New Roman" w:hAnsi="Times New Roman" w:eastAsia="宋体" w:cs="Times New Roman"/>
                      <w:color w:val="auto"/>
                      <w:sz w:val="21"/>
                      <w:szCs w:val="21"/>
                      <w:highlight w:val="none"/>
                      <w:lang w:val="zh-CN"/>
                    </w:rPr>
                    <w:t>/</w:t>
                  </w:r>
                  <w:r>
                    <w:rPr>
                      <w:rFonts w:hint="default" w:ascii="Times New Roman" w:hAnsi="Times New Roman" w:eastAsia="宋体" w:cs="Times New Roman"/>
                      <w:color w:val="auto"/>
                      <w:sz w:val="21"/>
                      <w:szCs w:val="21"/>
                      <w:highlight w:val="none"/>
                    </w:rPr>
                    <w:t>a)</w:t>
                  </w:r>
                </w:p>
              </w:tc>
              <w:tc>
                <w:tcPr>
                  <w:tcW w:w="796" w:type="pct"/>
                  <w:tcBorders>
                    <w:tl2br w:val="nil"/>
                    <w:tr2bl w:val="nil"/>
                  </w:tcBorders>
                  <w:vAlign w:val="center"/>
                </w:tcPr>
                <w:p w14:paraId="0ABF92A6">
                  <w:pPr>
                    <w:pStyle w:val="78"/>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color w:val="auto"/>
                      <w:sz w:val="21"/>
                      <w:szCs w:val="21"/>
                      <w:highlight w:val="none"/>
                    </w:rPr>
                    <w:t>日</w:t>
                  </w:r>
                  <w:r>
                    <w:rPr>
                      <w:rFonts w:hint="default" w:ascii="Times New Roman" w:hAnsi="Times New Roman" w:eastAsia="宋体" w:cs="Times New Roman"/>
                      <w:color w:val="auto"/>
                      <w:sz w:val="21"/>
                      <w:szCs w:val="21"/>
                      <w:highlight w:val="none"/>
                      <w:lang w:val="zh-CN"/>
                    </w:rPr>
                    <w:t>排水量(m</w:t>
                  </w:r>
                  <w:r>
                    <w:rPr>
                      <w:rFonts w:hint="default" w:ascii="Times New Roman" w:hAnsi="Times New Roman" w:eastAsia="宋体" w:cs="Times New Roman"/>
                      <w:color w:val="auto"/>
                      <w:sz w:val="21"/>
                      <w:szCs w:val="21"/>
                      <w:highlight w:val="none"/>
                      <w:vertAlign w:val="superscript"/>
                      <w:lang w:val="zh-CN"/>
                    </w:rPr>
                    <w:t>3</w:t>
                  </w:r>
                  <w:r>
                    <w:rPr>
                      <w:rFonts w:hint="default" w:ascii="Times New Roman" w:hAnsi="Times New Roman" w:eastAsia="宋体" w:cs="Times New Roman"/>
                      <w:color w:val="auto"/>
                      <w:sz w:val="21"/>
                      <w:szCs w:val="21"/>
                      <w:highlight w:val="none"/>
                      <w:lang w:val="zh-CN"/>
                    </w:rPr>
                    <w:t>/</w:t>
                  </w:r>
                  <w:r>
                    <w:rPr>
                      <w:rFonts w:hint="default" w:ascii="Times New Roman" w:hAnsi="Times New Roman" w:eastAsia="宋体" w:cs="Times New Roman"/>
                      <w:color w:val="auto"/>
                      <w:sz w:val="21"/>
                      <w:szCs w:val="21"/>
                      <w:highlight w:val="none"/>
                    </w:rPr>
                    <w:t>d)</w:t>
                  </w:r>
                </w:p>
              </w:tc>
              <w:tc>
                <w:tcPr>
                  <w:tcW w:w="710" w:type="pct"/>
                  <w:tcBorders>
                    <w:tl2br w:val="nil"/>
                    <w:tr2bl w:val="nil"/>
                  </w:tcBorders>
                  <w:vAlign w:val="center"/>
                </w:tcPr>
                <w:p w14:paraId="73694BE4">
                  <w:pPr>
                    <w:pStyle w:val="78"/>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损耗量</w:t>
                  </w:r>
                  <w:r>
                    <w:rPr>
                      <w:rFonts w:hint="default" w:ascii="Times New Roman" w:hAnsi="Times New Roman" w:eastAsia="宋体" w:cs="Times New Roman"/>
                      <w:color w:val="auto"/>
                      <w:sz w:val="21"/>
                      <w:szCs w:val="21"/>
                      <w:highlight w:val="none"/>
                      <w:lang w:val="zh-CN"/>
                    </w:rPr>
                    <w:t>(m</w:t>
                  </w:r>
                  <w:r>
                    <w:rPr>
                      <w:rFonts w:hint="default" w:ascii="Times New Roman" w:hAnsi="Times New Roman" w:eastAsia="宋体" w:cs="Times New Roman"/>
                      <w:color w:val="auto"/>
                      <w:sz w:val="21"/>
                      <w:szCs w:val="21"/>
                      <w:highlight w:val="none"/>
                      <w:vertAlign w:val="superscript"/>
                      <w:lang w:val="zh-CN"/>
                    </w:rPr>
                    <w:t>3</w:t>
                  </w:r>
                  <w:r>
                    <w:rPr>
                      <w:rFonts w:hint="default" w:ascii="Times New Roman" w:hAnsi="Times New Roman" w:eastAsia="宋体" w:cs="Times New Roman"/>
                      <w:color w:val="auto"/>
                      <w:sz w:val="21"/>
                      <w:szCs w:val="21"/>
                      <w:highlight w:val="none"/>
                      <w:lang w:val="zh-CN"/>
                    </w:rPr>
                    <w:t>/</w:t>
                  </w:r>
                  <w:r>
                    <w:rPr>
                      <w:rFonts w:hint="default" w:ascii="Times New Roman" w:hAnsi="Times New Roman" w:eastAsia="宋体" w:cs="Times New Roman"/>
                      <w:color w:val="auto"/>
                      <w:sz w:val="21"/>
                      <w:szCs w:val="21"/>
                      <w:highlight w:val="none"/>
                    </w:rPr>
                    <w:t>a)</w:t>
                  </w:r>
                </w:p>
              </w:tc>
            </w:tr>
            <w:tr w14:paraId="6068E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5" w:type="pct"/>
                  <w:tcBorders>
                    <w:tl2br w:val="nil"/>
                    <w:tr2bl w:val="nil"/>
                  </w:tcBorders>
                  <w:vAlign w:val="center"/>
                </w:tcPr>
                <w:p w14:paraId="13508DAA">
                  <w:pPr>
                    <w:pStyle w:val="78"/>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1</w:t>
                  </w:r>
                </w:p>
              </w:tc>
              <w:tc>
                <w:tcPr>
                  <w:tcW w:w="969" w:type="pct"/>
                  <w:tcBorders>
                    <w:tl2br w:val="nil"/>
                    <w:tr2bl w:val="nil"/>
                  </w:tcBorders>
                  <w:vAlign w:val="center"/>
                </w:tcPr>
                <w:p w14:paraId="020DEC9B">
                  <w:pPr>
                    <w:pStyle w:val="78"/>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rPr>
                    <w:t>生活用水</w:t>
                  </w:r>
                </w:p>
              </w:tc>
              <w:tc>
                <w:tcPr>
                  <w:tcW w:w="1018" w:type="dxa"/>
                  <w:tcBorders>
                    <w:tl2br w:val="nil"/>
                    <w:tr2bl w:val="nil"/>
                  </w:tcBorders>
                  <w:vAlign w:val="center"/>
                </w:tcPr>
                <w:p w14:paraId="4D7096E4">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u w:val="none"/>
                      <w:lang w:val="en-US" w:eastAsia="zh-CN" w:bidi="ar"/>
                    </w:rPr>
                    <w:t>260</w:t>
                  </w:r>
                </w:p>
              </w:tc>
              <w:tc>
                <w:tcPr>
                  <w:tcW w:w="694" w:type="pct"/>
                  <w:tcBorders>
                    <w:tl2br w:val="nil"/>
                    <w:tr2bl w:val="nil"/>
                  </w:tcBorders>
                  <w:vAlign w:val="center"/>
                </w:tcPr>
                <w:p w14:paraId="23AA7DD6">
                  <w:pPr>
                    <w:pStyle w:val="78"/>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0.8</w:t>
                  </w:r>
                </w:p>
              </w:tc>
              <w:tc>
                <w:tcPr>
                  <w:tcW w:w="1308" w:type="dxa"/>
                  <w:tcBorders>
                    <w:tl2br w:val="nil"/>
                    <w:tr2bl w:val="nil"/>
                  </w:tcBorders>
                  <w:vAlign w:val="center"/>
                </w:tcPr>
                <w:p w14:paraId="0CE66287">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u w:val="none"/>
                      <w:lang w:val="en-US" w:eastAsia="zh-CN" w:bidi="ar"/>
                    </w:rPr>
                    <w:t>208</w:t>
                  </w:r>
                </w:p>
              </w:tc>
              <w:tc>
                <w:tcPr>
                  <w:tcW w:w="1252" w:type="dxa"/>
                  <w:tcBorders>
                    <w:tl2br w:val="nil"/>
                    <w:tr2bl w:val="nil"/>
                  </w:tcBorders>
                  <w:vAlign w:val="center"/>
                </w:tcPr>
                <w:p w14:paraId="7B50BB7F">
                  <w:pPr>
                    <w:keepNext w:val="0"/>
                    <w:keepLines w:val="0"/>
                    <w:widowControl/>
                    <w:suppressLineNumbers w:val="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i w:val="0"/>
                      <w:iCs w:val="0"/>
                      <w:color w:val="auto"/>
                      <w:kern w:val="0"/>
                      <w:sz w:val="21"/>
                      <w:szCs w:val="21"/>
                      <w:u w:val="none"/>
                      <w:lang w:val="en-US" w:eastAsia="zh-CN" w:bidi="ar"/>
                    </w:rPr>
                    <w:t xml:space="preserve">0.8 </w:t>
                  </w:r>
                </w:p>
              </w:tc>
              <w:tc>
                <w:tcPr>
                  <w:tcW w:w="1113" w:type="dxa"/>
                  <w:tcBorders>
                    <w:tl2br w:val="nil"/>
                    <w:tr2bl w:val="nil"/>
                  </w:tcBorders>
                  <w:vAlign w:val="center"/>
                </w:tcPr>
                <w:p w14:paraId="7FD24A83">
                  <w:pPr>
                    <w:keepNext w:val="0"/>
                    <w:keepLines w:val="0"/>
                    <w:widowControl/>
                    <w:suppressLineNumbers w:val="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i w:val="0"/>
                      <w:iCs w:val="0"/>
                      <w:color w:val="auto"/>
                      <w:kern w:val="0"/>
                      <w:sz w:val="21"/>
                      <w:szCs w:val="21"/>
                      <w:u w:val="none"/>
                      <w:lang w:val="en-US" w:eastAsia="zh-CN" w:bidi="ar"/>
                    </w:rPr>
                    <w:t>52</w:t>
                  </w:r>
                </w:p>
              </w:tc>
            </w:tr>
            <w:tr w14:paraId="425E1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 w:hRule="atLeast"/>
                <w:jc w:val="center"/>
              </w:trPr>
              <w:tc>
                <w:tcPr>
                  <w:tcW w:w="345" w:type="pct"/>
                  <w:tcBorders>
                    <w:tl2br w:val="nil"/>
                    <w:tr2bl w:val="nil"/>
                  </w:tcBorders>
                  <w:vAlign w:val="center"/>
                </w:tcPr>
                <w:p w14:paraId="6D768389">
                  <w:pPr>
                    <w:pStyle w:val="78"/>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2</w:t>
                  </w:r>
                </w:p>
              </w:tc>
              <w:tc>
                <w:tcPr>
                  <w:tcW w:w="969" w:type="pct"/>
                  <w:tcBorders>
                    <w:tl2br w:val="nil"/>
                    <w:tr2bl w:val="nil"/>
                  </w:tcBorders>
                  <w:vAlign w:val="center"/>
                </w:tcPr>
                <w:p w14:paraId="31125C3B">
                  <w:pPr>
                    <w:pStyle w:val="78"/>
                    <w:rPr>
                      <w:rFonts w:hint="default" w:ascii="Times New Roman" w:hAnsi="Times New Roman" w:eastAsia="宋体" w:cs="Times New Roman"/>
                      <w:color w:val="auto"/>
                      <w:sz w:val="21"/>
                      <w:szCs w:val="21"/>
                      <w:highlight w:val="none"/>
                      <w:u w:val="wave"/>
                      <w:lang w:val="zh-CN"/>
                    </w:rPr>
                  </w:pPr>
                  <w:r>
                    <w:rPr>
                      <w:rFonts w:hint="default" w:ascii="Times New Roman" w:hAnsi="Times New Roman" w:eastAsia="宋体" w:cs="Times New Roman"/>
                      <w:color w:val="auto"/>
                      <w:sz w:val="21"/>
                      <w:szCs w:val="21"/>
                      <w:highlight w:val="none"/>
                      <w:lang w:val="en-US" w:eastAsia="zh-CN"/>
                    </w:rPr>
                    <w:t>风干肉制品</w:t>
                  </w:r>
                  <w:r>
                    <w:rPr>
                      <w:rFonts w:hint="default" w:ascii="Times New Roman" w:hAnsi="Times New Roman" w:eastAsia="宋体" w:cs="Times New Roman"/>
                      <w:color w:val="auto"/>
                      <w:sz w:val="21"/>
                      <w:szCs w:val="21"/>
                      <w:highlight w:val="none"/>
                    </w:rPr>
                    <w:t>用水</w:t>
                  </w:r>
                </w:p>
              </w:tc>
              <w:tc>
                <w:tcPr>
                  <w:tcW w:w="1018" w:type="dxa"/>
                  <w:tcBorders>
                    <w:tl2br w:val="nil"/>
                    <w:tr2bl w:val="nil"/>
                  </w:tcBorders>
                  <w:vAlign w:val="center"/>
                </w:tcPr>
                <w:p w14:paraId="1A860A39">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i w:val="0"/>
                      <w:iCs w:val="0"/>
                      <w:color w:val="auto"/>
                      <w:kern w:val="0"/>
                      <w:sz w:val="21"/>
                      <w:szCs w:val="21"/>
                      <w:u w:val="none"/>
                      <w:lang w:val="en-US" w:eastAsia="zh-CN" w:bidi="ar"/>
                    </w:rPr>
                    <w:t>1</w:t>
                  </w:r>
                  <w:r>
                    <w:rPr>
                      <w:rFonts w:hint="default" w:ascii="Times New Roman" w:hAnsi="Times New Roman" w:eastAsia="宋体" w:cs="Times New Roman"/>
                      <w:i w:val="0"/>
                      <w:iCs w:val="0"/>
                      <w:color w:val="auto"/>
                      <w:kern w:val="0"/>
                      <w:sz w:val="21"/>
                      <w:szCs w:val="21"/>
                      <w:u w:val="none"/>
                      <w:lang w:val="en-US" w:eastAsia="zh-CN" w:bidi="ar"/>
                    </w:rPr>
                    <w:t>00</w:t>
                  </w:r>
                </w:p>
              </w:tc>
              <w:tc>
                <w:tcPr>
                  <w:tcW w:w="694" w:type="pct"/>
                  <w:tcBorders>
                    <w:tl2br w:val="nil"/>
                    <w:tr2bl w:val="nil"/>
                  </w:tcBorders>
                  <w:vAlign w:val="center"/>
                </w:tcPr>
                <w:p w14:paraId="0CA5AD5C">
                  <w:pPr>
                    <w:pStyle w:val="78"/>
                    <w:rPr>
                      <w:rFonts w:hint="eastAsia"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0.</w:t>
                  </w:r>
                  <w:r>
                    <w:rPr>
                      <w:rFonts w:hint="eastAsia" w:cs="Times New Roman"/>
                      <w:color w:val="auto"/>
                      <w:sz w:val="21"/>
                      <w:szCs w:val="21"/>
                      <w:highlight w:val="none"/>
                      <w:lang w:val="en-US" w:eastAsia="zh-CN"/>
                    </w:rPr>
                    <w:t>8</w:t>
                  </w:r>
                </w:p>
              </w:tc>
              <w:tc>
                <w:tcPr>
                  <w:tcW w:w="1308" w:type="dxa"/>
                  <w:tcBorders>
                    <w:tl2br w:val="nil"/>
                    <w:tr2bl w:val="nil"/>
                  </w:tcBorders>
                  <w:vAlign w:val="center"/>
                </w:tcPr>
                <w:p w14:paraId="7F8D4841">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i w:val="0"/>
                      <w:iCs w:val="0"/>
                      <w:color w:val="auto"/>
                      <w:kern w:val="0"/>
                      <w:sz w:val="21"/>
                      <w:szCs w:val="21"/>
                      <w:u w:val="none"/>
                      <w:lang w:val="en-US" w:eastAsia="zh-CN" w:bidi="ar"/>
                    </w:rPr>
                    <w:t>80</w:t>
                  </w:r>
                </w:p>
              </w:tc>
              <w:tc>
                <w:tcPr>
                  <w:tcW w:w="1252" w:type="dxa"/>
                  <w:tcBorders>
                    <w:tl2br w:val="nil"/>
                    <w:tr2bl w:val="nil"/>
                  </w:tcBorders>
                  <w:vAlign w:val="center"/>
                </w:tcPr>
                <w:p w14:paraId="04D1EE0F">
                  <w:pPr>
                    <w:keepNext w:val="0"/>
                    <w:keepLines w:val="0"/>
                    <w:widowControl/>
                    <w:suppressLineNumbers w:val="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eastAsia" w:cs="Times New Roman"/>
                      <w:i w:val="0"/>
                      <w:iCs w:val="0"/>
                      <w:color w:val="auto"/>
                      <w:kern w:val="0"/>
                      <w:sz w:val="21"/>
                      <w:szCs w:val="21"/>
                      <w:u w:val="none"/>
                      <w:lang w:val="en-US" w:eastAsia="zh-CN" w:bidi="ar"/>
                    </w:rPr>
                    <w:t>0.3</w:t>
                  </w:r>
                </w:p>
              </w:tc>
              <w:tc>
                <w:tcPr>
                  <w:tcW w:w="1113" w:type="dxa"/>
                  <w:tcBorders>
                    <w:tl2br w:val="nil"/>
                    <w:tr2bl w:val="nil"/>
                  </w:tcBorders>
                  <w:vAlign w:val="center"/>
                </w:tcPr>
                <w:p w14:paraId="42A65629">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bidi="ar"/>
                    </w:rPr>
                  </w:pPr>
                  <w:r>
                    <w:rPr>
                      <w:rFonts w:hint="eastAsia" w:cs="Times New Roman"/>
                      <w:i w:val="0"/>
                      <w:iCs w:val="0"/>
                      <w:color w:val="auto"/>
                      <w:kern w:val="0"/>
                      <w:sz w:val="21"/>
                      <w:szCs w:val="21"/>
                      <w:u w:val="none"/>
                      <w:lang w:val="en-US" w:eastAsia="zh-CN" w:bidi="ar"/>
                    </w:rPr>
                    <w:t>2</w:t>
                  </w:r>
                  <w:r>
                    <w:rPr>
                      <w:rFonts w:hint="default" w:ascii="Times New Roman" w:hAnsi="Times New Roman" w:eastAsia="宋体" w:cs="Times New Roman"/>
                      <w:i w:val="0"/>
                      <w:iCs w:val="0"/>
                      <w:color w:val="auto"/>
                      <w:kern w:val="0"/>
                      <w:sz w:val="21"/>
                      <w:szCs w:val="21"/>
                      <w:u w:val="none"/>
                      <w:lang w:val="en-US" w:eastAsia="zh-CN" w:bidi="ar"/>
                    </w:rPr>
                    <w:t>0</w:t>
                  </w:r>
                </w:p>
              </w:tc>
            </w:tr>
            <w:tr w14:paraId="0DD3E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 w:hRule="atLeast"/>
                <w:jc w:val="center"/>
              </w:trPr>
              <w:tc>
                <w:tcPr>
                  <w:tcW w:w="345" w:type="pct"/>
                  <w:tcBorders>
                    <w:tl2br w:val="nil"/>
                    <w:tr2bl w:val="nil"/>
                  </w:tcBorders>
                  <w:vAlign w:val="center"/>
                </w:tcPr>
                <w:p w14:paraId="0A34DBA9">
                  <w:pPr>
                    <w:pStyle w:val="78"/>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3</w:t>
                  </w:r>
                </w:p>
              </w:tc>
              <w:tc>
                <w:tcPr>
                  <w:tcW w:w="969" w:type="pct"/>
                  <w:tcBorders>
                    <w:tl2br w:val="nil"/>
                    <w:tr2bl w:val="nil"/>
                  </w:tcBorders>
                  <w:vAlign w:val="center"/>
                </w:tcPr>
                <w:p w14:paraId="4FB6AAA7">
                  <w:pPr>
                    <w:pStyle w:val="78"/>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en-US" w:eastAsia="zh-CN"/>
                    </w:rPr>
                    <w:t>肉类罐头废水</w:t>
                  </w:r>
                  <w:r>
                    <w:rPr>
                      <w:rFonts w:hint="default" w:ascii="Times New Roman" w:hAnsi="Times New Roman" w:eastAsia="宋体" w:cs="Times New Roman"/>
                      <w:color w:val="auto"/>
                      <w:sz w:val="21"/>
                      <w:szCs w:val="21"/>
                      <w:highlight w:val="none"/>
                    </w:rPr>
                    <w:t>用水</w:t>
                  </w:r>
                </w:p>
              </w:tc>
              <w:tc>
                <w:tcPr>
                  <w:tcW w:w="1018" w:type="dxa"/>
                  <w:tcBorders>
                    <w:tl2br w:val="nil"/>
                    <w:tr2bl w:val="nil"/>
                  </w:tcBorders>
                  <w:vAlign w:val="center"/>
                </w:tcPr>
                <w:p w14:paraId="549001E9">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i w:val="0"/>
                      <w:iCs w:val="0"/>
                      <w:color w:val="auto"/>
                      <w:kern w:val="0"/>
                      <w:sz w:val="21"/>
                      <w:szCs w:val="21"/>
                      <w:u w:val="none"/>
                      <w:lang w:val="en-US" w:eastAsia="zh-CN" w:bidi="ar"/>
                    </w:rPr>
                    <w:t>1125</w:t>
                  </w:r>
                </w:p>
              </w:tc>
              <w:tc>
                <w:tcPr>
                  <w:tcW w:w="694" w:type="pct"/>
                  <w:tcBorders>
                    <w:tl2br w:val="nil"/>
                    <w:tr2bl w:val="nil"/>
                  </w:tcBorders>
                  <w:vAlign w:val="center"/>
                </w:tcPr>
                <w:p w14:paraId="59BFD7D1">
                  <w:pPr>
                    <w:pStyle w:val="78"/>
                    <w:rPr>
                      <w:rFonts w:hint="eastAsia"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0.</w:t>
                  </w:r>
                  <w:r>
                    <w:rPr>
                      <w:rFonts w:hint="eastAsia" w:cs="Times New Roman"/>
                      <w:color w:val="auto"/>
                      <w:sz w:val="21"/>
                      <w:szCs w:val="21"/>
                      <w:highlight w:val="none"/>
                      <w:lang w:val="en-US" w:eastAsia="zh-CN"/>
                    </w:rPr>
                    <w:t>8</w:t>
                  </w:r>
                </w:p>
              </w:tc>
              <w:tc>
                <w:tcPr>
                  <w:tcW w:w="1308" w:type="dxa"/>
                  <w:tcBorders>
                    <w:tl2br w:val="nil"/>
                    <w:tr2bl w:val="nil"/>
                  </w:tcBorders>
                  <w:vAlign w:val="center"/>
                </w:tcPr>
                <w:p w14:paraId="29E30C9A">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i w:val="0"/>
                      <w:iCs w:val="0"/>
                      <w:color w:val="auto"/>
                      <w:kern w:val="0"/>
                      <w:sz w:val="21"/>
                      <w:szCs w:val="21"/>
                      <w:u w:val="none"/>
                      <w:lang w:val="en-US" w:eastAsia="zh-CN" w:bidi="ar"/>
                    </w:rPr>
                    <w:t>900</w:t>
                  </w:r>
                </w:p>
              </w:tc>
              <w:tc>
                <w:tcPr>
                  <w:tcW w:w="1252" w:type="dxa"/>
                  <w:tcBorders>
                    <w:tl2br w:val="nil"/>
                    <w:tr2bl w:val="nil"/>
                  </w:tcBorders>
                  <w:vAlign w:val="center"/>
                </w:tcPr>
                <w:p w14:paraId="2A6A42DB">
                  <w:pPr>
                    <w:keepNext w:val="0"/>
                    <w:keepLines w:val="0"/>
                    <w:widowControl/>
                    <w:suppressLineNumbers w:val="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eastAsia" w:cs="Times New Roman"/>
                      <w:i w:val="0"/>
                      <w:iCs w:val="0"/>
                      <w:color w:val="auto"/>
                      <w:kern w:val="0"/>
                      <w:sz w:val="21"/>
                      <w:szCs w:val="21"/>
                      <w:u w:val="none"/>
                      <w:lang w:val="en-US" w:eastAsia="zh-CN" w:bidi="ar"/>
                    </w:rPr>
                    <w:t>3.5</w:t>
                  </w:r>
                </w:p>
              </w:tc>
              <w:tc>
                <w:tcPr>
                  <w:tcW w:w="1113" w:type="dxa"/>
                  <w:tcBorders>
                    <w:tl2br w:val="nil"/>
                    <w:tr2bl w:val="nil"/>
                  </w:tcBorders>
                  <w:vAlign w:val="center"/>
                </w:tcPr>
                <w:p w14:paraId="2B4D48EC">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bidi="ar"/>
                    </w:rPr>
                  </w:pPr>
                  <w:r>
                    <w:rPr>
                      <w:rFonts w:hint="default" w:ascii="Times New Roman" w:hAnsi="Times New Roman" w:eastAsia="宋体" w:cs="Times New Roman"/>
                      <w:i w:val="0"/>
                      <w:iCs w:val="0"/>
                      <w:color w:val="auto"/>
                      <w:kern w:val="0"/>
                      <w:sz w:val="21"/>
                      <w:szCs w:val="21"/>
                      <w:u w:val="none"/>
                      <w:lang w:val="en-US" w:eastAsia="zh-CN" w:bidi="ar"/>
                    </w:rPr>
                    <w:t>2</w:t>
                  </w:r>
                  <w:r>
                    <w:rPr>
                      <w:rFonts w:hint="eastAsia" w:cs="Times New Roman"/>
                      <w:i w:val="0"/>
                      <w:iCs w:val="0"/>
                      <w:color w:val="auto"/>
                      <w:kern w:val="0"/>
                      <w:sz w:val="21"/>
                      <w:szCs w:val="21"/>
                      <w:u w:val="none"/>
                      <w:lang w:val="en-US" w:eastAsia="zh-CN" w:bidi="ar"/>
                    </w:rPr>
                    <w:t>2</w:t>
                  </w:r>
                  <w:r>
                    <w:rPr>
                      <w:rFonts w:hint="default" w:ascii="Times New Roman" w:hAnsi="Times New Roman" w:eastAsia="宋体" w:cs="Times New Roman"/>
                      <w:i w:val="0"/>
                      <w:iCs w:val="0"/>
                      <w:color w:val="auto"/>
                      <w:kern w:val="0"/>
                      <w:sz w:val="21"/>
                      <w:szCs w:val="21"/>
                      <w:u w:val="none"/>
                      <w:lang w:val="en-US" w:eastAsia="zh-CN" w:bidi="ar"/>
                    </w:rPr>
                    <w:t>5</w:t>
                  </w:r>
                </w:p>
              </w:tc>
            </w:tr>
            <w:tr w14:paraId="21924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45" w:type="pct"/>
                  <w:tcBorders>
                    <w:tl2br w:val="nil"/>
                    <w:tr2bl w:val="nil"/>
                  </w:tcBorders>
                  <w:vAlign w:val="center"/>
                </w:tcPr>
                <w:p w14:paraId="7503BF2B">
                  <w:pPr>
                    <w:pStyle w:val="78"/>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5</w:t>
                  </w:r>
                </w:p>
              </w:tc>
              <w:tc>
                <w:tcPr>
                  <w:tcW w:w="969" w:type="pct"/>
                  <w:tcBorders>
                    <w:tl2br w:val="nil"/>
                    <w:tr2bl w:val="nil"/>
                  </w:tcBorders>
                  <w:vAlign w:val="center"/>
                </w:tcPr>
                <w:p w14:paraId="211D2503">
                  <w:pPr>
                    <w:pStyle w:val="78"/>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合计</w:t>
                  </w:r>
                </w:p>
              </w:tc>
              <w:tc>
                <w:tcPr>
                  <w:tcW w:w="1018" w:type="dxa"/>
                  <w:tcBorders>
                    <w:tl2br w:val="nil"/>
                    <w:tr2bl w:val="nil"/>
                  </w:tcBorders>
                  <w:vAlign w:val="center"/>
                </w:tcPr>
                <w:p w14:paraId="0E649AD8">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i w:val="0"/>
                      <w:iCs w:val="0"/>
                      <w:color w:val="auto"/>
                      <w:kern w:val="0"/>
                      <w:sz w:val="21"/>
                      <w:szCs w:val="21"/>
                      <w:u w:val="none"/>
                      <w:lang w:val="en-US" w:eastAsia="zh-CN" w:bidi="ar"/>
                    </w:rPr>
                    <w:t>1485</w:t>
                  </w:r>
                </w:p>
              </w:tc>
              <w:tc>
                <w:tcPr>
                  <w:tcW w:w="694" w:type="pct"/>
                  <w:tcBorders>
                    <w:tl2br w:val="nil"/>
                    <w:tr2bl w:val="nil"/>
                  </w:tcBorders>
                  <w:vAlign w:val="center"/>
                </w:tcPr>
                <w:p w14:paraId="21D6635A">
                  <w:pPr>
                    <w:pStyle w:val="78"/>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w:t>
                  </w:r>
                </w:p>
              </w:tc>
              <w:tc>
                <w:tcPr>
                  <w:tcW w:w="1311" w:type="dxa"/>
                  <w:tcBorders>
                    <w:tl2br w:val="nil"/>
                    <w:tr2bl w:val="nil"/>
                  </w:tcBorders>
                  <w:vAlign w:val="center"/>
                </w:tcPr>
                <w:p w14:paraId="7DC52590">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eastAsia" w:cs="Times New Roman"/>
                      <w:i w:val="0"/>
                      <w:iCs w:val="0"/>
                      <w:color w:val="auto"/>
                      <w:kern w:val="0"/>
                      <w:sz w:val="21"/>
                      <w:szCs w:val="21"/>
                      <w:u w:val="none"/>
                      <w:lang w:val="en-US" w:eastAsia="zh-CN" w:bidi="ar"/>
                    </w:rPr>
                    <w:t>1188</w:t>
                  </w:r>
                </w:p>
              </w:tc>
              <w:tc>
                <w:tcPr>
                  <w:tcW w:w="1252" w:type="dxa"/>
                  <w:tcBorders>
                    <w:tl2br w:val="nil"/>
                    <w:tr2bl w:val="nil"/>
                  </w:tcBorders>
                  <w:vAlign w:val="center"/>
                </w:tcPr>
                <w:p w14:paraId="6EF4E291">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u w:val="none"/>
                      <w:lang w:val="en-US" w:eastAsia="zh-CN" w:bidi="ar"/>
                    </w:rPr>
                    <w:t>4</w:t>
                  </w:r>
                  <w:r>
                    <w:rPr>
                      <w:rFonts w:hint="eastAsia" w:cs="Times New Roman"/>
                      <w:i w:val="0"/>
                      <w:iCs w:val="0"/>
                      <w:color w:val="auto"/>
                      <w:kern w:val="0"/>
                      <w:sz w:val="21"/>
                      <w:szCs w:val="21"/>
                      <w:u w:val="none"/>
                      <w:lang w:val="en-US" w:eastAsia="zh-CN" w:bidi="ar"/>
                    </w:rPr>
                    <w:t>.</w:t>
                  </w:r>
                  <w:r>
                    <w:rPr>
                      <w:rFonts w:hint="default" w:ascii="Times New Roman" w:hAnsi="Times New Roman" w:eastAsia="宋体" w:cs="Times New Roman"/>
                      <w:i w:val="0"/>
                      <w:iCs w:val="0"/>
                      <w:color w:val="auto"/>
                      <w:kern w:val="0"/>
                      <w:sz w:val="21"/>
                      <w:szCs w:val="21"/>
                      <w:u w:val="none"/>
                      <w:lang w:val="en-US" w:eastAsia="zh-CN" w:bidi="ar"/>
                    </w:rPr>
                    <w:t>6</w:t>
                  </w:r>
                </w:p>
              </w:tc>
              <w:tc>
                <w:tcPr>
                  <w:tcW w:w="1117" w:type="dxa"/>
                  <w:tcBorders>
                    <w:tl2br w:val="nil"/>
                    <w:tr2bl w:val="nil"/>
                  </w:tcBorders>
                  <w:vAlign w:val="center"/>
                </w:tcPr>
                <w:p w14:paraId="47E6C6A5">
                  <w:pPr>
                    <w:keepNext w:val="0"/>
                    <w:keepLines w:val="0"/>
                    <w:widowControl/>
                    <w:suppressLineNumbers w:val="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eastAsia" w:cs="Times New Roman"/>
                      <w:i w:val="0"/>
                      <w:iCs w:val="0"/>
                      <w:color w:val="auto"/>
                      <w:kern w:val="0"/>
                      <w:sz w:val="21"/>
                      <w:szCs w:val="21"/>
                      <w:u w:val="none"/>
                      <w:lang w:val="en-US" w:eastAsia="zh-CN" w:bidi="ar"/>
                    </w:rPr>
                    <w:t>297</w:t>
                  </w:r>
                </w:p>
              </w:tc>
            </w:tr>
          </w:tbl>
          <w:p w14:paraId="260FEC24">
            <w:pPr>
              <w:pStyle w:val="126"/>
              <w:spacing w:before="120" w:after="120"/>
              <w:rPr>
                <w:color w:val="auto"/>
                <w:highlight w:val="yellow"/>
              </w:rPr>
            </w:pPr>
            <w:r>
              <w:rPr>
                <w:bCs/>
                <w:color w:val="auto"/>
                <w:szCs w:val="21"/>
              </w:rPr>
              <w:object>
                <v:shape id="_x0000_i1025" o:spt="75" type="#_x0000_t75" style="height:130.85pt;width:395.1pt;" o:ole="t" filled="f" o:preferrelative="t" stroked="f" coordsize="21600,21600">
                  <v:path/>
                  <v:fill on="f" focussize="0,0"/>
                  <v:stroke on="f"/>
                  <v:imagedata r:id="rId13" o:title=""/>
                  <o:lock v:ext="edit" aspectratio="f"/>
                  <w10:wrap type="none"/>
                  <w10:anchorlock/>
                </v:shape>
                <o:OLEObject Type="Embed" ProgID="Visio.Drawing.15" ShapeID="_x0000_i1025" DrawAspect="Content" ObjectID="_1468075725" r:id="rId12">
                  <o:LockedField>false</o:LockedField>
                </o:OLEObject>
              </w:object>
            </w:r>
            <w:r>
              <w:rPr>
                <w:bCs/>
                <w:color w:val="auto"/>
                <w:szCs w:val="21"/>
              </w:rPr>
              <w:t xml:space="preserve">图2-1  </w:t>
            </w:r>
            <w:r>
              <w:rPr>
                <w:rFonts w:hint="eastAsia"/>
                <w:bCs/>
                <w:color w:val="auto"/>
                <w:szCs w:val="21"/>
                <w:lang w:val="en-US" w:eastAsia="zh-CN"/>
              </w:rPr>
              <w:t xml:space="preserve">  </w:t>
            </w:r>
            <w:r>
              <w:rPr>
                <w:color w:val="auto"/>
              </w:rPr>
              <w:t>项目水平衡图 单位m³/a</w:t>
            </w:r>
          </w:p>
          <w:p w14:paraId="312F6ED4">
            <w:pPr>
              <w:keepNext w:val="0"/>
              <w:keepLines w:val="0"/>
              <w:pageBreakBefore w:val="0"/>
              <w:widowControl w:val="0"/>
              <w:numPr>
                <w:ilvl w:val="0"/>
                <w:numId w:val="0"/>
              </w:numPr>
              <w:kinsoku/>
              <w:wordWrap w:val="0"/>
              <w:overflowPunct/>
              <w:topLinePunct/>
              <w:autoSpaceDE/>
              <w:autoSpaceDN/>
              <w:bidi w:val="0"/>
              <w:spacing w:line="360" w:lineRule="auto"/>
              <w:ind w:firstLine="480" w:firstLineChars="200"/>
              <w:textAlignment w:val="auto"/>
              <w:rPr>
                <w:color w:val="auto"/>
                <w:sz w:val="24"/>
              </w:rPr>
            </w:pPr>
            <w:r>
              <w:rPr>
                <w:rFonts w:hint="eastAsia" w:cs="Times New Roman"/>
                <w:color w:val="auto"/>
                <w:kern w:val="2"/>
                <w:sz w:val="24"/>
                <w:szCs w:val="24"/>
                <w:lang w:val="en-US" w:eastAsia="zh-CN" w:bidi="ar-SA"/>
              </w:rPr>
              <w:t>（3）</w:t>
            </w:r>
            <w:r>
              <w:rPr>
                <w:color w:val="auto"/>
                <w:sz w:val="24"/>
              </w:rPr>
              <w:t>供电：由</w:t>
            </w:r>
            <w:r>
              <w:rPr>
                <w:rFonts w:hint="eastAsia"/>
                <w:color w:val="auto"/>
                <w:sz w:val="24"/>
                <w:lang w:val="en-US" w:eastAsia="zh-CN"/>
              </w:rPr>
              <w:t>当地电网</w:t>
            </w:r>
            <w:r>
              <w:rPr>
                <w:color w:val="auto"/>
                <w:sz w:val="24"/>
              </w:rPr>
              <w:t>供给</w:t>
            </w:r>
            <w:r>
              <w:rPr>
                <w:rFonts w:hint="eastAsia"/>
                <w:color w:val="auto"/>
                <w:sz w:val="24"/>
              </w:rPr>
              <w:t>。</w:t>
            </w:r>
          </w:p>
          <w:p w14:paraId="09E2B128">
            <w:pPr>
              <w:pStyle w:val="47"/>
              <w:keepNext w:val="0"/>
              <w:keepLines w:val="0"/>
              <w:pageBreakBefore w:val="0"/>
              <w:widowControl w:val="0"/>
              <w:kinsoku/>
              <w:wordWrap w:val="0"/>
              <w:overflowPunct/>
              <w:topLinePunct/>
              <w:autoSpaceDE/>
              <w:autoSpaceDN/>
              <w:bidi w:val="0"/>
              <w:spacing w:line="360" w:lineRule="auto"/>
              <w:ind w:left="0" w:leftChars="0" w:firstLine="436" w:firstLineChars="200"/>
              <w:textAlignment w:val="auto"/>
              <w:rPr>
                <w:rFonts w:hint="default" w:eastAsia="宋体"/>
                <w:color w:val="auto"/>
                <w:lang w:val="en-US" w:eastAsia="zh-CN"/>
              </w:rPr>
            </w:pPr>
            <w:r>
              <w:rPr>
                <w:rFonts w:hint="eastAsia" w:ascii="Times New Roman" w:hAnsi="Times New Roman"/>
                <w:color w:val="auto"/>
                <w:spacing w:val="-11"/>
                <w:sz w:val="24"/>
                <w:lang w:eastAsia="zh-CN"/>
              </w:rPr>
              <w:t>（</w:t>
            </w:r>
            <w:r>
              <w:rPr>
                <w:rFonts w:hint="eastAsia" w:ascii="Times New Roman" w:hAnsi="Times New Roman"/>
                <w:color w:val="auto"/>
                <w:spacing w:val="-11"/>
                <w:sz w:val="24"/>
                <w:lang w:val="en-US" w:eastAsia="zh-CN"/>
              </w:rPr>
              <w:t>4</w:t>
            </w:r>
            <w:r>
              <w:rPr>
                <w:rFonts w:hint="eastAsia" w:ascii="Times New Roman" w:hAnsi="Times New Roman"/>
                <w:color w:val="auto"/>
                <w:spacing w:val="-11"/>
                <w:sz w:val="24"/>
                <w:lang w:eastAsia="zh-CN"/>
              </w:rPr>
              <w:t>）</w:t>
            </w:r>
            <w:r>
              <w:rPr>
                <w:rFonts w:hint="eastAsia"/>
                <w:color w:val="auto"/>
                <w:spacing w:val="-11"/>
                <w:sz w:val="24"/>
              </w:rPr>
              <w:t>供热</w:t>
            </w:r>
            <w:r>
              <w:rPr>
                <w:rFonts w:hint="eastAsia"/>
                <w:color w:val="auto"/>
                <w:spacing w:val="-11"/>
                <w:sz w:val="24"/>
                <w:lang w:eastAsia="zh-CN"/>
              </w:rPr>
              <w:t>：</w:t>
            </w:r>
            <w:r>
              <w:rPr>
                <w:rFonts w:hint="eastAsia"/>
                <w:color w:val="auto"/>
                <w:spacing w:val="-11"/>
                <w:sz w:val="24"/>
                <w:lang w:val="en-US" w:eastAsia="zh-CN"/>
              </w:rPr>
              <w:t>当地市政供热，根据业主提供的资料，本项目供热单位名称为深能北方（锡林郭勒）能源开发有限公司，所属行业为热电联产，根据查询排污许可证可知，该企</w:t>
            </w:r>
            <w:r>
              <w:rPr>
                <w:rFonts w:hint="default" w:ascii="Times New Roman" w:hAnsi="Times New Roman" w:cs="Times New Roman"/>
                <w:color w:val="auto"/>
                <w:spacing w:val="-11"/>
                <w:sz w:val="24"/>
                <w:lang w:val="en-US" w:eastAsia="zh-CN"/>
              </w:rPr>
              <w:t>业于2017年至今正常稳</w:t>
            </w:r>
            <w:r>
              <w:rPr>
                <w:rFonts w:hint="eastAsia"/>
                <w:color w:val="auto"/>
                <w:spacing w:val="-11"/>
                <w:sz w:val="24"/>
                <w:lang w:val="en-US" w:eastAsia="zh-CN"/>
              </w:rPr>
              <w:t>定运行，因此依托可行。</w:t>
            </w:r>
          </w:p>
          <w:p w14:paraId="287B26BD">
            <w:pPr>
              <w:keepNext w:val="0"/>
              <w:keepLines w:val="0"/>
              <w:pageBreakBefore w:val="0"/>
              <w:widowControl w:val="0"/>
              <w:numPr>
                <w:ilvl w:val="255"/>
                <w:numId w:val="0"/>
              </w:numPr>
              <w:kinsoku/>
              <w:wordWrap w:val="0"/>
              <w:overflowPunct/>
              <w:topLinePunct/>
              <w:autoSpaceDE/>
              <w:autoSpaceDN/>
              <w:bidi w:val="0"/>
              <w:spacing w:line="360" w:lineRule="auto"/>
              <w:ind w:firstLine="480" w:firstLineChars="200"/>
              <w:textAlignment w:val="auto"/>
              <w:rPr>
                <w:rFonts w:hint="eastAsia" w:eastAsia="宋体"/>
                <w:color w:val="auto"/>
                <w:sz w:val="24"/>
                <w:lang w:eastAsia="zh-CN"/>
              </w:rPr>
            </w:pPr>
            <w:r>
              <w:rPr>
                <w:bCs/>
                <w:color w:val="auto"/>
                <w:sz w:val="24"/>
              </w:rPr>
              <w:t>供暖：</w:t>
            </w:r>
            <w:r>
              <w:rPr>
                <w:color w:val="auto"/>
                <w:sz w:val="24"/>
              </w:rPr>
              <w:t>本项目</w:t>
            </w:r>
            <w:r>
              <w:rPr>
                <w:rFonts w:hint="eastAsia"/>
                <w:color w:val="auto"/>
                <w:sz w:val="24"/>
              </w:rPr>
              <w:t>冬季供暖为</w:t>
            </w:r>
            <w:r>
              <w:rPr>
                <w:rFonts w:hint="eastAsia"/>
                <w:color w:val="auto"/>
                <w:sz w:val="24"/>
                <w:lang w:val="en-US" w:eastAsia="zh-CN"/>
              </w:rPr>
              <w:t>市政</w:t>
            </w:r>
            <w:r>
              <w:rPr>
                <w:rFonts w:hint="eastAsia"/>
                <w:color w:val="auto"/>
                <w:sz w:val="24"/>
              </w:rPr>
              <w:t>集中供热</w:t>
            </w:r>
            <w:r>
              <w:rPr>
                <w:rFonts w:hint="eastAsia"/>
                <w:color w:val="auto"/>
                <w:sz w:val="24"/>
                <w:lang w:eastAsia="zh-CN"/>
              </w:rPr>
              <w:t>；</w:t>
            </w:r>
          </w:p>
          <w:p w14:paraId="113B2418">
            <w:pPr>
              <w:keepNext w:val="0"/>
              <w:keepLines w:val="0"/>
              <w:pageBreakBefore w:val="0"/>
              <w:widowControl w:val="0"/>
              <w:kinsoku/>
              <w:wordWrap w:val="0"/>
              <w:overflowPunct/>
              <w:topLinePunct/>
              <w:autoSpaceDE/>
              <w:autoSpaceDN/>
              <w:bidi w:val="0"/>
              <w:spacing w:line="360" w:lineRule="auto"/>
              <w:ind w:firstLine="480" w:firstLineChars="200"/>
              <w:textAlignment w:val="auto"/>
              <w:rPr>
                <w:color w:val="auto"/>
                <w:sz w:val="24"/>
              </w:rPr>
            </w:pPr>
            <w:r>
              <w:rPr>
                <w:rFonts w:hint="eastAsia"/>
                <w:color w:val="auto"/>
                <w:sz w:val="24"/>
              </w:rPr>
              <w:t>生产供热：</w:t>
            </w:r>
            <w:r>
              <w:rPr>
                <w:color w:val="auto"/>
                <w:sz w:val="24"/>
              </w:rPr>
              <w:t>本项目</w:t>
            </w:r>
            <w:r>
              <w:rPr>
                <w:rFonts w:hint="eastAsia"/>
                <w:color w:val="auto"/>
                <w:sz w:val="24"/>
                <w:lang w:val="en-US" w:eastAsia="zh-CN"/>
              </w:rPr>
              <w:t>生产供热主要用电</w:t>
            </w:r>
            <w:r>
              <w:rPr>
                <w:color w:val="auto"/>
                <w:sz w:val="24"/>
              </w:rPr>
              <w:t>。</w:t>
            </w:r>
          </w:p>
          <w:p w14:paraId="7738C6DB">
            <w:pPr>
              <w:keepNext w:val="0"/>
              <w:keepLines w:val="0"/>
              <w:pageBreakBefore w:val="0"/>
              <w:widowControl w:val="0"/>
              <w:kinsoku/>
              <w:wordWrap w:val="0"/>
              <w:overflowPunct/>
              <w:topLinePunct/>
              <w:autoSpaceDE/>
              <w:autoSpaceDN/>
              <w:bidi w:val="0"/>
              <w:spacing w:line="360" w:lineRule="auto"/>
              <w:ind w:firstLine="480" w:firstLineChars="200"/>
              <w:textAlignment w:val="auto"/>
              <w:rPr>
                <w:b/>
                <w:color w:val="auto"/>
                <w:sz w:val="24"/>
              </w:rPr>
            </w:pPr>
            <w:r>
              <w:rPr>
                <w:rFonts w:hint="eastAsia"/>
                <w:color w:val="auto"/>
                <w:sz w:val="24"/>
              </w:rPr>
              <w:t>（5）</w:t>
            </w:r>
            <w:r>
              <w:rPr>
                <w:color w:val="auto"/>
                <w:sz w:val="24"/>
              </w:rPr>
              <w:t>劳动定员及工作制度：本项目劳动定员</w:t>
            </w:r>
            <w:r>
              <w:rPr>
                <w:rFonts w:hint="eastAsia"/>
                <w:color w:val="auto"/>
                <w:sz w:val="24"/>
              </w:rPr>
              <w:t>2</w:t>
            </w:r>
            <w:r>
              <w:rPr>
                <w:color w:val="auto"/>
                <w:sz w:val="24"/>
              </w:rPr>
              <w:t>0人，年工作时间为</w:t>
            </w:r>
            <w:r>
              <w:rPr>
                <w:rFonts w:hint="eastAsia"/>
                <w:color w:val="auto"/>
                <w:sz w:val="24"/>
                <w:lang w:val="en-US" w:eastAsia="zh-CN"/>
              </w:rPr>
              <w:t>2</w:t>
            </w:r>
            <w:r>
              <w:rPr>
                <w:rFonts w:hint="eastAsia"/>
                <w:color w:val="auto"/>
                <w:sz w:val="24"/>
              </w:rPr>
              <w:t>60</w:t>
            </w:r>
            <w:r>
              <w:rPr>
                <w:color w:val="auto"/>
                <w:sz w:val="24"/>
              </w:rPr>
              <w:t>天，每天工作8小时。</w:t>
            </w:r>
          </w:p>
          <w:p w14:paraId="4E2094E6">
            <w:pPr>
              <w:pStyle w:val="68"/>
              <w:ind w:firstLine="482"/>
              <w:rPr>
                <w:rFonts w:cs="Times New Roman"/>
                <w:b/>
                <w:color w:val="auto"/>
              </w:rPr>
            </w:pPr>
            <w:r>
              <w:rPr>
                <w:rFonts w:hint="eastAsia" w:cs="Times New Roman"/>
                <w:b/>
                <w:color w:val="auto"/>
              </w:rPr>
              <w:t>7</w:t>
            </w:r>
            <w:r>
              <w:rPr>
                <w:rFonts w:cs="Times New Roman"/>
                <w:b/>
                <w:color w:val="auto"/>
              </w:rPr>
              <w:t>、项目区平面布置</w:t>
            </w:r>
          </w:p>
          <w:p w14:paraId="134DEA2E">
            <w:pPr>
              <w:pStyle w:val="68"/>
              <w:ind w:firstLine="480"/>
              <w:rPr>
                <w:rFonts w:hint="default" w:cs="Times New Roman"/>
                <w:color w:val="auto"/>
                <w:lang w:val="en-US" w:eastAsia="zh-CN"/>
              </w:rPr>
            </w:pPr>
            <w:r>
              <w:rPr>
                <w:rFonts w:hint="default" w:cs="Times New Roman"/>
                <w:color w:val="auto"/>
                <w:lang w:val="en-US" w:eastAsia="zh-CN"/>
              </w:rPr>
              <w:t>厂区平面布局功能分区清晰，具体如下：</w:t>
            </w:r>
          </w:p>
          <w:p w14:paraId="00AC8F15">
            <w:pPr>
              <w:pStyle w:val="68"/>
              <w:ind w:firstLine="480"/>
              <w:rPr>
                <w:rFonts w:cs="Times New Roman"/>
                <w:color w:val="auto"/>
              </w:rPr>
            </w:pPr>
            <w:r>
              <w:rPr>
                <w:rFonts w:hint="default" w:cs="Times New Roman"/>
                <w:color w:val="auto"/>
              </w:rPr>
              <w:t>两侧区域：均设观摩走廊，满足外部观察需求。</w:t>
            </w:r>
          </w:p>
          <w:p w14:paraId="6F5E5044">
            <w:pPr>
              <w:pStyle w:val="68"/>
              <w:ind w:firstLine="480"/>
              <w:rPr>
                <w:rFonts w:cs="Times New Roman"/>
                <w:color w:val="auto"/>
              </w:rPr>
            </w:pPr>
            <w:r>
              <w:rPr>
                <w:rFonts w:hint="default" w:cs="Times New Roman"/>
                <w:color w:val="auto"/>
              </w:rPr>
              <w:t>左侧功能区：布局成品派发间、冷藏间、高温灭菌间、包装间及包装材料仓库，形成产品后端处理与物料存储体系。</w:t>
            </w:r>
          </w:p>
          <w:p w14:paraId="3E225F4C">
            <w:pPr>
              <w:pStyle w:val="68"/>
              <w:ind w:firstLine="480"/>
              <w:rPr>
                <w:rFonts w:cs="Times New Roman"/>
                <w:color w:val="auto"/>
              </w:rPr>
            </w:pPr>
            <w:r>
              <w:rPr>
                <w:rFonts w:hint="default" w:cs="Times New Roman"/>
                <w:color w:val="auto"/>
              </w:rPr>
              <w:t>中间核心生产区：规划蒸煮间、风干间、烘干间、封口包装间及罐头罐装间，覆盖产品加工至封装的核心生产流程。</w:t>
            </w:r>
          </w:p>
          <w:p w14:paraId="3DB58FA4">
            <w:pPr>
              <w:pStyle w:val="68"/>
              <w:ind w:firstLine="480"/>
              <w:rPr>
                <w:rFonts w:cs="Times New Roman"/>
                <w:color w:val="auto"/>
              </w:rPr>
            </w:pPr>
            <w:r>
              <w:rPr>
                <w:rFonts w:hint="default" w:cs="Times New Roman"/>
                <w:color w:val="auto"/>
              </w:rPr>
              <w:t>右侧原料处理区：涵盖原料入库、原料监测消毒间、辅料间、原料冷冻间、解冻间、预处理间，并配置更衣室、风淋室等附属卫生空间，构建原料处理与人员净化系统。</w:t>
            </w:r>
          </w:p>
          <w:p w14:paraId="009CAD88">
            <w:pPr>
              <w:pStyle w:val="68"/>
              <w:ind w:firstLine="480"/>
              <w:rPr>
                <w:rFonts w:cs="Times New Roman"/>
                <w:color w:val="auto"/>
              </w:rPr>
            </w:pPr>
            <w:r>
              <w:rPr>
                <w:rFonts w:hint="eastAsia" w:cs="Times New Roman"/>
                <w:color w:val="auto"/>
              </w:rPr>
              <w:t>各区域功能明确，主要涉及仓储、加工、预处理、冷却等环节，整体布局紧凑且合理。</w:t>
            </w:r>
          </w:p>
          <w:p w14:paraId="56CC3DB4">
            <w:pPr>
              <w:pStyle w:val="68"/>
              <w:ind w:firstLine="480"/>
              <w:rPr>
                <w:rFonts w:cs="Times New Roman"/>
                <w:color w:val="auto"/>
              </w:rPr>
            </w:pPr>
            <w:r>
              <w:rPr>
                <w:rFonts w:cs="Times New Roman"/>
                <w:color w:val="auto"/>
              </w:rPr>
              <w:t>项目平面布置图见附图</w:t>
            </w:r>
            <w:r>
              <w:rPr>
                <w:rFonts w:hint="eastAsia" w:cs="Times New Roman"/>
                <w:color w:val="auto"/>
              </w:rPr>
              <w:t>三</w:t>
            </w:r>
            <w:r>
              <w:rPr>
                <w:rFonts w:cs="Times New Roman"/>
                <w:color w:val="auto"/>
              </w:rPr>
              <w:t>。</w:t>
            </w:r>
          </w:p>
        </w:tc>
      </w:tr>
      <w:tr w14:paraId="05DB68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147" w:hRule="atLeast"/>
          <w:jc w:val="center"/>
        </w:trPr>
        <w:tc>
          <w:tcPr>
            <w:tcW w:w="433" w:type="dxa"/>
            <w:vAlign w:val="center"/>
          </w:tcPr>
          <w:p w14:paraId="1B0E75AC">
            <w:pPr>
              <w:pStyle w:val="27"/>
              <w:spacing w:after="120"/>
              <w:rPr>
                <w:color w:val="auto"/>
                <w:szCs w:val="21"/>
              </w:rPr>
            </w:pPr>
            <w:r>
              <w:rPr>
                <w:color w:val="auto"/>
                <w:sz w:val="24"/>
                <w:szCs w:val="21"/>
              </w:rPr>
              <w:t>工艺流程和产排污环节</w:t>
            </w:r>
          </w:p>
        </w:tc>
        <w:tc>
          <w:tcPr>
            <w:tcW w:w="8089" w:type="dxa"/>
          </w:tcPr>
          <w:p w14:paraId="774C844F">
            <w:pPr>
              <w:pStyle w:val="68"/>
              <w:ind w:firstLine="482"/>
              <w:jc w:val="left"/>
              <w:rPr>
                <w:rFonts w:cs="Times New Roman"/>
                <w:color w:val="auto"/>
              </w:rPr>
            </w:pPr>
            <w:r>
              <w:rPr>
                <w:rFonts w:cs="Times New Roman"/>
                <w:b/>
                <w:color w:val="auto"/>
              </w:rPr>
              <w:t>1、项目建设期工艺流程及产污环节</w:t>
            </w:r>
          </w:p>
          <w:p w14:paraId="3880FF02">
            <w:pPr>
              <w:spacing w:line="360" w:lineRule="auto"/>
              <w:ind w:firstLine="480" w:firstLineChars="200"/>
              <w:rPr>
                <w:rFonts w:hint="eastAsia" w:eastAsia="宋体"/>
                <w:bCs/>
                <w:color w:val="auto"/>
                <w:sz w:val="24"/>
                <w:lang w:eastAsia="zh-CN"/>
              </w:rPr>
            </w:pPr>
            <w:r>
              <w:rPr>
                <w:color w:val="auto"/>
                <w:sz w:val="24"/>
              </w:rPr>
              <w:t>本项目施工期</w:t>
            </w:r>
            <w:r>
              <w:rPr>
                <w:rFonts w:hint="eastAsia"/>
                <w:color w:val="auto"/>
                <w:sz w:val="24"/>
              </w:rPr>
              <w:t>为</w:t>
            </w:r>
            <w:r>
              <w:rPr>
                <w:rFonts w:hint="eastAsia"/>
                <w:color w:val="auto"/>
                <w:sz w:val="24"/>
                <w:lang w:val="en-US" w:eastAsia="zh-CN"/>
              </w:rPr>
              <w:t>5</w:t>
            </w:r>
            <w:r>
              <w:rPr>
                <w:rFonts w:hint="eastAsia"/>
                <w:color w:val="auto"/>
                <w:sz w:val="24"/>
              </w:rPr>
              <w:t>个月，</w:t>
            </w:r>
            <w:r>
              <w:rPr>
                <w:color w:val="auto"/>
                <w:sz w:val="24"/>
              </w:rPr>
              <w:t>施工期主要进行</w:t>
            </w:r>
            <w:r>
              <w:rPr>
                <w:rFonts w:hint="eastAsia"/>
                <w:color w:val="auto"/>
                <w:sz w:val="24"/>
                <w:lang w:val="en-US" w:eastAsia="zh-CN"/>
              </w:rPr>
              <w:t>前期准备→地基处理→主体结构施工→装修工程→设备安装</w:t>
            </w:r>
            <w:r>
              <w:rPr>
                <w:color w:val="auto"/>
                <w:sz w:val="24"/>
              </w:rPr>
              <w:t>等。施工过程中会产生施工扬尘</w:t>
            </w:r>
            <w:r>
              <w:rPr>
                <w:rFonts w:hint="eastAsia"/>
                <w:color w:val="auto"/>
                <w:sz w:val="24"/>
                <w:lang w:val="en-US" w:eastAsia="zh-CN"/>
              </w:rPr>
              <w:t>、车辆尾气和VOCs</w:t>
            </w:r>
            <w:r>
              <w:rPr>
                <w:color w:val="auto"/>
                <w:sz w:val="24"/>
              </w:rPr>
              <w:t>、施工废水、施工噪声与运输车辆噪声、施工建筑垃圾。</w:t>
            </w:r>
            <w:r>
              <w:rPr>
                <w:bCs/>
                <w:color w:val="auto"/>
                <w:sz w:val="24"/>
              </w:rPr>
              <w:t>本项目施工期主要流程及产污环节见下图2-2</w:t>
            </w:r>
            <w:r>
              <w:rPr>
                <w:rFonts w:hint="eastAsia"/>
                <w:bCs/>
                <w:color w:val="auto"/>
                <w:sz w:val="24"/>
                <w:lang w:eastAsia="zh-CN"/>
              </w:rPr>
              <w:t>。</w:t>
            </w:r>
          </w:p>
          <w:p w14:paraId="1615BD03">
            <w:pPr>
              <w:spacing w:line="360" w:lineRule="auto"/>
              <w:jc w:val="center"/>
              <w:rPr>
                <w:bCs/>
                <w:color w:val="auto"/>
                <w:sz w:val="24"/>
              </w:rPr>
            </w:pPr>
            <w:r>
              <w:rPr>
                <w:bCs/>
                <w:color w:val="auto"/>
                <w:szCs w:val="21"/>
              </w:rPr>
              <w:object>
                <v:shape id="_x0000_i1026" o:spt="75" type="#_x0000_t75" style="height:191.85pt;width:305.2pt;" o:ole="t" filled="f" o:preferrelative="t" stroked="f" coordsize="21600,21600">
                  <v:path/>
                  <v:fill on="f" focussize="0,0"/>
                  <v:stroke on="f"/>
                  <v:imagedata r:id="rId15" o:title=""/>
                  <o:lock v:ext="edit" aspectratio="f"/>
                  <w10:wrap type="none"/>
                  <w10:anchorlock/>
                </v:shape>
                <o:OLEObject Type="Embed" ProgID="Visio.Drawing.15" ShapeID="_x0000_i1026" DrawAspect="Content" ObjectID="_1468075726" r:id="rId14">
                  <o:LockedField>false</o:LockedField>
                </o:OLEObject>
              </w:object>
            </w:r>
          </w:p>
          <w:p w14:paraId="1A499743">
            <w:pPr>
              <w:spacing w:line="360" w:lineRule="auto"/>
              <w:jc w:val="center"/>
              <w:rPr>
                <w:b/>
                <w:bCs/>
                <w:color w:val="auto"/>
                <w:szCs w:val="21"/>
              </w:rPr>
            </w:pPr>
            <w:r>
              <w:rPr>
                <w:b/>
                <w:bCs/>
                <w:color w:val="auto"/>
                <w:szCs w:val="21"/>
              </w:rPr>
              <w:t xml:space="preserve">图2-2 </w:t>
            </w:r>
            <w:r>
              <w:rPr>
                <w:rFonts w:hint="eastAsia"/>
                <w:b/>
                <w:bCs/>
                <w:color w:val="auto"/>
                <w:szCs w:val="21"/>
                <w:lang w:val="en-US" w:eastAsia="zh-CN"/>
              </w:rPr>
              <w:t xml:space="preserve">  </w:t>
            </w:r>
            <w:r>
              <w:rPr>
                <w:b/>
                <w:bCs/>
                <w:color w:val="auto"/>
                <w:szCs w:val="21"/>
              </w:rPr>
              <w:t>本项目施工期主要流程及产污环节</w:t>
            </w:r>
          </w:p>
          <w:p w14:paraId="7B62F8DF">
            <w:pPr>
              <w:pStyle w:val="68"/>
              <w:ind w:firstLine="482"/>
              <w:jc w:val="left"/>
              <w:rPr>
                <w:rFonts w:cs="Times New Roman"/>
                <w:b/>
                <w:color w:val="auto"/>
              </w:rPr>
            </w:pPr>
            <w:r>
              <w:rPr>
                <w:rFonts w:cs="Times New Roman"/>
                <w:b/>
                <w:color w:val="auto"/>
              </w:rPr>
              <w:t>1.1</w:t>
            </w:r>
            <w:r>
              <w:rPr>
                <w:rFonts w:hint="eastAsia" w:cs="Times New Roman"/>
                <w:b/>
                <w:color w:val="auto"/>
                <w:lang w:eastAsia="zh-CN"/>
              </w:rPr>
              <w:t>、</w:t>
            </w:r>
            <w:r>
              <w:rPr>
                <w:rFonts w:cs="Times New Roman"/>
                <w:b/>
                <w:color w:val="auto"/>
              </w:rPr>
              <w:t>废气</w:t>
            </w:r>
          </w:p>
          <w:p w14:paraId="690830C5">
            <w:pPr>
              <w:pStyle w:val="68"/>
              <w:ind w:firstLine="480"/>
              <w:jc w:val="left"/>
              <w:rPr>
                <w:rFonts w:cs="Times New Roman"/>
                <w:color w:val="auto"/>
              </w:rPr>
            </w:pPr>
            <w:r>
              <w:rPr>
                <w:rFonts w:cs="Times New Roman"/>
                <w:color w:val="auto"/>
              </w:rPr>
              <w:t>施工场地的平整、施工扬尘、施工车辆尾气</w:t>
            </w:r>
            <w:r>
              <w:rPr>
                <w:rFonts w:hint="eastAsia" w:cs="Times New Roman"/>
                <w:color w:val="auto"/>
                <w:lang w:eastAsia="zh-CN"/>
              </w:rPr>
              <w:t>、</w:t>
            </w:r>
            <w:r>
              <w:rPr>
                <w:rFonts w:cs="Times New Roman"/>
                <w:color w:val="auto"/>
              </w:rPr>
              <w:t>机械废气</w:t>
            </w:r>
            <w:r>
              <w:rPr>
                <w:rFonts w:hint="eastAsia" w:cs="Times New Roman"/>
                <w:color w:val="auto"/>
                <w:lang w:val="en-US" w:eastAsia="zh-CN"/>
              </w:rPr>
              <w:t>及VOCs</w:t>
            </w:r>
            <w:r>
              <w:rPr>
                <w:rFonts w:cs="Times New Roman"/>
                <w:color w:val="auto"/>
              </w:rPr>
              <w:t>。</w:t>
            </w:r>
          </w:p>
          <w:p w14:paraId="3706F865">
            <w:pPr>
              <w:pStyle w:val="68"/>
              <w:ind w:firstLine="482"/>
              <w:jc w:val="left"/>
              <w:rPr>
                <w:rFonts w:cs="Times New Roman"/>
                <w:b/>
                <w:color w:val="auto"/>
              </w:rPr>
            </w:pPr>
            <w:r>
              <w:rPr>
                <w:rFonts w:cs="Times New Roman"/>
                <w:b/>
                <w:color w:val="auto"/>
              </w:rPr>
              <w:t>1.2</w:t>
            </w:r>
            <w:r>
              <w:rPr>
                <w:rFonts w:hint="eastAsia" w:cs="Times New Roman"/>
                <w:b/>
                <w:color w:val="auto"/>
                <w:lang w:eastAsia="zh-CN"/>
              </w:rPr>
              <w:t>、</w:t>
            </w:r>
            <w:r>
              <w:rPr>
                <w:rFonts w:cs="Times New Roman"/>
                <w:b/>
                <w:color w:val="auto"/>
              </w:rPr>
              <w:t>噪声</w:t>
            </w:r>
          </w:p>
          <w:p w14:paraId="0C2FE297">
            <w:pPr>
              <w:pStyle w:val="68"/>
              <w:ind w:firstLine="480"/>
              <w:jc w:val="left"/>
              <w:rPr>
                <w:rFonts w:cs="Times New Roman"/>
                <w:color w:val="auto"/>
              </w:rPr>
            </w:pPr>
            <w:r>
              <w:rPr>
                <w:rFonts w:cs="Times New Roman"/>
                <w:color w:val="auto"/>
              </w:rPr>
              <w:t>项目施工过程使用施工机械的固定声源噪声以及施工运输车辆的流动噪声声源。</w:t>
            </w:r>
          </w:p>
          <w:p w14:paraId="21D530CF">
            <w:pPr>
              <w:pStyle w:val="68"/>
              <w:ind w:firstLine="482"/>
              <w:jc w:val="left"/>
              <w:rPr>
                <w:rFonts w:cs="Times New Roman"/>
                <w:b/>
                <w:color w:val="auto"/>
              </w:rPr>
            </w:pPr>
            <w:r>
              <w:rPr>
                <w:rFonts w:cs="Times New Roman"/>
                <w:b/>
                <w:color w:val="auto"/>
              </w:rPr>
              <w:t>1.3</w:t>
            </w:r>
            <w:r>
              <w:rPr>
                <w:rFonts w:hint="eastAsia" w:cs="Times New Roman"/>
                <w:b/>
                <w:color w:val="auto"/>
                <w:lang w:eastAsia="zh-CN"/>
              </w:rPr>
              <w:t>、</w:t>
            </w:r>
            <w:r>
              <w:rPr>
                <w:rFonts w:cs="Times New Roman"/>
                <w:b/>
                <w:color w:val="auto"/>
              </w:rPr>
              <w:t>固体废物</w:t>
            </w:r>
          </w:p>
          <w:p w14:paraId="4F3641F6">
            <w:pPr>
              <w:pStyle w:val="68"/>
              <w:ind w:firstLine="480"/>
              <w:jc w:val="left"/>
              <w:rPr>
                <w:rFonts w:cs="Times New Roman"/>
                <w:color w:val="auto"/>
              </w:rPr>
            </w:pPr>
            <w:r>
              <w:rPr>
                <w:rFonts w:cs="Times New Roman"/>
                <w:color w:val="auto"/>
              </w:rPr>
              <w:t>建筑垃圾和施工工人生活垃圾。</w:t>
            </w:r>
          </w:p>
          <w:p w14:paraId="5F6590A9">
            <w:pPr>
              <w:pStyle w:val="68"/>
              <w:ind w:firstLine="482"/>
              <w:jc w:val="left"/>
              <w:rPr>
                <w:rFonts w:cs="Times New Roman"/>
                <w:b/>
                <w:color w:val="auto"/>
              </w:rPr>
            </w:pPr>
            <w:r>
              <w:rPr>
                <w:rFonts w:cs="Times New Roman"/>
                <w:b/>
                <w:color w:val="auto"/>
              </w:rPr>
              <w:t>1.4</w:t>
            </w:r>
            <w:r>
              <w:rPr>
                <w:rFonts w:hint="eastAsia" w:cs="Times New Roman"/>
                <w:b/>
                <w:color w:val="auto"/>
                <w:lang w:eastAsia="zh-CN"/>
              </w:rPr>
              <w:t>、</w:t>
            </w:r>
            <w:r>
              <w:rPr>
                <w:rFonts w:cs="Times New Roman"/>
                <w:b/>
                <w:color w:val="auto"/>
              </w:rPr>
              <w:t>废水</w:t>
            </w:r>
          </w:p>
          <w:p w14:paraId="544D78D7">
            <w:pPr>
              <w:pStyle w:val="156"/>
              <w:ind w:firstLine="480"/>
              <w:rPr>
                <w:color w:val="auto"/>
              </w:rPr>
            </w:pPr>
            <w:r>
              <w:rPr>
                <w:color w:val="auto"/>
              </w:rPr>
              <w:t>施工期废水来源于施工机械冲洗废水和施工阶段产生的泥浆废水、现场施工人员生活污水。</w:t>
            </w:r>
          </w:p>
          <w:p w14:paraId="4A5F4A41">
            <w:pPr>
              <w:pStyle w:val="156"/>
              <w:numPr>
                <w:ilvl w:val="0"/>
                <w:numId w:val="0"/>
              </w:numPr>
              <w:ind w:left="-60" w:leftChars="0" w:firstLine="480" w:firstLineChars="0"/>
              <w:rPr>
                <w:color w:val="auto"/>
              </w:rPr>
            </w:pPr>
            <w:r>
              <w:rPr>
                <w:rFonts w:ascii="Times New Roman" w:hAnsi="Times New Roman" w:eastAsia="宋体" w:cs="Times New Roman"/>
                <w:color w:val="auto"/>
                <w:kern w:val="2"/>
                <w:sz w:val="24"/>
                <w:szCs w:val="24"/>
                <w:lang w:val="en-US" w:eastAsia="zh-CN" w:bidi="ar-SA"/>
              </w:rPr>
              <w:t>（1）</w:t>
            </w:r>
            <w:r>
              <w:rPr>
                <w:color w:val="auto"/>
              </w:rPr>
              <w:t>施工期，由于车辆机械检修清洗、管道敷设、建筑安装等工程的实施，将会产生一定量的施工废水。施工废水经沉淀池沉淀处理后，在厂区内喷洒，不外排。砂浆应集中沉淀处理，干燥后与固体废物一起处置。</w:t>
            </w:r>
          </w:p>
          <w:p w14:paraId="1A407A5E">
            <w:pPr>
              <w:pStyle w:val="156"/>
              <w:numPr>
                <w:ilvl w:val="0"/>
                <w:numId w:val="0"/>
              </w:numPr>
              <w:ind w:left="-60" w:leftChars="0" w:firstLine="480" w:firstLineChars="0"/>
              <w:rPr>
                <w:color w:val="auto"/>
              </w:rPr>
            </w:pPr>
            <w:r>
              <w:rPr>
                <w:rFonts w:ascii="Times New Roman" w:hAnsi="Times New Roman" w:eastAsia="宋体" w:cs="Times New Roman"/>
                <w:color w:val="auto"/>
                <w:kern w:val="2"/>
                <w:sz w:val="24"/>
                <w:szCs w:val="24"/>
                <w:lang w:val="en-US" w:eastAsia="zh-CN" w:bidi="ar-SA"/>
              </w:rPr>
              <w:t>（2）</w:t>
            </w:r>
            <w:r>
              <w:rPr>
                <w:color w:val="auto"/>
              </w:rPr>
              <w:t>施工人员在不在工地食宿，本项目施工高峰期施工人员每天约</w:t>
            </w:r>
            <w:r>
              <w:rPr>
                <w:rFonts w:hint="eastAsia"/>
                <w:color w:val="auto"/>
              </w:rPr>
              <w:t>20</w:t>
            </w:r>
            <w:r>
              <w:rPr>
                <w:color w:val="auto"/>
              </w:rPr>
              <w:t>人，生活用水量按20L/人•d，本项目建设期</w:t>
            </w:r>
            <w:r>
              <w:rPr>
                <w:rFonts w:hint="eastAsia"/>
                <w:color w:val="auto"/>
                <w:lang w:val="en-US" w:eastAsia="zh-CN"/>
              </w:rPr>
              <w:t>5</w:t>
            </w:r>
            <w:r>
              <w:rPr>
                <w:color w:val="auto"/>
              </w:rPr>
              <w:t>个月，施工期生活用水量约0.4m³/d（</w:t>
            </w:r>
            <w:r>
              <w:rPr>
                <w:rFonts w:hint="eastAsia"/>
                <w:color w:val="auto"/>
                <w:lang w:val="en-US" w:eastAsia="zh-CN"/>
              </w:rPr>
              <w:t>60</w:t>
            </w:r>
            <w:r>
              <w:rPr>
                <w:color w:val="auto"/>
              </w:rPr>
              <w:t>m³），污水产出系数按0.8计，则施工期每天生活污水量平均产生量约为0.32m³/d，生活污水排放量为</w:t>
            </w:r>
            <w:r>
              <w:rPr>
                <w:rFonts w:hint="eastAsia"/>
                <w:color w:val="auto"/>
                <w:lang w:val="en-US" w:eastAsia="zh-CN"/>
              </w:rPr>
              <w:t>48</w:t>
            </w:r>
            <w:r>
              <w:rPr>
                <w:color w:val="auto"/>
              </w:rPr>
              <w:t>m³。施工期生活污水</w:t>
            </w:r>
            <w:r>
              <w:rPr>
                <w:rFonts w:hint="eastAsia"/>
                <w:color w:val="auto"/>
              </w:rPr>
              <w:t>经</w:t>
            </w:r>
            <w:r>
              <w:rPr>
                <w:color w:val="auto"/>
              </w:rPr>
              <w:t>化粪池</w:t>
            </w:r>
            <w:r>
              <w:rPr>
                <w:rFonts w:hint="eastAsia"/>
                <w:color w:val="auto"/>
              </w:rPr>
              <w:t>收集后</w:t>
            </w:r>
            <w:r>
              <w:rPr>
                <w:rFonts w:hint="eastAsia"/>
                <w:color w:val="auto"/>
                <w:lang w:val="en-US" w:eastAsia="zh-CN"/>
              </w:rPr>
              <w:t>排入</w:t>
            </w:r>
            <w:r>
              <w:rPr>
                <w:rFonts w:hint="eastAsia"/>
                <w:bCs/>
                <w:color w:val="auto"/>
                <w:sz w:val="24"/>
                <w:lang w:val="en-US" w:eastAsia="zh-CN"/>
              </w:rPr>
              <w:t>市政</w:t>
            </w:r>
            <w:r>
              <w:rPr>
                <w:rFonts w:hint="eastAsia"/>
                <w:color w:val="auto"/>
                <w:lang w:val="en-US" w:eastAsia="zh-CN"/>
              </w:rPr>
              <w:t>污水管网</w:t>
            </w:r>
            <w:r>
              <w:rPr>
                <w:color w:val="auto"/>
              </w:rPr>
              <w:t>。</w:t>
            </w:r>
          </w:p>
          <w:p w14:paraId="2AD52BA6">
            <w:pPr>
              <w:pStyle w:val="68"/>
              <w:numPr>
                <w:ilvl w:val="255"/>
                <w:numId w:val="0"/>
              </w:numPr>
              <w:ind w:firstLine="482" w:firstLineChars="200"/>
              <w:jc w:val="left"/>
              <w:rPr>
                <w:rFonts w:cs="Times New Roman"/>
                <w:b/>
                <w:color w:val="auto"/>
              </w:rPr>
            </w:pPr>
            <w:r>
              <w:rPr>
                <w:rFonts w:cs="Times New Roman"/>
                <w:b/>
                <w:color w:val="auto"/>
              </w:rPr>
              <w:t>2、项目运营期工艺流程</w:t>
            </w:r>
          </w:p>
          <w:p w14:paraId="3D9FCDC7">
            <w:pPr>
              <w:widowControl/>
              <w:spacing w:line="360" w:lineRule="auto"/>
              <w:ind w:firstLine="480" w:firstLineChars="200"/>
              <w:rPr>
                <w:color w:val="auto"/>
                <w:sz w:val="24"/>
              </w:rPr>
            </w:pPr>
            <w:r>
              <w:rPr>
                <w:rFonts w:hint="eastAsia"/>
                <w:color w:val="auto"/>
                <w:sz w:val="24"/>
              </w:rPr>
              <w:t>2.1</w:t>
            </w:r>
            <w:r>
              <w:rPr>
                <w:rFonts w:hint="eastAsia"/>
                <w:color w:val="auto"/>
                <w:sz w:val="24"/>
                <w:lang w:eastAsia="zh-CN"/>
              </w:rPr>
              <w:t>、</w:t>
            </w:r>
            <w:r>
              <w:rPr>
                <w:rFonts w:hint="eastAsia"/>
                <w:color w:val="auto"/>
                <w:sz w:val="24"/>
                <w:lang w:val="en-US" w:eastAsia="zh-CN"/>
              </w:rPr>
              <w:t>牛</w:t>
            </w:r>
            <w:r>
              <w:rPr>
                <w:color w:val="auto"/>
                <w:sz w:val="24"/>
              </w:rPr>
              <w:t>羊肉</w:t>
            </w:r>
            <w:r>
              <w:rPr>
                <w:rFonts w:hint="eastAsia"/>
                <w:color w:val="auto"/>
                <w:sz w:val="24"/>
                <w:lang w:val="en-US" w:eastAsia="zh-CN"/>
              </w:rPr>
              <w:t>罐头</w:t>
            </w:r>
            <w:r>
              <w:rPr>
                <w:color w:val="auto"/>
                <w:sz w:val="24"/>
              </w:rPr>
              <w:t>生产工艺流程</w:t>
            </w:r>
          </w:p>
          <w:p w14:paraId="0E636BC4">
            <w:pPr>
              <w:pStyle w:val="68"/>
              <w:ind w:firstLine="0" w:firstLineChars="0"/>
              <w:jc w:val="center"/>
              <w:rPr>
                <w:rFonts w:cs="Times New Roman"/>
                <w:color w:val="auto"/>
              </w:rPr>
            </w:pPr>
            <w:r>
              <w:rPr>
                <w:rFonts w:cs="Times New Roman"/>
                <w:color w:val="auto"/>
              </w:rPr>
              <w:object>
                <v:shape id="_x0000_i1027" o:spt="75" type="#_x0000_t75" style="height:628.1pt;width:348.3pt;" o:ole="t" filled="f" o:preferrelative="t" stroked="f" coordsize="21600,21600">
                  <v:path/>
                  <v:fill on="f" focussize="0,0"/>
                  <v:stroke on="f"/>
                  <v:imagedata r:id="rId17" o:title=""/>
                  <o:lock v:ext="edit" aspectratio="f"/>
                  <w10:wrap type="none"/>
                  <w10:anchorlock/>
                </v:shape>
                <o:OLEObject Type="Embed" ProgID="Visio.Drawing.11" ShapeID="_x0000_i1027" DrawAspect="Content" ObjectID="_1468075727" r:id="rId16">
                  <o:LockedField>false</o:LockedField>
                </o:OLEObject>
              </w:object>
            </w:r>
          </w:p>
          <w:p w14:paraId="796510D0">
            <w:pPr>
              <w:pStyle w:val="68"/>
              <w:ind w:firstLine="0" w:firstLineChars="0"/>
              <w:jc w:val="center"/>
              <w:rPr>
                <w:rFonts w:cs="Times New Roman"/>
                <w:b/>
                <w:bCs/>
                <w:color w:val="auto"/>
                <w:sz w:val="21"/>
                <w:szCs w:val="21"/>
              </w:rPr>
            </w:pPr>
            <w:r>
              <w:rPr>
                <w:rFonts w:cs="Times New Roman"/>
                <w:b/>
                <w:bCs/>
                <w:color w:val="auto"/>
                <w:sz w:val="21"/>
                <w:szCs w:val="21"/>
              </w:rPr>
              <w:t>图2-3  项目运营期工艺流程及产污环节</w:t>
            </w:r>
          </w:p>
          <w:p w14:paraId="3FE0CDC3">
            <w:pPr>
              <w:widowControl/>
              <w:spacing w:line="360" w:lineRule="auto"/>
              <w:ind w:firstLine="480" w:firstLineChars="200"/>
              <w:rPr>
                <w:rFonts w:hint="default"/>
                <w:color w:val="auto"/>
                <w:sz w:val="24"/>
                <w:lang w:val="en-US" w:eastAsia="zh-CN"/>
              </w:rPr>
            </w:pPr>
            <w:r>
              <w:rPr>
                <w:rFonts w:hint="eastAsia"/>
                <w:color w:val="auto"/>
                <w:sz w:val="24"/>
                <w:lang w:eastAsia="zh-CN"/>
              </w:rPr>
              <w:t>（</w:t>
            </w:r>
            <w:r>
              <w:rPr>
                <w:rFonts w:hint="eastAsia"/>
                <w:color w:val="auto"/>
                <w:sz w:val="24"/>
                <w:lang w:val="en-US" w:eastAsia="zh-CN"/>
              </w:rPr>
              <w:t>1</w:t>
            </w:r>
            <w:r>
              <w:rPr>
                <w:rFonts w:hint="eastAsia"/>
                <w:color w:val="auto"/>
                <w:sz w:val="24"/>
                <w:lang w:eastAsia="zh-CN"/>
              </w:rPr>
              <w:t>）</w:t>
            </w:r>
            <w:r>
              <w:rPr>
                <w:rFonts w:hint="eastAsia"/>
                <w:color w:val="auto"/>
                <w:sz w:val="24"/>
                <w:lang w:val="en-US" w:eastAsia="zh-CN"/>
              </w:rPr>
              <w:t>原料接收与储存</w:t>
            </w:r>
          </w:p>
          <w:p w14:paraId="42F2B449">
            <w:pPr>
              <w:widowControl/>
              <w:spacing w:line="360" w:lineRule="auto"/>
              <w:ind w:firstLine="480" w:firstLineChars="200"/>
              <w:rPr>
                <w:rFonts w:hint="eastAsia"/>
                <w:color w:val="auto"/>
                <w:sz w:val="24"/>
                <w:lang w:eastAsia="zh-CN"/>
              </w:rPr>
            </w:pPr>
            <w:r>
              <w:rPr>
                <w:rFonts w:hint="eastAsia"/>
                <w:color w:val="auto"/>
                <w:sz w:val="24"/>
                <w:lang w:val="en-US" w:eastAsia="zh-CN"/>
              </w:rPr>
              <w:t>经质检合格</w:t>
            </w:r>
            <w:r>
              <w:rPr>
                <w:rFonts w:hint="eastAsia"/>
                <w:color w:val="auto"/>
                <w:sz w:val="24"/>
                <w:lang w:eastAsia="zh-CN"/>
              </w:rPr>
              <w:t>牛肉、羊肉等原料运输到厂，经拆包间进入，在原料冷库、原料冷藏库低温存储；辅料存于辅料间。</w:t>
            </w:r>
          </w:p>
          <w:p w14:paraId="79DF39C5">
            <w:pPr>
              <w:widowControl/>
              <w:spacing w:line="360" w:lineRule="auto"/>
              <w:ind w:firstLine="480" w:firstLineChars="200"/>
              <w:rPr>
                <w:color w:val="auto"/>
                <w:sz w:val="24"/>
              </w:rPr>
            </w:pPr>
            <w:r>
              <w:rPr>
                <w:rFonts w:hint="eastAsia"/>
                <w:color w:val="auto"/>
                <w:sz w:val="24"/>
                <w:lang w:eastAsia="zh-CN"/>
              </w:rPr>
              <w:t>（</w:t>
            </w:r>
            <w:r>
              <w:rPr>
                <w:rFonts w:hint="eastAsia"/>
                <w:color w:val="auto"/>
                <w:sz w:val="24"/>
                <w:lang w:val="en-US" w:eastAsia="zh-CN"/>
              </w:rPr>
              <w:t>2</w:t>
            </w:r>
            <w:r>
              <w:rPr>
                <w:rFonts w:hint="eastAsia"/>
                <w:color w:val="auto"/>
                <w:sz w:val="24"/>
                <w:lang w:eastAsia="zh-CN"/>
              </w:rPr>
              <w:t>）</w:t>
            </w:r>
            <w:r>
              <w:rPr>
                <w:color w:val="auto"/>
                <w:sz w:val="24"/>
              </w:rPr>
              <w:t>原料预处理</w:t>
            </w:r>
          </w:p>
          <w:p w14:paraId="7AF8FADD">
            <w:pPr>
              <w:widowControl/>
              <w:spacing w:line="360" w:lineRule="auto"/>
              <w:ind w:firstLine="480" w:firstLineChars="200"/>
              <w:rPr>
                <w:rFonts w:hint="default"/>
                <w:color w:val="auto"/>
                <w:sz w:val="24"/>
              </w:rPr>
            </w:pPr>
            <w:r>
              <w:rPr>
                <w:rFonts w:hint="default"/>
                <w:color w:val="auto"/>
                <w:sz w:val="24"/>
              </w:rPr>
              <w:t>从冷库取出的原料在缓化间缓化，之后在预加工处理间进行清洗、分割、修整等操作；预煮间对原料预煮，使其初步熟化、去除血水和部分杂质。</w:t>
            </w:r>
          </w:p>
          <w:p w14:paraId="3CAFB6E9">
            <w:pPr>
              <w:widowControl/>
              <w:spacing w:line="360" w:lineRule="auto"/>
              <w:ind w:firstLine="480" w:firstLineChars="200"/>
              <w:rPr>
                <w:rFonts w:hint="default" w:eastAsia="宋体"/>
                <w:color w:val="auto"/>
                <w:sz w:val="24"/>
                <w:lang w:val="en-US" w:eastAsia="zh-CN"/>
              </w:rPr>
            </w:pPr>
            <w:r>
              <w:rPr>
                <w:rFonts w:hint="eastAsia"/>
                <w:color w:val="auto"/>
                <w:sz w:val="24"/>
                <w:lang w:eastAsia="zh-CN"/>
              </w:rPr>
              <w:t>（</w:t>
            </w:r>
            <w:r>
              <w:rPr>
                <w:rFonts w:hint="eastAsia"/>
                <w:color w:val="auto"/>
                <w:sz w:val="24"/>
                <w:lang w:val="en-US" w:eastAsia="zh-CN"/>
              </w:rPr>
              <w:t>3</w:t>
            </w:r>
            <w:r>
              <w:rPr>
                <w:rFonts w:hint="eastAsia"/>
                <w:color w:val="auto"/>
                <w:sz w:val="24"/>
                <w:lang w:eastAsia="zh-CN"/>
              </w:rPr>
              <w:t>）</w:t>
            </w:r>
            <w:r>
              <w:rPr>
                <w:rFonts w:hint="eastAsia"/>
                <w:color w:val="auto"/>
                <w:sz w:val="24"/>
                <w:lang w:val="en-US" w:eastAsia="zh-CN"/>
              </w:rPr>
              <w:t>预煮</w:t>
            </w:r>
          </w:p>
          <w:p w14:paraId="1B06BCA3">
            <w:pPr>
              <w:widowControl/>
              <w:spacing w:line="360" w:lineRule="auto"/>
              <w:ind w:firstLine="480" w:firstLineChars="200"/>
              <w:rPr>
                <w:color w:val="auto"/>
                <w:sz w:val="24"/>
              </w:rPr>
            </w:pPr>
            <w:r>
              <w:rPr>
                <w:rFonts w:hint="eastAsia"/>
                <w:color w:val="auto"/>
                <w:sz w:val="24"/>
              </w:rPr>
              <w:t>将清洗后的肉放不锈钢夹层锅，加水淹没肉面5cm，95-100℃煮沸，羊肉煮10min、牛肉煮15min，煮至肉块中心硬化，期间撇沫，煮后捞出冷凉、修整。</w:t>
            </w:r>
          </w:p>
          <w:p w14:paraId="2AE1D290">
            <w:pPr>
              <w:widowControl/>
              <w:spacing w:line="360" w:lineRule="auto"/>
              <w:ind w:firstLine="480" w:firstLineChars="200"/>
              <w:rPr>
                <w:color w:val="auto"/>
                <w:sz w:val="24"/>
              </w:rPr>
            </w:pPr>
            <w:r>
              <w:rPr>
                <w:rFonts w:hint="eastAsia"/>
                <w:color w:val="auto"/>
                <w:sz w:val="24"/>
                <w:lang w:eastAsia="zh-CN"/>
              </w:rPr>
              <w:t>（</w:t>
            </w:r>
            <w:r>
              <w:rPr>
                <w:rFonts w:hint="eastAsia"/>
                <w:color w:val="auto"/>
                <w:sz w:val="24"/>
                <w:lang w:val="en-US" w:eastAsia="zh-CN"/>
              </w:rPr>
              <w:t>4</w:t>
            </w:r>
            <w:r>
              <w:rPr>
                <w:rFonts w:hint="eastAsia"/>
                <w:color w:val="auto"/>
                <w:sz w:val="24"/>
                <w:lang w:eastAsia="zh-CN"/>
              </w:rPr>
              <w:t>）</w:t>
            </w:r>
            <w:r>
              <w:rPr>
                <w:rFonts w:hint="default"/>
                <w:color w:val="auto"/>
                <w:sz w:val="24"/>
              </w:rPr>
              <w:t>切片</w:t>
            </w:r>
            <w:r>
              <w:rPr>
                <w:rFonts w:hint="eastAsia"/>
                <w:color w:val="auto"/>
                <w:sz w:val="24"/>
                <w:lang w:eastAsia="zh-CN"/>
              </w:rPr>
              <w:t>、</w:t>
            </w:r>
            <w:r>
              <w:rPr>
                <w:rFonts w:hint="eastAsia"/>
                <w:color w:val="auto"/>
                <w:sz w:val="24"/>
                <w:lang w:val="en-US" w:eastAsia="zh-CN"/>
              </w:rPr>
              <w:t>熟制</w:t>
            </w:r>
            <w:r>
              <w:rPr>
                <w:rFonts w:hint="default"/>
                <w:color w:val="auto"/>
                <w:sz w:val="24"/>
              </w:rPr>
              <w:t>与滚揉</w:t>
            </w:r>
          </w:p>
          <w:p w14:paraId="49FF021C">
            <w:pPr>
              <w:widowControl/>
              <w:spacing w:line="360" w:lineRule="auto"/>
              <w:ind w:firstLine="480" w:firstLineChars="200"/>
              <w:rPr>
                <w:color w:val="auto"/>
                <w:sz w:val="24"/>
              </w:rPr>
            </w:pPr>
            <w:r>
              <w:rPr>
                <w:rFonts w:hint="default"/>
                <w:color w:val="auto"/>
                <w:sz w:val="24"/>
              </w:rPr>
              <w:t>机械切片：使用冻肉切片机切至2mm厚度，刀面与肉纹理呈90°横切提升嫩度。</w:t>
            </w:r>
          </w:p>
          <w:p w14:paraId="47ECA33B">
            <w:pPr>
              <w:widowControl/>
              <w:spacing w:line="360" w:lineRule="auto"/>
              <w:ind w:firstLine="480" w:firstLineChars="200"/>
              <w:rPr>
                <w:rFonts w:hint="eastAsia" w:eastAsia="宋体"/>
                <w:color w:val="auto"/>
                <w:sz w:val="24"/>
                <w:lang w:val="en-US" w:eastAsia="zh-CN"/>
              </w:rPr>
            </w:pPr>
            <w:r>
              <w:rPr>
                <w:rFonts w:hint="eastAsia"/>
                <w:color w:val="auto"/>
                <w:sz w:val="24"/>
                <w:lang w:val="en-US" w:eastAsia="zh-CN"/>
              </w:rPr>
              <w:t>熟制（卤煮锅）：在卤煮锅中重新加入足量清水，放入焯水后的牛羊肉，根据口味加入适量的香辛料。</w:t>
            </w:r>
          </w:p>
          <w:p w14:paraId="43F87D77">
            <w:pPr>
              <w:widowControl/>
              <w:spacing w:line="360" w:lineRule="auto"/>
              <w:ind w:firstLine="480" w:firstLineChars="200"/>
              <w:rPr>
                <w:color w:val="auto"/>
                <w:sz w:val="24"/>
              </w:rPr>
            </w:pPr>
            <w:r>
              <w:rPr>
                <w:rFonts w:hint="default"/>
                <w:color w:val="auto"/>
                <w:sz w:val="24"/>
              </w:rPr>
              <w:t>真空滚揉：加入调味料（盐、糖、香辛料等），真空滚揉30-60分钟，促进肉质纤维松弛和调味渗透。</w:t>
            </w:r>
          </w:p>
          <w:p w14:paraId="3F4CDD1F">
            <w:pPr>
              <w:widowControl/>
              <w:spacing w:line="360" w:lineRule="auto"/>
              <w:ind w:firstLine="480" w:firstLineChars="200"/>
              <w:rPr>
                <w:color w:val="auto"/>
                <w:sz w:val="24"/>
              </w:rPr>
            </w:pPr>
            <w:r>
              <w:rPr>
                <w:rFonts w:hint="eastAsia"/>
                <w:color w:val="auto"/>
                <w:sz w:val="24"/>
                <w:lang w:eastAsia="zh-CN"/>
              </w:rPr>
              <w:t>（</w:t>
            </w:r>
            <w:r>
              <w:rPr>
                <w:rFonts w:hint="eastAsia"/>
                <w:color w:val="auto"/>
                <w:sz w:val="24"/>
                <w:lang w:val="en-US" w:eastAsia="zh-CN"/>
              </w:rPr>
              <w:t>5</w:t>
            </w:r>
            <w:r>
              <w:rPr>
                <w:rFonts w:hint="eastAsia"/>
                <w:color w:val="auto"/>
                <w:sz w:val="24"/>
                <w:lang w:eastAsia="zh-CN"/>
              </w:rPr>
              <w:t>）</w:t>
            </w:r>
            <w:r>
              <w:rPr>
                <w:rFonts w:hint="default"/>
                <w:color w:val="auto"/>
                <w:sz w:val="24"/>
              </w:rPr>
              <w:t>灌装与密封</w:t>
            </w:r>
          </w:p>
          <w:p w14:paraId="00ACD05A">
            <w:pPr>
              <w:widowControl/>
              <w:spacing w:line="360" w:lineRule="auto"/>
              <w:ind w:firstLine="480" w:firstLineChars="200"/>
              <w:rPr>
                <w:color w:val="auto"/>
                <w:sz w:val="24"/>
              </w:rPr>
            </w:pPr>
            <w:r>
              <w:rPr>
                <w:rFonts w:hint="default"/>
                <w:color w:val="auto"/>
                <w:sz w:val="24"/>
              </w:rPr>
              <w:t>将修整后的肉块装入马口铁盒等罐体，同时定量灌装：按200-300g/罐标准装填，控制固液比例4:1，装至罐体3/4处。</w:t>
            </w:r>
          </w:p>
          <w:p w14:paraId="2F74AB63">
            <w:pPr>
              <w:widowControl/>
              <w:spacing w:line="360" w:lineRule="auto"/>
              <w:ind w:firstLine="480" w:firstLineChars="200"/>
              <w:rPr>
                <w:color w:val="auto"/>
                <w:sz w:val="24"/>
              </w:rPr>
            </w:pPr>
            <w:r>
              <w:rPr>
                <w:rFonts w:hint="default"/>
                <w:color w:val="auto"/>
                <w:sz w:val="24"/>
              </w:rPr>
              <w:t>真空密封：真空度≥53.3千帕，避免氧化和微生物污染。</w:t>
            </w:r>
          </w:p>
          <w:p w14:paraId="6FCAA27B">
            <w:pPr>
              <w:widowControl/>
              <w:spacing w:line="360" w:lineRule="auto"/>
              <w:ind w:firstLine="480" w:firstLineChars="200"/>
              <w:rPr>
                <w:color w:val="auto"/>
                <w:sz w:val="24"/>
              </w:rPr>
            </w:pPr>
            <w:r>
              <w:rPr>
                <w:rFonts w:hint="eastAsia"/>
                <w:color w:val="auto"/>
                <w:sz w:val="24"/>
                <w:lang w:eastAsia="zh-CN"/>
              </w:rPr>
              <w:t>（</w:t>
            </w:r>
            <w:r>
              <w:rPr>
                <w:rFonts w:hint="eastAsia"/>
                <w:color w:val="auto"/>
                <w:sz w:val="24"/>
                <w:lang w:val="en-US" w:eastAsia="zh-CN"/>
              </w:rPr>
              <w:t>6</w:t>
            </w:r>
            <w:r>
              <w:rPr>
                <w:rFonts w:hint="eastAsia"/>
                <w:color w:val="auto"/>
                <w:sz w:val="24"/>
                <w:lang w:eastAsia="zh-CN"/>
              </w:rPr>
              <w:t>）</w:t>
            </w:r>
            <w:r>
              <w:rPr>
                <w:rFonts w:hint="default"/>
                <w:color w:val="auto"/>
                <w:sz w:val="24"/>
              </w:rPr>
              <w:t>高温灭菌</w:t>
            </w:r>
          </w:p>
          <w:p w14:paraId="7356CADB">
            <w:pPr>
              <w:widowControl/>
              <w:spacing w:line="360" w:lineRule="auto"/>
              <w:ind w:firstLine="480" w:firstLineChars="200"/>
              <w:rPr>
                <w:color w:val="auto"/>
                <w:sz w:val="24"/>
              </w:rPr>
            </w:pPr>
            <w:r>
              <w:rPr>
                <w:rFonts w:hint="default"/>
                <w:color w:val="auto"/>
                <w:sz w:val="24"/>
              </w:rPr>
              <w:t>杀菌参数：采用高压灭菌锅，121℃恒温15-60分钟，反压冷却（0.1078-0.1275MPa）防止罐体变形。</w:t>
            </w:r>
          </w:p>
          <w:p w14:paraId="6D8CCB62">
            <w:pPr>
              <w:widowControl/>
              <w:spacing w:line="360" w:lineRule="auto"/>
              <w:ind w:firstLine="480" w:firstLineChars="200"/>
              <w:rPr>
                <w:color w:val="auto"/>
                <w:sz w:val="24"/>
              </w:rPr>
            </w:pPr>
            <w:r>
              <w:rPr>
                <w:rFonts w:hint="eastAsia"/>
                <w:color w:val="auto"/>
                <w:sz w:val="24"/>
                <w:lang w:eastAsia="zh-CN"/>
              </w:rPr>
              <w:t>（</w:t>
            </w:r>
            <w:r>
              <w:rPr>
                <w:rFonts w:hint="eastAsia"/>
                <w:color w:val="auto"/>
                <w:sz w:val="24"/>
                <w:lang w:val="en-US" w:eastAsia="zh-CN"/>
              </w:rPr>
              <w:t>7</w:t>
            </w:r>
            <w:r>
              <w:rPr>
                <w:rFonts w:hint="eastAsia"/>
                <w:color w:val="auto"/>
                <w:sz w:val="24"/>
                <w:lang w:eastAsia="zh-CN"/>
              </w:rPr>
              <w:t>）</w:t>
            </w:r>
            <w:r>
              <w:rPr>
                <w:rFonts w:hint="default"/>
                <w:color w:val="auto"/>
                <w:sz w:val="24"/>
              </w:rPr>
              <w:t>后处理与储存</w:t>
            </w:r>
          </w:p>
          <w:p w14:paraId="02F63631">
            <w:pPr>
              <w:widowControl/>
              <w:spacing w:line="360" w:lineRule="auto"/>
              <w:ind w:firstLine="480" w:firstLineChars="200"/>
              <w:rPr>
                <w:color w:val="auto"/>
                <w:sz w:val="24"/>
              </w:rPr>
            </w:pPr>
            <w:r>
              <w:rPr>
                <w:rFonts w:hint="default"/>
                <w:color w:val="auto"/>
                <w:sz w:val="24"/>
              </w:rPr>
              <w:t>表面脱水：离心甩干机去除罐体表面水分，避免标签脱落。</w:t>
            </w:r>
          </w:p>
          <w:p w14:paraId="4835CE19">
            <w:pPr>
              <w:widowControl/>
              <w:spacing w:line="360" w:lineRule="auto"/>
              <w:ind w:firstLine="480" w:firstLineChars="200"/>
              <w:rPr>
                <w:rFonts w:hint="eastAsia" w:eastAsia="宋体"/>
                <w:color w:val="auto"/>
                <w:sz w:val="24"/>
                <w:lang w:eastAsia="zh-CN"/>
              </w:rPr>
            </w:pPr>
            <w:r>
              <w:rPr>
                <w:rFonts w:hint="default"/>
                <w:color w:val="auto"/>
                <w:sz w:val="24"/>
              </w:rPr>
              <w:t>贴标冷藏：</w:t>
            </w:r>
            <w:r>
              <w:rPr>
                <w:rFonts w:hint="eastAsia"/>
                <w:color w:val="auto"/>
                <w:sz w:val="24"/>
                <w:lang w:val="en-US" w:eastAsia="zh-CN"/>
              </w:rPr>
              <w:t>钢印</w:t>
            </w:r>
            <w:r>
              <w:rPr>
                <w:rFonts w:hint="default"/>
                <w:color w:val="auto"/>
                <w:sz w:val="24"/>
              </w:rPr>
              <w:t>贴标后入库冷藏，温度控制在0-4℃延长保质期</w:t>
            </w:r>
            <w:r>
              <w:rPr>
                <w:rFonts w:hint="eastAsia"/>
                <w:color w:val="auto"/>
                <w:sz w:val="24"/>
                <w:lang w:eastAsia="zh-CN"/>
              </w:rPr>
              <w:t>。</w:t>
            </w:r>
          </w:p>
          <w:p w14:paraId="4A12D3FC">
            <w:pPr>
              <w:autoSpaceDE w:val="0"/>
              <w:autoSpaceDN w:val="0"/>
              <w:spacing w:line="360" w:lineRule="auto"/>
              <w:ind w:left="360"/>
              <w:jc w:val="left"/>
              <w:rPr>
                <w:b/>
                <w:bCs/>
                <w:color w:val="auto"/>
                <w:sz w:val="24"/>
              </w:rPr>
            </w:pPr>
            <w:r>
              <w:rPr>
                <w:rFonts w:hint="eastAsia"/>
                <w:b/>
                <w:bCs/>
                <w:color w:val="auto"/>
                <w:kern w:val="0"/>
                <w:sz w:val="24"/>
              </w:rPr>
              <w:t>2.2</w:t>
            </w:r>
            <w:r>
              <w:rPr>
                <w:rFonts w:hint="eastAsia"/>
                <w:b/>
                <w:bCs/>
                <w:color w:val="auto"/>
                <w:kern w:val="0"/>
                <w:sz w:val="24"/>
                <w:lang w:eastAsia="zh-CN"/>
              </w:rPr>
              <w:t>、</w:t>
            </w:r>
            <w:r>
              <w:rPr>
                <w:rFonts w:hint="eastAsia"/>
                <w:b/>
                <w:bCs/>
                <w:color w:val="auto"/>
                <w:sz w:val="24"/>
                <w:lang w:val="en-US" w:eastAsia="zh-CN"/>
              </w:rPr>
              <w:t>牛肉干</w:t>
            </w:r>
            <w:r>
              <w:rPr>
                <w:b/>
                <w:bCs/>
                <w:color w:val="auto"/>
                <w:sz w:val="24"/>
              </w:rPr>
              <w:t>生产工艺流程</w:t>
            </w:r>
          </w:p>
          <w:p w14:paraId="3081D658">
            <w:pPr>
              <w:pStyle w:val="2"/>
              <w:ind w:left="0" w:leftChars="0" w:firstLine="0" w:firstLineChars="0"/>
              <w:jc w:val="center"/>
              <w:rPr>
                <w:color w:val="auto"/>
              </w:rPr>
            </w:pPr>
            <w:r>
              <w:rPr>
                <w:color w:val="auto"/>
              </w:rPr>
              <w:object>
                <v:shape id="_x0000_i1028" o:spt="75" type="#_x0000_t75" style="height:415.5pt;width:269.1pt;" o:ole="t" filled="f" o:preferrelative="t" stroked="f" coordsize="21600,21600">
                  <v:path/>
                  <v:fill on="f" focussize="0,0"/>
                  <v:stroke on="f"/>
                  <v:imagedata r:id="rId19" o:title=""/>
                  <o:lock v:ext="edit" aspectratio="f"/>
                  <w10:wrap type="none"/>
                  <w10:anchorlock/>
                </v:shape>
                <o:OLEObject Type="Embed" ProgID="Visio.Drawing.11" ShapeID="_x0000_i1028" DrawAspect="Content" ObjectID="_1468075728" r:id="rId18">
                  <o:LockedField>false</o:LockedField>
                </o:OLEObject>
              </w:object>
            </w:r>
          </w:p>
          <w:p w14:paraId="3CAA763E">
            <w:pPr>
              <w:pStyle w:val="68"/>
              <w:ind w:firstLine="0" w:firstLineChars="0"/>
              <w:jc w:val="center"/>
              <w:rPr>
                <w:rFonts w:cs="Times New Roman"/>
                <w:b/>
                <w:color w:val="auto"/>
              </w:rPr>
            </w:pPr>
            <w:r>
              <w:rPr>
                <w:rFonts w:cs="Times New Roman"/>
                <w:b/>
                <w:bCs/>
                <w:color w:val="auto"/>
                <w:sz w:val="21"/>
                <w:szCs w:val="21"/>
              </w:rPr>
              <w:t>图2-</w:t>
            </w:r>
            <w:r>
              <w:rPr>
                <w:rFonts w:hint="eastAsia" w:cs="Times New Roman"/>
                <w:b/>
                <w:bCs/>
                <w:color w:val="auto"/>
                <w:sz w:val="21"/>
                <w:szCs w:val="21"/>
              </w:rPr>
              <w:t>4</w:t>
            </w:r>
            <w:r>
              <w:rPr>
                <w:rFonts w:cs="Times New Roman"/>
                <w:b/>
                <w:bCs/>
                <w:color w:val="auto"/>
                <w:sz w:val="21"/>
                <w:szCs w:val="21"/>
              </w:rPr>
              <w:t xml:space="preserve">  项目运营期工艺流程及产污环节</w:t>
            </w:r>
          </w:p>
          <w:p w14:paraId="0059BDFB">
            <w:pPr>
              <w:autoSpaceDE w:val="0"/>
              <w:autoSpaceDN w:val="0"/>
              <w:spacing w:line="360" w:lineRule="auto"/>
              <w:ind w:firstLine="360" w:firstLineChars="150"/>
              <w:jc w:val="left"/>
              <w:rPr>
                <w:rFonts w:hint="eastAsia"/>
                <w:color w:val="auto"/>
                <w:sz w:val="24"/>
              </w:rPr>
            </w:pPr>
            <w:r>
              <w:rPr>
                <w:rFonts w:hint="eastAsia"/>
                <w:color w:val="auto"/>
                <w:sz w:val="24"/>
                <w:lang w:eastAsia="zh-CN"/>
              </w:rPr>
              <w:t>（</w:t>
            </w:r>
            <w:r>
              <w:rPr>
                <w:rFonts w:hint="eastAsia"/>
                <w:color w:val="auto"/>
                <w:sz w:val="24"/>
                <w:lang w:val="en-US" w:eastAsia="zh-CN"/>
              </w:rPr>
              <w:t>1</w:t>
            </w:r>
            <w:r>
              <w:rPr>
                <w:rFonts w:hint="eastAsia"/>
                <w:color w:val="auto"/>
                <w:sz w:val="24"/>
                <w:lang w:eastAsia="zh-CN"/>
              </w:rPr>
              <w:t>）</w:t>
            </w:r>
            <w:r>
              <w:rPr>
                <w:rFonts w:hint="eastAsia"/>
                <w:color w:val="auto"/>
                <w:sz w:val="24"/>
              </w:rPr>
              <w:t>原料处理区</w:t>
            </w:r>
          </w:p>
          <w:p w14:paraId="169E326B">
            <w:pPr>
              <w:autoSpaceDE w:val="0"/>
              <w:autoSpaceDN w:val="0"/>
              <w:spacing w:line="360" w:lineRule="auto"/>
              <w:ind w:firstLine="360" w:firstLineChars="150"/>
              <w:jc w:val="left"/>
              <w:rPr>
                <w:rFonts w:hint="eastAsia" w:eastAsia="宋体"/>
                <w:color w:val="auto"/>
                <w:sz w:val="24"/>
                <w:lang w:eastAsia="zh-CN"/>
              </w:rPr>
            </w:pPr>
            <w:r>
              <w:rPr>
                <w:rFonts w:hint="eastAsia"/>
                <w:color w:val="auto"/>
                <w:sz w:val="24"/>
              </w:rPr>
              <w:t>原料</w:t>
            </w:r>
            <w:r>
              <w:rPr>
                <w:rFonts w:hint="eastAsia"/>
                <w:color w:val="auto"/>
                <w:sz w:val="24"/>
                <w:lang w:val="en-US" w:eastAsia="zh-CN"/>
              </w:rPr>
              <w:t>接受</w:t>
            </w:r>
            <w:r>
              <w:rPr>
                <w:rFonts w:hint="eastAsia"/>
                <w:color w:val="auto"/>
                <w:sz w:val="24"/>
              </w:rPr>
              <w:t>：</w:t>
            </w:r>
            <w:r>
              <w:rPr>
                <w:rFonts w:hint="eastAsia"/>
                <w:color w:val="auto"/>
                <w:sz w:val="24"/>
                <w:lang w:val="en-US" w:eastAsia="zh-CN"/>
              </w:rPr>
              <w:t>采用质检合格的牛肉</w:t>
            </w:r>
            <w:r>
              <w:rPr>
                <w:rFonts w:hint="eastAsia"/>
                <w:color w:val="auto"/>
                <w:sz w:val="24"/>
                <w:lang w:eastAsia="zh-CN"/>
              </w:rPr>
              <w:t>；</w:t>
            </w:r>
          </w:p>
          <w:p w14:paraId="60BD1419">
            <w:pPr>
              <w:autoSpaceDE w:val="0"/>
              <w:autoSpaceDN w:val="0"/>
              <w:spacing w:line="360" w:lineRule="auto"/>
              <w:ind w:firstLine="360" w:firstLineChars="150"/>
              <w:jc w:val="left"/>
              <w:rPr>
                <w:rFonts w:hint="eastAsia" w:eastAsia="宋体"/>
                <w:color w:val="auto"/>
                <w:sz w:val="24"/>
                <w:lang w:eastAsia="zh-CN"/>
              </w:rPr>
            </w:pPr>
            <w:r>
              <w:rPr>
                <w:rFonts w:hint="eastAsia"/>
                <w:color w:val="auto"/>
                <w:sz w:val="24"/>
              </w:rPr>
              <w:t>分割去膜：使用取膜机去除筋膜，人工修割脂肪层</w:t>
            </w:r>
            <w:r>
              <w:rPr>
                <w:rFonts w:hint="eastAsia"/>
                <w:color w:val="auto"/>
                <w:sz w:val="24"/>
                <w:lang w:eastAsia="zh-CN"/>
              </w:rPr>
              <w:t>；</w:t>
            </w:r>
          </w:p>
          <w:p w14:paraId="11FF6338">
            <w:pPr>
              <w:autoSpaceDE w:val="0"/>
              <w:autoSpaceDN w:val="0"/>
              <w:spacing w:line="360" w:lineRule="auto"/>
              <w:ind w:firstLine="360" w:firstLineChars="150"/>
              <w:jc w:val="left"/>
              <w:rPr>
                <w:rFonts w:hint="eastAsia" w:eastAsia="宋体"/>
                <w:color w:val="auto"/>
                <w:sz w:val="24"/>
                <w:lang w:eastAsia="zh-CN"/>
              </w:rPr>
            </w:pPr>
            <w:r>
              <w:rPr>
                <w:rFonts w:hint="eastAsia"/>
                <w:color w:val="auto"/>
                <w:sz w:val="24"/>
              </w:rPr>
              <w:t>清洗血污：用流动水冲洗3-5分钟，控制肉温≤10℃</w:t>
            </w:r>
            <w:r>
              <w:rPr>
                <w:rFonts w:hint="eastAsia"/>
                <w:color w:val="auto"/>
                <w:sz w:val="24"/>
                <w:lang w:eastAsia="zh-CN"/>
              </w:rPr>
              <w:t>。</w:t>
            </w:r>
          </w:p>
          <w:p w14:paraId="2C2CB433">
            <w:pPr>
              <w:autoSpaceDE w:val="0"/>
              <w:autoSpaceDN w:val="0"/>
              <w:spacing w:line="360" w:lineRule="auto"/>
              <w:ind w:firstLine="360" w:firstLineChars="150"/>
              <w:jc w:val="left"/>
              <w:rPr>
                <w:rFonts w:hint="default"/>
                <w:color w:val="auto"/>
                <w:sz w:val="24"/>
                <w:lang w:val="en-US" w:eastAsia="zh-CN"/>
              </w:rPr>
            </w:pPr>
            <w:r>
              <w:rPr>
                <w:rFonts w:hint="eastAsia"/>
                <w:color w:val="auto"/>
                <w:sz w:val="24"/>
                <w:lang w:eastAsia="zh-CN"/>
              </w:rPr>
              <w:t>（</w:t>
            </w:r>
            <w:r>
              <w:rPr>
                <w:rFonts w:hint="eastAsia"/>
                <w:color w:val="auto"/>
                <w:sz w:val="24"/>
                <w:lang w:val="en-US" w:eastAsia="zh-CN"/>
              </w:rPr>
              <w:t>2</w:t>
            </w:r>
            <w:r>
              <w:rPr>
                <w:rFonts w:hint="eastAsia"/>
                <w:color w:val="auto"/>
                <w:sz w:val="24"/>
                <w:lang w:eastAsia="zh-CN"/>
              </w:rPr>
              <w:t>）</w:t>
            </w:r>
            <w:r>
              <w:rPr>
                <w:rFonts w:hint="eastAsia"/>
                <w:color w:val="auto"/>
                <w:sz w:val="24"/>
                <w:lang w:val="en-US" w:eastAsia="zh-CN"/>
              </w:rPr>
              <w:t>冷却切片</w:t>
            </w:r>
          </w:p>
          <w:p w14:paraId="4236F7B3">
            <w:pPr>
              <w:autoSpaceDE w:val="0"/>
              <w:autoSpaceDN w:val="0"/>
              <w:spacing w:line="360" w:lineRule="auto"/>
              <w:ind w:firstLine="360" w:firstLineChars="150"/>
              <w:jc w:val="left"/>
              <w:rPr>
                <w:rFonts w:hint="eastAsia"/>
                <w:color w:val="auto"/>
                <w:sz w:val="24"/>
                <w:lang w:eastAsia="zh-CN"/>
              </w:rPr>
            </w:pPr>
            <w:r>
              <w:rPr>
                <w:rFonts w:hint="eastAsia"/>
                <w:color w:val="auto"/>
                <w:sz w:val="24"/>
                <w:lang w:eastAsia="zh-CN"/>
              </w:rPr>
              <w:t>肉凉透后，顺着肉纤维方向切成3-5mm薄片。</w:t>
            </w:r>
          </w:p>
          <w:p w14:paraId="0523936F">
            <w:pPr>
              <w:autoSpaceDE w:val="0"/>
              <w:autoSpaceDN w:val="0"/>
              <w:spacing w:line="360" w:lineRule="auto"/>
              <w:ind w:firstLine="360" w:firstLineChars="150"/>
              <w:jc w:val="left"/>
              <w:rPr>
                <w:rFonts w:hint="eastAsia"/>
                <w:color w:val="auto"/>
                <w:sz w:val="24"/>
              </w:rPr>
            </w:pPr>
            <w:r>
              <w:rPr>
                <w:rFonts w:hint="eastAsia"/>
                <w:color w:val="auto"/>
                <w:sz w:val="24"/>
                <w:lang w:eastAsia="zh-CN"/>
              </w:rPr>
              <w:t>（</w:t>
            </w:r>
            <w:r>
              <w:rPr>
                <w:rFonts w:hint="eastAsia"/>
                <w:color w:val="auto"/>
                <w:sz w:val="24"/>
                <w:lang w:val="en-US" w:eastAsia="zh-CN"/>
              </w:rPr>
              <w:t>3</w:t>
            </w:r>
            <w:r>
              <w:rPr>
                <w:rFonts w:hint="eastAsia"/>
                <w:color w:val="auto"/>
                <w:sz w:val="24"/>
                <w:lang w:eastAsia="zh-CN"/>
              </w:rPr>
              <w:t>）</w:t>
            </w:r>
            <w:r>
              <w:rPr>
                <w:rFonts w:hint="eastAsia"/>
                <w:color w:val="auto"/>
                <w:sz w:val="24"/>
              </w:rPr>
              <w:t>腌制加工区</w:t>
            </w:r>
          </w:p>
          <w:p w14:paraId="7259C62F">
            <w:pPr>
              <w:autoSpaceDE w:val="0"/>
              <w:autoSpaceDN w:val="0"/>
              <w:spacing w:line="360" w:lineRule="auto"/>
              <w:ind w:firstLine="360" w:firstLineChars="150"/>
              <w:jc w:val="left"/>
              <w:rPr>
                <w:rFonts w:hint="eastAsia" w:eastAsia="宋体"/>
                <w:color w:val="auto"/>
                <w:sz w:val="24"/>
                <w:lang w:eastAsia="zh-CN"/>
              </w:rPr>
            </w:pPr>
            <w:r>
              <w:rPr>
                <w:rFonts w:hint="eastAsia"/>
                <w:color w:val="auto"/>
                <w:sz w:val="24"/>
              </w:rPr>
              <w:t>真空搅拌：真空度-0.08MPa，转速20rpm</w:t>
            </w:r>
            <w:r>
              <w:rPr>
                <w:rFonts w:hint="eastAsia"/>
                <w:color w:val="auto"/>
                <w:sz w:val="24"/>
                <w:lang w:eastAsia="zh-CN"/>
              </w:rPr>
              <w:t>；</w:t>
            </w:r>
          </w:p>
          <w:p w14:paraId="7A7EA32B">
            <w:pPr>
              <w:autoSpaceDE w:val="0"/>
              <w:autoSpaceDN w:val="0"/>
              <w:spacing w:line="360" w:lineRule="auto"/>
              <w:ind w:firstLine="360" w:firstLineChars="150"/>
              <w:jc w:val="left"/>
              <w:rPr>
                <w:rFonts w:hint="eastAsia" w:eastAsia="宋体"/>
                <w:color w:val="auto"/>
                <w:sz w:val="24"/>
                <w:lang w:eastAsia="zh-CN"/>
              </w:rPr>
            </w:pPr>
            <w:r>
              <w:rPr>
                <w:rFonts w:hint="eastAsia"/>
                <w:color w:val="auto"/>
                <w:sz w:val="24"/>
              </w:rPr>
              <w:t>腌制配方：</w:t>
            </w:r>
            <w:r>
              <w:rPr>
                <w:rFonts w:hint="eastAsia"/>
                <w:color w:val="auto"/>
                <w:sz w:val="24"/>
                <w:lang w:val="en-US" w:eastAsia="zh-CN"/>
              </w:rPr>
              <w:t>将切好的牛肉放入真空搅拌机中，加入适量的盐、料酒、姜片、葱段和黑胡椒粉等各种口味的调料，腌制搅拌1-2小时，以便去除腥味和增加风味</w:t>
            </w:r>
            <w:r>
              <w:rPr>
                <w:rFonts w:hint="eastAsia"/>
                <w:color w:val="auto"/>
                <w:sz w:val="24"/>
                <w:lang w:eastAsia="zh-CN"/>
              </w:rPr>
              <w:t>；</w:t>
            </w:r>
          </w:p>
          <w:p w14:paraId="565F0C9B">
            <w:pPr>
              <w:autoSpaceDE w:val="0"/>
              <w:autoSpaceDN w:val="0"/>
              <w:spacing w:line="360" w:lineRule="auto"/>
              <w:ind w:firstLine="360" w:firstLineChars="150"/>
              <w:jc w:val="left"/>
              <w:rPr>
                <w:rFonts w:hint="eastAsia" w:eastAsia="宋体"/>
                <w:color w:val="auto"/>
                <w:sz w:val="24"/>
                <w:lang w:eastAsia="zh-CN"/>
              </w:rPr>
            </w:pPr>
            <w:r>
              <w:rPr>
                <w:rFonts w:hint="eastAsia"/>
                <w:color w:val="auto"/>
                <w:sz w:val="24"/>
              </w:rPr>
              <w:t>静置入味：4℃环境下腌制8-12小时</w:t>
            </w:r>
            <w:r>
              <w:rPr>
                <w:rFonts w:hint="eastAsia"/>
                <w:color w:val="auto"/>
                <w:sz w:val="24"/>
                <w:lang w:eastAsia="zh-CN"/>
              </w:rPr>
              <w:t>。</w:t>
            </w:r>
          </w:p>
          <w:p w14:paraId="67C211F5">
            <w:pPr>
              <w:autoSpaceDE w:val="0"/>
              <w:autoSpaceDN w:val="0"/>
              <w:spacing w:line="360" w:lineRule="auto"/>
              <w:ind w:firstLine="360" w:firstLineChars="150"/>
              <w:jc w:val="left"/>
              <w:rPr>
                <w:rFonts w:hint="eastAsia"/>
                <w:color w:val="auto"/>
                <w:sz w:val="24"/>
              </w:rPr>
            </w:pPr>
            <w:r>
              <w:rPr>
                <w:rFonts w:hint="eastAsia"/>
                <w:color w:val="auto"/>
                <w:sz w:val="24"/>
                <w:lang w:eastAsia="zh-CN"/>
              </w:rPr>
              <w:t>（</w:t>
            </w:r>
            <w:r>
              <w:rPr>
                <w:rFonts w:hint="eastAsia"/>
                <w:color w:val="auto"/>
                <w:sz w:val="24"/>
                <w:lang w:val="en-US" w:eastAsia="zh-CN"/>
              </w:rPr>
              <w:t>4</w:t>
            </w:r>
            <w:r>
              <w:rPr>
                <w:rFonts w:hint="eastAsia"/>
                <w:color w:val="auto"/>
                <w:sz w:val="24"/>
                <w:lang w:eastAsia="zh-CN"/>
              </w:rPr>
              <w:t>）</w:t>
            </w:r>
            <w:r>
              <w:rPr>
                <w:rFonts w:hint="eastAsia"/>
                <w:color w:val="auto"/>
                <w:sz w:val="24"/>
              </w:rPr>
              <w:t>干燥处理区</w:t>
            </w:r>
          </w:p>
          <w:p w14:paraId="6A732FE6">
            <w:pPr>
              <w:autoSpaceDE w:val="0"/>
              <w:autoSpaceDN w:val="0"/>
              <w:spacing w:line="360" w:lineRule="auto"/>
              <w:ind w:firstLine="360" w:firstLineChars="150"/>
              <w:jc w:val="left"/>
              <w:rPr>
                <w:rFonts w:hint="eastAsia" w:eastAsia="宋体"/>
                <w:color w:val="auto"/>
                <w:sz w:val="24"/>
                <w:lang w:eastAsia="zh-CN"/>
              </w:rPr>
            </w:pPr>
            <w:r>
              <w:rPr>
                <w:rFonts w:hint="eastAsia"/>
                <w:color w:val="auto"/>
                <w:sz w:val="24"/>
              </w:rPr>
              <w:t>烘烤工艺：采用循环风烤箱，在</w:t>
            </w:r>
            <w:r>
              <w:rPr>
                <w:rFonts w:hint="eastAsia"/>
                <w:color w:val="auto"/>
                <w:sz w:val="24"/>
                <w:lang w:val="en-US" w:eastAsia="zh-CN"/>
              </w:rPr>
              <w:t>8</w:t>
            </w:r>
            <w:r>
              <w:rPr>
                <w:rFonts w:hint="eastAsia"/>
                <w:color w:val="auto"/>
                <w:sz w:val="24"/>
              </w:rPr>
              <w:t>5-95℃烘烤约1小时，或50-</w:t>
            </w:r>
            <w:r>
              <w:rPr>
                <w:rFonts w:hint="eastAsia"/>
                <w:color w:val="auto"/>
                <w:sz w:val="24"/>
                <w:lang w:val="en-US" w:eastAsia="zh-CN"/>
              </w:rPr>
              <w:t>5</w:t>
            </w:r>
            <w:r>
              <w:rPr>
                <w:rFonts w:hint="eastAsia"/>
                <w:color w:val="auto"/>
                <w:sz w:val="24"/>
              </w:rPr>
              <w:t>5℃烘烤约9小时，期间翻筛2-3次，至肉坯质地发硬变干</w:t>
            </w:r>
            <w:r>
              <w:rPr>
                <w:rFonts w:hint="eastAsia"/>
                <w:color w:val="auto"/>
                <w:sz w:val="24"/>
                <w:lang w:eastAsia="zh-CN"/>
              </w:rPr>
              <w:t>；</w:t>
            </w:r>
          </w:p>
          <w:p w14:paraId="206C91E8">
            <w:pPr>
              <w:autoSpaceDE w:val="0"/>
              <w:autoSpaceDN w:val="0"/>
              <w:spacing w:line="360" w:lineRule="auto"/>
              <w:ind w:firstLine="360" w:firstLineChars="150"/>
              <w:jc w:val="left"/>
              <w:rPr>
                <w:rFonts w:hint="eastAsia" w:eastAsia="宋体"/>
                <w:color w:val="auto"/>
                <w:sz w:val="24"/>
                <w:lang w:eastAsia="zh-CN"/>
              </w:rPr>
            </w:pPr>
            <w:r>
              <w:rPr>
                <w:rFonts w:hint="eastAsia"/>
                <w:color w:val="auto"/>
                <w:sz w:val="24"/>
              </w:rPr>
              <w:t>干燥终点：水分含量18-22%（根据产品类型调整）</w:t>
            </w:r>
            <w:r>
              <w:rPr>
                <w:rFonts w:hint="eastAsia"/>
                <w:color w:val="auto"/>
                <w:sz w:val="24"/>
                <w:lang w:eastAsia="zh-CN"/>
              </w:rPr>
              <w:t>。</w:t>
            </w:r>
          </w:p>
          <w:p w14:paraId="23E3A919">
            <w:pPr>
              <w:autoSpaceDE w:val="0"/>
              <w:autoSpaceDN w:val="0"/>
              <w:spacing w:line="360" w:lineRule="auto"/>
              <w:ind w:firstLine="360" w:firstLineChars="150"/>
              <w:jc w:val="left"/>
              <w:rPr>
                <w:rFonts w:hint="default" w:eastAsia="宋体"/>
                <w:color w:val="auto"/>
                <w:sz w:val="24"/>
                <w:lang w:val="en-US" w:eastAsia="zh-CN"/>
              </w:rPr>
            </w:pPr>
            <w:r>
              <w:rPr>
                <w:rFonts w:hint="eastAsia"/>
                <w:color w:val="auto"/>
                <w:sz w:val="24"/>
                <w:lang w:eastAsia="zh-CN"/>
              </w:rPr>
              <w:t>（</w:t>
            </w:r>
            <w:r>
              <w:rPr>
                <w:rFonts w:hint="eastAsia"/>
                <w:color w:val="auto"/>
                <w:sz w:val="24"/>
                <w:lang w:val="en-US" w:eastAsia="zh-CN"/>
              </w:rPr>
              <w:t>5</w:t>
            </w:r>
            <w:r>
              <w:rPr>
                <w:rFonts w:hint="eastAsia"/>
                <w:color w:val="auto"/>
                <w:sz w:val="24"/>
                <w:lang w:eastAsia="zh-CN"/>
              </w:rPr>
              <w:t>）</w:t>
            </w:r>
            <w:r>
              <w:rPr>
                <w:rFonts w:hint="eastAsia"/>
                <w:color w:val="auto"/>
                <w:sz w:val="24"/>
              </w:rPr>
              <w:t>包装</w:t>
            </w:r>
            <w:r>
              <w:rPr>
                <w:rFonts w:hint="eastAsia"/>
                <w:color w:val="auto"/>
                <w:sz w:val="24"/>
                <w:lang w:val="en-US" w:eastAsia="zh-CN"/>
              </w:rPr>
              <w:t>与杀菌</w:t>
            </w:r>
          </w:p>
          <w:p w14:paraId="1F99C7DF">
            <w:pPr>
              <w:autoSpaceDE w:val="0"/>
              <w:autoSpaceDN w:val="0"/>
              <w:spacing w:line="360" w:lineRule="auto"/>
              <w:ind w:firstLine="360" w:firstLineChars="150"/>
              <w:jc w:val="left"/>
              <w:rPr>
                <w:rFonts w:hint="eastAsia" w:eastAsia="宋体"/>
                <w:color w:val="auto"/>
                <w:sz w:val="24"/>
                <w:lang w:eastAsia="zh-CN"/>
              </w:rPr>
            </w:pPr>
            <w:r>
              <w:rPr>
                <w:rFonts w:hint="eastAsia"/>
                <w:color w:val="auto"/>
                <w:sz w:val="24"/>
              </w:rPr>
              <w:t>将烘烤后的牛肉干抽真空、封口，再通过高温杀菌锅杀菌。</w:t>
            </w:r>
          </w:p>
          <w:p w14:paraId="252F5840">
            <w:pPr>
              <w:autoSpaceDE w:val="0"/>
              <w:autoSpaceDN w:val="0"/>
              <w:spacing w:line="360" w:lineRule="auto"/>
              <w:ind w:firstLine="360" w:firstLineChars="150"/>
              <w:jc w:val="left"/>
              <w:rPr>
                <w:rFonts w:hint="eastAsia"/>
                <w:color w:val="auto"/>
                <w:sz w:val="24"/>
              </w:rPr>
            </w:pPr>
            <w:r>
              <w:rPr>
                <w:rFonts w:hint="eastAsia"/>
                <w:color w:val="auto"/>
                <w:sz w:val="24"/>
                <w:lang w:eastAsia="zh-CN"/>
              </w:rPr>
              <w:t>（</w:t>
            </w:r>
            <w:r>
              <w:rPr>
                <w:rFonts w:hint="eastAsia"/>
                <w:color w:val="auto"/>
                <w:sz w:val="24"/>
                <w:lang w:val="en-US" w:eastAsia="zh-CN"/>
              </w:rPr>
              <w:t>6</w:t>
            </w:r>
            <w:r>
              <w:rPr>
                <w:rFonts w:hint="eastAsia"/>
                <w:color w:val="auto"/>
                <w:sz w:val="24"/>
                <w:lang w:eastAsia="zh-CN"/>
              </w:rPr>
              <w:t>）</w:t>
            </w:r>
            <w:r>
              <w:rPr>
                <w:rFonts w:hint="eastAsia"/>
                <w:color w:val="auto"/>
                <w:sz w:val="24"/>
              </w:rPr>
              <w:t>质量管控区</w:t>
            </w:r>
          </w:p>
          <w:p w14:paraId="087D3B36">
            <w:pPr>
              <w:autoSpaceDE w:val="0"/>
              <w:autoSpaceDN w:val="0"/>
              <w:spacing w:line="360" w:lineRule="auto"/>
              <w:ind w:firstLine="360" w:firstLineChars="150"/>
              <w:jc w:val="left"/>
              <w:rPr>
                <w:rFonts w:hint="default"/>
                <w:color w:val="auto"/>
                <w:sz w:val="24"/>
                <w:lang w:val="en-US" w:eastAsia="zh-CN"/>
              </w:rPr>
            </w:pPr>
            <w:r>
              <w:rPr>
                <w:rFonts w:hint="eastAsia"/>
                <w:color w:val="auto"/>
                <w:sz w:val="24"/>
              </w:rPr>
              <w:t>化验员对半成品进行感官、微生物指标化验，合格后包装。</w:t>
            </w:r>
            <w:r>
              <w:rPr>
                <w:rFonts w:hint="eastAsia"/>
                <w:color w:val="auto"/>
                <w:sz w:val="24"/>
                <w:lang w:val="en-US" w:eastAsia="zh-CN"/>
              </w:rPr>
              <w:t>成品装箱后化验员对成品抽检，合格后入库出厂。</w:t>
            </w:r>
          </w:p>
          <w:p w14:paraId="337BA8C4">
            <w:pPr>
              <w:pStyle w:val="68"/>
              <w:ind w:firstLine="482"/>
              <w:rPr>
                <w:rFonts w:cs="Times New Roman"/>
                <w:b/>
                <w:color w:val="auto"/>
              </w:rPr>
            </w:pPr>
            <w:r>
              <w:rPr>
                <w:rFonts w:cs="Times New Roman"/>
                <w:b/>
                <w:color w:val="auto"/>
              </w:rPr>
              <w:t>3、项目运营期产污环节</w:t>
            </w:r>
          </w:p>
          <w:p w14:paraId="1811140E">
            <w:pPr>
              <w:pStyle w:val="68"/>
              <w:ind w:firstLine="482"/>
              <w:rPr>
                <w:rFonts w:cs="Times New Roman"/>
                <w:b/>
                <w:color w:val="auto"/>
              </w:rPr>
            </w:pPr>
            <w:r>
              <w:rPr>
                <w:rFonts w:cs="Times New Roman"/>
                <w:b/>
                <w:color w:val="auto"/>
              </w:rPr>
              <w:t>3.1</w:t>
            </w:r>
            <w:r>
              <w:rPr>
                <w:rFonts w:hint="eastAsia" w:cs="Times New Roman"/>
                <w:b/>
                <w:color w:val="auto"/>
                <w:lang w:eastAsia="zh-CN"/>
              </w:rPr>
              <w:t>、</w:t>
            </w:r>
            <w:r>
              <w:rPr>
                <w:rFonts w:cs="Times New Roman"/>
                <w:b/>
                <w:color w:val="auto"/>
              </w:rPr>
              <w:t>污水</w:t>
            </w:r>
          </w:p>
          <w:p w14:paraId="42EFD6FD">
            <w:pPr>
              <w:spacing w:line="360" w:lineRule="auto"/>
              <w:ind w:firstLine="480" w:firstLineChars="200"/>
              <w:rPr>
                <w:color w:val="auto"/>
                <w:sz w:val="24"/>
              </w:rPr>
            </w:pPr>
            <w:r>
              <w:rPr>
                <w:color w:val="auto"/>
                <w:sz w:val="24"/>
              </w:rPr>
              <w:t>项目营运期废水主要为生活污水和生产废水。</w:t>
            </w:r>
          </w:p>
          <w:p w14:paraId="0BA51E12">
            <w:pPr>
              <w:pStyle w:val="156"/>
              <w:ind w:firstLine="480"/>
              <w:rPr>
                <w:color w:val="auto"/>
                <w:kern w:val="0"/>
              </w:rPr>
            </w:pPr>
            <w:r>
              <w:rPr>
                <w:rFonts w:hint="eastAsia"/>
                <w:color w:val="auto"/>
                <w:kern w:val="0"/>
              </w:rPr>
              <w:t>（1）</w:t>
            </w:r>
            <w:r>
              <w:rPr>
                <w:rFonts w:hint="eastAsia"/>
                <w:color w:val="auto"/>
                <w:kern w:val="0"/>
                <w:lang w:eastAsia="zh-CN"/>
              </w:rPr>
              <w:t>生活污水</w:t>
            </w:r>
            <w:r>
              <w:rPr>
                <w:rFonts w:hint="eastAsia"/>
                <w:color w:val="auto"/>
                <w:kern w:val="0"/>
              </w:rPr>
              <w:t>：经防渗化粪池沉淀、腐化处理后，</w:t>
            </w:r>
            <w:r>
              <w:rPr>
                <w:rFonts w:hint="eastAsia"/>
                <w:color w:val="auto"/>
                <w:kern w:val="0"/>
                <w:lang w:val="en-US" w:eastAsia="zh-CN"/>
              </w:rPr>
              <w:t>排</w:t>
            </w:r>
            <w:r>
              <w:rPr>
                <w:rFonts w:hint="eastAsia"/>
                <w:color w:val="auto"/>
                <w:kern w:val="0"/>
              </w:rPr>
              <w:t>入</w:t>
            </w:r>
            <w:r>
              <w:rPr>
                <w:rFonts w:hint="eastAsia"/>
                <w:bCs/>
                <w:color w:val="auto"/>
                <w:sz w:val="24"/>
                <w:lang w:val="en-US" w:eastAsia="zh-CN"/>
              </w:rPr>
              <w:t>市政</w:t>
            </w:r>
            <w:r>
              <w:rPr>
                <w:rFonts w:hint="eastAsia"/>
                <w:color w:val="auto"/>
                <w:kern w:val="0"/>
              </w:rPr>
              <w:t>污水管网。</w:t>
            </w:r>
          </w:p>
          <w:p w14:paraId="351B1004">
            <w:pPr>
              <w:pStyle w:val="68"/>
              <w:ind w:firstLine="480"/>
              <w:rPr>
                <w:rFonts w:cs="Times New Roman"/>
                <w:color w:val="auto"/>
              </w:rPr>
            </w:pPr>
            <w:r>
              <w:rPr>
                <w:rFonts w:hint="eastAsia" w:cs="Times New Roman"/>
                <w:color w:val="auto"/>
              </w:rPr>
              <w:t>（2）</w:t>
            </w:r>
            <w:r>
              <w:rPr>
                <w:rFonts w:cs="Times New Roman"/>
                <w:color w:val="auto"/>
              </w:rPr>
              <w:t>本项目生产废水主要为</w:t>
            </w:r>
            <w:r>
              <w:rPr>
                <w:rFonts w:hint="eastAsia" w:cs="Times New Roman"/>
                <w:color w:val="auto"/>
                <w:lang w:val="en-US" w:eastAsia="zh-CN"/>
              </w:rPr>
              <w:t>清洗、分割、搅拌、蒸煮、沥水甩干、滚揉腌制过程产生</w:t>
            </w:r>
            <w:r>
              <w:rPr>
                <w:rFonts w:hint="eastAsia" w:cs="Times New Roman"/>
                <w:color w:val="auto"/>
              </w:rPr>
              <w:t>，生产废水</w:t>
            </w:r>
            <w:r>
              <w:rPr>
                <w:rFonts w:hint="eastAsia" w:cs="Times New Roman"/>
                <w:color w:val="auto"/>
                <w:lang w:val="en-US" w:eastAsia="zh-CN"/>
              </w:rPr>
              <w:t>经过</w:t>
            </w:r>
            <w:r>
              <w:rPr>
                <w:rFonts w:hint="eastAsia" w:cs="Times New Roman"/>
                <w:color w:val="auto"/>
              </w:rPr>
              <w:t>厂区内污水处理站</w:t>
            </w:r>
            <w:r>
              <w:rPr>
                <w:rFonts w:hint="eastAsia" w:cs="Times New Roman"/>
                <w:color w:val="auto"/>
                <w:lang w:val="en-US" w:eastAsia="zh-CN"/>
              </w:rPr>
              <w:t>处理后</w:t>
            </w:r>
            <w:r>
              <w:rPr>
                <w:rFonts w:hint="eastAsia" w:cs="Times New Roman"/>
                <w:color w:val="auto"/>
              </w:rPr>
              <w:t>，</w:t>
            </w:r>
            <w:r>
              <w:rPr>
                <w:rFonts w:hint="eastAsia" w:cs="Times New Roman"/>
                <w:color w:val="auto"/>
                <w:lang w:val="en-US" w:eastAsia="zh-CN"/>
              </w:rPr>
              <w:t>排</w:t>
            </w:r>
            <w:r>
              <w:rPr>
                <w:rFonts w:hint="eastAsia" w:cs="Times New Roman"/>
                <w:color w:val="auto"/>
              </w:rPr>
              <w:t>入</w:t>
            </w:r>
            <w:r>
              <w:rPr>
                <w:rFonts w:hint="eastAsia"/>
                <w:bCs/>
                <w:color w:val="auto"/>
                <w:sz w:val="24"/>
                <w:lang w:val="en-US" w:eastAsia="zh-CN"/>
              </w:rPr>
              <w:t>市政</w:t>
            </w:r>
            <w:r>
              <w:rPr>
                <w:rFonts w:hint="eastAsia" w:cs="Times New Roman"/>
                <w:color w:val="auto"/>
              </w:rPr>
              <w:t>污水管网。</w:t>
            </w:r>
          </w:p>
          <w:p w14:paraId="136153F8">
            <w:pPr>
              <w:pStyle w:val="68"/>
              <w:ind w:firstLine="482"/>
              <w:rPr>
                <w:rFonts w:cs="Times New Roman"/>
                <w:b/>
                <w:color w:val="auto"/>
              </w:rPr>
            </w:pPr>
            <w:r>
              <w:rPr>
                <w:rFonts w:cs="Times New Roman"/>
                <w:b/>
                <w:color w:val="auto"/>
              </w:rPr>
              <w:t>3.2</w:t>
            </w:r>
            <w:r>
              <w:rPr>
                <w:rFonts w:hint="eastAsia" w:cs="Times New Roman"/>
                <w:b/>
                <w:color w:val="auto"/>
                <w:lang w:eastAsia="zh-CN"/>
              </w:rPr>
              <w:t>、</w:t>
            </w:r>
            <w:r>
              <w:rPr>
                <w:rFonts w:cs="Times New Roman"/>
                <w:b/>
                <w:color w:val="auto"/>
              </w:rPr>
              <w:t>废气</w:t>
            </w:r>
          </w:p>
          <w:p w14:paraId="1B1E272D">
            <w:pPr>
              <w:pStyle w:val="68"/>
              <w:ind w:firstLine="480"/>
              <w:rPr>
                <w:color w:val="auto"/>
                <w:kern w:val="2"/>
              </w:rPr>
            </w:pPr>
            <w:r>
              <w:rPr>
                <w:rFonts w:cs="Times New Roman"/>
                <w:color w:val="auto"/>
              </w:rPr>
              <w:t>本项目产生废气主要来源于</w:t>
            </w:r>
            <w:r>
              <w:rPr>
                <w:rFonts w:hint="eastAsia" w:cs="Times New Roman"/>
                <w:color w:val="auto"/>
                <w:lang w:val="en-US" w:eastAsia="zh-CN"/>
              </w:rPr>
              <w:t>污水处理站恶臭、生产车间烘烤产生的油烟废气、生产车间肉制品腌制及蒸煮废气（以臭气浓度表征）、制冷系统废气。</w:t>
            </w:r>
          </w:p>
          <w:p w14:paraId="521585D0">
            <w:pPr>
              <w:pStyle w:val="68"/>
              <w:ind w:firstLine="480"/>
              <w:rPr>
                <w:rFonts w:hint="default" w:ascii="Times New Roman" w:hAnsi="Times New Roman" w:eastAsia="宋体" w:cs="Times New Roman"/>
                <w:color w:val="auto"/>
              </w:rPr>
            </w:pPr>
            <w:r>
              <w:rPr>
                <w:rFonts w:hint="default" w:ascii="Times New Roman" w:hAnsi="Times New Roman" w:eastAsia="宋体" w:cs="Times New Roman"/>
                <w:color w:val="auto"/>
              </w:rPr>
              <w:t>污水处理站</w:t>
            </w:r>
            <w:r>
              <w:rPr>
                <w:rFonts w:hint="eastAsia" w:cs="Times New Roman"/>
                <w:color w:val="auto"/>
                <w:lang w:val="en-US" w:eastAsia="zh-CN"/>
              </w:rPr>
              <w:t>废气</w:t>
            </w:r>
            <w:r>
              <w:rPr>
                <w:rFonts w:hint="default" w:ascii="Times New Roman" w:hAnsi="Times New Roman" w:eastAsia="宋体" w:cs="Times New Roman"/>
                <w:color w:val="auto"/>
              </w:rPr>
              <w:t>密闭收集后经</w:t>
            </w:r>
            <w:r>
              <w:rPr>
                <w:rFonts w:hint="default" w:ascii="Times New Roman" w:hAnsi="Times New Roman" w:eastAsia="宋体" w:cs="Times New Roman"/>
                <w:color w:val="auto"/>
                <w:lang w:val="en-US" w:eastAsia="zh-CN"/>
              </w:rPr>
              <w:t>活性炭吸附</w:t>
            </w:r>
            <w:r>
              <w:rPr>
                <w:rFonts w:hint="default" w:ascii="Times New Roman" w:hAnsi="Times New Roman" w:eastAsia="宋体" w:cs="Times New Roman"/>
                <w:color w:val="auto"/>
              </w:rPr>
              <w:t>后</w:t>
            </w:r>
            <w:r>
              <w:rPr>
                <w:rFonts w:hint="default" w:ascii="Times New Roman" w:hAnsi="Times New Roman" w:eastAsia="宋体" w:cs="Times New Roman"/>
                <w:color w:val="auto"/>
                <w:lang w:val="en-US" w:eastAsia="zh-CN"/>
              </w:rPr>
              <w:t>由15m高</w:t>
            </w:r>
            <w:r>
              <w:rPr>
                <w:rFonts w:hint="default" w:ascii="Times New Roman" w:hAnsi="Times New Roman" w:eastAsia="宋体" w:cs="Times New Roman"/>
                <w:color w:val="auto"/>
              </w:rPr>
              <w:t>排气筒</w:t>
            </w:r>
            <w:r>
              <w:rPr>
                <w:rFonts w:hint="default" w:ascii="Times New Roman" w:hAnsi="Times New Roman" w:eastAsia="宋体" w:cs="Times New Roman"/>
                <w:color w:val="auto"/>
                <w:lang w:eastAsia="zh-CN"/>
              </w:rPr>
              <w:t>（</w:t>
            </w:r>
            <w:r>
              <w:rPr>
                <w:rFonts w:hint="default" w:ascii="Times New Roman" w:hAnsi="Times New Roman" w:eastAsia="宋体" w:cs="Times New Roman"/>
                <w:color w:val="auto"/>
                <w:lang w:val="en-US" w:eastAsia="zh-CN"/>
              </w:rPr>
              <w:t>DA001</w:t>
            </w:r>
            <w:r>
              <w:rPr>
                <w:rFonts w:hint="default" w:ascii="Times New Roman" w:hAnsi="Times New Roman" w:eastAsia="宋体" w:cs="Times New Roman"/>
                <w:color w:val="auto"/>
                <w:lang w:eastAsia="zh-CN"/>
              </w:rPr>
              <w:t>）</w:t>
            </w:r>
            <w:r>
              <w:rPr>
                <w:rFonts w:hint="default" w:ascii="Times New Roman" w:hAnsi="Times New Roman" w:eastAsia="宋体" w:cs="Times New Roman"/>
                <w:color w:val="auto"/>
              </w:rPr>
              <w:t>排放；</w:t>
            </w:r>
          </w:p>
          <w:p w14:paraId="3AA9869D">
            <w:pPr>
              <w:pStyle w:val="68"/>
              <w:ind w:firstLine="48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车间设置排烟系统，并</w:t>
            </w:r>
            <w:r>
              <w:rPr>
                <w:rFonts w:hint="eastAsia" w:cs="Times New Roman"/>
                <w:color w:val="auto"/>
                <w:lang w:val="en-US" w:eastAsia="zh-CN"/>
              </w:rPr>
              <w:t>设置</w:t>
            </w:r>
            <w:r>
              <w:rPr>
                <w:rFonts w:hint="default" w:ascii="Times New Roman" w:hAnsi="Times New Roman" w:eastAsia="宋体" w:cs="Times New Roman"/>
                <w:color w:val="auto"/>
                <w:lang w:val="en-US" w:eastAsia="zh-CN"/>
              </w:rPr>
              <w:t>集气罩收集，生产过</w:t>
            </w:r>
            <w:r>
              <w:rPr>
                <w:rFonts w:hint="eastAsia" w:cs="Times New Roman"/>
                <w:color w:val="auto"/>
                <w:lang w:val="en-US" w:eastAsia="zh-CN"/>
              </w:rPr>
              <w:t>程中</w:t>
            </w:r>
            <w:r>
              <w:rPr>
                <w:rFonts w:hint="default" w:ascii="Times New Roman" w:hAnsi="Times New Roman" w:eastAsia="宋体" w:cs="Times New Roman"/>
                <w:color w:val="auto"/>
                <w:lang w:val="en-US" w:eastAsia="zh-CN"/>
              </w:rPr>
              <w:t>产生的异味通过车间排烟系统收集后，通过静电式油烟净化器处理后（处理效率为90%），经</w:t>
            </w:r>
            <w:r>
              <w:rPr>
                <w:rFonts w:hint="eastAsia" w:cs="Times New Roman"/>
                <w:color w:val="auto"/>
                <w:lang w:val="en-US" w:eastAsia="zh-CN"/>
              </w:rPr>
              <w:t>屋顶排气筒</w:t>
            </w:r>
            <w:r>
              <w:rPr>
                <w:rFonts w:hint="default" w:ascii="Times New Roman" w:hAnsi="Times New Roman" w:eastAsia="宋体" w:cs="Times New Roman"/>
                <w:color w:val="auto"/>
                <w:lang w:val="en-US" w:eastAsia="zh-CN"/>
              </w:rPr>
              <w:t>排放；</w:t>
            </w:r>
          </w:p>
          <w:p w14:paraId="5B47F5E3">
            <w:pPr>
              <w:pStyle w:val="68"/>
              <w:ind w:firstLine="48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制冷系统废气</w:t>
            </w:r>
            <w:r>
              <w:rPr>
                <w:rFonts w:hint="eastAsia" w:ascii="Times New Roman" w:hAnsi="Times New Roman" w:eastAsia="宋体" w:cs="Times New Roman"/>
                <w:color w:val="auto"/>
                <w:lang w:eastAsia="zh-CN"/>
              </w:rPr>
              <w:t>：</w:t>
            </w:r>
            <w:r>
              <w:rPr>
                <w:rFonts w:hint="default" w:ascii="Times New Roman" w:hAnsi="Times New Roman" w:eastAsia="宋体" w:cs="Times New Roman"/>
                <w:color w:val="auto"/>
              </w:rPr>
              <w:t>定期对制冷系统密封检查和检测，及时更换老化阀门和管道。</w:t>
            </w:r>
          </w:p>
          <w:p w14:paraId="4666940E">
            <w:pPr>
              <w:pStyle w:val="68"/>
              <w:ind w:firstLine="482"/>
              <w:rPr>
                <w:rFonts w:cs="Times New Roman"/>
                <w:b/>
                <w:color w:val="auto"/>
              </w:rPr>
            </w:pPr>
            <w:r>
              <w:rPr>
                <w:rFonts w:cs="Times New Roman"/>
                <w:b/>
                <w:color w:val="auto"/>
              </w:rPr>
              <w:t>3.3</w:t>
            </w:r>
            <w:r>
              <w:rPr>
                <w:rFonts w:hint="eastAsia" w:cs="Times New Roman"/>
                <w:b/>
                <w:color w:val="auto"/>
                <w:lang w:eastAsia="zh-CN"/>
              </w:rPr>
              <w:t>、</w:t>
            </w:r>
            <w:r>
              <w:rPr>
                <w:rFonts w:cs="Times New Roman"/>
                <w:b/>
                <w:color w:val="auto"/>
              </w:rPr>
              <w:t>噪声</w:t>
            </w:r>
          </w:p>
          <w:p w14:paraId="32341E23">
            <w:pPr>
              <w:pStyle w:val="68"/>
              <w:ind w:firstLine="480"/>
              <w:rPr>
                <w:rFonts w:cs="Times New Roman"/>
                <w:color w:val="auto"/>
              </w:rPr>
            </w:pPr>
            <w:r>
              <w:rPr>
                <w:rFonts w:hint="eastAsia" w:cs="Times New Roman"/>
                <w:color w:val="auto"/>
              </w:rPr>
              <w:t>项目运营期间产生的</w:t>
            </w:r>
            <w:r>
              <w:rPr>
                <w:rFonts w:hint="eastAsia" w:cs="Times New Roman"/>
                <w:color w:val="auto"/>
                <w:lang w:eastAsia="zh-CN"/>
              </w:rPr>
              <w:t>噪声</w:t>
            </w:r>
            <w:r>
              <w:rPr>
                <w:rFonts w:hint="eastAsia" w:cs="Times New Roman"/>
                <w:color w:val="auto"/>
              </w:rPr>
              <w:t>主要为各生产设备运营所产生的机械噪声</w:t>
            </w:r>
            <w:r>
              <w:rPr>
                <w:rFonts w:cs="Times New Roman"/>
                <w:color w:val="auto"/>
              </w:rPr>
              <w:t>。本项目</w:t>
            </w:r>
            <w:r>
              <w:rPr>
                <w:rFonts w:hint="eastAsia" w:cs="Times New Roman"/>
                <w:color w:val="auto"/>
                <w:lang w:eastAsia="zh-CN"/>
              </w:rPr>
              <w:t>噪声</w:t>
            </w:r>
            <w:r>
              <w:rPr>
                <w:rFonts w:cs="Times New Roman"/>
                <w:color w:val="auto"/>
              </w:rPr>
              <w:t>采取</w:t>
            </w:r>
            <w:r>
              <w:rPr>
                <w:rFonts w:hint="eastAsia" w:cs="Times New Roman"/>
                <w:color w:val="auto"/>
              </w:rPr>
              <w:t>厂房隔声、构筑物隔声和基础减振</w:t>
            </w:r>
            <w:r>
              <w:rPr>
                <w:rFonts w:cs="Times New Roman"/>
                <w:color w:val="auto"/>
              </w:rPr>
              <w:t>，以减小项目运营产生的噪声影响。</w:t>
            </w:r>
          </w:p>
          <w:p w14:paraId="594D8A56">
            <w:pPr>
              <w:pStyle w:val="68"/>
              <w:ind w:firstLine="482"/>
              <w:jc w:val="left"/>
              <w:rPr>
                <w:rFonts w:cs="Times New Roman"/>
                <w:b/>
                <w:color w:val="auto"/>
              </w:rPr>
            </w:pPr>
            <w:r>
              <w:rPr>
                <w:rFonts w:cs="Times New Roman"/>
                <w:b/>
                <w:color w:val="auto"/>
              </w:rPr>
              <w:t>3.4</w:t>
            </w:r>
            <w:r>
              <w:rPr>
                <w:rFonts w:hint="eastAsia" w:cs="Times New Roman"/>
                <w:b/>
                <w:color w:val="auto"/>
                <w:lang w:eastAsia="zh-CN"/>
              </w:rPr>
              <w:t>、</w:t>
            </w:r>
            <w:r>
              <w:rPr>
                <w:rFonts w:cs="Times New Roman"/>
                <w:b/>
                <w:color w:val="auto"/>
              </w:rPr>
              <w:t>固体废物</w:t>
            </w:r>
          </w:p>
          <w:p w14:paraId="7E1690D0">
            <w:pPr>
              <w:pStyle w:val="68"/>
              <w:ind w:firstLine="480"/>
              <w:rPr>
                <w:rFonts w:hint="default" w:eastAsia="宋体" w:cs="Times New Roman"/>
                <w:color w:val="auto"/>
                <w:lang w:val="en-US" w:eastAsia="zh-CN"/>
              </w:rPr>
            </w:pPr>
            <w:r>
              <w:rPr>
                <w:rFonts w:hint="eastAsia" w:cs="Times New Roman"/>
                <w:b/>
                <w:bCs/>
                <w:color w:val="auto"/>
                <w:lang w:val="en-US" w:eastAsia="zh-CN"/>
              </w:rPr>
              <w:t>一、一般固体废物</w:t>
            </w:r>
          </w:p>
          <w:p w14:paraId="196E83D4">
            <w:pPr>
              <w:pStyle w:val="68"/>
              <w:ind w:firstLine="480"/>
              <w:rPr>
                <w:rFonts w:cs="Times New Roman"/>
                <w:color w:val="auto"/>
              </w:rPr>
            </w:pPr>
            <w:r>
              <w:rPr>
                <w:rFonts w:hint="eastAsia" w:cs="Times New Roman"/>
                <w:color w:val="auto"/>
              </w:rPr>
              <w:t>（1）生活垃圾</w:t>
            </w:r>
          </w:p>
          <w:p w14:paraId="19C1CA86">
            <w:pPr>
              <w:pStyle w:val="68"/>
              <w:ind w:firstLine="480"/>
              <w:rPr>
                <w:color w:val="auto"/>
              </w:rPr>
            </w:pPr>
            <w:r>
              <w:rPr>
                <w:color w:val="auto"/>
              </w:rPr>
              <w:t>生活垃圾产生量为</w:t>
            </w:r>
            <w:r>
              <w:rPr>
                <w:rFonts w:hint="eastAsia"/>
                <w:color w:val="auto"/>
                <w:lang w:val="en-US" w:eastAsia="zh-CN"/>
              </w:rPr>
              <w:t>0.01t/d（2</w:t>
            </w:r>
            <w:r>
              <w:rPr>
                <w:rFonts w:hint="eastAsia"/>
                <w:color w:val="auto"/>
              </w:rPr>
              <w:t>.6</w:t>
            </w:r>
            <w:r>
              <w:rPr>
                <w:color w:val="auto"/>
              </w:rPr>
              <w:t>t/a</w:t>
            </w:r>
            <w:r>
              <w:rPr>
                <w:rFonts w:hint="eastAsia"/>
                <w:color w:val="auto"/>
                <w:lang w:val="en-US" w:eastAsia="zh-CN"/>
              </w:rPr>
              <w:t>），对照《固体废物分类与代码目录》2024.1.22，不属于危险废物，废物代码为900-002-S64，</w:t>
            </w:r>
            <w:r>
              <w:rPr>
                <w:color w:val="auto"/>
              </w:rPr>
              <w:t>项目设有垃圾收集箱，生活垃圾统一收集后由环卫部门清运。</w:t>
            </w:r>
          </w:p>
          <w:p w14:paraId="464B1129">
            <w:pPr>
              <w:pStyle w:val="68"/>
              <w:ind w:firstLine="480"/>
              <w:rPr>
                <w:rFonts w:hint="eastAsia" w:eastAsia="宋体"/>
                <w:color w:val="auto"/>
                <w:lang w:eastAsia="zh-CN"/>
              </w:rPr>
            </w:pPr>
            <w:r>
              <w:rPr>
                <w:rFonts w:hint="eastAsia"/>
                <w:color w:val="auto"/>
              </w:rPr>
              <w:t>（2）</w:t>
            </w:r>
            <w:r>
              <w:rPr>
                <w:rFonts w:hint="eastAsia" w:cs="Times New Roman"/>
                <w:color w:val="auto"/>
                <w:lang w:val="en-US" w:eastAsia="zh-CN"/>
              </w:rPr>
              <w:t>废包装材料</w:t>
            </w:r>
          </w:p>
          <w:p w14:paraId="1C51E0B1">
            <w:pPr>
              <w:pStyle w:val="2"/>
              <w:spacing w:after="0"/>
              <w:ind w:left="0" w:leftChars="0" w:firstLine="480"/>
              <w:rPr>
                <w:bCs/>
                <w:color w:val="auto"/>
                <w:szCs w:val="24"/>
              </w:rPr>
            </w:pPr>
            <w:r>
              <w:rPr>
                <w:rFonts w:hint="eastAsia"/>
                <w:bCs/>
                <w:color w:val="auto"/>
                <w:szCs w:val="24"/>
                <w:lang w:val="en-US" w:eastAsia="zh-CN"/>
              </w:rPr>
              <w:t>本项目在原料使用和包装过程中会产生废包装材料，根据建设单位提供的数据，废包装材料的产生量约为0.2t/a，对照《固体废物分类与代码目录》2024.1.22，不属于危险废物，废物代码为900-099-S17，统一收集后由环卫部门清运。</w:t>
            </w:r>
          </w:p>
          <w:p w14:paraId="129D7AB1">
            <w:pPr>
              <w:pStyle w:val="2"/>
              <w:spacing w:after="0"/>
              <w:ind w:left="0" w:leftChars="0" w:firstLine="480"/>
              <w:rPr>
                <w:rFonts w:hint="eastAsia" w:eastAsia="宋体"/>
                <w:color w:val="auto"/>
                <w:lang w:eastAsia="zh-CN"/>
              </w:rPr>
            </w:pPr>
            <w:r>
              <w:rPr>
                <w:rFonts w:hint="eastAsia"/>
                <w:color w:val="auto"/>
              </w:rPr>
              <w:t>（3）</w:t>
            </w:r>
            <w:r>
              <w:rPr>
                <w:rFonts w:hint="eastAsia"/>
                <w:color w:val="auto"/>
                <w:lang w:val="en-US" w:eastAsia="zh-CN"/>
              </w:rPr>
              <w:t>污泥</w:t>
            </w:r>
          </w:p>
          <w:p w14:paraId="6E8F8FA7">
            <w:pPr>
              <w:spacing w:line="360" w:lineRule="auto"/>
              <w:ind w:firstLine="480" w:firstLineChars="200"/>
              <w:jc w:val="both"/>
              <w:rPr>
                <w:color w:val="auto"/>
                <w:sz w:val="24"/>
                <w:szCs w:val="22"/>
              </w:rPr>
            </w:pPr>
            <w:r>
              <w:rPr>
                <w:color w:val="auto"/>
                <w:sz w:val="24"/>
                <w:szCs w:val="22"/>
              </w:rPr>
              <w:t>本项目</w:t>
            </w:r>
            <w:r>
              <w:rPr>
                <w:rFonts w:hint="eastAsia"/>
                <w:color w:val="auto"/>
                <w:sz w:val="24"/>
                <w:szCs w:val="22"/>
                <w:lang w:val="en-US" w:eastAsia="zh-CN"/>
              </w:rPr>
              <w:t>污水处理站</w:t>
            </w:r>
            <w:r>
              <w:rPr>
                <w:color w:val="auto"/>
                <w:sz w:val="24"/>
                <w:szCs w:val="22"/>
              </w:rPr>
              <w:t>污泥</w:t>
            </w:r>
            <w:r>
              <w:rPr>
                <w:rFonts w:hint="eastAsia"/>
                <w:color w:val="auto"/>
                <w:sz w:val="24"/>
                <w:szCs w:val="22"/>
                <w:lang w:eastAsia="zh-CN"/>
              </w:rPr>
              <w:t>（</w:t>
            </w:r>
            <w:r>
              <w:rPr>
                <w:rFonts w:hint="eastAsia"/>
                <w:color w:val="auto"/>
                <w:sz w:val="24"/>
                <w:szCs w:val="22"/>
                <w:lang w:val="en-US" w:eastAsia="zh-CN"/>
              </w:rPr>
              <w:t>废物代码为135-001-S07</w:t>
            </w:r>
            <w:r>
              <w:rPr>
                <w:rFonts w:hint="eastAsia"/>
                <w:color w:val="auto"/>
                <w:sz w:val="24"/>
                <w:szCs w:val="22"/>
                <w:lang w:eastAsia="zh-CN"/>
              </w:rPr>
              <w:t>）</w:t>
            </w:r>
            <w:r>
              <w:rPr>
                <w:color w:val="auto"/>
                <w:sz w:val="24"/>
                <w:szCs w:val="22"/>
              </w:rPr>
              <w:t>产生量为</w:t>
            </w:r>
            <w:r>
              <w:rPr>
                <w:rFonts w:hint="eastAsia"/>
                <w:color w:val="auto"/>
                <w:sz w:val="24"/>
                <w:szCs w:val="22"/>
                <w:lang w:val="en-US" w:eastAsia="zh-CN"/>
              </w:rPr>
              <w:t>3.27</w:t>
            </w:r>
            <w:r>
              <w:rPr>
                <w:color w:val="auto"/>
                <w:sz w:val="24"/>
                <w:szCs w:val="22"/>
              </w:rPr>
              <w:t>t/a。本项目污水处理站产生的污泥不含危险成分，属于一般固废，</w:t>
            </w:r>
            <w:r>
              <w:rPr>
                <w:rFonts w:hint="eastAsia"/>
                <w:color w:val="auto"/>
                <w:sz w:val="24"/>
                <w:szCs w:val="22"/>
              </w:rPr>
              <w:t>污水处理站污泥经压滤机压滤收集后</w:t>
            </w:r>
            <w:r>
              <w:rPr>
                <w:rFonts w:hint="eastAsia"/>
                <w:color w:val="auto"/>
                <w:sz w:val="24"/>
                <w:szCs w:val="22"/>
                <w:lang w:eastAsia="zh-CN"/>
              </w:rPr>
              <w:t>送至有机肥生产企业堆肥场堆肥或镶黄旗生活垃圾焚烧场进行合理化处理</w:t>
            </w:r>
            <w:r>
              <w:rPr>
                <w:color w:val="auto"/>
                <w:sz w:val="24"/>
                <w:szCs w:val="22"/>
              </w:rPr>
              <w:t>。</w:t>
            </w:r>
          </w:p>
          <w:p w14:paraId="45333023">
            <w:pPr>
              <w:pStyle w:val="11"/>
              <w:ind w:firstLine="480" w:firstLineChars="200"/>
              <w:jc w:val="left"/>
              <w:rPr>
                <w:rFonts w:hint="eastAsia" w:eastAsia="宋体"/>
                <w:color w:val="auto"/>
                <w:kern w:val="2"/>
                <w:sz w:val="24"/>
                <w:szCs w:val="24"/>
                <w:lang w:eastAsia="zh-CN"/>
              </w:rPr>
            </w:pPr>
            <w:r>
              <w:rPr>
                <w:color w:val="auto"/>
                <w:kern w:val="2"/>
                <w:sz w:val="24"/>
                <w:szCs w:val="24"/>
              </w:rPr>
              <w:t>（</w:t>
            </w:r>
            <w:r>
              <w:rPr>
                <w:rFonts w:hint="eastAsia"/>
                <w:color w:val="auto"/>
                <w:kern w:val="2"/>
                <w:sz w:val="24"/>
                <w:szCs w:val="24"/>
                <w:lang w:val="en-US" w:eastAsia="zh-CN"/>
              </w:rPr>
              <w:t>4</w:t>
            </w:r>
            <w:r>
              <w:rPr>
                <w:color w:val="auto"/>
                <w:kern w:val="2"/>
                <w:sz w:val="24"/>
                <w:szCs w:val="24"/>
              </w:rPr>
              <w:t>）</w:t>
            </w:r>
            <w:r>
              <w:rPr>
                <w:rFonts w:hint="eastAsia"/>
                <w:color w:val="auto"/>
                <w:kern w:val="2"/>
                <w:sz w:val="24"/>
                <w:szCs w:val="24"/>
                <w:lang w:val="en-US" w:eastAsia="zh-CN"/>
              </w:rPr>
              <w:t>肉渣</w:t>
            </w:r>
          </w:p>
          <w:p w14:paraId="6A67A7AA">
            <w:pPr>
              <w:pStyle w:val="11"/>
              <w:spacing w:before="0" w:after="0" w:line="360" w:lineRule="auto"/>
              <w:ind w:right="0" w:firstLine="480" w:firstLineChars="200"/>
              <w:rPr>
                <w:bCs/>
                <w:color w:val="auto"/>
                <w:sz w:val="24"/>
                <w:szCs w:val="40"/>
              </w:rPr>
            </w:pPr>
            <w:r>
              <w:rPr>
                <w:rFonts w:hint="eastAsia"/>
                <w:bCs/>
                <w:color w:val="auto"/>
                <w:sz w:val="24"/>
                <w:szCs w:val="40"/>
                <w:lang w:val="en-US" w:eastAsia="zh-CN"/>
              </w:rPr>
              <w:t>本项目在煮制过程中会产生肉渣，产生量为0.1t/a，对照《固体废物分类与代码目录》2024.1.22，不属于危险废物，废物代码为135-002-S13，集中收集后送至有机肥生产企业堆肥场堆肥或镶黄旗生活垃圾焚烧场进行合理化处理。</w:t>
            </w:r>
          </w:p>
          <w:p w14:paraId="47EF6353">
            <w:pPr>
              <w:pStyle w:val="68"/>
              <w:ind w:firstLine="480"/>
              <w:rPr>
                <w:rFonts w:hint="default" w:eastAsia="宋体"/>
                <w:bCs/>
                <w:color w:val="auto"/>
                <w:lang w:val="en-US" w:eastAsia="zh-CN"/>
              </w:rPr>
            </w:pPr>
            <w:r>
              <w:rPr>
                <w:rFonts w:hint="eastAsia"/>
                <w:bCs/>
                <w:color w:val="auto"/>
                <w:lang w:eastAsia="zh-CN"/>
              </w:rPr>
              <w:t>（</w:t>
            </w:r>
            <w:r>
              <w:rPr>
                <w:rFonts w:hint="eastAsia"/>
                <w:bCs/>
                <w:color w:val="auto"/>
                <w:lang w:val="en-US" w:eastAsia="zh-CN"/>
              </w:rPr>
              <w:t>5</w:t>
            </w:r>
            <w:r>
              <w:rPr>
                <w:rFonts w:hint="eastAsia"/>
                <w:bCs/>
                <w:color w:val="auto"/>
                <w:lang w:eastAsia="zh-CN"/>
              </w:rPr>
              <w:t>）</w:t>
            </w:r>
            <w:r>
              <w:rPr>
                <w:rFonts w:hint="eastAsia"/>
                <w:bCs/>
                <w:color w:val="auto"/>
                <w:lang w:val="en-US" w:eastAsia="zh-CN"/>
              </w:rPr>
              <w:t>不合格原料</w:t>
            </w:r>
          </w:p>
          <w:p w14:paraId="0FDC95B9">
            <w:pPr>
              <w:pStyle w:val="68"/>
              <w:ind w:firstLine="480"/>
              <w:rPr>
                <w:rFonts w:hint="eastAsia"/>
                <w:bCs/>
                <w:color w:val="auto"/>
              </w:rPr>
            </w:pPr>
            <w:r>
              <w:rPr>
                <w:rFonts w:hint="eastAsia"/>
                <w:bCs/>
                <w:color w:val="auto"/>
                <w:lang w:val="en-US" w:eastAsia="zh-CN"/>
              </w:rPr>
              <w:t>项目在解冻清洗修整过程中会产生不合格原料，根据建设单位提供的数据，不合格原料产生量为0.1t/a，对照《固体废物分类与代码目录》2024.1.22，不属于危险废物，废物代码为135-002-S13，收集后委托专门收集厨余垃圾部门清运。</w:t>
            </w:r>
          </w:p>
          <w:p w14:paraId="7F274844">
            <w:pPr>
              <w:pStyle w:val="68"/>
              <w:ind w:firstLine="480"/>
              <w:rPr>
                <w:rFonts w:hint="default" w:eastAsia="宋体"/>
                <w:bCs/>
                <w:color w:val="auto"/>
                <w:lang w:val="en-US" w:eastAsia="zh-CN"/>
              </w:rPr>
            </w:pPr>
            <w:r>
              <w:rPr>
                <w:rFonts w:hint="eastAsia"/>
                <w:bCs/>
                <w:color w:val="auto"/>
                <w:lang w:eastAsia="zh-CN"/>
              </w:rPr>
              <w:t>（</w:t>
            </w:r>
            <w:r>
              <w:rPr>
                <w:rFonts w:hint="eastAsia"/>
                <w:bCs/>
                <w:color w:val="auto"/>
                <w:lang w:val="en-US" w:eastAsia="zh-CN"/>
              </w:rPr>
              <w:t>6</w:t>
            </w:r>
            <w:r>
              <w:rPr>
                <w:rFonts w:hint="eastAsia"/>
                <w:bCs/>
                <w:color w:val="auto"/>
                <w:lang w:eastAsia="zh-CN"/>
              </w:rPr>
              <w:t>）</w:t>
            </w:r>
            <w:r>
              <w:rPr>
                <w:rFonts w:hint="eastAsia"/>
                <w:bCs/>
                <w:color w:val="auto"/>
                <w:lang w:val="en-US" w:eastAsia="zh-CN"/>
              </w:rPr>
              <w:t>废油脂</w:t>
            </w:r>
          </w:p>
          <w:p w14:paraId="2C917A3B">
            <w:pPr>
              <w:pStyle w:val="68"/>
              <w:ind w:firstLine="480"/>
              <w:rPr>
                <w:rFonts w:hint="eastAsia"/>
                <w:bCs/>
                <w:color w:val="auto"/>
              </w:rPr>
            </w:pPr>
            <w:r>
              <w:rPr>
                <w:rFonts w:hint="eastAsia"/>
                <w:bCs/>
                <w:color w:val="auto"/>
                <w:lang w:val="en-US" w:eastAsia="zh-CN"/>
              </w:rPr>
              <w:t>项目污水处理过程中会产生一定量的废油脂，根据建设单位提供的数据，废油脂的产生量约为0.1t/a，</w:t>
            </w:r>
            <w:r>
              <w:rPr>
                <w:rFonts w:hint="eastAsia"/>
                <w:bCs/>
                <w:color w:val="auto"/>
                <w:sz w:val="24"/>
                <w:szCs w:val="40"/>
                <w:lang w:val="en-US" w:eastAsia="zh-CN"/>
              </w:rPr>
              <w:t>对照《固体废物分类与代码目录》2024.1.22，不属于危险废物，废物代码为900-002-S61，</w:t>
            </w:r>
            <w:r>
              <w:rPr>
                <w:rFonts w:hint="eastAsia"/>
                <w:bCs/>
                <w:color w:val="auto"/>
                <w:lang w:val="en-US" w:eastAsia="zh-CN"/>
              </w:rPr>
              <w:t>收集后委托专门收集厨余垃圾部门清运。</w:t>
            </w:r>
          </w:p>
          <w:p w14:paraId="7AFCED90">
            <w:pPr>
              <w:pStyle w:val="68"/>
              <w:ind w:firstLine="480"/>
              <w:rPr>
                <w:rFonts w:hint="default" w:eastAsia="宋体"/>
                <w:bCs/>
                <w:color w:val="auto"/>
                <w:lang w:val="en-US" w:eastAsia="zh-CN"/>
              </w:rPr>
            </w:pPr>
            <w:r>
              <w:rPr>
                <w:rFonts w:hint="eastAsia"/>
                <w:bCs/>
                <w:color w:val="auto"/>
                <w:lang w:eastAsia="zh-CN"/>
              </w:rPr>
              <w:t>（</w:t>
            </w:r>
            <w:r>
              <w:rPr>
                <w:rFonts w:hint="eastAsia"/>
                <w:bCs/>
                <w:color w:val="auto"/>
                <w:lang w:val="en-US" w:eastAsia="zh-CN"/>
              </w:rPr>
              <w:t>7</w:t>
            </w:r>
            <w:r>
              <w:rPr>
                <w:rFonts w:hint="eastAsia"/>
                <w:bCs/>
                <w:color w:val="auto"/>
                <w:lang w:eastAsia="zh-CN"/>
              </w:rPr>
              <w:t>）</w:t>
            </w:r>
            <w:r>
              <w:rPr>
                <w:rFonts w:hint="eastAsia"/>
                <w:bCs/>
                <w:color w:val="auto"/>
                <w:lang w:val="en-US" w:eastAsia="zh-CN"/>
              </w:rPr>
              <w:t>格栅垃圾</w:t>
            </w:r>
          </w:p>
          <w:p w14:paraId="5586C765">
            <w:pPr>
              <w:pStyle w:val="68"/>
              <w:ind w:firstLine="480"/>
              <w:rPr>
                <w:rFonts w:hint="eastAsia"/>
                <w:bCs/>
                <w:color w:val="auto"/>
              </w:rPr>
            </w:pPr>
            <w:r>
              <w:rPr>
                <w:rFonts w:hint="eastAsia"/>
                <w:bCs/>
                <w:color w:val="auto"/>
                <w:sz w:val="24"/>
                <w:szCs w:val="40"/>
                <w:lang w:val="en-US" w:eastAsia="zh-CN"/>
              </w:rPr>
              <w:t>污水处理站格栅拦截的栅渣，栅渣</w:t>
            </w:r>
            <w:r>
              <w:rPr>
                <w:rFonts w:hint="eastAsia"/>
                <w:bCs/>
                <w:color w:val="auto"/>
                <w:lang w:val="en-US" w:eastAsia="zh-CN"/>
              </w:rPr>
              <w:t>的产生量约为0.1t/a，对照《固体废物分类与代码目录》2024.1.22，不属于危险废物，废物代码为140-001-S07，</w:t>
            </w:r>
            <w:r>
              <w:rPr>
                <w:rFonts w:hint="eastAsia"/>
                <w:color w:val="auto"/>
                <w:sz w:val="24"/>
                <w:szCs w:val="22"/>
                <w:lang w:eastAsia="zh-CN"/>
              </w:rPr>
              <w:t>送至有机肥生产企业堆肥场堆肥或镶黄旗生活垃圾焚烧场进行合理化处理。</w:t>
            </w:r>
          </w:p>
          <w:p w14:paraId="510580EB">
            <w:pPr>
              <w:pStyle w:val="68"/>
              <w:ind w:firstLine="480"/>
              <w:rPr>
                <w:rFonts w:hint="default" w:eastAsia="宋体"/>
                <w:bCs/>
                <w:color w:val="auto"/>
                <w:lang w:val="en-US" w:eastAsia="zh-CN"/>
              </w:rPr>
            </w:pPr>
            <w:r>
              <w:rPr>
                <w:rFonts w:hint="eastAsia"/>
                <w:bCs/>
                <w:color w:val="auto"/>
                <w:lang w:eastAsia="zh-CN"/>
              </w:rPr>
              <w:t>（</w:t>
            </w:r>
            <w:r>
              <w:rPr>
                <w:rFonts w:hint="eastAsia"/>
                <w:bCs/>
                <w:color w:val="auto"/>
                <w:lang w:val="en-US" w:eastAsia="zh-CN"/>
              </w:rPr>
              <w:t>8</w:t>
            </w:r>
            <w:r>
              <w:rPr>
                <w:rFonts w:hint="eastAsia"/>
                <w:bCs/>
                <w:color w:val="auto"/>
                <w:lang w:eastAsia="zh-CN"/>
              </w:rPr>
              <w:t>）</w:t>
            </w:r>
            <w:r>
              <w:rPr>
                <w:rFonts w:hint="eastAsia"/>
                <w:bCs/>
                <w:color w:val="auto"/>
                <w:lang w:val="en-US" w:eastAsia="zh-CN"/>
              </w:rPr>
              <w:t>废反渗透膜</w:t>
            </w:r>
          </w:p>
          <w:p w14:paraId="44ED1AAC">
            <w:pPr>
              <w:pStyle w:val="68"/>
              <w:ind w:firstLine="480"/>
              <w:rPr>
                <w:rFonts w:hint="default" w:eastAsia="宋体"/>
                <w:bCs/>
                <w:color w:val="auto"/>
                <w:lang w:val="en-US" w:eastAsia="zh-CN"/>
              </w:rPr>
            </w:pPr>
            <w:r>
              <w:rPr>
                <w:rFonts w:hint="eastAsia"/>
                <w:bCs/>
                <w:color w:val="auto"/>
                <w:lang w:val="en-US" w:eastAsia="zh-CN"/>
              </w:rPr>
              <w:t>纯水间采用反渗透技术制作纯水，产生的废反渗透膜更换周期一般为1～2年，项目产生的废反渗透膜直接由厂家进行更换，不在厂内储存。</w:t>
            </w:r>
            <w:r>
              <w:rPr>
                <w:rFonts w:hint="eastAsia"/>
                <w:bCs/>
                <w:color w:val="auto"/>
                <w:sz w:val="24"/>
                <w:szCs w:val="40"/>
                <w:lang w:val="en-US" w:eastAsia="zh-CN"/>
              </w:rPr>
              <w:t>对照《固体废物分类与代码目录》2024.1.22，不属于危险废物，废物代码为149-005-99。</w:t>
            </w:r>
          </w:p>
          <w:p w14:paraId="49CB1726">
            <w:pPr>
              <w:pStyle w:val="68"/>
              <w:ind w:firstLine="480"/>
              <w:rPr>
                <w:rFonts w:hint="default"/>
                <w:bCs/>
                <w:color w:val="auto"/>
                <w:lang w:val="en-US" w:eastAsia="zh-CN"/>
              </w:rPr>
            </w:pPr>
            <w:r>
              <w:rPr>
                <w:rFonts w:hint="eastAsia"/>
                <w:b/>
                <w:bCs w:val="0"/>
                <w:color w:val="auto"/>
                <w:lang w:val="en-US" w:eastAsia="zh-CN"/>
              </w:rPr>
              <w:t>二、危险废物</w:t>
            </w:r>
          </w:p>
          <w:p w14:paraId="623D1E47">
            <w:pPr>
              <w:pStyle w:val="68"/>
              <w:ind w:firstLine="480"/>
              <w:rPr>
                <w:rFonts w:hint="default" w:eastAsia="宋体"/>
                <w:bCs/>
                <w:color w:val="auto"/>
                <w:lang w:val="en-US" w:eastAsia="zh-CN"/>
              </w:rPr>
            </w:pPr>
            <w:r>
              <w:rPr>
                <w:rFonts w:hint="eastAsia"/>
                <w:bCs/>
                <w:color w:val="auto"/>
                <w:lang w:eastAsia="zh-CN"/>
              </w:rPr>
              <w:t>（</w:t>
            </w:r>
            <w:r>
              <w:rPr>
                <w:rFonts w:hint="eastAsia"/>
                <w:bCs/>
                <w:color w:val="auto"/>
                <w:lang w:val="en-US" w:eastAsia="zh-CN"/>
              </w:rPr>
              <w:t>1</w:t>
            </w:r>
            <w:r>
              <w:rPr>
                <w:rFonts w:hint="eastAsia"/>
                <w:bCs/>
                <w:color w:val="auto"/>
                <w:lang w:eastAsia="zh-CN"/>
              </w:rPr>
              <w:t>）</w:t>
            </w:r>
            <w:r>
              <w:rPr>
                <w:rFonts w:hint="eastAsia"/>
                <w:bCs/>
                <w:color w:val="auto"/>
                <w:lang w:val="en-US" w:eastAsia="zh-CN"/>
              </w:rPr>
              <w:t>废活性炭</w:t>
            </w:r>
          </w:p>
          <w:p w14:paraId="520DAE60">
            <w:pPr>
              <w:pStyle w:val="68"/>
              <w:ind w:firstLine="480"/>
              <w:rPr>
                <w:rFonts w:hint="default" w:eastAsia="宋体"/>
                <w:bCs/>
                <w:color w:val="auto"/>
                <w:lang w:val="en-US" w:eastAsia="zh-CN"/>
              </w:rPr>
            </w:pPr>
            <w:r>
              <w:rPr>
                <w:rFonts w:hint="eastAsia"/>
                <w:bCs/>
                <w:color w:val="auto"/>
                <w:lang w:val="en-US" w:eastAsia="zh-CN"/>
              </w:rPr>
              <w:t>污水处理站废气经收集后由活性炭吸附装置处理，产生的废活性炭属于危险废物，危废代码为HW049其他废物900-039-49，产生量为0.3t/a，由厂家定期进行更换，不在厂内储存。</w:t>
            </w:r>
          </w:p>
          <w:p w14:paraId="53C227C3">
            <w:pPr>
              <w:pStyle w:val="68"/>
              <w:ind w:firstLine="480"/>
              <w:rPr>
                <w:rFonts w:cs="Times New Roman"/>
                <w:color w:val="auto"/>
              </w:rPr>
            </w:pPr>
            <w:r>
              <w:rPr>
                <w:rFonts w:hint="eastAsia"/>
                <w:bCs/>
                <w:color w:val="auto"/>
              </w:rPr>
              <w:t>本项目固体</w:t>
            </w:r>
            <w:r>
              <w:rPr>
                <w:rFonts w:cs="Times New Roman"/>
                <w:color w:val="auto"/>
              </w:rPr>
              <w:t>废物均被合理处置，因此本项目排放的固体废物基本不会对周围环境产生影响。</w:t>
            </w:r>
          </w:p>
          <w:p w14:paraId="39B7C9CC">
            <w:pPr>
              <w:pStyle w:val="68"/>
              <w:ind w:firstLine="480"/>
              <w:rPr>
                <w:rFonts w:hint="eastAsia" w:cs="Times New Roman"/>
                <w:color w:val="auto"/>
                <w:lang w:val="en-US" w:eastAsia="zh-CN"/>
              </w:rPr>
            </w:pPr>
            <w:r>
              <w:rPr>
                <w:rFonts w:hint="eastAsia" w:cs="Times New Roman"/>
                <w:b/>
                <w:bCs/>
                <w:color w:val="auto"/>
                <w:lang w:val="en-US" w:eastAsia="zh-CN"/>
              </w:rPr>
              <w:t>产污节点汇总</w:t>
            </w:r>
          </w:p>
          <w:p w14:paraId="1AD6B47B">
            <w:pPr>
              <w:pStyle w:val="68"/>
              <w:ind w:firstLine="480"/>
              <w:rPr>
                <w:rFonts w:hint="eastAsia" w:cs="Times New Roman"/>
                <w:color w:val="auto"/>
                <w:lang w:val="en-US" w:eastAsia="zh-CN"/>
              </w:rPr>
            </w:pPr>
            <w:r>
              <w:rPr>
                <w:rFonts w:hint="default" w:ascii="Times New Roman" w:hAnsi="Times New Roman" w:cs="Times New Roman"/>
                <w:color w:val="auto"/>
                <w:lang w:val="en-US" w:eastAsia="zh-CN"/>
              </w:rPr>
              <w:t>本项目产污环节汇总详见表2-8。</w:t>
            </w:r>
          </w:p>
          <w:p w14:paraId="01F28E1C">
            <w:pPr>
              <w:pStyle w:val="68"/>
              <w:ind w:firstLine="480"/>
              <w:jc w:val="center"/>
              <w:rPr>
                <w:rFonts w:hint="eastAsia" w:cs="Times New Roman"/>
                <w:color w:val="auto"/>
                <w:lang w:val="en-US" w:eastAsia="zh-CN"/>
              </w:rPr>
            </w:pPr>
            <w:r>
              <w:rPr>
                <w:rFonts w:hint="eastAsia" w:cs="Times New Roman"/>
                <w:b/>
                <w:bCs/>
                <w:color w:val="auto"/>
                <w:sz w:val="21"/>
                <w:szCs w:val="21"/>
                <w:lang w:val="en-US" w:eastAsia="zh-CN"/>
              </w:rPr>
              <w:t>表2-8   项目产污环节及产污情况汇总表</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0"/>
              <w:gridCol w:w="1668"/>
              <w:gridCol w:w="1622"/>
              <w:gridCol w:w="1176"/>
              <w:gridCol w:w="406"/>
              <w:gridCol w:w="2166"/>
              <w:gridCol w:w="10"/>
            </w:tblGrid>
            <w:tr w14:paraId="0D0D3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14:paraId="5E1A7119">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项目</w:t>
                  </w:r>
                </w:p>
              </w:tc>
              <w:tc>
                <w:tcPr>
                  <w:tcW w:w="1064" w:type="pct"/>
                  <w:vAlign w:val="center"/>
                </w:tcPr>
                <w:p w14:paraId="3D63C685">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产</w:t>
                  </w:r>
                  <w:r>
                    <w:rPr>
                      <w:rFonts w:hint="eastAsia" w:ascii="Times New Roman" w:hAnsi="Times New Roman" w:cs="Times New Roman"/>
                      <w:b/>
                      <w:bCs/>
                      <w:color w:val="auto"/>
                      <w:sz w:val="21"/>
                      <w:szCs w:val="21"/>
                      <w:vertAlign w:val="baseline"/>
                      <w:lang w:val="en-US" w:eastAsia="zh-CN"/>
                    </w:rPr>
                    <w:t>污</w:t>
                  </w:r>
                  <w:r>
                    <w:rPr>
                      <w:rFonts w:hint="default" w:ascii="Times New Roman" w:hAnsi="Times New Roman" w:cs="Times New Roman"/>
                      <w:b/>
                      <w:bCs/>
                      <w:color w:val="auto"/>
                      <w:sz w:val="21"/>
                      <w:szCs w:val="21"/>
                      <w:vertAlign w:val="baseline"/>
                      <w:lang w:val="en-US" w:eastAsia="zh-CN"/>
                    </w:rPr>
                    <w:t>工序</w:t>
                  </w:r>
                </w:p>
              </w:tc>
              <w:tc>
                <w:tcPr>
                  <w:tcW w:w="1035" w:type="pct"/>
                  <w:vAlign w:val="center"/>
                </w:tcPr>
                <w:p w14:paraId="178EC73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主要污染物</w:t>
                  </w:r>
                </w:p>
              </w:tc>
              <w:tc>
                <w:tcPr>
                  <w:tcW w:w="750" w:type="pct"/>
                  <w:vAlign w:val="center"/>
                </w:tcPr>
                <w:p w14:paraId="19BDCB1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排放特征</w:t>
                  </w:r>
                </w:p>
              </w:tc>
              <w:tc>
                <w:tcPr>
                  <w:tcW w:w="1644" w:type="pct"/>
                  <w:gridSpan w:val="3"/>
                  <w:vAlign w:val="center"/>
                </w:tcPr>
                <w:p w14:paraId="6F41C41D">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治理措施及去向</w:t>
                  </w:r>
                </w:p>
              </w:tc>
            </w:tr>
            <w:tr w14:paraId="2B28F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Merge w:val="restart"/>
                  <w:vAlign w:val="center"/>
                </w:tcPr>
                <w:p w14:paraId="759DFC81">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bCs/>
                      <w:color w:val="auto"/>
                      <w:sz w:val="21"/>
                      <w:szCs w:val="21"/>
                      <w:vertAlign w:val="baseline"/>
                      <w:lang w:val="en-US" w:eastAsia="zh-CN"/>
                    </w:rPr>
                  </w:pPr>
                  <w:r>
                    <w:rPr>
                      <w:rFonts w:hint="eastAsia" w:ascii="Times New Roman" w:hAnsi="Times New Roman" w:cs="Times New Roman"/>
                      <w:b/>
                      <w:bCs/>
                      <w:color w:val="auto"/>
                      <w:sz w:val="21"/>
                      <w:szCs w:val="21"/>
                      <w:vertAlign w:val="baseline"/>
                      <w:lang w:val="en-US" w:eastAsia="zh-CN"/>
                    </w:rPr>
                    <w:t>废气</w:t>
                  </w:r>
                </w:p>
              </w:tc>
              <w:tc>
                <w:tcPr>
                  <w:tcW w:w="1064" w:type="pct"/>
                  <w:vAlign w:val="center"/>
                </w:tcPr>
                <w:p w14:paraId="290E719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烘烤废气</w:t>
                  </w:r>
                </w:p>
              </w:tc>
              <w:tc>
                <w:tcPr>
                  <w:tcW w:w="1035" w:type="pct"/>
                  <w:vAlign w:val="center"/>
                </w:tcPr>
                <w:p w14:paraId="5B0F5BCF">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油烟</w:t>
                  </w:r>
                </w:p>
              </w:tc>
              <w:tc>
                <w:tcPr>
                  <w:tcW w:w="750" w:type="pct"/>
                  <w:vAlign w:val="center"/>
                </w:tcPr>
                <w:p w14:paraId="421B3035">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持续</w:t>
                  </w:r>
                </w:p>
              </w:tc>
              <w:tc>
                <w:tcPr>
                  <w:tcW w:w="1644" w:type="pct"/>
                  <w:gridSpan w:val="3"/>
                  <w:vMerge w:val="restart"/>
                  <w:vAlign w:val="center"/>
                </w:tcPr>
                <w:p w14:paraId="12EAC0F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left"/>
                    <w:textAlignment w:val="auto"/>
                    <w:rPr>
                      <w:rFonts w:hint="default" w:ascii="Times New Roman" w:hAnsi="Times New Roman" w:cs="Times New Roman"/>
                      <w:b w:val="0"/>
                      <w:bCs w:val="0"/>
                      <w:color w:val="auto"/>
                      <w:sz w:val="21"/>
                      <w:szCs w:val="21"/>
                      <w:vertAlign w:val="baseline"/>
                    </w:rPr>
                  </w:pPr>
                  <w:r>
                    <w:rPr>
                      <w:rFonts w:hint="default" w:ascii="Times New Roman" w:hAnsi="Times New Roman" w:cs="Times New Roman"/>
                      <w:b w:val="0"/>
                      <w:bCs w:val="0"/>
                      <w:color w:val="auto"/>
                      <w:sz w:val="21"/>
                      <w:szCs w:val="21"/>
                      <w:vertAlign w:val="baseline"/>
                    </w:rPr>
                    <w:t>静电式油烟净化器+</w:t>
                  </w:r>
                  <w:r>
                    <w:rPr>
                      <w:rFonts w:hint="eastAsia" w:ascii="Times New Roman" w:hAnsi="Times New Roman" w:cs="Times New Roman"/>
                      <w:b w:val="0"/>
                      <w:bCs w:val="0"/>
                      <w:color w:val="auto"/>
                      <w:sz w:val="21"/>
                      <w:szCs w:val="21"/>
                      <w:vertAlign w:val="baseline"/>
                      <w:lang w:val="en-US" w:eastAsia="zh-CN"/>
                    </w:rPr>
                    <w:t>屋顶排放</w:t>
                  </w:r>
                  <w:r>
                    <w:rPr>
                      <w:rFonts w:hint="default" w:ascii="Times New Roman" w:hAnsi="Times New Roman" w:cs="Times New Roman"/>
                      <w:b w:val="0"/>
                      <w:bCs w:val="0"/>
                      <w:color w:val="auto"/>
                      <w:sz w:val="21"/>
                      <w:szCs w:val="21"/>
                      <w:vertAlign w:val="baseline"/>
                    </w:rPr>
                    <w:t>（DA00</w:t>
                  </w:r>
                  <w:r>
                    <w:rPr>
                      <w:rFonts w:hint="eastAsia" w:ascii="Times New Roman" w:hAnsi="Times New Roman" w:cs="Times New Roman"/>
                      <w:b w:val="0"/>
                      <w:bCs w:val="0"/>
                      <w:color w:val="auto"/>
                      <w:sz w:val="21"/>
                      <w:szCs w:val="21"/>
                      <w:vertAlign w:val="baseline"/>
                      <w:lang w:val="en-US" w:eastAsia="zh-CN"/>
                    </w:rPr>
                    <w:t>2</w:t>
                  </w:r>
                  <w:r>
                    <w:rPr>
                      <w:rFonts w:hint="default" w:ascii="Times New Roman" w:hAnsi="Times New Roman" w:cs="Times New Roman"/>
                      <w:b w:val="0"/>
                      <w:bCs w:val="0"/>
                      <w:color w:val="auto"/>
                      <w:sz w:val="21"/>
                      <w:szCs w:val="21"/>
                      <w:vertAlign w:val="baseline"/>
                    </w:rPr>
                    <w:t>）</w:t>
                  </w:r>
                </w:p>
              </w:tc>
            </w:tr>
            <w:tr w14:paraId="39068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Merge w:val="continue"/>
                  <w:vAlign w:val="center"/>
                </w:tcPr>
                <w:p w14:paraId="353DFC11">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1064" w:type="pct"/>
                  <w:vAlign w:val="center"/>
                </w:tcPr>
                <w:p w14:paraId="55B2F189">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腌制及蒸煮废气</w:t>
                  </w:r>
                </w:p>
              </w:tc>
              <w:tc>
                <w:tcPr>
                  <w:tcW w:w="1035" w:type="pct"/>
                  <w:vAlign w:val="center"/>
                </w:tcPr>
                <w:p w14:paraId="78AC060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异味（臭气浓度）</w:t>
                  </w:r>
                </w:p>
              </w:tc>
              <w:tc>
                <w:tcPr>
                  <w:tcW w:w="750" w:type="pct"/>
                  <w:vAlign w:val="center"/>
                </w:tcPr>
                <w:p w14:paraId="01C4280C">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val="0"/>
                      <w:color w:val="auto"/>
                      <w:sz w:val="21"/>
                      <w:szCs w:val="21"/>
                      <w:vertAlign w:val="baseline"/>
                    </w:rPr>
                  </w:pPr>
                  <w:r>
                    <w:rPr>
                      <w:rFonts w:hint="eastAsia" w:ascii="Times New Roman" w:hAnsi="Times New Roman" w:cs="Times New Roman"/>
                      <w:b w:val="0"/>
                      <w:bCs w:val="0"/>
                      <w:color w:val="auto"/>
                      <w:sz w:val="21"/>
                      <w:szCs w:val="21"/>
                      <w:vertAlign w:val="baseline"/>
                      <w:lang w:val="en-US" w:eastAsia="zh-CN"/>
                    </w:rPr>
                    <w:t>持续</w:t>
                  </w:r>
                </w:p>
              </w:tc>
              <w:tc>
                <w:tcPr>
                  <w:tcW w:w="1644" w:type="pct"/>
                  <w:gridSpan w:val="3"/>
                  <w:vMerge w:val="continue"/>
                  <w:vAlign w:val="center"/>
                </w:tcPr>
                <w:p w14:paraId="384A280D">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val="0"/>
                      <w:color w:val="auto"/>
                      <w:sz w:val="21"/>
                      <w:szCs w:val="21"/>
                      <w:vertAlign w:val="baseline"/>
                    </w:rPr>
                  </w:pPr>
                </w:p>
              </w:tc>
            </w:tr>
            <w:tr w14:paraId="2969B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Merge w:val="continue"/>
                  <w:vAlign w:val="center"/>
                </w:tcPr>
                <w:p w14:paraId="01CE6B11">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1064" w:type="pct"/>
                  <w:vAlign w:val="center"/>
                </w:tcPr>
                <w:p w14:paraId="1DFFDCB2">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制冷系统废气</w:t>
                  </w:r>
                </w:p>
              </w:tc>
              <w:tc>
                <w:tcPr>
                  <w:tcW w:w="1035" w:type="pct"/>
                  <w:vAlign w:val="center"/>
                </w:tcPr>
                <w:p w14:paraId="29EEF7B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氨</w:t>
                  </w:r>
                </w:p>
              </w:tc>
              <w:tc>
                <w:tcPr>
                  <w:tcW w:w="750" w:type="pct"/>
                  <w:vAlign w:val="center"/>
                </w:tcPr>
                <w:p w14:paraId="6FC52FC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间断</w:t>
                  </w:r>
                </w:p>
              </w:tc>
              <w:tc>
                <w:tcPr>
                  <w:tcW w:w="1644" w:type="pct"/>
                  <w:gridSpan w:val="3"/>
                  <w:vAlign w:val="center"/>
                </w:tcPr>
                <w:p w14:paraId="57EABC6B">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left"/>
                    <w:textAlignment w:val="auto"/>
                    <w:rPr>
                      <w:rFonts w:hint="default" w:ascii="Times New Roman" w:hAnsi="Times New Roman" w:cs="Times New Roman"/>
                      <w:b w:val="0"/>
                      <w:bCs w:val="0"/>
                      <w:color w:val="auto"/>
                      <w:sz w:val="21"/>
                      <w:szCs w:val="21"/>
                      <w:vertAlign w:val="baseline"/>
                    </w:rPr>
                  </w:pPr>
                  <w:r>
                    <w:rPr>
                      <w:rFonts w:hint="default" w:ascii="Times New Roman" w:hAnsi="Times New Roman" w:cs="Times New Roman"/>
                      <w:b w:val="0"/>
                      <w:bCs w:val="0"/>
                      <w:color w:val="auto"/>
                      <w:sz w:val="21"/>
                      <w:szCs w:val="21"/>
                      <w:vertAlign w:val="baseline"/>
                      <w:lang w:val="en-US" w:eastAsia="zh-CN"/>
                    </w:rPr>
                    <w:t>采用符合环保要求的“氨”（R717）作制冷剂，</w:t>
                  </w:r>
                  <w:r>
                    <w:rPr>
                      <w:rFonts w:hint="default" w:ascii="Times New Roman" w:hAnsi="Times New Roman" w:cs="Times New Roman"/>
                      <w:b w:val="0"/>
                      <w:bCs w:val="0"/>
                      <w:color w:val="auto"/>
                      <w:sz w:val="21"/>
                      <w:szCs w:val="21"/>
                      <w:vertAlign w:val="baseline"/>
                    </w:rPr>
                    <w:t>定期对制冷系统密封检查和检测，及时更换老化阀门和管道</w:t>
                  </w:r>
                </w:p>
              </w:tc>
            </w:tr>
            <w:tr w14:paraId="0DA1F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Merge w:val="continue"/>
                  <w:vAlign w:val="center"/>
                </w:tcPr>
                <w:p w14:paraId="22FB1DDC">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1064" w:type="pct"/>
                  <w:vAlign w:val="center"/>
                </w:tcPr>
                <w:p w14:paraId="7E41F5C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污水处理站废气</w:t>
                  </w:r>
                </w:p>
              </w:tc>
              <w:tc>
                <w:tcPr>
                  <w:tcW w:w="1035" w:type="pct"/>
                  <w:vAlign w:val="center"/>
                </w:tcPr>
                <w:p w14:paraId="3A30E14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臭气浓度、氨气、硫化氢</w:t>
                  </w:r>
                </w:p>
              </w:tc>
              <w:tc>
                <w:tcPr>
                  <w:tcW w:w="750" w:type="pct"/>
                  <w:vAlign w:val="center"/>
                </w:tcPr>
                <w:p w14:paraId="3368D97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val="0"/>
                      <w:color w:val="auto"/>
                      <w:sz w:val="21"/>
                      <w:szCs w:val="21"/>
                      <w:vertAlign w:val="baseline"/>
                    </w:rPr>
                  </w:pPr>
                  <w:r>
                    <w:rPr>
                      <w:rFonts w:hint="eastAsia" w:ascii="Times New Roman" w:hAnsi="Times New Roman" w:cs="Times New Roman"/>
                      <w:b w:val="0"/>
                      <w:bCs w:val="0"/>
                      <w:color w:val="auto"/>
                      <w:sz w:val="21"/>
                      <w:szCs w:val="21"/>
                      <w:vertAlign w:val="baseline"/>
                      <w:lang w:val="en-US" w:eastAsia="zh-CN"/>
                    </w:rPr>
                    <w:t>持续</w:t>
                  </w:r>
                </w:p>
              </w:tc>
              <w:tc>
                <w:tcPr>
                  <w:tcW w:w="1644" w:type="pct"/>
                  <w:gridSpan w:val="3"/>
                  <w:vAlign w:val="center"/>
                </w:tcPr>
                <w:p w14:paraId="02C1E052">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val="0"/>
                      <w:color w:val="auto"/>
                      <w:sz w:val="21"/>
                      <w:szCs w:val="21"/>
                      <w:vertAlign w:val="baseline"/>
                    </w:rPr>
                  </w:pPr>
                  <w:r>
                    <w:rPr>
                      <w:rFonts w:hint="default" w:ascii="Times New Roman" w:hAnsi="Times New Roman" w:cs="Times New Roman"/>
                      <w:b w:val="0"/>
                      <w:bCs w:val="0"/>
                      <w:color w:val="auto"/>
                      <w:sz w:val="21"/>
                      <w:szCs w:val="21"/>
                      <w:vertAlign w:val="baseline"/>
                    </w:rPr>
                    <w:t>活性炭吸附装置</w:t>
                  </w:r>
                  <w:r>
                    <w:rPr>
                      <w:rFonts w:hint="eastAsia" w:ascii="Times New Roman" w:hAnsi="Times New Roman" w:cs="Times New Roman"/>
                      <w:b w:val="0"/>
                      <w:bCs w:val="0"/>
                      <w:color w:val="auto"/>
                      <w:sz w:val="21"/>
                      <w:szCs w:val="21"/>
                      <w:vertAlign w:val="baseline"/>
                      <w:lang w:val="en-US" w:eastAsia="zh-CN"/>
                    </w:rPr>
                    <w:t>＋</w:t>
                  </w:r>
                  <w:r>
                    <w:rPr>
                      <w:rFonts w:hint="default" w:ascii="Times New Roman" w:hAnsi="Times New Roman" w:cs="Times New Roman"/>
                      <w:b w:val="0"/>
                      <w:bCs w:val="0"/>
                      <w:color w:val="auto"/>
                      <w:sz w:val="21"/>
                      <w:szCs w:val="21"/>
                      <w:vertAlign w:val="baseline"/>
                    </w:rPr>
                    <w:t>15m高排气筒排放（DA00</w:t>
                  </w:r>
                  <w:r>
                    <w:rPr>
                      <w:rFonts w:hint="eastAsia" w:ascii="Times New Roman" w:hAnsi="Times New Roman" w:cs="Times New Roman"/>
                      <w:b w:val="0"/>
                      <w:bCs w:val="0"/>
                      <w:color w:val="auto"/>
                      <w:sz w:val="21"/>
                      <w:szCs w:val="21"/>
                      <w:vertAlign w:val="baseline"/>
                      <w:lang w:val="en-US" w:eastAsia="zh-CN"/>
                    </w:rPr>
                    <w:t>1</w:t>
                  </w:r>
                  <w:r>
                    <w:rPr>
                      <w:rFonts w:hint="default" w:ascii="Times New Roman" w:hAnsi="Times New Roman" w:cs="Times New Roman"/>
                      <w:b w:val="0"/>
                      <w:bCs w:val="0"/>
                      <w:color w:val="auto"/>
                      <w:sz w:val="21"/>
                      <w:szCs w:val="21"/>
                      <w:vertAlign w:val="baseline"/>
                    </w:rPr>
                    <w:t>）</w:t>
                  </w:r>
                </w:p>
              </w:tc>
            </w:tr>
            <w:tr w14:paraId="4CE31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Align w:val="center"/>
                </w:tcPr>
                <w:p w14:paraId="379BF728">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eastAsia" w:ascii="Times New Roman" w:hAnsi="Times New Roman" w:cs="Times New Roman"/>
                      <w:b/>
                      <w:bCs/>
                      <w:color w:val="auto"/>
                      <w:sz w:val="21"/>
                      <w:szCs w:val="21"/>
                      <w:vertAlign w:val="baseline"/>
                      <w:lang w:val="en-US" w:eastAsia="zh-CN"/>
                    </w:rPr>
                    <w:t>/</w:t>
                  </w:r>
                </w:p>
              </w:tc>
              <w:tc>
                <w:tcPr>
                  <w:tcW w:w="1064" w:type="pct"/>
                  <w:vAlign w:val="center"/>
                </w:tcPr>
                <w:p w14:paraId="219E51DD">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产</w:t>
                  </w:r>
                  <w:r>
                    <w:rPr>
                      <w:rFonts w:hint="eastAsia" w:ascii="Times New Roman" w:hAnsi="Times New Roman" w:cs="Times New Roman"/>
                      <w:b/>
                      <w:bCs/>
                      <w:color w:val="auto"/>
                      <w:sz w:val="21"/>
                      <w:szCs w:val="21"/>
                      <w:vertAlign w:val="baseline"/>
                      <w:lang w:val="en-US" w:eastAsia="zh-CN"/>
                    </w:rPr>
                    <w:t>污</w:t>
                  </w:r>
                  <w:r>
                    <w:rPr>
                      <w:rFonts w:hint="default" w:ascii="Times New Roman" w:hAnsi="Times New Roman" w:cs="Times New Roman"/>
                      <w:b/>
                      <w:bCs/>
                      <w:color w:val="auto"/>
                      <w:sz w:val="21"/>
                      <w:szCs w:val="21"/>
                      <w:vertAlign w:val="baseline"/>
                      <w:lang w:val="en-US" w:eastAsia="zh-CN"/>
                    </w:rPr>
                    <w:t>工序</w:t>
                  </w:r>
                </w:p>
              </w:tc>
              <w:tc>
                <w:tcPr>
                  <w:tcW w:w="1035" w:type="pct"/>
                  <w:vAlign w:val="center"/>
                </w:tcPr>
                <w:p w14:paraId="6CE484DD">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主要污染物</w:t>
                  </w:r>
                </w:p>
              </w:tc>
              <w:tc>
                <w:tcPr>
                  <w:tcW w:w="2395" w:type="pct"/>
                  <w:gridSpan w:val="4"/>
                  <w:vAlign w:val="center"/>
                </w:tcPr>
                <w:p w14:paraId="14A17738">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治理措施及去向</w:t>
                  </w:r>
                </w:p>
              </w:tc>
            </w:tr>
            <w:tr w14:paraId="7F7B1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Merge w:val="restart"/>
                  <w:vAlign w:val="center"/>
                </w:tcPr>
                <w:p w14:paraId="2898A73F">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bCs/>
                      <w:color w:val="auto"/>
                      <w:sz w:val="21"/>
                      <w:szCs w:val="21"/>
                      <w:vertAlign w:val="baseline"/>
                      <w:lang w:val="en-US" w:eastAsia="zh-CN"/>
                    </w:rPr>
                  </w:pPr>
                  <w:r>
                    <w:rPr>
                      <w:rFonts w:hint="eastAsia" w:ascii="Times New Roman" w:hAnsi="Times New Roman" w:cs="Times New Roman"/>
                      <w:b/>
                      <w:bCs/>
                      <w:color w:val="auto"/>
                      <w:sz w:val="21"/>
                      <w:szCs w:val="21"/>
                      <w:vertAlign w:val="baseline"/>
                      <w:lang w:val="en-US" w:eastAsia="zh-CN"/>
                    </w:rPr>
                    <w:t>废水</w:t>
                  </w:r>
                </w:p>
              </w:tc>
              <w:tc>
                <w:tcPr>
                  <w:tcW w:w="1064" w:type="pct"/>
                  <w:vAlign w:val="center"/>
                </w:tcPr>
                <w:p w14:paraId="354EA80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生活污水</w:t>
                  </w:r>
                </w:p>
              </w:tc>
              <w:tc>
                <w:tcPr>
                  <w:tcW w:w="1035" w:type="pct"/>
                  <w:vAlign w:val="center"/>
                </w:tcPr>
                <w:p w14:paraId="2B1736D5">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COD、SS、NH</w:t>
                  </w:r>
                  <w:r>
                    <w:rPr>
                      <w:rFonts w:hint="eastAsia" w:ascii="Times New Roman" w:hAnsi="Times New Roman" w:eastAsia="宋体" w:cs="Times New Roman"/>
                      <w:b w:val="0"/>
                      <w:bCs w:val="0"/>
                      <w:color w:val="auto"/>
                      <w:sz w:val="21"/>
                      <w:szCs w:val="21"/>
                      <w:vertAlign w:val="subscript"/>
                      <w:lang w:val="en-US" w:eastAsia="zh-CN"/>
                    </w:rPr>
                    <w:t>3</w:t>
                  </w:r>
                  <w:r>
                    <w:rPr>
                      <w:rFonts w:hint="eastAsia" w:ascii="Times New Roman" w:hAnsi="Times New Roman" w:eastAsia="宋体" w:cs="Times New Roman"/>
                      <w:b w:val="0"/>
                      <w:bCs w:val="0"/>
                      <w:color w:val="auto"/>
                      <w:sz w:val="21"/>
                      <w:szCs w:val="21"/>
                      <w:vertAlign w:val="baseline"/>
                      <w:lang w:val="en-US" w:eastAsia="zh-CN"/>
                    </w:rPr>
                    <w:t>-N、TP、TN</w:t>
                  </w:r>
                </w:p>
              </w:tc>
              <w:tc>
                <w:tcPr>
                  <w:tcW w:w="2395" w:type="pct"/>
                  <w:gridSpan w:val="4"/>
                  <w:vAlign w:val="center"/>
                </w:tcPr>
                <w:p w14:paraId="1B37B08D">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化粪池＋市政污水管网</w:t>
                  </w:r>
                </w:p>
              </w:tc>
            </w:tr>
            <w:tr w14:paraId="143B6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4" w:type="pct"/>
                  <w:vMerge w:val="continue"/>
                  <w:vAlign w:val="center"/>
                </w:tcPr>
                <w:p w14:paraId="6E21B29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1064" w:type="pct"/>
                  <w:vAlign w:val="center"/>
                </w:tcPr>
                <w:p w14:paraId="61765D9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生产废水</w:t>
                  </w:r>
                </w:p>
              </w:tc>
              <w:tc>
                <w:tcPr>
                  <w:tcW w:w="1035" w:type="pct"/>
                  <w:vAlign w:val="center"/>
                </w:tcPr>
                <w:p w14:paraId="45E040E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量、pH值、化学需氧量、氨氮、总氮、总磷、悬浮物、五日生化需氧量、动植物油、大肠菌群数、</w:t>
                  </w:r>
                </w:p>
              </w:tc>
              <w:tc>
                <w:tcPr>
                  <w:tcW w:w="2395" w:type="pct"/>
                  <w:gridSpan w:val="4"/>
                  <w:shd w:val="clear" w:color="auto" w:fill="auto"/>
                  <w:vAlign w:val="center"/>
                </w:tcPr>
                <w:p w14:paraId="71BBA5F9">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both"/>
                    <w:textAlignment w:val="auto"/>
                    <w:rPr>
                      <w:rFonts w:hint="default" w:ascii="Times New Roman" w:hAnsi="Times New Roman" w:eastAsia="宋体" w:cs="Times New Roman"/>
                      <w:b w:val="0"/>
                      <w:bCs w:val="0"/>
                      <w:color w:val="auto"/>
                      <w:kern w:val="0"/>
                      <w:sz w:val="21"/>
                      <w:szCs w:val="21"/>
                      <w:vertAlign w:val="baseline"/>
                      <w:lang w:val="en-US" w:eastAsia="zh-CN" w:bidi="ar-SA"/>
                    </w:rPr>
                  </w:pPr>
                  <w:r>
                    <w:rPr>
                      <w:rFonts w:hint="eastAsia" w:ascii="Times New Roman" w:hAnsi="Times New Roman" w:cs="Times New Roman"/>
                      <w:b w:val="0"/>
                      <w:bCs w:val="0"/>
                      <w:color w:val="auto"/>
                      <w:sz w:val="21"/>
                      <w:szCs w:val="21"/>
                      <w:vertAlign w:val="baseline"/>
                      <w:lang w:val="en-US" w:eastAsia="zh-CN"/>
                    </w:rPr>
                    <w:t>格栅→收集池→气浮机→厌氧池→缺氧池→好氧池→二沉池→消毒池＋市政污水管网</w:t>
                  </w:r>
                </w:p>
              </w:tc>
            </w:tr>
            <w:tr w14:paraId="68C64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 w:type="pct"/>
              </w:trPr>
              <w:tc>
                <w:tcPr>
                  <w:tcW w:w="504" w:type="pct"/>
                  <w:vAlign w:val="center"/>
                </w:tcPr>
                <w:p w14:paraId="44EF83A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eastAsia" w:ascii="Times New Roman" w:hAnsi="Times New Roman" w:cs="Times New Roman"/>
                      <w:b/>
                      <w:bCs/>
                      <w:color w:val="auto"/>
                      <w:sz w:val="21"/>
                      <w:szCs w:val="21"/>
                      <w:vertAlign w:val="baseline"/>
                      <w:lang w:val="en-US" w:eastAsia="zh-CN"/>
                    </w:rPr>
                    <w:t>/</w:t>
                  </w:r>
                </w:p>
              </w:tc>
              <w:tc>
                <w:tcPr>
                  <w:tcW w:w="1064" w:type="pct"/>
                  <w:vAlign w:val="center"/>
                </w:tcPr>
                <w:p w14:paraId="31BB2CB1">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eastAsia" w:ascii="Times New Roman" w:hAnsi="Times New Roman" w:cs="Times New Roman"/>
                      <w:b/>
                      <w:bCs/>
                      <w:color w:val="auto"/>
                      <w:sz w:val="21"/>
                      <w:szCs w:val="21"/>
                      <w:vertAlign w:val="baseline"/>
                      <w:lang w:val="en-US" w:eastAsia="zh-CN"/>
                    </w:rPr>
                    <w:t>固废种类</w:t>
                  </w:r>
                </w:p>
              </w:tc>
              <w:tc>
                <w:tcPr>
                  <w:tcW w:w="1035" w:type="pct"/>
                  <w:vAlign w:val="center"/>
                </w:tcPr>
                <w:p w14:paraId="42113F3D">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eastAsia" w:ascii="Times New Roman" w:hAnsi="Times New Roman" w:eastAsia="宋体" w:cs="Times New Roman"/>
                      <w:b/>
                      <w:bCs/>
                      <w:color w:val="auto"/>
                      <w:sz w:val="21"/>
                      <w:szCs w:val="21"/>
                      <w:vertAlign w:val="baseline"/>
                      <w:lang w:val="en-US" w:eastAsia="zh-CN"/>
                    </w:rPr>
                    <w:t>产污环节</w:t>
                  </w:r>
                </w:p>
              </w:tc>
              <w:tc>
                <w:tcPr>
                  <w:tcW w:w="1009" w:type="pct"/>
                  <w:gridSpan w:val="2"/>
                  <w:vAlign w:val="center"/>
                </w:tcPr>
                <w:p w14:paraId="6395E0E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治理措施及去向</w:t>
                  </w:r>
                </w:p>
              </w:tc>
              <w:tc>
                <w:tcPr>
                  <w:tcW w:w="1380" w:type="pct"/>
                  <w:vAlign w:val="center"/>
                </w:tcPr>
                <w:p w14:paraId="73B436F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lang w:val="en-US" w:eastAsia="zh-CN"/>
                    </w:rPr>
                  </w:pPr>
                  <w:r>
                    <w:rPr>
                      <w:rFonts w:hint="eastAsia" w:ascii="Times New Roman" w:hAnsi="Times New Roman" w:cs="Times New Roman"/>
                      <w:b/>
                      <w:bCs/>
                      <w:color w:val="auto"/>
                      <w:sz w:val="21"/>
                      <w:szCs w:val="21"/>
                      <w:vertAlign w:val="baseline"/>
                      <w:lang w:val="en-US" w:eastAsia="zh-CN"/>
                    </w:rPr>
                    <w:t>固废代码</w:t>
                  </w:r>
                </w:p>
              </w:tc>
            </w:tr>
            <w:tr w14:paraId="3EDED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 w:type="pct"/>
              </w:trPr>
              <w:tc>
                <w:tcPr>
                  <w:tcW w:w="504" w:type="pct"/>
                  <w:vMerge w:val="restart"/>
                  <w:vAlign w:val="center"/>
                </w:tcPr>
                <w:p w14:paraId="5766301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bCs/>
                      <w:color w:val="auto"/>
                      <w:sz w:val="21"/>
                      <w:szCs w:val="21"/>
                      <w:vertAlign w:val="baseline"/>
                      <w:lang w:val="en-US" w:eastAsia="zh-CN"/>
                    </w:rPr>
                  </w:pPr>
                  <w:r>
                    <w:rPr>
                      <w:rFonts w:hint="eastAsia" w:ascii="Times New Roman" w:hAnsi="Times New Roman" w:cs="Times New Roman"/>
                      <w:b/>
                      <w:bCs/>
                      <w:color w:val="auto"/>
                      <w:sz w:val="21"/>
                      <w:szCs w:val="21"/>
                      <w:vertAlign w:val="baseline"/>
                      <w:lang w:val="en-US" w:eastAsia="zh-CN"/>
                    </w:rPr>
                    <w:t>固体废物</w:t>
                  </w:r>
                </w:p>
              </w:tc>
              <w:tc>
                <w:tcPr>
                  <w:tcW w:w="1064" w:type="pct"/>
                  <w:vAlign w:val="center"/>
                </w:tcPr>
                <w:p w14:paraId="36BBE7F3">
                  <w:pPr>
                    <w:jc w:val="center"/>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color w:val="auto"/>
                      <w:sz w:val="21"/>
                      <w:szCs w:val="21"/>
                    </w:rPr>
                    <w:t>生活垃圾</w:t>
                  </w:r>
                </w:p>
              </w:tc>
              <w:tc>
                <w:tcPr>
                  <w:tcW w:w="1035" w:type="pct"/>
                  <w:vAlign w:val="center"/>
                </w:tcPr>
                <w:p w14:paraId="340E126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职工</w:t>
                  </w:r>
                </w:p>
              </w:tc>
              <w:tc>
                <w:tcPr>
                  <w:tcW w:w="1009" w:type="pct"/>
                  <w:gridSpan w:val="2"/>
                  <w:vAlign w:val="center"/>
                </w:tcPr>
                <w:p w14:paraId="76FE083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环卫清运</w:t>
                  </w:r>
                </w:p>
              </w:tc>
              <w:tc>
                <w:tcPr>
                  <w:tcW w:w="1380" w:type="pct"/>
                  <w:vAlign w:val="center"/>
                </w:tcPr>
                <w:p w14:paraId="0AD7CCC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val="0"/>
                      <w:color w:val="auto"/>
                      <w:sz w:val="21"/>
                      <w:szCs w:val="21"/>
                      <w:vertAlign w:val="baseline"/>
                      <w:lang w:val="en-US" w:eastAsia="zh-CN"/>
                    </w:rPr>
                  </w:pPr>
                  <w:r>
                    <w:rPr>
                      <w:rFonts w:hint="eastAsia"/>
                      <w:color w:val="auto"/>
                      <w:sz w:val="21"/>
                      <w:szCs w:val="24"/>
                      <w:lang w:val="en-US" w:eastAsia="zh-CN"/>
                    </w:rPr>
                    <w:t>900-002-S64</w:t>
                  </w:r>
                </w:p>
              </w:tc>
            </w:tr>
            <w:tr w14:paraId="31483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 w:type="pct"/>
              </w:trPr>
              <w:tc>
                <w:tcPr>
                  <w:tcW w:w="504" w:type="pct"/>
                  <w:vMerge w:val="continue"/>
                  <w:vAlign w:val="center"/>
                </w:tcPr>
                <w:p w14:paraId="74A54C4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1064" w:type="pct"/>
                  <w:vAlign w:val="center"/>
                </w:tcPr>
                <w:p w14:paraId="245DD9ED">
                  <w:pPr>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Cs/>
                      <w:color w:val="auto"/>
                      <w:sz w:val="21"/>
                      <w:szCs w:val="21"/>
                      <w:lang w:val="en-US" w:eastAsia="zh-CN"/>
                    </w:rPr>
                    <w:t>废包装材料</w:t>
                  </w:r>
                </w:p>
              </w:tc>
              <w:tc>
                <w:tcPr>
                  <w:tcW w:w="1035" w:type="pct"/>
                  <w:vAlign w:val="center"/>
                </w:tcPr>
                <w:p w14:paraId="1AAC462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原料包装</w:t>
                  </w:r>
                </w:p>
              </w:tc>
              <w:tc>
                <w:tcPr>
                  <w:tcW w:w="1009" w:type="pct"/>
                  <w:gridSpan w:val="2"/>
                  <w:shd w:val="clear" w:color="auto" w:fill="auto"/>
                  <w:vAlign w:val="center"/>
                </w:tcPr>
                <w:p w14:paraId="4FA43C1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环卫清运</w:t>
                  </w:r>
                </w:p>
              </w:tc>
              <w:tc>
                <w:tcPr>
                  <w:tcW w:w="1380" w:type="pct"/>
                  <w:shd w:val="clear" w:color="auto" w:fill="auto"/>
                  <w:vAlign w:val="center"/>
                </w:tcPr>
                <w:p w14:paraId="52F1618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900-099-S17</w:t>
                  </w:r>
                </w:p>
              </w:tc>
            </w:tr>
            <w:tr w14:paraId="4F2AF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 w:type="pct"/>
              </w:trPr>
              <w:tc>
                <w:tcPr>
                  <w:tcW w:w="504" w:type="pct"/>
                  <w:vMerge w:val="continue"/>
                  <w:vAlign w:val="center"/>
                </w:tcPr>
                <w:p w14:paraId="2B2A98A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1064" w:type="pct"/>
                  <w:vAlign w:val="center"/>
                </w:tcPr>
                <w:p w14:paraId="5EDC86F7">
                  <w:pPr>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default" w:ascii="Times New Roman" w:hAnsi="Times New Roman" w:eastAsia="宋体" w:cs="Times New Roman"/>
                      <w:color w:val="auto"/>
                      <w:sz w:val="21"/>
                      <w:szCs w:val="21"/>
                      <w:lang w:val="en-US" w:eastAsia="zh-CN"/>
                    </w:rPr>
                    <w:t>污水处理站污泥</w:t>
                  </w:r>
                </w:p>
              </w:tc>
              <w:tc>
                <w:tcPr>
                  <w:tcW w:w="1035" w:type="pct"/>
                  <w:vAlign w:val="center"/>
                </w:tcPr>
                <w:p w14:paraId="1F100567">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废水处理</w:t>
                  </w:r>
                </w:p>
              </w:tc>
              <w:tc>
                <w:tcPr>
                  <w:tcW w:w="1009" w:type="pct"/>
                  <w:gridSpan w:val="2"/>
                  <w:shd w:val="clear" w:color="auto" w:fill="auto"/>
                  <w:vAlign w:val="center"/>
                </w:tcPr>
                <w:p w14:paraId="00B8CEDB">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both"/>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经压滤机压滤收集后</w:t>
                  </w:r>
                  <w:r>
                    <w:rPr>
                      <w:rFonts w:hint="eastAsia" w:cs="Times New Roman"/>
                      <w:b w:val="0"/>
                      <w:bCs w:val="0"/>
                      <w:color w:val="auto"/>
                      <w:sz w:val="21"/>
                      <w:szCs w:val="21"/>
                      <w:vertAlign w:val="baseline"/>
                      <w:lang w:val="en-US" w:eastAsia="zh-CN"/>
                    </w:rPr>
                    <w:t>送至有机肥生产企业堆肥场堆肥或镶黄旗生活垃圾焚烧场进行合理化处理</w:t>
                  </w:r>
                </w:p>
              </w:tc>
              <w:tc>
                <w:tcPr>
                  <w:tcW w:w="1380" w:type="pct"/>
                  <w:shd w:val="clear" w:color="auto" w:fill="auto"/>
                  <w:vAlign w:val="center"/>
                </w:tcPr>
                <w:p w14:paraId="467C4A5C">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135-001-S07</w:t>
                  </w:r>
                </w:p>
              </w:tc>
            </w:tr>
            <w:tr w14:paraId="3D004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 w:type="pct"/>
              </w:trPr>
              <w:tc>
                <w:tcPr>
                  <w:tcW w:w="504" w:type="pct"/>
                  <w:vMerge w:val="continue"/>
                  <w:vAlign w:val="center"/>
                </w:tcPr>
                <w:p w14:paraId="202BFA7C">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1064" w:type="pct"/>
                  <w:vAlign w:val="center"/>
                </w:tcPr>
                <w:p w14:paraId="7EBE3054">
                  <w:pPr>
                    <w:jc w:val="center"/>
                    <w:rPr>
                      <w:rFonts w:hint="eastAsia" w:ascii="Times New Roman" w:hAnsi="Times New Roman" w:cs="Times New Roman"/>
                      <w:b w:val="0"/>
                      <w:bCs w:val="0"/>
                      <w:color w:val="auto"/>
                      <w:sz w:val="21"/>
                      <w:szCs w:val="21"/>
                      <w:vertAlign w:val="baseline"/>
                      <w:lang w:val="en-US" w:eastAsia="zh-CN"/>
                    </w:rPr>
                  </w:pPr>
                  <w:r>
                    <w:rPr>
                      <w:rFonts w:hint="default" w:ascii="Times New Roman" w:hAnsi="Times New Roman" w:eastAsia="宋体" w:cs="Times New Roman"/>
                      <w:bCs/>
                      <w:color w:val="auto"/>
                      <w:sz w:val="21"/>
                      <w:szCs w:val="21"/>
                      <w:lang w:val="en-US" w:eastAsia="zh-CN"/>
                    </w:rPr>
                    <w:t>肉渣</w:t>
                  </w:r>
                </w:p>
              </w:tc>
              <w:tc>
                <w:tcPr>
                  <w:tcW w:w="1035" w:type="pct"/>
                  <w:vAlign w:val="center"/>
                </w:tcPr>
                <w:p w14:paraId="1D7A6FFD">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蒸煮</w:t>
                  </w:r>
                </w:p>
              </w:tc>
              <w:tc>
                <w:tcPr>
                  <w:tcW w:w="1009" w:type="pct"/>
                  <w:gridSpan w:val="2"/>
                  <w:shd w:val="clear" w:color="auto" w:fill="auto"/>
                  <w:vAlign w:val="center"/>
                </w:tcPr>
                <w:p w14:paraId="70A0C258">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both"/>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经压滤机压滤收集后</w:t>
                  </w:r>
                  <w:r>
                    <w:rPr>
                      <w:rFonts w:hint="eastAsia" w:cs="Times New Roman"/>
                      <w:b w:val="0"/>
                      <w:bCs w:val="0"/>
                      <w:color w:val="auto"/>
                      <w:sz w:val="21"/>
                      <w:szCs w:val="21"/>
                      <w:vertAlign w:val="baseline"/>
                      <w:lang w:val="en-US" w:eastAsia="zh-CN"/>
                    </w:rPr>
                    <w:t>送至有机肥生产企业堆肥场堆肥或镶黄旗生活垃圾焚烧场进行合理化处理</w:t>
                  </w:r>
                </w:p>
              </w:tc>
              <w:tc>
                <w:tcPr>
                  <w:tcW w:w="1380" w:type="pct"/>
                  <w:shd w:val="clear" w:color="auto" w:fill="auto"/>
                  <w:vAlign w:val="center"/>
                </w:tcPr>
                <w:p w14:paraId="03A182E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135-002-S13</w:t>
                  </w:r>
                </w:p>
              </w:tc>
            </w:tr>
            <w:tr w14:paraId="17366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 w:type="pct"/>
              </w:trPr>
              <w:tc>
                <w:tcPr>
                  <w:tcW w:w="504" w:type="pct"/>
                  <w:vMerge w:val="continue"/>
                  <w:vAlign w:val="center"/>
                </w:tcPr>
                <w:p w14:paraId="0D318B91">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1064" w:type="pct"/>
                  <w:vAlign w:val="center"/>
                </w:tcPr>
                <w:p w14:paraId="15753BAC">
                  <w:pPr>
                    <w:jc w:val="center"/>
                    <w:rPr>
                      <w:rFonts w:hint="eastAsia" w:ascii="Times New Roman" w:hAnsi="Times New Roman" w:cs="Times New Roman"/>
                      <w:b w:val="0"/>
                      <w:bCs w:val="0"/>
                      <w:color w:val="auto"/>
                      <w:sz w:val="21"/>
                      <w:szCs w:val="21"/>
                      <w:vertAlign w:val="baseline"/>
                      <w:lang w:val="en-US" w:eastAsia="zh-CN"/>
                    </w:rPr>
                  </w:pPr>
                  <w:r>
                    <w:rPr>
                      <w:rFonts w:hint="default" w:ascii="Times New Roman" w:hAnsi="Times New Roman" w:eastAsia="宋体" w:cs="Times New Roman"/>
                      <w:bCs/>
                      <w:color w:val="auto"/>
                      <w:sz w:val="21"/>
                      <w:szCs w:val="21"/>
                      <w:lang w:val="en-US" w:eastAsia="zh-CN"/>
                    </w:rPr>
                    <w:t>不合格原料</w:t>
                  </w:r>
                </w:p>
              </w:tc>
              <w:tc>
                <w:tcPr>
                  <w:tcW w:w="1035" w:type="pct"/>
                  <w:vAlign w:val="center"/>
                </w:tcPr>
                <w:p w14:paraId="72C16319">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原料检验</w:t>
                  </w:r>
                </w:p>
              </w:tc>
              <w:tc>
                <w:tcPr>
                  <w:tcW w:w="1009" w:type="pct"/>
                  <w:gridSpan w:val="2"/>
                  <w:shd w:val="clear" w:color="auto" w:fill="auto"/>
                  <w:vAlign w:val="center"/>
                </w:tcPr>
                <w:p w14:paraId="59B61BDB">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both"/>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委托专门收集厨余垃圾部门清运</w:t>
                  </w:r>
                </w:p>
              </w:tc>
              <w:tc>
                <w:tcPr>
                  <w:tcW w:w="1380" w:type="pct"/>
                  <w:shd w:val="clear" w:color="auto" w:fill="auto"/>
                  <w:vAlign w:val="center"/>
                </w:tcPr>
                <w:p w14:paraId="010FCA9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135-002-S13</w:t>
                  </w:r>
                </w:p>
              </w:tc>
            </w:tr>
            <w:tr w14:paraId="455A2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 w:type="pct"/>
              </w:trPr>
              <w:tc>
                <w:tcPr>
                  <w:tcW w:w="504" w:type="pct"/>
                  <w:vMerge w:val="continue"/>
                  <w:vAlign w:val="center"/>
                </w:tcPr>
                <w:p w14:paraId="29F429B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1064" w:type="pct"/>
                  <w:vAlign w:val="center"/>
                </w:tcPr>
                <w:p w14:paraId="262D7490">
                  <w:pPr>
                    <w:jc w:val="center"/>
                    <w:rPr>
                      <w:rFonts w:hint="eastAsia" w:ascii="Times New Roman" w:hAnsi="Times New Roman" w:cs="Times New Roman"/>
                      <w:b w:val="0"/>
                      <w:bCs w:val="0"/>
                      <w:color w:val="auto"/>
                      <w:sz w:val="21"/>
                      <w:szCs w:val="21"/>
                      <w:vertAlign w:val="baseline"/>
                      <w:lang w:val="en-US" w:eastAsia="zh-CN"/>
                    </w:rPr>
                  </w:pPr>
                  <w:r>
                    <w:rPr>
                      <w:rFonts w:hint="default" w:ascii="Times New Roman" w:hAnsi="Times New Roman" w:eastAsia="宋体" w:cs="Times New Roman"/>
                      <w:bCs/>
                      <w:color w:val="auto"/>
                      <w:sz w:val="21"/>
                      <w:szCs w:val="21"/>
                      <w:lang w:val="en-US" w:eastAsia="zh-CN"/>
                    </w:rPr>
                    <w:t>废油脂</w:t>
                  </w:r>
                </w:p>
              </w:tc>
              <w:tc>
                <w:tcPr>
                  <w:tcW w:w="1035" w:type="pct"/>
                  <w:vAlign w:val="center"/>
                </w:tcPr>
                <w:p w14:paraId="537A8125">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废水处理</w:t>
                  </w:r>
                </w:p>
              </w:tc>
              <w:tc>
                <w:tcPr>
                  <w:tcW w:w="1009" w:type="pct"/>
                  <w:gridSpan w:val="2"/>
                  <w:shd w:val="clear" w:color="auto" w:fill="auto"/>
                  <w:vAlign w:val="center"/>
                </w:tcPr>
                <w:p w14:paraId="701A458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both"/>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委托专门收集厨余垃圾部门清运</w:t>
                  </w:r>
                </w:p>
              </w:tc>
              <w:tc>
                <w:tcPr>
                  <w:tcW w:w="1380" w:type="pct"/>
                  <w:shd w:val="clear" w:color="auto" w:fill="auto"/>
                  <w:vAlign w:val="center"/>
                </w:tcPr>
                <w:p w14:paraId="0DEB0ABC">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900-002-S61</w:t>
                  </w:r>
                </w:p>
              </w:tc>
            </w:tr>
            <w:tr w14:paraId="48A03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 w:type="pct"/>
              </w:trPr>
              <w:tc>
                <w:tcPr>
                  <w:tcW w:w="504" w:type="pct"/>
                  <w:vMerge w:val="continue"/>
                  <w:vAlign w:val="center"/>
                </w:tcPr>
                <w:p w14:paraId="6B7E69D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1064" w:type="pct"/>
                  <w:vAlign w:val="center"/>
                </w:tcPr>
                <w:p w14:paraId="79808537">
                  <w:pPr>
                    <w:jc w:val="center"/>
                    <w:rPr>
                      <w:rFonts w:hint="eastAsia" w:ascii="Times New Roman" w:hAnsi="Times New Roman" w:cs="Times New Roman"/>
                      <w:b w:val="0"/>
                      <w:bCs w:val="0"/>
                      <w:color w:val="auto"/>
                      <w:sz w:val="21"/>
                      <w:szCs w:val="21"/>
                      <w:vertAlign w:val="baseline"/>
                      <w:lang w:val="en-US" w:eastAsia="zh-CN"/>
                    </w:rPr>
                  </w:pPr>
                  <w:r>
                    <w:rPr>
                      <w:rFonts w:hint="default" w:ascii="Times New Roman" w:hAnsi="Times New Roman" w:eastAsia="宋体" w:cs="Times New Roman"/>
                      <w:color w:val="auto"/>
                      <w:kern w:val="2"/>
                      <w:sz w:val="21"/>
                      <w:szCs w:val="21"/>
                      <w:lang w:val="en-US" w:eastAsia="zh-CN"/>
                    </w:rPr>
                    <w:t>格栅垃圾</w:t>
                  </w:r>
                </w:p>
              </w:tc>
              <w:tc>
                <w:tcPr>
                  <w:tcW w:w="1035" w:type="pct"/>
                  <w:vAlign w:val="center"/>
                </w:tcPr>
                <w:p w14:paraId="383BC41C">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废水处理</w:t>
                  </w:r>
                </w:p>
              </w:tc>
              <w:tc>
                <w:tcPr>
                  <w:tcW w:w="1009" w:type="pct"/>
                  <w:gridSpan w:val="2"/>
                  <w:shd w:val="clear" w:color="auto" w:fill="auto"/>
                  <w:vAlign w:val="center"/>
                </w:tcPr>
                <w:p w14:paraId="235D504F">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both"/>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经压滤机压滤收集后</w:t>
                  </w:r>
                  <w:r>
                    <w:rPr>
                      <w:rFonts w:hint="eastAsia" w:cs="Times New Roman"/>
                      <w:b w:val="0"/>
                      <w:bCs w:val="0"/>
                      <w:color w:val="auto"/>
                      <w:sz w:val="21"/>
                      <w:szCs w:val="21"/>
                      <w:vertAlign w:val="baseline"/>
                      <w:lang w:val="en-US" w:eastAsia="zh-CN"/>
                    </w:rPr>
                    <w:t>送至有机肥生产企业堆肥场堆肥或镶黄旗生活垃圾焚烧场进行合理化处理</w:t>
                  </w:r>
                </w:p>
              </w:tc>
              <w:tc>
                <w:tcPr>
                  <w:tcW w:w="1380" w:type="pct"/>
                  <w:shd w:val="clear" w:color="auto" w:fill="auto"/>
                  <w:vAlign w:val="center"/>
                </w:tcPr>
                <w:p w14:paraId="2ABB0771">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140-001-S07</w:t>
                  </w:r>
                </w:p>
              </w:tc>
            </w:tr>
            <w:tr w14:paraId="799F2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 w:type="pct"/>
              </w:trPr>
              <w:tc>
                <w:tcPr>
                  <w:tcW w:w="504" w:type="pct"/>
                  <w:vMerge w:val="continue"/>
                  <w:vAlign w:val="center"/>
                </w:tcPr>
                <w:p w14:paraId="3CCE947D">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1064" w:type="pct"/>
                  <w:vAlign w:val="center"/>
                </w:tcPr>
                <w:p w14:paraId="40645C45">
                  <w:pPr>
                    <w:jc w:val="center"/>
                    <w:rPr>
                      <w:rFonts w:hint="default" w:ascii="Times New Roman" w:hAnsi="Times New Roman" w:eastAsia="宋体" w:cs="Times New Roman"/>
                      <w:color w:val="auto"/>
                      <w:kern w:val="2"/>
                      <w:sz w:val="21"/>
                      <w:szCs w:val="21"/>
                      <w:lang w:val="en-US" w:eastAsia="zh-CN"/>
                    </w:rPr>
                  </w:pPr>
                  <w:r>
                    <w:rPr>
                      <w:rFonts w:hint="eastAsia" w:cs="Times New Roman"/>
                      <w:color w:val="auto"/>
                      <w:kern w:val="2"/>
                      <w:sz w:val="21"/>
                      <w:szCs w:val="21"/>
                      <w:lang w:val="en-US" w:eastAsia="zh-CN"/>
                    </w:rPr>
                    <w:t>废渗透膜</w:t>
                  </w:r>
                </w:p>
              </w:tc>
              <w:tc>
                <w:tcPr>
                  <w:tcW w:w="1035" w:type="pct"/>
                  <w:vAlign w:val="center"/>
                </w:tcPr>
                <w:p w14:paraId="352C5E3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cs="Times New Roman"/>
                      <w:b w:val="0"/>
                      <w:bCs w:val="0"/>
                      <w:color w:val="auto"/>
                      <w:sz w:val="21"/>
                      <w:szCs w:val="21"/>
                      <w:vertAlign w:val="baseline"/>
                      <w:lang w:val="en-US" w:eastAsia="zh-CN"/>
                    </w:rPr>
                    <w:t>纯水制备</w:t>
                  </w:r>
                </w:p>
              </w:tc>
              <w:tc>
                <w:tcPr>
                  <w:tcW w:w="1009" w:type="pct"/>
                  <w:gridSpan w:val="2"/>
                  <w:shd w:val="clear" w:color="auto" w:fill="auto"/>
                  <w:vAlign w:val="center"/>
                </w:tcPr>
                <w:p w14:paraId="7C505B1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both"/>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厂家进行更换，不在厂内储存</w:t>
                  </w:r>
                </w:p>
              </w:tc>
              <w:tc>
                <w:tcPr>
                  <w:tcW w:w="1380" w:type="pct"/>
                  <w:shd w:val="clear" w:color="auto" w:fill="auto"/>
                  <w:vAlign w:val="center"/>
                </w:tcPr>
                <w:p w14:paraId="2F8490E5">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val="0"/>
                      <w:color w:val="auto"/>
                      <w:sz w:val="21"/>
                      <w:szCs w:val="21"/>
                      <w:vertAlign w:val="baseline"/>
                      <w:lang w:val="en-US" w:eastAsia="zh-CN"/>
                    </w:rPr>
                  </w:pPr>
                  <w:r>
                    <w:rPr>
                      <w:rFonts w:hint="eastAsia" w:cs="Times New Roman"/>
                      <w:b w:val="0"/>
                      <w:bCs w:val="0"/>
                      <w:color w:val="auto"/>
                      <w:sz w:val="21"/>
                      <w:szCs w:val="21"/>
                      <w:vertAlign w:val="baseline"/>
                      <w:lang w:val="en-US" w:eastAsia="zh-CN"/>
                    </w:rPr>
                    <w:t>149-005-99</w:t>
                  </w:r>
                </w:p>
              </w:tc>
            </w:tr>
            <w:tr w14:paraId="6AAA1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 w:type="pct"/>
              </w:trPr>
              <w:tc>
                <w:tcPr>
                  <w:tcW w:w="504" w:type="pct"/>
                  <w:vAlign w:val="center"/>
                </w:tcPr>
                <w:p w14:paraId="168988A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bCs/>
                      <w:color w:val="auto"/>
                      <w:sz w:val="21"/>
                      <w:szCs w:val="21"/>
                      <w:vertAlign w:val="baseline"/>
                      <w:lang w:val="en-US" w:eastAsia="zh-CN"/>
                    </w:rPr>
                  </w:pPr>
                  <w:r>
                    <w:rPr>
                      <w:rFonts w:hint="eastAsia" w:cs="Times New Roman"/>
                      <w:b/>
                      <w:bCs/>
                      <w:color w:val="auto"/>
                      <w:sz w:val="21"/>
                      <w:szCs w:val="21"/>
                      <w:vertAlign w:val="baseline"/>
                      <w:lang w:val="en-US" w:eastAsia="zh-CN"/>
                    </w:rPr>
                    <w:t>危险废物</w:t>
                  </w:r>
                </w:p>
              </w:tc>
              <w:tc>
                <w:tcPr>
                  <w:tcW w:w="1064" w:type="pct"/>
                  <w:vAlign w:val="center"/>
                </w:tcPr>
                <w:p w14:paraId="47FA8406">
                  <w:pPr>
                    <w:jc w:val="center"/>
                    <w:rPr>
                      <w:rFonts w:hint="default" w:ascii="Times New Roman" w:hAnsi="Times New Roman" w:eastAsia="宋体" w:cs="Times New Roman"/>
                      <w:color w:val="auto"/>
                      <w:kern w:val="2"/>
                      <w:sz w:val="21"/>
                      <w:szCs w:val="21"/>
                      <w:lang w:val="en-US" w:eastAsia="zh-CN"/>
                    </w:rPr>
                  </w:pPr>
                  <w:r>
                    <w:rPr>
                      <w:rFonts w:hint="eastAsia" w:cs="Times New Roman"/>
                      <w:color w:val="auto"/>
                      <w:kern w:val="2"/>
                      <w:sz w:val="21"/>
                      <w:szCs w:val="21"/>
                      <w:lang w:val="en-US" w:eastAsia="zh-CN"/>
                    </w:rPr>
                    <w:t>废活性炭</w:t>
                  </w:r>
                </w:p>
              </w:tc>
              <w:tc>
                <w:tcPr>
                  <w:tcW w:w="1035" w:type="pct"/>
                  <w:vAlign w:val="center"/>
                </w:tcPr>
                <w:p w14:paraId="35D32A39">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cs="Times New Roman"/>
                      <w:b w:val="0"/>
                      <w:bCs w:val="0"/>
                      <w:color w:val="auto"/>
                      <w:sz w:val="21"/>
                      <w:szCs w:val="21"/>
                      <w:vertAlign w:val="baseline"/>
                      <w:lang w:val="en-US" w:eastAsia="zh-CN"/>
                    </w:rPr>
                    <w:t>污水处理站废气处理</w:t>
                  </w:r>
                </w:p>
              </w:tc>
              <w:tc>
                <w:tcPr>
                  <w:tcW w:w="1009" w:type="pct"/>
                  <w:gridSpan w:val="2"/>
                  <w:shd w:val="clear" w:color="auto" w:fill="auto"/>
                  <w:vAlign w:val="center"/>
                </w:tcPr>
                <w:p w14:paraId="5AB0765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both"/>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由厂家定期进行更换，不在厂内储存</w:t>
                  </w:r>
                </w:p>
              </w:tc>
              <w:tc>
                <w:tcPr>
                  <w:tcW w:w="1380" w:type="pct"/>
                  <w:shd w:val="clear" w:color="auto" w:fill="auto"/>
                  <w:vAlign w:val="center"/>
                </w:tcPr>
                <w:p w14:paraId="4E70C1EB">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HW049其他废物900-039-49</w:t>
                  </w:r>
                </w:p>
              </w:tc>
            </w:tr>
            <w:tr w14:paraId="62144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 w:type="pct"/>
              </w:trPr>
              <w:tc>
                <w:tcPr>
                  <w:tcW w:w="504" w:type="pct"/>
                  <w:vAlign w:val="center"/>
                </w:tcPr>
                <w:p w14:paraId="2E75C45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bCs/>
                      <w:color w:val="auto"/>
                      <w:sz w:val="21"/>
                      <w:szCs w:val="21"/>
                      <w:vertAlign w:val="baseline"/>
                      <w:lang w:val="en-US" w:eastAsia="zh-CN"/>
                    </w:rPr>
                  </w:pPr>
                  <w:r>
                    <w:rPr>
                      <w:rFonts w:hint="eastAsia" w:ascii="Times New Roman" w:hAnsi="Times New Roman" w:cs="Times New Roman"/>
                      <w:b/>
                      <w:bCs/>
                      <w:color w:val="auto"/>
                      <w:sz w:val="21"/>
                      <w:szCs w:val="21"/>
                      <w:vertAlign w:val="baseline"/>
                      <w:lang w:val="en-US" w:eastAsia="zh-CN"/>
                    </w:rPr>
                    <w:t>噪声</w:t>
                  </w:r>
                </w:p>
              </w:tc>
              <w:tc>
                <w:tcPr>
                  <w:tcW w:w="4490" w:type="pct"/>
                  <w:gridSpan w:val="5"/>
                  <w:vAlign w:val="center"/>
                </w:tcPr>
                <w:p w14:paraId="59227ED2">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left"/>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产噪主要为各生产设备运营所产生的机械噪声。</w:t>
                  </w:r>
                </w:p>
                <w:p w14:paraId="7069293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left"/>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采取厂房隔声、构筑物隔声和基础减振，以减小项目运营产生的噪声影响。</w:t>
                  </w:r>
                </w:p>
              </w:tc>
            </w:tr>
          </w:tbl>
          <w:p w14:paraId="53275AD2">
            <w:pPr>
              <w:pStyle w:val="68"/>
              <w:ind w:left="0" w:leftChars="0" w:firstLine="0" w:firstLineChars="0"/>
              <w:rPr>
                <w:rFonts w:hint="default" w:cs="Times New Roman"/>
                <w:color w:val="auto"/>
                <w:lang w:val="en-US" w:eastAsia="zh-CN"/>
              </w:rPr>
            </w:pPr>
          </w:p>
        </w:tc>
      </w:tr>
      <w:tr w14:paraId="066CEA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23" w:hRule="atLeast"/>
          <w:jc w:val="center"/>
        </w:trPr>
        <w:tc>
          <w:tcPr>
            <w:tcW w:w="433" w:type="dxa"/>
            <w:vAlign w:val="center"/>
          </w:tcPr>
          <w:p w14:paraId="64DABE20">
            <w:pPr>
              <w:pStyle w:val="27"/>
              <w:spacing w:after="120" w:line="240" w:lineRule="auto"/>
              <w:rPr>
                <w:b w:val="0"/>
                <w:color w:val="auto"/>
                <w:szCs w:val="21"/>
              </w:rPr>
            </w:pPr>
            <w:r>
              <w:rPr>
                <w:bCs/>
                <w:color w:val="auto"/>
                <w:kern w:val="2"/>
                <w:sz w:val="24"/>
                <w:szCs w:val="21"/>
              </w:rPr>
              <w:t>与项目有关的原有环境污染问题</w:t>
            </w:r>
          </w:p>
        </w:tc>
        <w:tc>
          <w:tcPr>
            <w:tcW w:w="8089" w:type="dxa"/>
            <w:vAlign w:val="center"/>
          </w:tcPr>
          <w:p w14:paraId="5FB55D55">
            <w:pPr>
              <w:pStyle w:val="68"/>
              <w:ind w:firstLine="0" w:firstLineChars="0"/>
              <w:jc w:val="center"/>
              <w:rPr>
                <w:rFonts w:cs="Times New Roman"/>
                <w:color w:val="auto"/>
              </w:rPr>
            </w:pPr>
            <w:r>
              <w:rPr>
                <w:rFonts w:cs="Times New Roman"/>
                <w:color w:val="auto"/>
              </w:rPr>
              <w:t>本项目为新建项目，不存在原有环境污染问题</w:t>
            </w:r>
          </w:p>
        </w:tc>
      </w:tr>
    </w:tbl>
    <w:p w14:paraId="1ED9099C">
      <w:pPr>
        <w:pStyle w:val="27"/>
        <w:spacing w:after="120"/>
        <w:rPr>
          <w:rFonts w:eastAsia="黑体"/>
          <w:snapToGrid w:val="0"/>
          <w:color w:val="auto"/>
          <w:sz w:val="36"/>
          <w:szCs w:val="36"/>
        </w:rPr>
        <w:sectPr>
          <w:pgSz w:w="11906" w:h="16838"/>
          <w:pgMar w:top="1440" w:right="1800" w:bottom="1440" w:left="1800" w:header="851" w:footer="851" w:gutter="0"/>
          <w:pgBorders>
            <w:top w:val="none" w:sz="0" w:space="0"/>
            <w:left w:val="none" w:sz="0" w:space="0"/>
            <w:bottom w:val="none" w:sz="0" w:space="0"/>
            <w:right w:val="none" w:sz="0" w:space="0"/>
          </w:pgBorders>
          <w:cols w:space="720" w:num="1"/>
          <w:docGrid w:linePitch="312" w:charSpace="0"/>
        </w:sectPr>
      </w:pPr>
    </w:p>
    <w:p w14:paraId="42401080">
      <w:pPr>
        <w:pStyle w:val="27"/>
        <w:spacing w:after="120"/>
        <w:outlineLvl w:val="0"/>
        <w:rPr>
          <w:rFonts w:eastAsiaTheme="minorEastAsia"/>
          <w:snapToGrid w:val="0"/>
          <w:color w:val="auto"/>
          <w:sz w:val="30"/>
          <w:szCs w:val="30"/>
        </w:rPr>
      </w:pPr>
      <w:r>
        <w:rPr>
          <w:rFonts w:eastAsiaTheme="minorEastAsia"/>
          <w:snapToGrid w:val="0"/>
          <w:color w:val="auto"/>
          <w:sz w:val="30"/>
          <w:szCs w:val="30"/>
        </w:rPr>
        <w:t>三、区域环境质量现状、环境保护目标及评价标准</w:t>
      </w:r>
    </w:p>
    <w:tbl>
      <w:tblPr>
        <w:tblStyle w:val="31"/>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53"/>
        <w:gridCol w:w="8070"/>
      </w:tblGrid>
      <w:tr w14:paraId="09B185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912" w:hRule="atLeast"/>
          <w:jc w:val="center"/>
        </w:trPr>
        <w:tc>
          <w:tcPr>
            <w:tcW w:w="266" w:type="pct"/>
            <w:vAlign w:val="center"/>
          </w:tcPr>
          <w:p w14:paraId="7D17D351">
            <w:pPr>
              <w:jc w:val="center"/>
              <w:rPr>
                <w:b/>
                <w:color w:val="auto"/>
                <w:kern w:val="0"/>
                <w:sz w:val="24"/>
                <w:szCs w:val="21"/>
              </w:rPr>
            </w:pPr>
            <w:r>
              <w:rPr>
                <w:b/>
                <w:color w:val="auto"/>
                <w:kern w:val="0"/>
                <w:sz w:val="24"/>
                <w:szCs w:val="21"/>
              </w:rPr>
              <w:t>区域</w:t>
            </w:r>
          </w:p>
          <w:p w14:paraId="683D2D2D">
            <w:pPr>
              <w:jc w:val="center"/>
              <w:rPr>
                <w:b/>
                <w:color w:val="auto"/>
                <w:kern w:val="0"/>
                <w:sz w:val="24"/>
                <w:szCs w:val="21"/>
              </w:rPr>
            </w:pPr>
            <w:r>
              <w:rPr>
                <w:b/>
                <w:color w:val="auto"/>
                <w:kern w:val="0"/>
                <w:sz w:val="24"/>
                <w:szCs w:val="21"/>
              </w:rPr>
              <w:t>环境</w:t>
            </w:r>
          </w:p>
          <w:p w14:paraId="18A586AD">
            <w:pPr>
              <w:jc w:val="center"/>
              <w:rPr>
                <w:b/>
                <w:color w:val="auto"/>
                <w:kern w:val="0"/>
                <w:sz w:val="24"/>
                <w:szCs w:val="21"/>
              </w:rPr>
            </w:pPr>
            <w:r>
              <w:rPr>
                <w:b/>
                <w:color w:val="auto"/>
                <w:kern w:val="0"/>
                <w:sz w:val="24"/>
                <w:szCs w:val="21"/>
              </w:rPr>
              <w:t>质量</w:t>
            </w:r>
          </w:p>
          <w:p w14:paraId="61A02689">
            <w:pPr>
              <w:jc w:val="center"/>
              <w:rPr>
                <w:color w:val="auto"/>
                <w:kern w:val="0"/>
                <w:szCs w:val="21"/>
              </w:rPr>
            </w:pPr>
            <w:r>
              <w:rPr>
                <w:b/>
                <w:color w:val="auto"/>
                <w:kern w:val="0"/>
                <w:sz w:val="24"/>
                <w:szCs w:val="21"/>
              </w:rPr>
              <w:t>现状</w:t>
            </w:r>
          </w:p>
        </w:tc>
        <w:tc>
          <w:tcPr>
            <w:tcW w:w="4733" w:type="pct"/>
            <w:vAlign w:val="center"/>
          </w:tcPr>
          <w:p w14:paraId="26C9D425">
            <w:pPr>
              <w:spacing w:line="360" w:lineRule="auto"/>
              <w:ind w:firstLine="482"/>
              <w:rPr>
                <w:b/>
                <w:color w:val="auto"/>
                <w:sz w:val="24"/>
              </w:rPr>
            </w:pPr>
            <w:r>
              <w:rPr>
                <w:b/>
                <w:color w:val="auto"/>
                <w:sz w:val="24"/>
              </w:rPr>
              <w:t>1、环境空气质量现状</w:t>
            </w:r>
          </w:p>
          <w:p w14:paraId="73DEBB2E">
            <w:pPr>
              <w:spacing w:line="360" w:lineRule="auto"/>
              <w:ind w:firstLine="480" w:firstLineChars="200"/>
              <w:rPr>
                <w:color w:val="auto"/>
                <w:sz w:val="24"/>
                <w:szCs w:val="32"/>
              </w:rPr>
            </w:pPr>
            <w:r>
              <w:rPr>
                <w:rFonts w:hint="eastAsia"/>
                <w:color w:val="auto"/>
                <w:sz w:val="24"/>
                <w:szCs w:val="32"/>
              </w:rPr>
              <w:t>根据《环境影响评价技术导则大气环境》（HJ2.2-2018）的规定，项目所在区域环境空气质量达标判定，优先采用国家或地方生态环境主管部门公开发布的评价基准年环境质量公告或环境质量报告中的数据或结论。本次区域环境质量现状采用内蒙古自治区生态环境厅发布的《202</w:t>
            </w:r>
            <w:r>
              <w:rPr>
                <w:rFonts w:hint="eastAsia"/>
                <w:color w:val="auto"/>
                <w:sz w:val="24"/>
                <w:szCs w:val="32"/>
                <w:lang w:val="en-US" w:eastAsia="zh-CN"/>
              </w:rPr>
              <w:t>3</w:t>
            </w:r>
            <w:r>
              <w:rPr>
                <w:rFonts w:hint="eastAsia"/>
                <w:color w:val="auto"/>
                <w:sz w:val="24"/>
                <w:szCs w:val="32"/>
              </w:rPr>
              <w:t>年内蒙古自治区生态环境状况公报》（202</w:t>
            </w:r>
            <w:r>
              <w:rPr>
                <w:rFonts w:hint="eastAsia"/>
                <w:color w:val="auto"/>
                <w:sz w:val="24"/>
                <w:szCs w:val="32"/>
                <w:lang w:val="en-US" w:eastAsia="zh-CN"/>
              </w:rPr>
              <w:t>4</w:t>
            </w:r>
            <w:r>
              <w:rPr>
                <w:rFonts w:hint="eastAsia"/>
                <w:color w:val="auto"/>
                <w:sz w:val="24"/>
                <w:szCs w:val="32"/>
              </w:rPr>
              <w:t>年6月</w:t>
            </w:r>
            <w:r>
              <w:rPr>
                <w:rFonts w:hint="eastAsia"/>
                <w:color w:val="auto"/>
                <w:sz w:val="24"/>
                <w:szCs w:val="32"/>
                <w:lang w:val="en-US" w:eastAsia="zh-CN"/>
              </w:rPr>
              <w:t>3</w:t>
            </w:r>
            <w:r>
              <w:rPr>
                <w:rFonts w:hint="eastAsia"/>
                <w:color w:val="auto"/>
                <w:sz w:val="24"/>
                <w:szCs w:val="32"/>
              </w:rPr>
              <w:t>日发布）中</w:t>
            </w:r>
            <w:r>
              <w:rPr>
                <w:rFonts w:hint="eastAsia"/>
                <w:color w:val="auto"/>
                <w:sz w:val="24"/>
                <w:szCs w:val="32"/>
                <w:lang w:val="en-US" w:eastAsia="zh-CN"/>
              </w:rPr>
              <w:t>锡林郭勒盟</w:t>
            </w:r>
            <w:r>
              <w:rPr>
                <w:rFonts w:hint="eastAsia"/>
                <w:color w:val="auto"/>
                <w:sz w:val="24"/>
                <w:szCs w:val="32"/>
              </w:rPr>
              <w:t>的环境空气质量监测数据作为评价区域达标情况的依据。</w:t>
            </w:r>
            <w:r>
              <w:rPr>
                <w:color w:val="auto"/>
                <w:sz w:val="24"/>
              </w:rPr>
              <w:t>对区域环境空气质量现状进行分析，统计结果见表</w:t>
            </w:r>
            <w:r>
              <w:rPr>
                <w:rFonts w:hint="eastAsia"/>
                <w:color w:val="auto"/>
                <w:sz w:val="24"/>
              </w:rPr>
              <w:t>3-1</w:t>
            </w:r>
            <w:r>
              <w:rPr>
                <w:color w:val="auto"/>
                <w:sz w:val="24"/>
              </w:rPr>
              <w:t>。</w:t>
            </w:r>
          </w:p>
          <w:p w14:paraId="2DE25B0F">
            <w:pPr>
              <w:pStyle w:val="177"/>
              <w:spacing w:before="120"/>
              <w:ind w:firstLine="480"/>
              <w:rPr>
                <w:color w:val="auto"/>
              </w:rPr>
            </w:pPr>
            <w:r>
              <w:rPr>
                <w:color w:val="auto"/>
              </w:rPr>
              <w:t>表</w:t>
            </w:r>
            <w:r>
              <w:rPr>
                <w:rFonts w:hint="eastAsia"/>
                <w:color w:val="auto"/>
              </w:rPr>
              <w:t>3-1</w:t>
            </w:r>
            <w:r>
              <w:rPr>
                <w:color w:val="auto"/>
              </w:rPr>
              <w:t xml:space="preserve">  区域空气质量现状评价表</w:t>
            </w:r>
          </w:p>
          <w:tbl>
            <w:tblPr>
              <w:tblStyle w:val="31"/>
              <w:tblW w:w="4997" w:type="pct"/>
              <w:tblInd w:w="1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726"/>
              <w:gridCol w:w="1435"/>
              <w:gridCol w:w="1266"/>
              <w:gridCol w:w="1358"/>
              <w:gridCol w:w="1347"/>
              <w:gridCol w:w="1160"/>
            </w:tblGrid>
            <w:tr w14:paraId="21A25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349" w:type="pct"/>
                  <w:tcBorders>
                    <w:tl2br w:val="nil"/>
                    <w:tr2bl w:val="nil"/>
                  </w:tcBorders>
                  <w:vAlign w:val="center"/>
                </w:tcPr>
                <w:p w14:paraId="5D1ECC95">
                  <w:pPr>
                    <w:jc w:val="center"/>
                    <w:rPr>
                      <w:color w:val="auto"/>
                      <w:szCs w:val="21"/>
                    </w:rPr>
                  </w:pPr>
                  <w:r>
                    <w:rPr>
                      <w:color w:val="auto"/>
                      <w:szCs w:val="21"/>
                    </w:rPr>
                    <w:t>序号</w:t>
                  </w:r>
                </w:p>
              </w:tc>
              <w:tc>
                <w:tcPr>
                  <w:tcW w:w="463" w:type="pct"/>
                  <w:tcBorders>
                    <w:tl2br w:val="nil"/>
                    <w:tr2bl w:val="nil"/>
                  </w:tcBorders>
                  <w:vAlign w:val="center"/>
                </w:tcPr>
                <w:p w14:paraId="12CF8F52">
                  <w:pPr>
                    <w:jc w:val="center"/>
                    <w:rPr>
                      <w:color w:val="auto"/>
                      <w:szCs w:val="21"/>
                    </w:rPr>
                  </w:pPr>
                  <w:r>
                    <w:rPr>
                      <w:color w:val="auto"/>
                      <w:szCs w:val="21"/>
                    </w:rPr>
                    <w:t>污染物</w:t>
                  </w:r>
                </w:p>
              </w:tc>
              <w:tc>
                <w:tcPr>
                  <w:tcW w:w="915" w:type="pct"/>
                  <w:tcBorders>
                    <w:tl2br w:val="nil"/>
                    <w:tr2bl w:val="nil"/>
                  </w:tcBorders>
                  <w:vAlign w:val="center"/>
                </w:tcPr>
                <w:p w14:paraId="053D2F74">
                  <w:pPr>
                    <w:jc w:val="center"/>
                    <w:rPr>
                      <w:color w:val="auto"/>
                      <w:szCs w:val="21"/>
                    </w:rPr>
                  </w:pPr>
                  <w:r>
                    <w:rPr>
                      <w:color w:val="auto"/>
                      <w:szCs w:val="21"/>
                    </w:rPr>
                    <w:t>年评价指标</w:t>
                  </w:r>
                </w:p>
              </w:tc>
              <w:tc>
                <w:tcPr>
                  <w:tcW w:w="807" w:type="pct"/>
                  <w:tcBorders>
                    <w:tl2br w:val="nil"/>
                    <w:tr2bl w:val="nil"/>
                  </w:tcBorders>
                  <w:vAlign w:val="center"/>
                </w:tcPr>
                <w:p w14:paraId="498DF7B5">
                  <w:pPr>
                    <w:jc w:val="center"/>
                    <w:rPr>
                      <w:color w:val="auto"/>
                      <w:szCs w:val="21"/>
                    </w:rPr>
                  </w:pPr>
                  <w:r>
                    <w:rPr>
                      <w:color w:val="auto"/>
                      <w:szCs w:val="21"/>
                    </w:rPr>
                    <w:t>现状浓度（μg/m</w:t>
                  </w:r>
                  <w:r>
                    <w:rPr>
                      <w:color w:val="auto"/>
                      <w:szCs w:val="21"/>
                      <w:vertAlign w:val="superscript"/>
                    </w:rPr>
                    <w:t>3</w:t>
                  </w:r>
                  <w:r>
                    <w:rPr>
                      <w:color w:val="auto"/>
                      <w:szCs w:val="21"/>
                    </w:rPr>
                    <w:t>）</w:t>
                  </w:r>
                </w:p>
              </w:tc>
              <w:tc>
                <w:tcPr>
                  <w:tcW w:w="866" w:type="pct"/>
                  <w:tcBorders>
                    <w:tl2br w:val="nil"/>
                    <w:tr2bl w:val="nil"/>
                  </w:tcBorders>
                  <w:vAlign w:val="center"/>
                </w:tcPr>
                <w:p w14:paraId="032B4C5C">
                  <w:pPr>
                    <w:jc w:val="center"/>
                    <w:rPr>
                      <w:color w:val="auto"/>
                      <w:szCs w:val="21"/>
                    </w:rPr>
                  </w:pPr>
                  <w:r>
                    <w:rPr>
                      <w:color w:val="auto"/>
                      <w:szCs w:val="21"/>
                    </w:rPr>
                    <w:t>标准值（μg/m</w:t>
                  </w:r>
                  <w:r>
                    <w:rPr>
                      <w:color w:val="auto"/>
                      <w:szCs w:val="21"/>
                      <w:vertAlign w:val="superscript"/>
                    </w:rPr>
                    <w:t>3</w:t>
                  </w:r>
                  <w:r>
                    <w:rPr>
                      <w:color w:val="auto"/>
                      <w:szCs w:val="21"/>
                    </w:rPr>
                    <w:t>）</w:t>
                  </w:r>
                </w:p>
              </w:tc>
              <w:tc>
                <w:tcPr>
                  <w:tcW w:w="859" w:type="pct"/>
                  <w:tcBorders>
                    <w:tl2br w:val="nil"/>
                    <w:tr2bl w:val="nil"/>
                  </w:tcBorders>
                  <w:vAlign w:val="center"/>
                </w:tcPr>
                <w:p w14:paraId="62FC992A">
                  <w:pPr>
                    <w:jc w:val="center"/>
                    <w:rPr>
                      <w:color w:val="auto"/>
                      <w:szCs w:val="21"/>
                    </w:rPr>
                  </w:pPr>
                  <w:r>
                    <w:rPr>
                      <w:color w:val="auto"/>
                      <w:szCs w:val="21"/>
                    </w:rPr>
                    <w:t>占标率（%）</w:t>
                  </w:r>
                </w:p>
              </w:tc>
              <w:tc>
                <w:tcPr>
                  <w:tcW w:w="738" w:type="pct"/>
                  <w:tcBorders>
                    <w:tl2br w:val="nil"/>
                    <w:tr2bl w:val="nil"/>
                  </w:tcBorders>
                  <w:vAlign w:val="center"/>
                </w:tcPr>
                <w:p w14:paraId="5102D33A">
                  <w:pPr>
                    <w:jc w:val="center"/>
                    <w:rPr>
                      <w:color w:val="auto"/>
                      <w:szCs w:val="21"/>
                    </w:rPr>
                  </w:pPr>
                  <w:r>
                    <w:rPr>
                      <w:color w:val="auto"/>
                      <w:szCs w:val="21"/>
                    </w:rPr>
                    <w:t>达标情况</w:t>
                  </w:r>
                </w:p>
              </w:tc>
            </w:tr>
            <w:tr w14:paraId="53AA6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349" w:type="pct"/>
                  <w:tcBorders>
                    <w:tl2br w:val="nil"/>
                    <w:tr2bl w:val="nil"/>
                  </w:tcBorders>
                  <w:vAlign w:val="center"/>
                </w:tcPr>
                <w:p w14:paraId="6E4B07DE">
                  <w:pPr>
                    <w:jc w:val="center"/>
                    <w:rPr>
                      <w:color w:val="auto"/>
                      <w:szCs w:val="21"/>
                    </w:rPr>
                  </w:pPr>
                  <w:r>
                    <w:rPr>
                      <w:color w:val="auto"/>
                      <w:szCs w:val="21"/>
                    </w:rPr>
                    <w:t>1</w:t>
                  </w:r>
                </w:p>
              </w:tc>
              <w:tc>
                <w:tcPr>
                  <w:tcW w:w="463" w:type="pct"/>
                  <w:tcBorders>
                    <w:tl2br w:val="nil"/>
                    <w:tr2bl w:val="nil"/>
                  </w:tcBorders>
                  <w:vAlign w:val="center"/>
                </w:tcPr>
                <w:p w14:paraId="65808604">
                  <w:pPr>
                    <w:jc w:val="center"/>
                    <w:rPr>
                      <w:color w:val="auto"/>
                      <w:szCs w:val="21"/>
                    </w:rPr>
                  </w:pPr>
                  <w:r>
                    <w:rPr>
                      <w:color w:val="auto"/>
                      <w:szCs w:val="21"/>
                    </w:rPr>
                    <w:t>SO</w:t>
                  </w:r>
                  <w:r>
                    <w:rPr>
                      <w:color w:val="auto"/>
                      <w:szCs w:val="21"/>
                      <w:vertAlign w:val="subscript"/>
                    </w:rPr>
                    <w:t>2</w:t>
                  </w:r>
                </w:p>
              </w:tc>
              <w:tc>
                <w:tcPr>
                  <w:tcW w:w="915" w:type="pct"/>
                  <w:vMerge w:val="restart"/>
                  <w:tcBorders>
                    <w:tl2br w:val="nil"/>
                    <w:tr2bl w:val="nil"/>
                  </w:tcBorders>
                  <w:vAlign w:val="center"/>
                </w:tcPr>
                <w:p w14:paraId="14169E8D">
                  <w:pPr>
                    <w:jc w:val="center"/>
                    <w:rPr>
                      <w:color w:val="auto"/>
                      <w:szCs w:val="21"/>
                    </w:rPr>
                  </w:pPr>
                  <w:r>
                    <w:rPr>
                      <w:color w:val="auto"/>
                      <w:szCs w:val="21"/>
                    </w:rPr>
                    <w:t>年平均质量浓度</w:t>
                  </w:r>
                </w:p>
              </w:tc>
              <w:tc>
                <w:tcPr>
                  <w:tcW w:w="807" w:type="pct"/>
                  <w:tcBorders>
                    <w:tl2br w:val="nil"/>
                    <w:tr2bl w:val="nil"/>
                  </w:tcBorders>
                  <w:vAlign w:val="center"/>
                </w:tcPr>
                <w:p w14:paraId="271C4BB9">
                  <w:pPr>
                    <w:jc w:val="center"/>
                    <w:rPr>
                      <w:rFonts w:hint="default" w:eastAsia="宋体"/>
                      <w:color w:val="auto"/>
                      <w:szCs w:val="21"/>
                      <w:lang w:val="en-US" w:eastAsia="zh-CN"/>
                    </w:rPr>
                  </w:pPr>
                  <w:r>
                    <w:rPr>
                      <w:rFonts w:hint="eastAsia"/>
                      <w:color w:val="auto"/>
                      <w:szCs w:val="21"/>
                      <w:lang w:val="en-US" w:eastAsia="zh-CN"/>
                    </w:rPr>
                    <w:t>9.55</w:t>
                  </w:r>
                </w:p>
              </w:tc>
              <w:tc>
                <w:tcPr>
                  <w:tcW w:w="866" w:type="pct"/>
                  <w:tcBorders>
                    <w:tl2br w:val="nil"/>
                    <w:tr2bl w:val="nil"/>
                  </w:tcBorders>
                  <w:vAlign w:val="center"/>
                </w:tcPr>
                <w:p w14:paraId="0056F69E">
                  <w:pPr>
                    <w:jc w:val="center"/>
                    <w:rPr>
                      <w:color w:val="auto"/>
                      <w:szCs w:val="21"/>
                    </w:rPr>
                  </w:pPr>
                  <w:r>
                    <w:rPr>
                      <w:color w:val="auto"/>
                      <w:szCs w:val="21"/>
                    </w:rPr>
                    <w:t>60</w:t>
                  </w:r>
                </w:p>
              </w:tc>
              <w:tc>
                <w:tcPr>
                  <w:tcW w:w="859" w:type="pct"/>
                  <w:tcBorders>
                    <w:tl2br w:val="nil"/>
                    <w:tr2bl w:val="nil"/>
                  </w:tcBorders>
                  <w:vAlign w:val="center"/>
                </w:tcPr>
                <w:p w14:paraId="5A8B6F07">
                  <w:pPr>
                    <w:jc w:val="center"/>
                    <w:rPr>
                      <w:rFonts w:hint="default" w:eastAsia="宋体"/>
                      <w:color w:val="auto"/>
                      <w:szCs w:val="21"/>
                      <w:lang w:val="en-US" w:eastAsia="zh-CN"/>
                    </w:rPr>
                  </w:pPr>
                  <w:r>
                    <w:rPr>
                      <w:color w:val="auto"/>
                      <w:szCs w:val="21"/>
                    </w:rPr>
                    <w:t>1</w:t>
                  </w:r>
                  <w:r>
                    <w:rPr>
                      <w:rFonts w:hint="eastAsia"/>
                      <w:color w:val="auto"/>
                      <w:szCs w:val="21"/>
                      <w:lang w:val="en-US" w:eastAsia="zh-CN"/>
                    </w:rPr>
                    <w:t>5.9</w:t>
                  </w:r>
                </w:p>
              </w:tc>
              <w:tc>
                <w:tcPr>
                  <w:tcW w:w="738" w:type="pct"/>
                  <w:tcBorders>
                    <w:tl2br w:val="nil"/>
                    <w:tr2bl w:val="nil"/>
                  </w:tcBorders>
                  <w:vAlign w:val="center"/>
                </w:tcPr>
                <w:p w14:paraId="1F76BA08">
                  <w:pPr>
                    <w:pStyle w:val="178"/>
                    <w:jc w:val="center"/>
                    <w:rPr>
                      <w:color w:val="auto"/>
                      <w:sz w:val="20"/>
                      <w:szCs w:val="20"/>
                      <w:lang w:eastAsia="zh-CN"/>
                    </w:rPr>
                  </w:pPr>
                  <w:r>
                    <w:rPr>
                      <w:color w:val="auto"/>
                      <w:spacing w:val="5"/>
                      <w:sz w:val="20"/>
                      <w:szCs w:val="20"/>
                    </w:rPr>
                    <w:t>达标</w:t>
                  </w:r>
                </w:p>
              </w:tc>
            </w:tr>
            <w:tr w14:paraId="67C34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349" w:type="pct"/>
                  <w:tcBorders>
                    <w:tl2br w:val="nil"/>
                    <w:tr2bl w:val="nil"/>
                  </w:tcBorders>
                  <w:vAlign w:val="center"/>
                </w:tcPr>
                <w:p w14:paraId="6CA7D2F8">
                  <w:pPr>
                    <w:jc w:val="center"/>
                    <w:rPr>
                      <w:color w:val="auto"/>
                      <w:szCs w:val="21"/>
                    </w:rPr>
                  </w:pPr>
                  <w:r>
                    <w:rPr>
                      <w:color w:val="auto"/>
                      <w:szCs w:val="21"/>
                    </w:rPr>
                    <w:t>2</w:t>
                  </w:r>
                </w:p>
              </w:tc>
              <w:tc>
                <w:tcPr>
                  <w:tcW w:w="463" w:type="pct"/>
                  <w:tcBorders>
                    <w:tl2br w:val="nil"/>
                    <w:tr2bl w:val="nil"/>
                  </w:tcBorders>
                  <w:vAlign w:val="center"/>
                </w:tcPr>
                <w:p w14:paraId="34265316">
                  <w:pPr>
                    <w:jc w:val="center"/>
                    <w:rPr>
                      <w:color w:val="auto"/>
                      <w:szCs w:val="21"/>
                    </w:rPr>
                  </w:pPr>
                  <w:r>
                    <w:rPr>
                      <w:color w:val="auto"/>
                      <w:szCs w:val="21"/>
                    </w:rPr>
                    <w:t>NO</w:t>
                  </w:r>
                  <w:r>
                    <w:rPr>
                      <w:color w:val="auto"/>
                      <w:szCs w:val="21"/>
                      <w:vertAlign w:val="subscript"/>
                    </w:rPr>
                    <w:t>2</w:t>
                  </w:r>
                </w:p>
              </w:tc>
              <w:tc>
                <w:tcPr>
                  <w:tcW w:w="915" w:type="pct"/>
                  <w:vMerge w:val="continue"/>
                  <w:tcBorders>
                    <w:tl2br w:val="nil"/>
                    <w:tr2bl w:val="nil"/>
                  </w:tcBorders>
                  <w:vAlign w:val="center"/>
                </w:tcPr>
                <w:p w14:paraId="42E275D8">
                  <w:pPr>
                    <w:jc w:val="center"/>
                    <w:rPr>
                      <w:color w:val="auto"/>
                      <w:szCs w:val="21"/>
                    </w:rPr>
                  </w:pPr>
                </w:p>
              </w:tc>
              <w:tc>
                <w:tcPr>
                  <w:tcW w:w="807" w:type="pct"/>
                  <w:tcBorders>
                    <w:tl2br w:val="nil"/>
                    <w:tr2bl w:val="nil"/>
                  </w:tcBorders>
                  <w:vAlign w:val="center"/>
                </w:tcPr>
                <w:p w14:paraId="2890F418">
                  <w:pPr>
                    <w:jc w:val="center"/>
                    <w:rPr>
                      <w:rFonts w:hint="default" w:eastAsia="宋体"/>
                      <w:color w:val="auto"/>
                      <w:szCs w:val="21"/>
                      <w:lang w:val="en-US" w:eastAsia="zh-CN"/>
                    </w:rPr>
                  </w:pPr>
                  <w:r>
                    <w:rPr>
                      <w:rFonts w:hint="eastAsia"/>
                      <w:color w:val="auto"/>
                      <w:szCs w:val="21"/>
                      <w:lang w:val="en-US" w:eastAsia="zh-CN"/>
                    </w:rPr>
                    <w:t>12.03</w:t>
                  </w:r>
                </w:p>
              </w:tc>
              <w:tc>
                <w:tcPr>
                  <w:tcW w:w="866" w:type="pct"/>
                  <w:tcBorders>
                    <w:tl2br w:val="nil"/>
                    <w:tr2bl w:val="nil"/>
                  </w:tcBorders>
                  <w:vAlign w:val="center"/>
                </w:tcPr>
                <w:p w14:paraId="65A93761">
                  <w:pPr>
                    <w:jc w:val="center"/>
                    <w:rPr>
                      <w:color w:val="auto"/>
                      <w:szCs w:val="21"/>
                    </w:rPr>
                  </w:pPr>
                  <w:r>
                    <w:rPr>
                      <w:color w:val="auto"/>
                      <w:szCs w:val="21"/>
                    </w:rPr>
                    <w:t>40</w:t>
                  </w:r>
                </w:p>
              </w:tc>
              <w:tc>
                <w:tcPr>
                  <w:tcW w:w="859" w:type="pct"/>
                  <w:tcBorders>
                    <w:tl2br w:val="nil"/>
                    <w:tr2bl w:val="nil"/>
                  </w:tcBorders>
                  <w:vAlign w:val="center"/>
                </w:tcPr>
                <w:p w14:paraId="73EE8A56">
                  <w:pPr>
                    <w:jc w:val="center"/>
                    <w:rPr>
                      <w:rFonts w:hint="default" w:eastAsia="宋体"/>
                      <w:color w:val="auto"/>
                      <w:szCs w:val="21"/>
                      <w:lang w:val="en-US" w:eastAsia="zh-CN"/>
                    </w:rPr>
                  </w:pPr>
                  <w:r>
                    <w:rPr>
                      <w:rFonts w:hint="eastAsia"/>
                      <w:color w:val="auto"/>
                      <w:szCs w:val="21"/>
                      <w:lang w:val="en-US" w:eastAsia="zh-CN"/>
                    </w:rPr>
                    <w:t>30.1</w:t>
                  </w:r>
                </w:p>
              </w:tc>
              <w:tc>
                <w:tcPr>
                  <w:tcW w:w="738" w:type="pct"/>
                  <w:tcBorders>
                    <w:tl2br w:val="nil"/>
                    <w:tr2bl w:val="nil"/>
                  </w:tcBorders>
                  <w:vAlign w:val="center"/>
                </w:tcPr>
                <w:p w14:paraId="4E3B60AD">
                  <w:pPr>
                    <w:pStyle w:val="178"/>
                    <w:jc w:val="center"/>
                    <w:rPr>
                      <w:color w:val="auto"/>
                      <w:sz w:val="20"/>
                      <w:szCs w:val="20"/>
                      <w:lang w:eastAsia="zh-CN"/>
                    </w:rPr>
                  </w:pPr>
                  <w:r>
                    <w:rPr>
                      <w:color w:val="auto"/>
                      <w:spacing w:val="5"/>
                      <w:sz w:val="20"/>
                      <w:szCs w:val="20"/>
                    </w:rPr>
                    <w:t>达标</w:t>
                  </w:r>
                </w:p>
              </w:tc>
            </w:tr>
            <w:tr w14:paraId="70EAA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349" w:type="pct"/>
                  <w:tcBorders>
                    <w:tl2br w:val="nil"/>
                    <w:tr2bl w:val="nil"/>
                  </w:tcBorders>
                  <w:vAlign w:val="center"/>
                </w:tcPr>
                <w:p w14:paraId="2A520DA1">
                  <w:pPr>
                    <w:jc w:val="center"/>
                    <w:rPr>
                      <w:color w:val="auto"/>
                      <w:szCs w:val="21"/>
                    </w:rPr>
                  </w:pPr>
                  <w:r>
                    <w:rPr>
                      <w:color w:val="auto"/>
                      <w:szCs w:val="21"/>
                    </w:rPr>
                    <w:t>3</w:t>
                  </w:r>
                </w:p>
              </w:tc>
              <w:tc>
                <w:tcPr>
                  <w:tcW w:w="463" w:type="pct"/>
                  <w:tcBorders>
                    <w:tl2br w:val="nil"/>
                    <w:tr2bl w:val="nil"/>
                  </w:tcBorders>
                  <w:vAlign w:val="center"/>
                </w:tcPr>
                <w:p w14:paraId="2BE7D627">
                  <w:pPr>
                    <w:jc w:val="center"/>
                    <w:rPr>
                      <w:color w:val="auto"/>
                      <w:szCs w:val="21"/>
                    </w:rPr>
                  </w:pPr>
                  <w:r>
                    <w:rPr>
                      <w:color w:val="auto"/>
                      <w:szCs w:val="21"/>
                    </w:rPr>
                    <w:t>PM</w:t>
                  </w:r>
                  <w:r>
                    <w:rPr>
                      <w:color w:val="auto"/>
                      <w:szCs w:val="21"/>
                      <w:vertAlign w:val="subscript"/>
                    </w:rPr>
                    <w:t>10</w:t>
                  </w:r>
                </w:p>
              </w:tc>
              <w:tc>
                <w:tcPr>
                  <w:tcW w:w="915" w:type="pct"/>
                  <w:vMerge w:val="continue"/>
                  <w:tcBorders>
                    <w:tl2br w:val="nil"/>
                    <w:tr2bl w:val="nil"/>
                  </w:tcBorders>
                  <w:vAlign w:val="center"/>
                </w:tcPr>
                <w:p w14:paraId="178E35C9">
                  <w:pPr>
                    <w:jc w:val="center"/>
                    <w:rPr>
                      <w:color w:val="auto"/>
                      <w:szCs w:val="21"/>
                    </w:rPr>
                  </w:pPr>
                </w:p>
              </w:tc>
              <w:tc>
                <w:tcPr>
                  <w:tcW w:w="807" w:type="pct"/>
                  <w:tcBorders>
                    <w:tl2br w:val="nil"/>
                    <w:tr2bl w:val="nil"/>
                  </w:tcBorders>
                  <w:vAlign w:val="center"/>
                </w:tcPr>
                <w:p w14:paraId="7D844586">
                  <w:pPr>
                    <w:jc w:val="center"/>
                    <w:rPr>
                      <w:rFonts w:hint="default" w:eastAsia="宋体"/>
                      <w:color w:val="auto"/>
                      <w:szCs w:val="21"/>
                      <w:lang w:val="en-US" w:eastAsia="zh-CN"/>
                    </w:rPr>
                  </w:pPr>
                  <w:r>
                    <w:rPr>
                      <w:rFonts w:hint="eastAsia"/>
                      <w:color w:val="auto"/>
                      <w:szCs w:val="21"/>
                      <w:lang w:val="en-US" w:eastAsia="zh-CN"/>
                    </w:rPr>
                    <w:t>48.91</w:t>
                  </w:r>
                </w:p>
              </w:tc>
              <w:tc>
                <w:tcPr>
                  <w:tcW w:w="866" w:type="pct"/>
                  <w:tcBorders>
                    <w:tl2br w:val="nil"/>
                    <w:tr2bl w:val="nil"/>
                  </w:tcBorders>
                  <w:vAlign w:val="center"/>
                </w:tcPr>
                <w:p w14:paraId="4545084E">
                  <w:pPr>
                    <w:jc w:val="center"/>
                    <w:rPr>
                      <w:color w:val="auto"/>
                      <w:szCs w:val="21"/>
                    </w:rPr>
                  </w:pPr>
                  <w:r>
                    <w:rPr>
                      <w:color w:val="auto"/>
                      <w:szCs w:val="21"/>
                    </w:rPr>
                    <w:t>70</w:t>
                  </w:r>
                </w:p>
              </w:tc>
              <w:tc>
                <w:tcPr>
                  <w:tcW w:w="859" w:type="pct"/>
                  <w:tcBorders>
                    <w:tl2br w:val="nil"/>
                    <w:tr2bl w:val="nil"/>
                  </w:tcBorders>
                  <w:vAlign w:val="center"/>
                </w:tcPr>
                <w:p w14:paraId="7AE304C5">
                  <w:pPr>
                    <w:jc w:val="center"/>
                    <w:rPr>
                      <w:rFonts w:hint="default" w:eastAsia="宋体"/>
                      <w:color w:val="auto"/>
                      <w:szCs w:val="21"/>
                      <w:lang w:val="en-US" w:eastAsia="zh-CN"/>
                    </w:rPr>
                  </w:pPr>
                  <w:r>
                    <w:rPr>
                      <w:rFonts w:hint="eastAsia"/>
                      <w:color w:val="auto"/>
                      <w:szCs w:val="21"/>
                      <w:lang w:val="en-US" w:eastAsia="zh-CN"/>
                    </w:rPr>
                    <w:t>84.3</w:t>
                  </w:r>
                </w:p>
              </w:tc>
              <w:tc>
                <w:tcPr>
                  <w:tcW w:w="738" w:type="pct"/>
                  <w:tcBorders>
                    <w:tl2br w:val="nil"/>
                    <w:tr2bl w:val="nil"/>
                  </w:tcBorders>
                  <w:vAlign w:val="center"/>
                </w:tcPr>
                <w:p w14:paraId="2A5C6632">
                  <w:pPr>
                    <w:pStyle w:val="178"/>
                    <w:jc w:val="center"/>
                    <w:rPr>
                      <w:color w:val="auto"/>
                      <w:sz w:val="20"/>
                      <w:szCs w:val="20"/>
                      <w:lang w:eastAsia="zh-CN"/>
                    </w:rPr>
                  </w:pPr>
                  <w:r>
                    <w:rPr>
                      <w:color w:val="auto"/>
                      <w:spacing w:val="5"/>
                      <w:sz w:val="20"/>
                      <w:szCs w:val="20"/>
                    </w:rPr>
                    <w:t>达标</w:t>
                  </w:r>
                </w:p>
              </w:tc>
            </w:tr>
            <w:tr w14:paraId="4ECAE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349" w:type="pct"/>
                  <w:tcBorders>
                    <w:tl2br w:val="nil"/>
                    <w:tr2bl w:val="nil"/>
                  </w:tcBorders>
                  <w:vAlign w:val="center"/>
                </w:tcPr>
                <w:p w14:paraId="2C329BA7">
                  <w:pPr>
                    <w:jc w:val="center"/>
                    <w:rPr>
                      <w:color w:val="auto"/>
                      <w:szCs w:val="21"/>
                    </w:rPr>
                  </w:pPr>
                  <w:r>
                    <w:rPr>
                      <w:color w:val="auto"/>
                      <w:szCs w:val="21"/>
                    </w:rPr>
                    <w:t>4</w:t>
                  </w:r>
                </w:p>
              </w:tc>
              <w:tc>
                <w:tcPr>
                  <w:tcW w:w="463" w:type="pct"/>
                  <w:tcBorders>
                    <w:tl2br w:val="nil"/>
                    <w:tr2bl w:val="nil"/>
                  </w:tcBorders>
                  <w:vAlign w:val="center"/>
                </w:tcPr>
                <w:p w14:paraId="6E7916A0">
                  <w:pPr>
                    <w:jc w:val="center"/>
                    <w:rPr>
                      <w:color w:val="auto"/>
                      <w:szCs w:val="21"/>
                    </w:rPr>
                  </w:pPr>
                  <w:r>
                    <w:rPr>
                      <w:color w:val="auto"/>
                      <w:szCs w:val="21"/>
                    </w:rPr>
                    <w:t>PM</w:t>
                  </w:r>
                  <w:r>
                    <w:rPr>
                      <w:rFonts w:hint="eastAsia"/>
                      <w:color w:val="auto"/>
                      <w:szCs w:val="21"/>
                      <w:vertAlign w:val="subscript"/>
                      <w:lang w:val="en-US" w:eastAsia="zh-CN"/>
                    </w:rPr>
                    <w:t>2.</w:t>
                  </w:r>
                  <w:r>
                    <w:rPr>
                      <w:color w:val="auto"/>
                      <w:szCs w:val="21"/>
                      <w:vertAlign w:val="subscript"/>
                    </w:rPr>
                    <w:t>5</w:t>
                  </w:r>
                </w:p>
              </w:tc>
              <w:tc>
                <w:tcPr>
                  <w:tcW w:w="915" w:type="pct"/>
                  <w:vMerge w:val="continue"/>
                  <w:tcBorders>
                    <w:tl2br w:val="nil"/>
                    <w:tr2bl w:val="nil"/>
                  </w:tcBorders>
                  <w:vAlign w:val="center"/>
                </w:tcPr>
                <w:p w14:paraId="0CCF4652">
                  <w:pPr>
                    <w:jc w:val="center"/>
                    <w:rPr>
                      <w:color w:val="auto"/>
                      <w:szCs w:val="21"/>
                      <w:lang w:eastAsia="en-US"/>
                    </w:rPr>
                  </w:pPr>
                </w:p>
              </w:tc>
              <w:tc>
                <w:tcPr>
                  <w:tcW w:w="807" w:type="pct"/>
                  <w:tcBorders>
                    <w:tl2br w:val="nil"/>
                    <w:tr2bl w:val="nil"/>
                  </w:tcBorders>
                  <w:vAlign w:val="center"/>
                </w:tcPr>
                <w:p w14:paraId="5F3EB990">
                  <w:pPr>
                    <w:jc w:val="center"/>
                    <w:rPr>
                      <w:rFonts w:hint="default" w:eastAsia="宋体"/>
                      <w:color w:val="auto"/>
                      <w:szCs w:val="21"/>
                      <w:lang w:val="en-US" w:eastAsia="zh-CN"/>
                    </w:rPr>
                  </w:pPr>
                  <w:r>
                    <w:rPr>
                      <w:rFonts w:hint="eastAsia"/>
                      <w:color w:val="auto"/>
                      <w:szCs w:val="21"/>
                      <w:lang w:val="en-US" w:eastAsia="zh-CN"/>
                    </w:rPr>
                    <w:t>11.25</w:t>
                  </w:r>
                </w:p>
              </w:tc>
              <w:tc>
                <w:tcPr>
                  <w:tcW w:w="866" w:type="pct"/>
                  <w:tcBorders>
                    <w:tl2br w:val="nil"/>
                    <w:tr2bl w:val="nil"/>
                  </w:tcBorders>
                  <w:vAlign w:val="center"/>
                </w:tcPr>
                <w:p w14:paraId="2BEFF9D9">
                  <w:pPr>
                    <w:jc w:val="center"/>
                    <w:rPr>
                      <w:color w:val="auto"/>
                      <w:szCs w:val="21"/>
                    </w:rPr>
                  </w:pPr>
                  <w:r>
                    <w:rPr>
                      <w:color w:val="auto"/>
                      <w:szCs w:val="21"/>
                    </w:rPr>
                    <w:t>35</w:t>
                  </w:r>
                </w:p>
              </w:tc>
              <w:tc>
                <w:tcPr>
                  <w:tcW w:w="859" w:type="pct"/>
                  <w:tcBorders>
                    <w:tl2br w:val="nil"/>
                    <w:tr2bl w:val="nil"/>
                  </w:tcBorders>
                  <w:vAlign w:val="center"/>
                </w:tcPr>
                <w:p w14:paraId="671338B8">
                  <w:pPr>
                    <w:jc w:val="center"/>
                    <w:rPr>
                      <w:rFonts w:hint="default" w:eastAsia="宋体"/>
                      <w:color w:val="auto"/>
                      <w:szCs w:val="21"/>
                      <w:lang w:val="en-US" w:eastAsia="zh-CN"/>
                    </w:rPr>
                  </w:pPr>
                  <w:r>
                    <w:rPr>
                      <w:rFonts w:hint="eastAsia"/>
                      <w:color w:val="auto"/>
                      <w:szCs w:val="21"/>
                      <w:lang w:val="en-US" w:eastAsia="zh-CN"/>
                    </w:rPr>
                    <w:t>32.1</w:t>
                  </w:r>
                </w:p>
              </w:tc>
              <w:tc>
                <w:tcPr>
                  <w:tcW w:w="738" w:type="pct"/>
                  <w:tcBorders>
                    <w:tl2br w:val="nil"/>
                    <w:tr2bl w:val="nil"/>
                  </w:tcBorders>
                  <w:vAlign w:val="center"/>
                </w:tcPr>
                <w:p w14:paraId="76AF52B8">
                  <w:pPr>
                    <w:pStyle w:val="178"/>
                    <w:jc w:val="center"/>
                    <w:rPr>
                      <w:color w:val="auto"/>
                      <w:sz w:val="20"/>
                      <w:szCs w:val="20"/>
                      <w:lang w:eastAsia="zh-CN"/>
                    </w:rPr>
                  </w:pPr>
                  <w:r>
                    <w:rPr>
                      <w:color w:val="auto"/>
                      <w:spacing w:val="5"/>
                      <w:sz w:val="20"/>
                      <w:szCs w:val="20"/>
                    </w:rPr>
                    <w:t>达标</w:t>
                  </w:r>
                </w:p>
              </w:tc>
            </w:tr>
            <w:tr w14:paraId="781F1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349" w:type="pct"/>
                  <w:tcBorders>
                    <w:tl2br w:val="nil"/>
                    <w:tr2bl w:val="nil"/>
                  </w:tcBorders>
                  <w:vAlign w:val="center"/>
                </w:tcPr>
                <w:p w14:paraId="54B3B778">
                  <w:pPr>
                    <w:jc w:val="center"/>
                    <w:rPr>
                      <w:color w:val="auto"/>
                      <w:szCs w:val="21"/>
                    </w:rPr>
                  </w:pPr>
                  <w:r>
                    <w:rPr>
                      <w:color w:val="auto"/>
                      <w:szCs w:val="21"/>
                    </w:rPr>
                    <w:t>5</w:t>
                  </w:r>
                </w:p>
              </w:tc>
              <w:tc>
                <w:tcPr>
                  <w:tcW w:w="463" w:type="pct"/>
                  <w:tcBorders>
                    <w:tl2br w:val="nil"/>
                    <w:tr2bl w:val="nil"/>
                  </w:tcBorders>
                  <w:vAlign w:val="center"/>
                </w:tcPr>
                <w:p w14:paraId="186AD46C">
                  <w:pPr>
                    <w:jc w:val="center"/>
                    <w:rPr>
                      <w:color w:val="auto"/>
                      <w:szCs w:val="21"/>
                    </w:rPr>
                  </w:pPr>
                  <w:r>
                    <w:rPr>
                      <w:color w:val="auto"/>
                      <w:szCs w:val="21"/>
                    </w:rPr>
                    <w:t>CO</w:t>
                  </w:r>
                </w:p>
              </w:tc>
              <w:tc>
                <w:tcPr>
                  <w:tcW w:w="915" w:type="pct"/>
                  <w:vMerge w:val="restart"/>
                  <w:tcBorders>
                    <w:tl2br w:val="nil"/>
                    <w:tr2bl w:val="nil"/>
                  </w:tcBorders>
                  <w:vAlign w:val="center"/>
                </w:tcPr>
                <w:p w14:paraId="1A550FFB">
                  <w:pPr>
                    <w:jc w:val="center"/>
                    <w:rPr>
                      <w:color w:val="auto"/>
                      <w:szCs w:val="21"/>
                    </w:rPr>
                  </w:pPr>
                  <w:r>
                    <w:rPr>
                      <w:color w:val="auto"/>
                      <w:szCs w:val="21"/>
                    </w:rPr>
                    <w:t>24 小时平均第95百分位数</w:t>
                  </w:r>
                </w:p>
              </w:tc>
              <w:tc>
                <w:tcPr>
                  <w:tcW w:w="807" w:type="pct"/>
                  <w:tcBorders>
                    <w:tl2br w:val="nil"/>
                    <w:tr2bl w:val="nil"/>
                  </w:tcBorders>
                  <w:vAlign w:val="center"/>
                </w:tcPr>
                <w:p w14:paraId="73AD471A">
                  <w:pPr>
                    <w:jc w:val="center"/>
                    <w:rPr>
                      <w:color w:val="auto"/>
                      <w:szCs w:val="21"/>
                    </w:rPr>
                  </w:pPr>
                  <w:r>
                    <w:rPr>
                      <w:rFonts w:hint="eastAsia"/>
                      <w:color w:val="auto"/>
                      <w:szCs w:val="21"/>
                      <w:lang w:val="en-US" w:eastAsia="zh-CN"/>
                    </w:rPr>
                    <w:t>3</w:t>
                  </w:r>
                  <w:r>
                    <w:rPr>
                      <w:color w:val="auto"/>
                      <w:szCs w:val="21"/>
                    </w:rPr>
                    <w:t>00</w:t>
                  </w:r>
                </w:p>
              </w:tc>
              <w:tc>
                <w:tcPr>
                  <w:tcW w:w="866" w:type="pct"/>
                  <w:tcBorders>
                    <w:tl2br w:val="nil"/>
                    <w:tr2bl w:val="nil"/>
                  </w:tcBorders>
                  <w:vAlign w:val="center"/>
                </w:tcPr>
                <w:p w14:paraId="37777826">
                  <w:pPr>
                    <w:jc w:val="center"/>
                    <w:rPr>
                      <w:color w:val="auto"/>
                      <w:szCs w:val="21"/>
                    </w:rPr>
                  </w:pPr>
                  <w:r>
                    <w:rPr>
                      <w:color w:val="auto"/>
                      <w:szCs w:val="21"/>
                    </w:rPr>
                    <w:t>4000</w:t>
                  </w:r>
                </w:p>
              </w:tc>
              <w:tc>
                <w:tcPr>
                  <w:tcW w:w="859" w:type="pct"/>
                  <w:tcBorders>
                    <w:tl2br w:val="nil"/>
                    <w:tr2bl w:val="nil"/>
                  </w:tcBorders>
                  <w:vAlign w:val="center"/>
                </w:tcPr>
                <w:p w14:paraId="53F991AF">
                  <w:pPr>
                    <w:jc w:val="center"/>
                    <w:rPr>
                      <w:rFonts w:hint="default" w:eastAsia="宋体"/>
                      <w:color w:val="auto"/>
                      <w:szCs w:val="21"/>
                      <w:lang w:val="en-US" w:eastAsia="zh-CN"/>
                    </w:rPr>
                  </w:pPr>
                  <w:r>
                    <w:rPr>
                      <w:rFonts w:hint="eastAsia"/>
                      <w:color w:val="auto"/>
                      <w:szCs w:val="21"/>
                      <w:lang w:val="en-US" w:eastAsia="zh-CN"/>
                    </w:rPr>
                    <w:t>7.5</w:t>
                  </w:r>
                </w:p>
              </w:tc>
              <w:tc>
                <w:tcPr>
                  <w:tcW w:w="738" w:type="pct"/>
                  <w:tcBorders>
                    <w:tl2br w:val="nil"/>
                    <w:tr2bl w:val="nil"/>
                  </w:tcBorders>
                  <w:vAlign w:val="center"/>
                </w:tcPr>
                <w:p w14:paraId="562E7796">
                  <w:pPr>
                    <w:pStyle w:val="178"/>
                    <w:jc w:val="center"/>
                    <w:rPr>
                      <w:color w:val="auto"/>
                      <w:sz w:val="20"/>
                      <w:szCs w:val="20"/>
                      <w:lang w:eastAsia="zh-CN"/>
                    </w:rPr>
                  </w:pPr>
                  <w:r>
                    <w:rPr>
                      <w:color w:val="auto"/>
                      <w:spacing w:val="5"/>
                      <w:sz w:val="20"/>
                      <w:szCs w:val="20"/>
                    </w:rPr>
                    <w:t>达标</w:t>
                  </w:r>
                </w:p>
              </w:tc>
            </w:tr>
            <w:tr w14:paraId="682E6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349" w:type="pct"/>
                  <w:tcBorders>
                    <w:tl2br w:val="nil"/>
                    <w:tr2bl w:val="nil"/>
                  </w:tcBorders>
                  <w:vAlign w:val="center"/>
                </w:tcPr>
                <w:p w14:paraId="0E430D46">
                  <w:pPr>
                    <w:jc w:val="center"/>
                    <w:rPr>
                      <w:color w:val="auto"/>
                      <w:szCs w:val="21"/>
                    </w:rPr>
                  </w:pPr>
                  <w:r>
                    <w:rPr>
                      <w:color w:val="auto"/>
                      <w:szCs w:val="21"/>
                    </w:rPr>
                    <w:t>6</w:t>
                  </w:r>
                </w:p>
              </w:tc>
              <w:tc>
                <w:tcPr>
                  <w:tcW w:w="463" w:type="pct"/>
                  <w:tcBorders>
                    <w:tl2br w:val="nil"/>
                    <w:tr2bl w:val="nil"/>
                  </w:tcBorders>
                  <w:vAlign w:val="center"/>
                </w:tcPr>
                <w:p w14:paraId="6A30433B">
                  <w:pPr>
                    <w:jc w:val="center"/>
                    <w:rPr>
                      <w:color w:val="auto"/>
                      <w:szCs w:val="21"/>
                    </w:rPr>
                  </w:pPr>
                  <w:r>
                    <w:rPr>
                      <w:color w:val="auto"/>
                      <w:szCs w:val="21"/>
                    </w:rPr>
                    <w:t>O</w:t>
                  </w:r>
                  <w:r>
                    <w:rPr>
                      <w:color w:val="auto"/>
                      <w:szCs w:val="21"/>
                      <w:vertAlign w:val="subscript"/>
                    </w:rPr>
                    <w:t>3</w:t>
                  </w:r>
                </w:p>
              </w:tc>
              <w:tc>
                <w:tcPr>
                  <w:tcW w:w="915" w:type="pct"/>
                  <w:vMerge w:val="continue"/>
                  <w:tcBorders>
                    <w:tl2br w:val="nil"/>
                    <w:tr2bl w:val="nil"/>
                  </w:tcBorders>
                  <w:vAlign w:val="center"/>
                </w:tcPr>
                <w:p w14:paraId="6247A699">
                  <w:pPr>
                    <w:jc w:val="center"/>
                    <w:rPr>
                      <w:color w:val="auto"/>
                      <w:szCs w:val="21"/>
                    </w:rPr>
                  </w:pPr>
                  <w:r>
                    <w:rPr>
                      <w:color w:val="auto"/>
                      <w:szCs w:val="21"/>
                    </w:rPr>
                    <w:t>日最大 8 小时平 均第 90 百分位数</w:t>
                  </w:r>
                </w:p>
              </w:tc>
              <w:tc>
                <w:tcPr>
                  <w:tcW w:w="807" w:type="pct"/>
                  <w:tcBorders>
                    <w:tl2br w:val="nil"/>
                    <w:tr2bl w:val="nil"/>
                  </w:tcBorders>
                  <w:vAlign w:val="center"/>
                </w:tcPr>
                <w:p w14:paraId="08B6CE24">
                  <w:pPr>
                    <w:jc w:val="center"/>
                    <w:rPr>
                      <w:rFonts w:hint="default" w:eastAsia="宋体"/>
                      <w:color w:val="auto"/>
                      <w:szCs w:val="21"/>
                      <w:lang w:val="en-US" w:eastAsia="zh-CN"/>
                    </w:rPr>
                  </w:pPr>
                  <w:r>
                    <w:rPr>
                      <w:rFonts w:hint="eastAsia"/>
                      <w:color w:val="auto"/>
                      <w:szCs w:val="21"/>
                      <w:lang w:val="en-US" w:eastAsia="zh-CN"/>
                    </w:rPr>
                    <w:t>129</w:t>
                  </w:r>
                </w:p>
              </w:tc>
              <w:tc>
                <w:tcPr>
                  <w:tcW w:w="866" w:type="pct"/>
                  <w:tcBorders>
                    <w:tl2br w:val="nil"/>
                    <w:tr2bl w:val="nil"/>
                  </w:tcBorders>
                  <w:vAlign w:val="center"/>
                </w:tcPr>
                <w:p w14:paraId="066E41FB">
                  <w:pPr>
                    <w:jc w:val="center"/>
                    <w:rPr>
                      <w:color w:val="auto"/>
                      <w:szCs w:val="21"/>
                    </w:rPr>
                  </w:pPr>
                  <w:r>
                    <w:rPr>
                      <w:color w:val="auto"/>
                      <w:szCs w:val="21"/>
                    </w:rPr>
                    <w:t>160</w:t>
                  </w:r>
                </w:p>
              </w:tc>
              <w:tc>
                <w:tcPr>
                  <w:tcW w:w="859" w:type="pct"/>
                  <w:tcBorders>
                    <w:tl2br w:val="nil"/>
                    <w:tr2bl w:val="nil"/>
                  </w:tcBorders>
                  <w:vAlign w:val="center"/>
                </w:tcPr>
                <w:p w14:paraId="1FB2237E">
                  <w:pPr>
                    <w:jc w:val="center"/>
                    <w:rPr>
                      <w:rFonts w:hint="default" w:eastAsia="宋体"/>
                      <w:color w:val="auto"/>
                      <w:szCs w:val="21"/>
                      <w:lang w:val="en-US" w:eastAsia="zh-CN"/>
                    </w:rPr>
                  </w:pPr>
                  <w:r>
                    <w:rPr>
                      <w:rFonts w:hint="eastAsia"/>
                      <w:color w:val="auto"/>
                      <w:szCs w:val="21"/>
                      <w:lang w:val="en-US" w:eastAsia="zh-CN"/>
                    </w:rPr>
                    <w:t>80</w:t>
                  </w:r>
                </w:p>
              </w:tc>
              <w:tc>
                <w:tcPr>
                  <w:tcW w:w="738" w:type="pct"/>
                  <w:tcBorders>
                    <w:tl2br w:val="nil"/>
                    <w:tr2bl w:val="nil"/>
                  </w:tcBorders>
                  <w:vAlign w:val="center"/>
                </w:tcPr>
                <w:p w14:paraId="37CA4262">
                  <w:pPr>
                    <w:pStyle w:val="178"/>
                    <w:jc w:val="center"/>
                    <w:rPr>
                      <w:color w:val="auto"/>
                      <w:sz w:val="20"/>
                      <w:szCs w:val="20"/>
                      <w:lang w:eastAsia="zh-CN"/>
                    </w:rPr>
                  </w:pPr>
                  <w:r>
                    <w:rPr>
                      <w:color w:val="auto"/>
                      <w:spacing w:val="5"/>
                      <w:sz w:val="20"/>
                      <w:szCs w:val="20"/>
                      <w:lang w:eastAsia="zh-CN"/>
                    </w:rPr>
                    <w:t>达标</w:t>
                  </w:r>
                </w:p>
              </w:tc>
            </w:tr>
            <w:tr w14:paraId="03133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349" w:type="pct"/>
                  <w:tcBorders>
                    <w:tl2br w:val="nil"/>
                    <w:tr2bl w:val="nil"/>
                  </w:tcBorders>
                  <w:vAlign w:val="center"/>
                </w:tcPr>
                <w:p w14:paraId="7F53320C">
                  <w:pPr>
                    <w:jc w:val="center"/>
                    <w:rPr>
                      <w:color w:val="auto"/>
                      <w:szCs w:val="21"/>
                    </w:rPr>
                  </w:pPr>
                  <w:r>
                    <w:rPr>
                      <w:color w:val="auto"/>
                      <w:szCs w:val="21"/>
                    </w:rPr>
                    <w:t>7</w:t>
                  </w:r>
                </w:p>
              </w:tc>
              <w:tc>
                <w:tcPr>
                  <w:tcW w:w="1378" w:type="pct"/>
                  <w:gridSpan w:val="2"/>
                  <w:tcBorders>
                    <w:tl2br w:val="nil"/>
                    <w:tr2bl w:val="nil"/>
                  </w:tcBorders>
                  <w:vAlign w:val="center"/>
                </w:tcPr>
                <w:p w14:paraId="48EC9B3D">
                  <w:pPr>
                    <w:jc w:val="center"/>
                    <w:rPr>
                      <w:color w:val="auto"/>
                      <w:szCs w:val="21"/>
                    </w:rPr>
                  </w:pPr>
                  <w:r>
                    <w:rPr>
                      <w:color w:val="auto"/>
                      <w:szCs w:val="21"/>
                    </w:rPr>
                    <w:t>综合评价</w:t>
                  </w:r>
                </w:p>
              </w:tc>
              <w:tc>
                <w:tcPr>
                  <w:tcW w:w="3272" w:type="pct"/>
                  <w:gridSpan w:val="4"/>
                  <w:tcBorders>
                    <w:tl2br w:val="nil"/>
                    <w:tr2bl w:val="nil"/>
                  </w:tcBorders>
                  <w:vAlign w:val="center"/>
                </w:tcPr>
                <w:p w14:paraId="057EDA0B">
                  <w:pPr>
                    <w:jc w:val="center"/>
                    <w:rPr>
                      <w:color w:val="auto"/>
                      <w:szCs w:val="21"/>
                    </w:rPr>
                  </w:pPr>
                  <w:r>
                    <w:rPr>
                      <w:color w:val="auto"/>
                      <w:szCs w:val="21"/>
                    </w:rPr>
                    <w:t>达标</w:t>
                  </w:r>
                </w:p>
              </w:tc>
            </w:tr>
          </w:tbl>
          <w:p w14:paraId="3326F3A6">
            <w:pPr>
              <w:pStyle w:val="68"/>
              <w:ind w:firstLine="480"/>
              <w:rPr>
                <w:rFonts w:hint="eastAsia"/>
                <w:color w:val="auto"/>
              </w:rPr>
            </w:pPr>
            <w:r>
              <w:rPr>
                <w:color w:val="auto"/>
              </w:rPr>
              <w:t>由上表可知，本项目所处区域环境</w:t>
            </w:r>
            <w:r>
              <w:rPr>
                <w:rFonts w:hint="eastAsia"/>
                <w:color w:val="auto"/>
              </w:rPr>
              <w:t>空气</w:t>
            </w:r>
            <w:r>
              <w:rPr>
                <w:color w:val="auto"/>
              </w:rPr>
              <w:t>质量良好，属于达标区</w:t>
            </w:r>
            <w:r>
              <w:rPr>
                <w:rFonts w:hint="eastAsia"/>
                <w:color w:val="auto"/>
              </w:rPr>
              <w:t>。</w:t>
            </w:r>
          </w:p>
          <w:p w14:paraId="18C69382">
            <w:pPr>
              <w:pStyle w:val="68"/>
              <w:ind w:firstLine="480"/>
              <w:rPr>
                <w:rFonts w:hint="eastAsia"/>
                <w:color w:val="auto"/>
              </w:rPr>
            </w:pPr>
            <w:r>
              <w:rPr>
                <w:rFonts w:hint="eastAsia"/>
                <w:color w:val="auto"/>
              </w:rPr>
              <w:t>根据《建设项目环境影响报告表编制技术指南（污染影响类）（试行）》：“排放国家、地方环境空气质量标准中有标准限值要求的特征污染物时，引用建设项目周边5千米范围内近3年的现有监测数据，无相关数据的选择当季主导风向下风向1个点位补充不少于3天的监测数据”。项目污水处理站排放的氨、硫化氢等无国家、地方环境空气质量标准限值，因此本项目不对氨、硫化氢进行监测。</w:t>
            </w:r>
          </w:p>
          <w:p w14:paraId="09387FF7">
            <w:pPr>
              <w:spacing w:line="360" w:lineRule="auto"/>
              <w:ind w:firstLine="482"/>
              <w:rPr>
                <w:rFonts w:hint="default" w:eastAsia="宋体"/>
                <w:b/>
                <w:bCs/>
                <w:color w:val="auto"/>
                <w:sz w:val="24"/>
                <w:lang w:val="en-US" w:eastAsia="zh-CN"/>
              </w:rPr>
            </w:pPr>
            <w:r>
              <w:rPr>
                <w:b/>
                <w:bCs/>
                <w:color w:val="auto"/>
                <w:sz w:val="24"/>
              </w:rPr>
              <w:t>2、</w:t>
            </w:r>
            <w:r>
              <w:rPr>
                <w:rFonts w:hint="eastAsia"/>
                <w:b/>
                <w:bCs/>
                <w:color w:val="auto"/>
                <w:sz w:val="24"/>
                <w:lang w:val="en-US" w:eastAsia="zh-CN"/>
              </w:rPr>
              <w:t>地表水环境质量现状</w:t>
            </w:r>
          </w:p>
          <w:p w14:paraId="6DBC64AE">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b/>
                <w:bCs/>
                <w:color w:val="auto"/>
              </w:rPr>
            </w:pPr>
            <w:r>
              <w:rPr>
                <w:rFonts w:hint="default" w:ascii="Times New Roman" w:hAnsi="Times New Roman" w:cs="Times New Roman"/>
                <w:color w:val="auto"/>
                <w:sz w:val="24"/>
                <w:szCs w:val="32"/>
              </w:rPr>
              <w:t>拟建项目评价范围内没有地表水体，则本项目不开展地表水环境质量现状调查。</w:t>
            </w:r>
          </w:p>
          <w:p w14:paraId="41037641">
            <w:pPr>
              <w:spacing w:line="360" w:lineRule="auto"/>
              <w:ind w:firstLine="482"/>
              <w:rPr>
                <w:b/>
                <w:color w:val="auto"/>
                <w:sz w:val="24"/>
              </w:rPr>
            </w:pPr>
            <w:r>
              <w:rPr>
                <w:rFonts w:hint="eastAsia"/>
                <w:b/>
                <w:color w:val="auto"/>
                <w:sz w:val="24"/>
                <w:lang w:val="en-US" w:eastAsia="zh-CN"/>
              </w:rPr>
              <w:t>3、</w:t>
            </w:r>
            <w:r>
              <w:rPr>
                <w:b/>
                <w:color w:val="auto"/>
                <w:sz w:val="24"/>
              </w:rPr>
              <w:t>声环境质量现状</w:t>
            </w:r>
          </w:p>
          <w:p w14:paraId="167DB674">
            <w:pPr>
              <w:pStyle w:val="10"/>
              <w:keepNext w:val="0"/>
              <w:keepLines w:val="0"/>
              <w:pageBreakBefore w:val="0"/>
              <w:widowControl w:val="0"/>
              <w:kinsoku/>
              <w:wordWrap w:val="0"/>
              <w:overflowPunct/>
              <w:topLinePunct/>
              <w:autoSpaceDE/>
              <w:autoSpaceDN/>
              <w:bidi w:val="0"/>
              <w:adjustRightInd w:val="0"/>
              <w:snapToGrid w:val="0"/>
              <w:spacing w:line="360" w:lineRule="auto"/>
              <w:ind w:firstLine="480" w:firstLineChars="200"/>
              <w:jc w:val="both"/>
              <w:textAlignment w:val="auto"/>
              <w:rPr>
                <w:color w:val="auto"/>
                <w:kern w:val="2"/>
              </w:rPr>
            </w:pPr>
            <w:bookmarkStart w:id="13" w:name="_Hlk140223988"/>
            <w:r>
              <w:rPr>
                <w:rFonts w:hint="eastAsia"/>
                <w:snapToGrid w:val="0"/>
                <w:color w:val="auto"/>
              </w:rPr>
              <w:t>根据《建设项目环境影响报告表编制技术指南（污染影响类）（试行）》（环办环评〔2020〕33号），声环境保护目标范围为厂界外50米。根据现场踏勘，本项目厂界外50米范围内无居民，无声环境保护目标。故不进行声环境质量现状监测。</w:t>
            </w:r>
          </w:p>
          <w:bookmarkEnd w:id="13"/>
          <w:p w14:paraId="43341C0E">
            <w:pPr>
              <w:pStyle w:val="68"/>
              <w:ind w:firstLine="482"/>
              <w:rPr>
                <w:b/>
                <w:color w:val="auto"/>
              </w:rPr>
            </w:pPr>
            <w:r>
              <w:rPr>
                <w:rFonts w:hint="eastAsia"/>
                <w:b/>
                <w:color w:val="auto"/>
                <w:lang w:val="en-US" w:eastAsia="zh-CN"/>
              </w:rPr>
              <w:t>4</w:t>
            </w:r>
            <w:r>
              <w:rPr>
                <w:b/>
                <w:color w:val="auto"/>
              </w:rPr>
              <w:t>、土壤</w:t>
            </w:r>
            <w:r>
              <w:rPr>
                <w:rFonts w:hint="eastAsia"/>
                <w:b/>
                <w:color w:val="auto"/>
                <w:lang w:eastAsia="zh-CN"/>
              </w:rPr>
              <w:t>、</w:t>
            </w:r>
            <w:r>
              <w:rPr>
                <w:rFonts w:hint="eastAsia"/>
                <w:b/>
                <w:color w:val="auto"/>
                <w:lang w:val="en-US" w:eastAsia="zh-CN"/>
              </w:rPr>
              <w:t>地下水</w:t>
            </w:r>
            <w:r>
              <w:rPr>
                <w:b/>
                <w:color w:val="auto"/>
              </w:rPr>
              <w:t>环境质量现状</w:t>
            </w:r>
          </w:p>
          <w:p w14:paraId="5DDF49F4">
            <w:pPr>
              <w:pStyle w:val="68"/>
              <w:ind w:firstLine="480"/>
              <w:rPr>
                <w:color w:val="auto"/>
              </w:rPr>
            </w:pPr>
            <w:r>
              <w:rPr>
                <w:rFonts w:hint="eastAsia"/>
                <w:color w:val="auto"/>
              </w:rPr>
              <w:t>根据《建设项目环境影响报告表编制技术指南（污染影响类）》（试行），原则上不开展地下水、土壤环境质量现状调查。本项目车间地面、原辅料区等区域将按照防渗等级要求采取相应的防渗措施，防止污染物渗漏污染土壤、地下水，因此，本项目不存在土壤、地下水污染途径，不开展土壤、地下水环境质量现状调查。</w:t>
            </w:r>
          </w:p>
          <w:p w14:paraId="42737904">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default" w:eastAsia="宋体"/>
                <w:color w:val="auto"/>
                <w:sz w:val="24"/>
                <w:szCs w:val="32"/>
                <w:lang w:val="en-US" w:eastAsia="zh-CN"/>
              </w:rPr>
            </w:pPr>
            <w:r>
              <w:rPr>
                <w:rFonts w:hint="eastAsia"/>
                <w:b/>
                <w:bCs/>
                <w:color w:val="auto"/>
                <w:sz w:val="24"/>
                <w:szCs w:val="32"/>
                <w:lang w:val="en-US" w:eastAsia="zh-CN"/>
              </w:rPr>
              <w:t>5、生态环境质量现状</w:t>
            </w:r>
          </w:p>
          <w:p w14:paraId="4D97E82E">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eastAsia="宋体"/>
                <w:color w:val="auto"/>
                <w:lang w:eastAsia="zh-CN"/>
              </w:rPr>
            </w:pPr>
            <w:r>
              <w:rPr>
                <w:rFonts w:hint="eastAsia"/>
                <w:color w:val="auto"/>
                <w:sz w:val="24"/>
                <w:szCs w:val="32"/>
              </w:rPr>
              <w:t>根据《建设项目环境影响报告表编制技术指南》（污染影响类）</w:t>
            </w:r>
            <w:r>
              <w:rPr>
                <w:rFonts w:hint="eastAsia"/>
                <w:color w:val="auto"/>
                <w:sz w:val="24"/>
                <w:szCs w:val="32"/>
                <w:lang w:eastAsia="zh-CN"/>
              </w:rPr>
              <w:t>，</w:t>
            </w:r>
            <w:r>
              <w:rPr>
                <w:rFonts w:hint="eastAsia"/>
                <w:color w:val="auto"/>
                <w:sz w:val="24"/>
                <w:szCs w:val="32"/>
              </w:rPr>
              <w:t>本项目用地范围内不涉及生态环境保护目标，故无需进行生态现状调查</w:t>
            </w:r>
            <w:r>
              <w:rPr>
                <w:rFonts w:hint="eastAsia"/>
                <w:color w:val="auto"/>
                <w:sz w:val="24"/>
                <w:szCs w:val="32"/>
                <w:lang w:eastAsia="zh-CN"/>
              </w:rPr>
              <w:t>。</w:t>
            </w:r>
          </w:p>
        </w:tc>
      </w:tr>
      <w:tr w14:paraId="5ADB2E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80" w:hRule="atLeast"/>
          <w:jc w:val="center"/>
        </w:trPr>
        <w:tc>
          <w:tcPr>
            <w:tcW w:w="266" w:type="pct"/>
            <w:vAlign w:val="center"/>
          </w:tcPr>
          <w:p w14:paraId="0CA7CC06">
            <w:pPr>
              <w:jc w:val="center"/>
              <w:rPr>
                <w:b/>
                <w:color w:val="auto"/>
                <w:kern w:val="0"/>
                <w:sz w:val="24"/>
                <w:szCs w:val="21"/>
              </w:rPr>
            </w:pPr>
            <w:r>
              <w:rPr>
                <w:b/>
                <w:color w:val="auto"/>
                <w:kern w:val="0"/>
                <w:sz w:val="24"/>
                <w:szCs w:val="21"/>
              </w:rPr>
              <w:t>环境</w:t>
            </w:r>
          </w:p>
          <w:p w14:paraId="09435651">
            <w:pPr>
              <w:jc w:val="center"/>
              <w:rPr>
                <w:b/>
                <w:color w:val="auto"/>
                <w:kern w:val="0"/>
                <w:sz w:val="24"/>
                <w:szCs w:val="21"/>
              </w:rPr>
            </w:pPr>
            <w:r>
              <w:rPr>
                <w:b/>
                <w:color w:val="auto"/>
                <w:kern w:val="0"/>
                <w:sz w:val="24"/>
                <w:szCs w:val="21"/>
              </w:rPr>
              <w:t>保护</w:t>
            </w:r>
          </w:p>
          <w:p w14:paraId="7E53D1B4">
            <w:pPr>
              <w:jc w:val="center"/>
              <w:rPr>
                <w:color w:val="auto"/>
                <w:kern w:val="0"/>
                <w:szCs w:val="21"/>
              </w:rPr>
            </w:pPr>
            <w:r>
              <w:rPr>
                <w:b/>
                <w:color w:val="auto"/>
                <w:kern w:val="0"/>
                <w:sz w:val="24"/>
                <w:szCs w:val="21"/>
              </w:rPr>
              <w:t>目标</w:t>
            </w:r>
          </w:p>
        </w:tc>
        <w:tc>
          <w:tcPr>
            <w:tcW w:w="4733" w:type="pct"/>
            <w:vAlign w:val="center"/>
          </w:tcPr>
          <w:p w14:paraId="2B002994">
            <w:pPr>
              <w:pStyle w:val="68"/>
              <w:ind w:firstLine="480"/>
              <w:rPr>
                <w:rFonts w:cs="Times New Roman"/>
                <w:color w:val="auto"/>
              </w:rPr>
            </w:pPr>
            <w:r>
              <w:rPr>
                <w:rFonts w:cs="Times New Roman"/>
                <w:color w:val="auto"/>
              </w:rPr>
              <w:t>项目周围环境敏感点分布见表3-</w:t>
            </w:r>
            <w:r>
              <w:rPr>
                <w:rFonts w:hint="eastAsia" w:cs="Times New Roman"/>
                <w:color w:val="auto"/>
                <w:lang w:val="en-US" w:eastAsia="zh-CN"/>
              </w:rPr>
              <w:t>2</w:t>
            </w:r>
            <w:r>
              <w:rPr>
                <w:rFonts w:cs="Times New Roman"/>
                <w:color w:val="auto"/>
              </w:rPr>
              <w:t>，保护目标图见附图</w:t>
            </w:r>
            <w:r>
              <w:rPr>
                <w:rFonts w:hint="eastAsia" w:cs="Times New Roman"/>
                <w:color w:val="auto"/>
                <w:lang w:val="en-US" w:eastAsia="zh-CN"/>
              </w:rPr>
              <w:t>五</w:t>
            </w:r>
            <w:r>
              <w:rPr>
                <w:rFonts w:hint="eastAsia" w:cs="Times New Roman"/>
                <w:color w:val="auto"/>
                <w:lang w:eastAsia="zh-CN"/>
              </w:rPr>
              <w:t>、</w:t>
            </w:r>
            <w:r>
              <w:rPr>
                <w:rFonts w:hint="eastAsia" w:cs="Times New Roman"/>
                <w:color w:val="auto"/>
                <w:lang w:val="en-US" w:eastAsia="zh-CN"/>
              </w:rPr>
              <w:t>六</w:t>
            </w:r>
            <w:r>
              <w:rPr>
                <w:rFonts w:cs="Times New Roman"/>
                <w:color w:val="auto"/>
              </w:rPr>
              <w:t>。</w:t>
            </w:r>
          </w:p>
          <w:p w14:paraId="777A8BBF">
            <w:pPr>
              <w:pStyle w:val="70"/>
              <w:keepNext w:val="0"/>
              <w:keepLines w:val="0"/>
              <w:pageBreakBefore w:val="0"/>
              <w:widowControl w:val="0"/>
              <w:kinsoku/>
              <w:wordWrap/>
              <w:overflowPunct w:val="0"/>
              <w:topLinePunct w:val="0"/>
              <w:autoSpaceDE w:val="0"/>
              <w:autoSpaceDN w:val="0"/>
              <w:bidi w:val="0"/>
              <w:adjustRightInd w:val="0"/>
              <w:snapToGrid w:val="0"/>
              <w:spacing w:before="0" w:beforeLines="0" w:line="240" w:lineRule="auto"/>
              <w:jc w:val="center"/>
              <w:textAlignment w:val="auto"/>
              <w:rPr>
                <w:color w:val="auto"/>
              </w:rPr>
            </w:pPr>
            <w:r>
              <w:rPr>
                <w:color w:val="auto"/>
              </w:rPr>
              <w:t>表3-</w:t>
            </w:r>
            <w:r>
              <w:rPr>
                <w:rFonts w:hint="eastAsia"/>
                <w:color w:val="auto"/>
                <w:lang w:val="en-US" w:eastAsia="zh-CN"/>
              </w:rPr>
              <w:t>2</w:t>
            </w:r>
            <w:r>
              <w:rPr>
                <w:color w:val="auto"/>
              </w:rPr>
              <w:t xml:space="preserve">  环境敏感点分布情况一览表</w:t>
            </w:r>
          </w:p>
          <w:tbl>
            <w:tblPr>
              <w:tblStyle w:val="12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2"/>
              <w:gridCol w:w="2130"/>
              <w:gridCol w:w="1060"/>
              <w:gridCol w:w="740"/>
              <w:gridCol w:w="730"/>
              <w:gridCol w:w="2102"/>
            </w:tblGrid>
            <w:tr w14:paraId="2CE7F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89" w:type="pct"/>
                  <w:tcBorders>
                    <w:tl2br w:val="nil"/>
                    <w:tr2bl w:val="nil"/>
                  </w:tcBorders>
                  <w:vAlign w:val="center"/>
                </w:tcPr>
                <w:p w14:paraId="0A550F64">
                  <w:pPr>
                    <w:widowControl/>
                    <w:jc w:val="center"/>
                    <w:rPr>
                      <w:color w:val="auto"/>
                      <w:kern w:val="0"/>
                      <w:szCs w:val="21"/>
                    </w:rPr>
                  </w:pPr>
                  <w:r>
                    <w:rPr>
                      <w:color w:val="auto"/>
                      <w:kern w:val="0"/>
                      <w:szCs w:val="21"/>
                    </w:rPr>
                    <w:t>环境要素</w:t>
                  </w:r>
                </w:p>
              </w:tc>
              <w:tc>
                <w:tcPr>
                  <w:tcW w:w="1357" w:type="pct"/>
                  <w:tcBorders>
                    <w:tl2br w:val="nil"/>
                    <w:tr2bl w:val="nil"/>
                  </w:tcBorders>
                  <w:vAlign w:val="center"/>
                </w:tcPr>
                <w:p w14:paraId="4CD2AB00">
                  <w:pPr>
                    <w:widowControl/>
                    <w:jc w:val="center"/>
                    <w:rPr>
                      <w:color w:val="auto"/>
                      <w:kern w:val="0"/>
                      <w:szCs w:val="21"/>
                    </w:rPr>
                  </w:pPr>
                  <w:r>
                    <w:rPr>
                      <w:color w:val="auto"/>
                      <w:kern w:val="0"/>
                      <w:szCs w:val="21"/>
                    </w:rPr>
                    <w:t>环境保护目标</w:t>
                  </w:r>
                </w:p>
              </w:tc>
              <w:tc>
                <w:tcPr>
                  <w:tcW w:w="675" w:type="pct"/>
                  <w:tcBorders>
                    <w:tl2br w:val="nil"/>
                    <w:tr2bl w:val="nil"/>
                  </w:tcBorders>
                  <w:vAlign w:val="center"/>
                </w:tcPr>
                <w:p w14:paraId="2528FCA0">
                  <w:pPr>
                    <w:widowControl/>
                    <w:jc w:val="center"/>
                    <w:rPr>
                      <w:color w:val="auto"/>
                      <w:kern w:val="0"/>
                      <w:szCs w:val="21"/>
                    </w:rPr>
                  </w:pPr>
                  <w:r>
                    <w:rPr>
                      <w:color w:val="auto"/>
                      <w:kern w:val="0"/>
                      <w:szCs w:val="21"/>
                    </w:rPr>
                    <w:t>相对方位</w:t>
                  </w:r>
                </w:p>
              </w:tc>
              <w:tc>
                <w:tcPr>
                  <w:tcW w:w="471" w:type="pct"/>
                  <w:tcBorders>
                    <w:tl2br w:val="nil"/>
                    <w:tr2bl w:val="nil"/>
                  </w:tcBorders>
                  <w:vAlign w:val="center"/>
                </w:tcPr>
                <w:p w14:paraId="32343AA0">
                  <w:pPr>
                    <w:widowControl/>
                    <w:jc w:val="center"/>
                    <w:rPr>
                      <w:color w:val="auto"/>
                      <w:kern w:val="0"/>
                      <w:szCs w:val="21"/>
                    </w:rPr>
                  </w:pPr>
                  <w:r>
                    <w:rPr>
                      <w:color w:val="auto"/>
                      <w:kern w:val="0"/>
                      <w:szCs w:val="21"/>
                    </w:rPr>
                    <w:t>距离</w:t>
                  </w:r>
                </w:p>
              </w:tc>
              <w:tc>
                <w:tcPr>
                  <w:tcW w:w="465" w:type="pct"/>
                  <w:tcBorders>
                    <w:tl2br w:val="nil"/>
                    <w:tr2bl w:val="nil"/>
                  </w:tcBorders>
                  <w:vAlign w:val="center"/>
                </w:tcPr>
                <w:p w14:paraId="253962F5">
                  <w:pPr>
                    <w:widowControl/>
                    <w:jc w:val="center"/>
                    <w:rPr>
                      <w:color w:val="auto"/>
                      <w:kern w:val="0"/>
                      <w:szCs w:val="21"/>
                    </w:rPr>
                  </w:pPr>
                  <w:r>
                    <w:rPr>
                      <w:color w:val="auto"/>
                      <w:kern w:val="0"/>
                      <w:szCs w:val="21"/>
                    </w:rPr>
                    <w:t>人数</w:t>
                  </w:r>
                </w:p>
              </w:tc>
              <w:tc>
                <w:tcPr>
                  <w:tcW w:w="1339" w:type="pct"/>
                  <w:tcBorders>
                    <w:tl2br w:val="nil"/>
                    <w:tr2bl w:val="nil"/>
                  </w:tcBorders>
                  <w:vAlign w:val="center"/>
                </w:tcPr>
                <w:p w14:paraId="0464D57C">
                  <w:pPr>
                    <w:widowControl/>
                    <w:jc w:val="center"/>
                    <w:rPr>
                      <w:color w:val="auto"/>
                      <w:kern w:val="0"/>
                      <w:szCs w:val="21"/>
                    </w:rPr>
                  </w:pPr>
                  <w:r>
                    <w:rPr>
                      <w:color w:val="auto"/>
                      <w:kern w:val="0"/>
                      <w:szCs w:val="21"/>
                    </w:rPr>
                    <w:t>环境功能目标</w:t>
                  </w:r>
                </w:p>
              </w:tc>
            </w:tr>
            <w:tr w14:paraId="7EC15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89" w:type="pct"/>
                  <w:vMerge w:val="restart"/>
                  <w:tcBorders>
                    <w:tl2br w:val="nil"/>
                    <w:tr2bl w:val="nil"/>
                  </w:tcBorders>
                  <w:vAlign w:val="center"/>
                </w:tcPr>
                <w:p w14:paraId="63944C82">
                  <w:pPr>
                    <w:jc w:val="center"/>
                    <w:rPr>
                      <w:color w:val="auto"/>
                      <w:kern w:val="0"/>
                      <w:szCs w:val="21"/>
                    </w:rPr>
                  </w:pPr>
                  <w:r>
                    <w:rPr>
                      <w:color w:val="auto"/>
                      <w:kern w:val="0"/>
                      <w:szCs w:val="21"/>
                    </w:rPr>
                    <w:t>大气环境</w:t>
                  </w:r>
                </w:p>
              </w:tc>
              <w:tc>
                <w:tcPr>
                  <w:tcW w:w="1357" w:type="pct"/>
                  <w:tcBorders>
                    <w:tl2br w:val="nil"/>
                    <w:tr2bl w:val="nil"/>
                  </w:tcBorders>
                  <w:vAlign w:val="center"/>
                </w:tcPr>
                <w:p w14:paraId="4324954C">
                  <w:pPr>
                    <w:autoSpaceDE w:val="0"/>
                    <w:autoSpaceDN w:val="0"/>
                    <w:jc w:val="center"/>
                    <w:rPr>
                      <w:rFonts w:hint="default" w:eastAsia="宋体"/>
                      <w:color w:val="auto"/>
                      <w:kern w:val="0"/>
                      <w:szCs w:val="21"/>
                      <w:lang w:val="en-US" w:eastAsia="zh-CN"/>
                    </w:rPr>
                  </w:pPr>
                  <w:r>
                    <w:rPr>
                      <w:rFonts w:hint="eastAsia"/>
                      <w:color w:val="auto"/>
                      <w:kern w:val="0"/>
                      <w:szCs w:val="21"/>
                      <w:lang w:val="en-US" w:eastAsia="zh-CN"/>
                    </w:rPr>
                    <w:t>宝格拉社区</w:t>
                  </w:r>
                </w:p>
              </w:tc>
              <w:tc>
                <w:tcPr>
                  <w:tcW w:w="675" w:type="pct"/>
                  <w:tcBorders>
                    <w:tl2br w:val="nil"/>
                    <w:tr2bl w:val="nil"/>
                  </w:tcBorders>
                  <w:vAlign w:val="center"/>
                </w:tcPr>
                <w:p w14:paraId="0B3B546B">
                  <w:pPr>
                    <w:autoSpaceDE w:val="0"/>
                    <w:autoSpaceDN w:val="0"/>
                    <w:jc w:val="center"/>
                    <w:rPr>
                      <w:rFonts w:hint="eastAsia" w:eastAsia="宋体"/>
                      <w:bCs/>
                      <w:color w:val="auto"/>
                      <w:kern w:val="44"/>
                      <w:szCs w:val="21"/>
                      <w:lang w:eastAsia="zh-CN"/>
                    </w:rPr>
                  </w:pPr>
                  <w:r>
                    <w:rPr>
                      <w:rFonts w:hint="eastAsia"/>
                      <w:bCs/>
                      <w:color w:val="auto"/>
                      <w:kern w:val="44"/>
                      <w:szCs w:val="21"/>
                    </w:rPr>
                    <w:t>W</w:t>
                  </w:r>
                  <w:r>
                    <w:rPr>
                      <w:rFonts w:hint="eastAsia"/>
                      <w:bCs/>
                      <w:color w:val="auto"/>
                      <w:kern w:val="44"/>
                      <w:szCs w:val="21"/>
                      <w:lang w:val="en-US" w:eastAsia="zh-CN"/>
                    </w:rPr>
                    <w:t>N</w:t>
                  </w:r>
                </w:p>
              </w:tc>
              <w:tc>
                <w:tcPr>
                  <w:tcW w:w="471" w:type="pct"/>
                  <w:tcBorders>
                    <w:tl2br w:val="nil"/>
                    <w:tr2bl w:val="nil"/>
                  </w:tcBorders>
                  <w:vAlign w:val="center"/>
                </w:tcPr>
                <w:p w14:paraId="43B22D8A">
                  <w:pPr>
                    <w:autoSpaceDE w:val="0"/>
                    <w:autoSpaceDN w:val="0"/>
                    <w:jc w:val="center"/>
                    <w:rPr>
                      <w:bCs/>
                      <w:color w:val="auto"/>
                      <w:kern w:val="44"/>
                      <w:szCs w:val="21"/>
                    </w:rPr>
                  </w:pPr>
                  <w:r>
                    <w:rPr>
                      <w:rFonts w:hint="eastAsia"/>
                      <w:bCs/>
                      <w:color w:val="auto"/>
                      <w:kern w:val="44"/>
                      <w:szCs w:val="21"/>
                      <w:lang w:val="en-US" w:eastAsia="zh-CN"/>
                    </w:rPr>
                    <w:t>531</w:t>
                  </w:r>
                  <w:r>
                    <w:rPr>
                      <w:color w:val="auto"/>
                      <w:kern w:val="0"/>
                      <w:szCs w:val="21"/>
                    </w:rPr>
                    <w:t>m</w:t>
                  </w:r>
                </w:p>
              </w:tc>
              <w:tc>
                <w:tcPr>
                  <w:tcW w:w="465" w:type="pct"/>
                  <w:tcBorders>
                    <w:tl2br w:val="nil"/>
                    <w:tr2bl w:val="nil"/>
                  </w:tcBorders>
                  <w:vAlign w:val="center"/>
                </w:tcPr>
                <w:p w14:paraId="1C01CFB1">
                  <w:pPr>
                    <w:autoSpaceDE w:val="0"/>
                    <w:autoSpaceDN w:val="0"/>
                    <w:jc w:val="center"/>
                    <w:rPr>
                      <w:rFonts w:hint="default" w:eastAsia="宋体"/>
                      <w:bCs/>
                      <w:color w:val="auto"/>
                      <w:kern w:val="44"/>
                      <w:szCs w:val="21"/>
                      <w:lang w:val="en-US" w:eastAsia="zh-CN"/>
                    </w:rPr>
                  </w:pPr>
                  <w:r>
                    <w:rPr>
                      <w:rFonts w:hint="eastAsia"/>
                      <w:bCs/>
                      <w:color w:val="auto"/>
                      <w:kern w:val="44"/>
                      <w:szCs w:val="21"/>
                      <w:lang w:val="en-US" w:eastAsia="zh-CN"/>
                    </w:rPr>
                    <w:t>370</w:t>
                  </w:r>
                </w:p>
              </w:tc>
              <w:tc>
                <w:tcPr>
                  <w:tcW w:w="1339" w:type="pct"/>
                  <w:vMerge w:val="restart"/>
                  <w:tcBorders>
                    <w:tl2br w:val="nil"/>
                    <w:tr2bl w:val="nil"/>
                  </w:tcBorders>
                  <w:vAlign w:val="center"/>
                </w:tcPr>
                <w:p w14:paraId="0E590CEC">
                  <w:pPr>
                    <w:widowControl/>
                    <w:jc w:val="center"/>
                    <w:rPr>
                      <w:color w:val="auto"/>
                      <w:szCs w:val="21"/>
                    </w:rPr>
                  </w:pPr>
                  <w:r>
                    <w:rPr>
                      <w:color w:val="auto"/>
                      <w:szCs w:val="21"/>
                    </w:rPr>
                    <w:t>《环境空气质量标准》GB3095-2012及修改单二级标准</w:t>
                  </w:r>
                </w:p>
              </w:tc>
            </w:tr>
            <w:tr w14:paraId="5F836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89" w:type="pct"/>
                  <w:vMerge w:val="continue"/>
                  <w:tcBorders>
                    <w:tl2br w:val="nil"/>
                    <w:tr2bl w:val="nil"/>
                  </w:tcBorders>
                  <w:vAlign w:val="center"/>
                </w:tcPr>
                <w:p w14:paraId="7C42F689">
                  <w:pPr>
                    <w:jc w:val="center"/>
                    <w:rPr>
                      <w:color w:val="auto"/>
                      <w:kern w:val="0"/>
                      <w:szCs w:val="21"/>
                    </w:rPr>
                  </w:pPr>
                </w:p>
              </w:tc>
              <w:tc>
                <w:tcPr>
                  <w:tcW w:w="1357" w:type="pct"/>
                  <w:tcBorders>
                    <w:tl2br w:val="nil"/>
                    <w:tr2bl w:val="nil"/>
                  </w:tcBorders>
                  <w:vAlign w:val="center"/>
                </w:tcPr>
                <w:p w14:paraId="2B5D352A">
                  <w:pPr>
                    <w:autoSpaceDE w:val="0"/>
                    <w:autoSpaceDN w:val="0"/>
                    <w:jc w:val="center"/>
                    <w:rPr>
                      <w:rStyle w:val="37"/>
                      <w:rFonts w:hint="default" w:eastAsia="宋体"/>
                      <w:color w:val="auto"/>
                      <w:kern w:val="0"/>
                      <w:szCs w:val="20"/>
                      <w:lang w:val="en-US" w:eastAsia="zh-CN"/>
                    </w:rPr>
                  </w:pPr>
                  <w:r>
                    <w:rPr>
                      <w:rStyle w:val="37"/>
                      <w:rFonts w:hint="eastAsia"/>
                      <w:color w:val="auto"/>
                      <w:kern w:val="0"/>
                      <w:szCs w:val="20"/>
                      <w:lang w:val="en-US" w:eastAsia="zh-CN"/>
                    </w:rPr>
                    <w:t>居民</w:t>
                  </w:r>
                </w:p>
              </w:tc>
              <w:tc>
                <w:tcPr>
                  <w:tcW w:w="675" w:type="pct"/>
                  <w:tcBorders>
                    <w:tl2br w:val="nil"/>
                    <w:tr2bl w:val="nil"/>
                  </w:tcBorders>
                  <w:vAlign w:val="center"/>
                </w:tcPr>
                <w:p w14:paraId="44CB36B9">
                  <w:pPr>
                    <w:autoSpaceDE w:val="0"/>
                    <w:autoSpaceDN w:val="0"/>
                    <w:jc w:val="center"/>
                    <w:rPr>
                      <w:rFonts w:hint="eastAsia" w:eastAsia="宋体"/>
                      <w:bCs/>
                      <w:color w:val="auto"/>
                      <w:kern w:val="44"/>
                      <w:szCs w:val="21"/>
                      <w:lang w:eastAsia="zh-CN"/>
                    </w:rPr>
                  </w:pPr>
                  <w:r>
                    <w:rPr>
                      <w:rFonts w:hint="eastAsia"/>
                      <w:bCs/>
                      <w:color w:val="auto"/>
                      <w:kern w:val="44"/>
                      <w:szCs w:val="21"/>
                      <w:lang w:val="en-US" w:eastAsia="zh-CN"/>
                    </w:rPr>
                    <w:t>W</w:t>
                  </w:r>
                </w:p>
              </w:tc>
              <w:tc>
                <w:tcPr>
                  <w:tcW w:w="471" w:type="pct"/>
                  <w:tcBorders>
                    <w:tl2br w:val="nil"/>
                    <w:tr2bl w:val="nil"/>
                  </w:tcBorders>
                  <w:vAlign w:val="center"/>
                </w:tcPr>
                <w:p w14:paraId="41F0C826">
                  <w:pPr>
                    <w:autoSpaceDE w:val="0"/>
                    <w:autoSpaceDN w:val="0"/>
                    <w:jc w:val="center"/>
                    <w:rPr>
                      <w:bCs/>
                      <w:color w:val="auto"/>
                      <w:kern w:val="44"/>
                      <w:szCs w:val="21"/>
                    </w:rPr>
                  </w:pPr>
                  <w:r>
                    <w:rPr>
                      <w:rFonts w:hint="eastAsia"/>
                      <w:bCs/>
                      <w:color w:val="auto"/>
                      <w:kern w:val="44"/>
                      <w:szCs w:val="21"/>
                      <w:lang w:val="en-US" w:eastAsia="zh-CN"/>
                    </w:rPr>
                    <w:t>505</w:t>
                  </w:r>
                  <w:r>
                    <w:rPr>
                      <w:color w:val="auto"/>
                      <w:kern w:val="0"/>
                      <w:szCs w:val="21"/>
                    </w:rPr>
                    <w:t>m</w:t>
                  </w:r>
                </w:p>
              </w:tc>
              <w:tc>
                <w:tcPr>
                  <w:tcW w:w="465" w:type="pct"/>
                  <w:tcBorders>
                    <w:tl2br w:val="nil"/>
                    <w:tr2bl w:val="nil"/>
                  </w:tcBorders>
                  <w:vAlign w:val="center"/>
                </w:tcPr>
                <w:p w14:paraId="6856C4AA">
                  <w:pPr>
                    <w:autoSpaceDE w:val="0"/>
                    <w:autoSpaceDN w:val="0"/>
                    <w:jc w:val="center"/>
                    <w:rPr>
                      <w:rFonts w:hint="default" w:eastAsia="宋体"/>
                      <w:bCs/>
                      <w:color w:val="auto"/>
                      <w:kern w:val="44"/>
                      <w:szCs w:val="21"/>
                      <w:lang w:val="en-US" w:eastAsia="zh-CN"/>
                    </w:rPr>
                  </w:pPr>
                  <w:r>
                    <w:rPr>
                      <w:rFonts w:hint="eastAsia"/>
                      <w:bCs/>
                      <w:color w:val="auto"/>
                      <w:kern w:val="44"/>
                      <w:szCs w:val="21"/>
                      <w:lang w:val="en-US" w:eastAsia="zh-CN"/>
                    </w:rPr>
                    <w:t>300</w:t>
                  </w:r>
                </w:p>
              </w:tc>
              <w:tc>
                <w:tcPr>
                  <w:tcW w:w="1339" w:type="pct"/>
                  <w:vMerge w:val="continue"/>
                  <w:tcBorders>
                    <w:tl2br w:val="nil"/>
                    <w:tr2bl w:val="nil"/>
                  </w:tcBorders>
                  <w:vAlign w:val="center"/>
                </w:tcPr>
                <w:p w14:paraId="00C2EAA3">
                  <w:pPr>
                    <w:widowControl/>
                    <w:jc w:val="center"/>
                    <w:rPr>
                      <w:color w:val="auto"/>
                      <w:szCs w:val="21"/>
                    </w:rPr>
                  </w:pPr>
                </w:p>
              </w:tc>
            </w:tr>
            <w:tr w14:paraId="5AE6F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89" w:type="pct"/>
                  <w:vMerge w:val="continue"/>
                  <w:tcBorders>
                    <w:tl2br w:val="nil"/>
                    <w:tr2bl w:val="nil"/>
                  </w:tcBorders>
                  <w:vAlign w:val="center"/>
                </w:tcPr>
                <w:p w14:paraId="6593A445">
                  <w:pPr>
                    <w:jc w:val="center"/>
                    <w:rPr>
                      <w:color w:val="auto"/>
                      <w:kern w:val="0"/>
                      <w:szCs w:val="21"/>
                    </w:rPr>
                  </w:pPr>
                </w:p>
              </w:tc>
              <w:tc>
                <w:tcPr>
                  <w:tcW w:w="1357" w:type="pct"/>
                  <w:tcBorders>
                    <w:tl2br w:val="nil"/>
                    <w:tr2bl w:val="nil"/>
                  </w:tcBorders>
                  <w:vAlign w:val="center"/>
                </w:tcPr>
                <w:p w14:paraId="40F911CB">
                  <w:pPr>
                    <w:autoSpaceDE w:val="0"/>
                    <w:autoSpaceDN w:val="0"/>
                    <w:jc w:val="center"/>
                    <w:rPr>
                      <w:rStyle w:val="37"/>
                      <w:rFonts w:hint="default" w:eastAsia="宋体"/>
                      <w:color w:val="auto"/>
                      <w:kern w:val="0"/>
                      <w:szCs w:val="20"/>
                      <w:lang w:val="en-US" w:eastAsia="zh-CN"/>
                    </w:rPr>
                  </w:pPr>
                  <w:r>
                    <w:rPr>
                      <w:rStyle w:val="37"/>
                      <w:rFonts w:hint="eastAsia"/>
                      <w:color w:val="auto"/>
                      <w:kern w:val="0"/>
                      <w:szCs w:val="20"/>
                      <w:lang w:val="en-US" w:eastAsia="zh-CN"/>
                    </w:rPr>
                    <w:t>镶黄旗塔泰小区</w:t>
                  </w:r>
                </w:p>
              </w:tc>
              <w:tc>
                <w:tcPr>
                  <w:tcW w:w="675" w:type="pct"/>
                  <w:tcBorders>
                    <w:tl2br w:val="nil"/>
                    <w:tr2bl w:val="nil"/>
                  </w:tcBorders>
                  <w:vAlign w:val="center"/>
                </w:tcPr>
                <w:p w14:paraId="404B39D5">
                  <w:pPr>
                    <w:autoSpaceDE w:val="0"/>
                    <w:autoSpaceDN w:val="0"/>
                    <w:jc w:val="center"/>
                    <w:rPr>
                      <w:rFonts w:hint="default" w:eastAsia="宋体"/>
                      <w:bCs/>
                      <w:color w:val="auto"/>
                      <w:kern w:val="44"/>
                      <w:szCs w:val="21"/>
                      <w:lang w:val="en-US" w:eastAsia="zh-CN"/>
                    </w:rPr>
                  </w:pPr>
                  <w:r>
                    <w:rPr>
                      <w:rFonts w:hint="eastAsia"/>
                      <w:bCs/>
                      <w:color w:val="auto"/>
                      <w:kern w:val="44"/>
                      <w:szCs w:val="21"/>
                      <w:lang w:val="en-US" w:eastAsia="zh-CN"/>
                    </w:rPr>
                    <w:t>WS</w:t>
                  </w:r>
                </w:p>
              </w:tc>
              <w:tc>
                <w:tcPr>
                  <w:tcW w:w="471" w:type="pct"/>
                  <w:tcBorders>
                    <w:tl2br w:val="nil"/>
                    <w:tr2bl w:val="nil"/>
                  </w:tcBorders>
                  <w:vAlign w:val="center"/>
                </w:tcPr>
                <w:p w14:paraId="54CA6303">
                  <w:pPr>
                    <w:autoSpaceDE w:val="0"/>
                    <w:autoSpaceDN w:val="0"/>
                    <w:jc w:val="center"/>
                    <w:rPr>
                      <w:rFonts w:hint="default" w:eastAsia="宋体"/>
                      <w:bCs/>
                      <w:color w:val="auto"/>
                      <w:kern w:val="44"/>
                      <w:szCs w:val="21"/>
                      <w:lang w:val="en-US" w:eastAsia="zh-CN"/>
                    </w:rPr>
                  </w:pPr>
                  <w:r>
                    <w:rPr>
                      <w:rFonts w:hint="eastAsia"/>
                      <w:bCs/>
                      <w:color w:val="auto"/>
                      <w:kern w:val="44"/>
                      <w:szCs w:val="21"/>
                      <w:lang w:val="en-US" w:eastAsia="zh-CN"/>
                    </w:rPr>
                    <w:t>522m</w:t>
                  </w:r>
                </w:p>
              </w:tc>
              <w:tc>
                <w:tcPr>
                  <w:tcW w:w="465" w:type="pct"/>
                  <w:tcBorders>
                    <w:tl2br w:val="nil"/>
                    <w:tr2bl w:val="nil"/>
                  </w:tcBorders>
                  <w:vAlign w:val="center"/>
                </w:tcPr>
                <w:p w14:paraId="2ABC00FF">
                  <w:pPr>
                    <w:autoSpaceDE w:val="0"/>
                    <w:autoSpaceDN w:val="0"/>
                    <w:jc w:val="center"/>
                    <w:rPr>
                      <w:rFonts w:hint="default" w:eastAsia="宋体"/>
                      <w:bCs/>
                      <w:color w:val="auto"/>
                      <w:kern w:val="44"/>
                      <w:szCs w:val="21"/>
                      <w:lang w:val="en-US" w:eastAsia="zh-CN"/>
                    </w:rPr>
                  </w:pPr>
                  <w:r>
                    <w:rPr>
                      <w:rFonts w:hint="eastAsia"/>
                      <w:bCs/>
                      <w:color w:val="auto"/>
                      <w:kern w:val="44"/>
                      <w:szCs w:val="21"/>
                      <w:lang w:val="en-US" w:eastAsia="zh-CN"/>
                    </w:rPr>
                    <w:t>426</w:t>
                  </w:r>
                </w:p>
              </w:tc>
              <w:tc>
                <w:tcPr>
                  <w:tcW w:w="1339" w:type="pct"/>
                  <w:vMerge w:val="continue"/>
                  <w:tcBorders>
                    <w:tl2br w:val="nil"/>
                    <w:tr2bl w:val="nil"/>
                  </w:tcBorders>
                  <w:vAlign w:val="center"/>
                </w:tcPr>
                <w:p w14:paraId="6E17669C">
                  <w:pPr>
                    <w:widowControl/>
                    <w:jc w:val="center"/>
                    <w:rPr>
                      <w:color w:val="auto"/>
                      <w:szCs w:val="21"/>
                    </w:rPr>
                  </w:pPr>
                </w:p>
              </w:tc>
            </w:tr>
          </w:tbl>
          <w:p w14:paraId="39ED8ABE">
            <w:pPr>
              <w:pStyle w:val="68"/>
              <w:ind w:left="0" w:leftChars="0" w:firstLine="0" w:firstLineChars="0"/>
              <w:rPr>
                <w:rFonts w:hint="eastAsia" w:cs="Times New Roman"/>
                <w:color w:val="auto"/>
                <w:lang w:val="en-US" w:eastAsia="zh-CN"/>
              </w:rPr>
            </w:pPr>
          </w:p>
        </w:tc>
      </w:tr>
      <w:tr w14:paraId="360136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66" w:type="pct"/>
            <w:tcMar>
              <w:left w:w="28" w:type="dxa"/>
              <w:right w:w="28" w:type="dxa"/>
            </w:tcMar>
            <w:vAlign w:val="center"/>
          </w:tcPr>
          <w:p w14:paraId="52397113">
            <w:pPr>
              <w:jc w:val="center"/>
              <w:rPr>
                <w:b/>
                <w:color w:val="auto"/>
                <w:kern w:val="0"/>
                <w:sz w:val="24"/>
                <w:szCs w:val="21"/>
              </w:rPr>
            </w:pPr>
            <w:r>
              <w:rPr>
                <w:b/>
                <w:color w:val="auto"/>
                <w:kern w:val="0"/>
                <w:sz w:val="24"/>
                <w:szCs w:val="21"/>
              </w:rPr>
              <w:t>污染</w:t>
            </w:r>
          </w:p>
          <w:p w14:paraId="6640CBC1">
            <w:pPr>
              <w:jc w:val="center"/>
              <w:rPr>
                <w:b/>
                <w:color w:val="auto"/>
                <w:kern w:val="0"/>
                <w:sz w:val="24"/>
                <w:szCs w:val="21"/>
              </w:rPr>
            </w:pPr>
            <w:r>
              <w:rPr>
                <w:b/>
                <w:color w:val="auto"/>
                <w:kern w:val="0"/>
                <w:sz w:val="24"/>
                <w:szCs w:val="21"/>
              </w:rPr>
              <w:t>物排</w:t>
            </w:r>
          </w:p>
          <w:p w14:paraId="41A7BFAD">
            <w:pPr>
              <w:jc w:val="center"/>
              <w:rPr>
                <w:b/>
                <w:color w:val="auto"/>
                <w:kern w:val="0"/>
                <w:sz w:val="24"/>
                <w:szCs w:val="21"/>
              </w:rPr>
            </w:pPr>
            <w:r>
              <w:rPr>
                <w:b/>
                <w:color w:val="auto"/>
                <w:kern w:val="0"/>
                <w:sz w:val="24"/>
                <w:szCs w:val="21"/>
              </w:rPr>
              <w:t>放控</w:t>
            </w:r>
          </w:p>
          <w:p w14:paraId="3099B67E">
            <w:pPr>
              <w:jc w:val="center"/>
              <w:rPr>
                <w:b/>
                <w:color w:val="auto"/>
                <w:kern w:val="0"/>
                <w:sz w:val="24"/>
                <w:szCs w:val="21"/>
              </w:rPr>
            </w:pPr>
            <w:r>
              <w:rPr>
                <w:b/>
                <w:color w:val="auto"/>
                <w:kern w:val="0"/>
                <w:sz w:val="24"/>
                <w:szCs w:val="21"/>
              </w:rPr>
              <w:t>制标</w:t>
            </w:r>
          </w:p>
          <w:p w14:paraId="368C208A">
            <w:pPr>
              <w:jc w:val="center"/>
              <w:rPr>
                <w:color w:val="auto"/>
                <w:kern w:val="0"/>
                <w:szCs w:val="21"/>
              </w:rPr>
            </w:pPr>
            <w:r>
              <w:rPr>
                <w:b/>
                <w:color w:val="auto"/>
                <w:kern w:val="0"/>
                <w:sz w:val="24"/>
                <w:szCs w:val="21"/>
              </w:rPr>
              <w:t>准</w:t>
            </w:r>
          </w:p>
        </w:tc>
        <w:tc>
          <w:tcPr>
            <w:tcW w:w="4733" w:type="pct"/>
            <w:vAlign w:val="center"/>
          </w:tcPr>
          <w:p w14:paraId="1A4F5701">
            <w:pPr>
              <w:pStyle w:val="68"/>
              <w:ind w:firstLine="482"/>
              <w:rPr>
                <w:rFonts w:cs="Times New Roman"/>
                <w:b/>
                <w:color w:val="auto"/>
              </w:rPr>
            </w:pPr>
            <w:r>
              <w:rPr>
                <w:rFonts w:cs="Times New Roman"/>
                <w:b/>
                <w:color w:val="auto"/>
              </w:rPr>
              <w:t>1、废气</w:t>
            </w:r>
          </w:p>
          <w:p w14:paraId="0BDD1085">
            <w:pPr>
              <w:spacing w:line="360" w:lineRule="auto"/>
              <w:ind w:firstLine="480" w:firstLineChars="200"/>
              <w:rPr>
                <w:color w:val="auto"/>
                <w:sz w:val="24"/>
                <w:szCs w:val="32"/>
              </w:rPr>
            </w:pPr>
            <w:r>
              <w:rPr>
                <w:rFonts w:hint="eastAsia"/>
                <w:color w:val="auto"/>
                <w:sz w:val="24"/>
                <w:szCs w:val="32"/>
              </w:rPr>
              <w:t>本项目废气污染物有组织排放NH</w:t>
            </w:r>
            <w:r>
              <w:rPr>
                <w:rFonts w:hint="eastAsia"/>
                <w:color w:val="auto"/>
                <w:sz w:val="24"/>
                <w:szCs w:val="32"/>
                <w:vertAlign w:val="subscript"/>
              </w:rPr>
              <w:t>3</w:t>
            </w:r>
            <w:r>
              <w:rPr>
                <w:rFonts w:hint="eastAsia"/>
                <w:color w:val="auto"/>
                <w:sz w:val="24"/>
                <w:szCs w:val="32"/>
              </w:rPr>
              <w:t>、H</w:t>
            </w:r>
            <w:r>
              <w:rPr>
                <w:rFonts w:hint="eastAsia"/>
                <w:color w:val="auto"/>
                <w:sz w:val="24"/>
                <w:szCs w:val="32"/>
                <w:vertAlign w:val="subscript"/>
              </w:rPr>
              <w:t>2</w:t>
            </w:r>
            <w:r>
              <w:rPr>
                <w:rFonts w:hint="eastAsia"/>
                <w:color w:val="auto"/>
                <w:sz w:val="24"/>
                <w:szCs w:val="32"/>
              </w:rPr>
              <w:t>S、臭气浓度执行《恶臭污染物排放标准》（GB14554-93）表2标准限值；无组织排放NH</w:t>
            </w:r>
            <w:r>
              <w:rPr>
                <w:rFonts w:hint="eastAsia"/>
                <w:color w:val="auto"/>
                <w:sz w:val="24"/>
                <w:szCs w:val="32"/>
                <w:vertAlign w:val="subscript"/>
              </w:rPr>
              <w:t>3</w:t>
            </w:r>
            <w:r>
              <w:rPr>
                <w:rFonts w:hint="eastAsia"/>
                <w:color w:val="auto"/>
                <w:sz w:val="24"/>
                <w:szCs w:val="32"/>
              </w:rPr>
              <w:t>、H</w:t>
            </w:r>
            <w:r>
              <w:rPr>
                <w:rFonts w:hint="eastAsia"/>
                <w:color w:val="auto"/>
                <w:sz w:val="24"/>
                <w:szCs w:val="32"/>
                <w:vertAlign w:val="subscript"/>
              </w:rPr>
              <w:t>2</w:t>
            </w:r>
            <w:r>
              <w:rPr>
                <w:rFonts w:hint="eastAsia"/>
                <w:color w:val="auto"/>
                <w:sz w:val="24"/>
                <w:szCs w:val="32"/>
              </w:rPr>
              <w:t>S、臭气浓度执行《恶臭污染物排放标准》（GB14554-93）表1二级新扩改建标准限值，</w:t>
            </w:r>
            <w:r>
              <w:rPr>
                <w:rFonts w:hint="eastAsia"/>
                <w:color w:val="auto"/>
                <w:sz w:val="24"/>
                <w:szCs w:val="32"/>
                <w:lang w:val="en-US" w:eastAsia="zh-CN"/>
              </w:rPr>
              <w:t>油烟废气执行《饮食业油烟排放标准（试行）》（GB18483-2001）中表2标准，</w:t>
            </w:r>
            <w:r>
              <w:rPr>
                <w:rFonts w:hint="eastAsia"/>
                <w:color w:val="auto"/>
                <w:sz w:val="24"/>
                <w:szCs w:val="32"/>
              </w:rPr>
              <w:t>具体</w:t>
            </w:r>
            <w:r>
              <w:rPr>
                <w:rFonts w:hint="eastAsia"/>
                <w:color w:val="auto"/>
                <w:sz w:val="24"/>
                <w:szCs w:val="32"/>
                <w:lang w:eastAsia="zh-CN"/>
              </w:rPr>
              <w:t>见</w:t>
            </w:r>
            <w:r>
              <w:rPr>
                <w:rFonts w:hint="eastAsia"/>
                <w:color w:val="auto"/>
                <w:sz w:val="24"/>
                <w:szCs w:val="32"/>
              </w:rPr>
              <w:t>表3-4、表3-5</w:t>
            </w:r>
            <w:r>
              <w:rPr>
                <w:rFonts w:hint="eastAsia"/>
                <w:color w:val="auto"/>
                <w:sz w:val="24"/>
                <w:szCs w:val="32"/>
                <w:lang w:eastAsia="zh-CN"/>
              </w:rPr>
              <w:t>、</w:t>
            </w:r>
            <w:r>
              <w:rPr>
                <w:rFonts w:hint="eastAsia"/>
                <w:color w:val="auto"/>
                <w:sz w:val="24"/>
                <w:szCs w:val="32"/>
                <w:lang w:val="en-US" w:eastAsia="zh-CN"/>
              </w:rPr>
              <w:t>表3-6</w:t>
            </w:r>
            <w:r>
              <w:rPr>
                <w:rFonts w:hint="eastAsia"/>
                <w:color w:val="auto"/>
                <w:sz w:val="24"/>
                <w:szCs w:val="32"/>
              </w:rPr>
              <w:t>。</w:t>
            </w:r>
          </w:p>
          <w:p w14:paraId="3EB893D6">
            <w:pPr>
              <w:spacing w:before="120" w:beforeLines="50"/>
              <w:jc w:val="center"/>
              <w:rPr>
                <w:rFonts w:hint="default" w:eastAsia="宋体"/>
                <w:b/>
                <w:color w:val="auto"/>
                <w:lang w:val="en-US" w:eastAsia="zh-CN"/>
              </w:rPr>
            </w:pPr>
            <w:r>
              <w:rPr>
                <w:b/>
                <w:color w:val="auto"/>
              </w:rPr>
              <w:t xml:space="preserve">表3-4  </w:t>
            </w:r>
            <w:r>
              <w:rPr>
                <w:rFonts w:hint="eastAsia"/>
                <w:b/>
                <w:color w:val="auto"/>
                <w:lang w:val="en-US" w:eastAsia="zh-CN"/>
              </w:rPr>
              <w:t>有组织废气排放标准</w:t>
            </w:r>
          </w:p>
          <w:tbl>
            <w:tblPr>
              <w:tblStyle w:val="3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65"/>
              <w:gridCol w:w="2354"/>
              <w:gridCol w:w="2161"/>
              <w:gridCol w:w="2161"/>
            </w:tblGrid>
            <w:tr w14:paraId="4E0F9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43" w:type="pct"/>
                  <w:tcBorders>
                    <w:tl2br w:val="nil"/>
                    <w:tr2bl w:val="nil"/>
                  </w:tcBorders>
                  <w:tcMar>
                    <w:left w:w="0" w:type="dxa"/>
                    <w:right w:w="0" w:type="dxa"/>
                  </w:tcMar>
                  <w:vAlign w:val="center"/>
                </w:tcPr>
                <w:p w14:paraId="6C3891C8">
                  <w:pPr>
                    <w:pStyle w:val="78"/>
                    <w:rPr>
                      <w:b/>
                      <w:bCs/>
                      <w:color w:val="auto"/>
                    </w:rPr>
                  </w:pPr>
                  <w:r>
                    <w:rPr>
                      <w:b/>
                      <w:color w:val="auto"/>
                    </w:rPr>
                    <w:t>控制项目</w:t>
                  </w:r>
                </w:p>
              </w:tc>
              <w:tc>
                <w:tcPr>
                  <w:tcW w:w="1500" w:type="pct"/>
                  <w:tcBorders>
                    <w:tl2br w:val="nil"/>
                    <w:tr2bl w:val="nil"/>
                  </w:tcBorders>
                  <w:tcMar>
                    <w:left w:w="0" w:type="dxa"/>
                    <w:right w:w="0" w:type="dxa"/>
                  </w:tcMar>
                  <w:vAlign w:val="center"/>
                </w:tcPr>
                <w:p w14:paraId="77674219">
                  <w:pPr>
                    <w:pStyle w:val="78"/>
                    <w:rPr>
                      <w:b/>
                      <w:bCs/>
                      <w:color w:val="auto"/>
                    </w:rPr>
                  </w:pPr>
                  <w:r>
                    <w:rPr>
                      <w:rFonts w:hint="eastAsia"/>
                      <w:b/>
                      <w:color w:val="auto"/>
                    </w:rPr>
                    <w:t>排气筒高度</w:t>
                  </w:r>
                </w:p>
              </w:tc>
              <w:tc>
                <w:tcPr>
                  <w:tcW w:w="1377" w:type="pct"/>
                  <w:tcBorders>
                    <w:tl2br w:val="nil"/>
                    <w:tr2bl w:val="nil"/>
                  </w:tcBorders>
                  <w:tcMar>
                    <w:left w:w="0" w:type="dxa"/>
                    <w:right w:w="0" w:type="dxa"/>
                  </w:tcMar>
                  <w:vAlign w:val="center"/>
                </w:tcPr>
                <w:p w14:paraId="6C296293">
                  <w:pPr>
                    <w:pStyle w:val="78"/>
                    <w:rPr>
                      <w:b/>
                      <w:color w:val="auto"/>
                      <w:kern w:val="44"/>
                      <w:szCs w:val="24"/>
                    </w:rPr>
                  </w:pPr>
                  <w:r>
                    <w:rPr>
                      <w:rFonts w:hint="eastAsia"/>
                      <w:b/>
                      <w:color w:val="auto"/>
                    </w:rPr>
                    <w:t>最高允许排放速率</w:t>
                  </w:r>
                </w:p>
              </w:tc>
              <w:tc>
                <w:tcPr>
                  <w:tcW w:w="1377" w:type="pct"/>
                  <w:tcBorders>
                    <w:tl2br w:val="nil"/>
                    <w:tr2bl w:val="nil"/>
                  </w:tcBorders>
                  <w:tcMar>
                    <w:left w:w="0" w:type="dxa"/>
                    <w:right w:w="0" w:type="dxa"/>
                  </w:tcMar>
                  <w:vAlign w:val="center"/>
                </w:tcPr>
                <w:p w14:paraId="47D1C81C">
                  <w:pPr>
                    <w:pStyle w:val="78"/>
                    <w:rPr>
                      <w:b/>
                      <w:color w:val="auto"/>
                    </w:rPr>
                  </w:pPr>
                  <w:r>
                    <w:rPr>
                      <w:rFonts w:hint="eastAsia"/>
                      <w:b/>
                      <w:color w:val="auto"/>
                    </w:rPr>
                    <w:t>标准来源</w:t>
                  </w:r>
                </w:p>
              </w:tc>
            </w:tr>
            <w:tr w14:paraId="7D035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43" w:type="pct"/>
                  <w:tcBorders>
                    <w:tl2br w:val="nil"/>
                    <w:tr2bl w:val="nil"/>
                  </w:tcBorders>
                  <w:tcMar>
                    <w:left w:w="0" w:type="dxa"/>
                    <w:right w:w="0" w:type="dxa"/>
                  </w:tcMar>
                  <w:vAlign w:val="center"/>
                </w:tcPr>
                <w:p w14:paraId="6839C838">
                  <w:pPr>
                    <w:jc w:val="center"/>
                    <w:rPr>
                      <w:color w:val="auto"/>
                      <w:szCs w:val="21"/>
                    </w:rPr>
                  </w:pPr>
                  <w:r>
                    <w:rPr>
                      <w:color w:val="auto"/>
                      <w:szCs w:val="21"/>
                    </w:rPr>
                    <w:t>氨</w:t>
                  </w:r>
                </w:p>
              </w:tc>
              <w:tc>
                <w:tcPr>
                  <w:tcW w:w="1500" w:type="pct"/>
                  <w:tcBorders>
                    <w:tl2br w:val="nil"/>
                    <w:tr2bl w:val="nil"/>
                  </w:tcBorders>
                  <w:tcMar>
                    <w:left w:w="0" w:type="dxa"/>
                    <w:right w:w="0" w:type="dxa"/>
                  </w:tcMar>
                  <w:vAlign w:val="center"/>
                </w:tcPr>
                <w:p w14:paraId="45A82594">
                  <w:pPr>
                    <w:jc w:val="center"/>
                    <w:rPr>
                      <w:color w:val="auto"/>
                      <w:szCs w:val="21"/>
                    </w:rPr>
                  </w:pPr>
                  <w:r>
                    <w:rPr>
                      <w:rFonts w:hint="eastAsia"/>
                      <w:color w:val="auto"/>
                      <w:szCs w:val="21"/>
                    </w:rPr>
                    <w:t>15m</w:t>
                  </w:r>
                </w:p>
              </w:tc>
              <w:tc>
                <w:tcPr>
                  <w:tcW w:w="1377" w:type="pct"/>
                  <w:tcBorders>
                    <w:tl2br w:val="nil"/>
                    <w:tr2bl w:val="nil"/>
                  </w:tcBorders>
                  <w:tcMar>
                    <w:left w:w="0" w:type="dxa"/>
                    <w:right w:w="0" w:type="dxa"/>
                  </w:tcMar>
                  <w:vAlign w:val="center"/>
                </w:tcPr>
                <w:p w14:paraId="249779C7">
                  <w:pPr>
                    <w:jc w:val="center"/>
                    <w:rPr>
                      <w:color w:val="auto"/>
                      <w:szCs w:val="21"/>
                    </w:rPr>
                  </w:pPr>
                  <w:r>
                    <w:rPr>
                      <w:rFonts w:hint="eastAsia"/>
                      <w:color w:val="auto"/>
                      <w:szCs w:val="21"/>
                    </w:rPr>
                    <w:t>4.9</w:t>
                  </w:r>
                  <w:r>
                    <w:rPr>
                      <w:rFonts w:hint="eastAsia"/>
                      <w:bCs/>
                      <w:color w:val="auto"/>
                    </w:rPr>
                    <w:t>kg/h</w:t>
                  </w:r>
                </w:p>
              </w:tc>
              <w:tc>
                <w:tcPr>
                  <w:tcW w:w="1377" w:type="pct"/>
                  <w:vMerge w:val="restart"/>
                  <w:tcBorders>
                    <w:tl2br w:val="nil"/>
                    <w:tr2bl w:val="nil"/>
                  </w:tcBorders>
                  <w:tcMar>
                    <w:left w:w="0" w:type="dxa"/>
                    <w:right w:w="0" w:type="dxa"/>
                  </w:tcMar>
                  <w:vAlign w:val="center"/>
                </w:tcPr>
                <w:p w14:paraId="105ED623">
                  <w:pPr>
                    <w:widowControl/>
                    <w:jc w:val="left"/>
                    <w:rPr>
                      <w:color w:val="auto"/>
                      <w:szCs w:val="21"/>
                    </w:rPr>
                  </w:pPr>
                  <w:r>
                    <w:rPr>
                      <w:rFonts w:hint="eastAsia" w:ascii="宋体" w:hAnsi="宋体" w:cs="宋体"/>
                      <w:color w:val="auto"/>
                      <w:kern w:val="0"/>
                      <w:szCs w:val="21"/>
                      <w:lang w:bidi="ar"/>
                    </w:rPr>
                    <w:t>《恶臭污染物排放标准》（</w:t>
                  </w:r>
                  <w:r>
                    <w:rPr>
                      <w:color w:val="auto"/>
                      <w:kern w:val="0"/>
                      <w:szCs w:val="21"/>
                      <w:lang w:bidi="ar"/>
                    </w:rPr>
                    <w:t>GB14554-93</w:t>
                  </w:r>
                  <w:r>
                    <w:rPr>
                      <w:rFonts w:hint="eastAsia" w:ascii="宋体" w:hAnsi="宋体" w:cs="宋体"/>
                      <w:color w:val="auto"/>
                      <w:kern w:val="0"/>
                      <w:szCs w:val="21"/>
                      <w:lang w:bidi="ar"/>
                    </w:rPr>
                    <w:t>）表</w:t>
                  </w:r>
                  <w:r>
                    <w:rPr>
                      <w:color w:val="auto"/>
                      <w:kern w:val="0"/>
                      <w:szCs w:val="21"/>
                      <w:lang w:bidi="ar"/>
                    </w:rPr>
                    <w:t>2</w:t>
                  </w:r>
                  <w:r>
                    <w:rPr>
                      <w:rFonts w:hint="eastAsia" w:ascii="宋体" w:hAnsi="宋体" w:cs="宋体"/>
                      <w:color w:val="auto"/>
                      <w:kern w:val="0"/>
                      <w:szCs w:val="21"/>
                      <w:lang w:bidi="ar"/>
                    </w:rPr>
                    <w:t>标准限值</w:t>
                  </w:r>
                </w:p>
              </w:tc>
            </w:tr>
            <w:tr w14:paraId="772F6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3" w:type="pct"/>
                  <w:tcBorders>
                    <w:tl2br w:val="nil"/>
                    <w:tr2bl w:val="nil"/>
                  </w:tcBorders>
                  <w:tcMar>
                    <w:left w:w="0" w:type="dxa"/>
                    <w:right w:w="0" w:type="dxa"/>
                  </w:tcMar>
                  <w:vAlign w:val="center"/>
                </w:tcPr>
                <w:p w14:paraId="6820AFD0">
                  <w:pPr>
                    <w:jc w:val="center"/>
                    <w:rPr>
                      <w:color w:val="auto"/>
                      <w:szCs w:val="21"/>
                    </w:rPr>
                  </w:pPr>
                  <w:r>
                    <w:rPr>
                      <w:color w:val="auto"/>
                      <w:szCs w:val="21"/>
                    </w:rPr>
                    <w:t>硫化氢</w:t>
                  </w:r>
                </w:p>
              </w:tc>
              <w:tc>
                <w:tcPr>
                  <w:tcW w:w="1500" w:type="pct"/>
                  <w:tcBorders>
                    <w:tl2br w:val="nil"/>
                    <w:tr2bl w:val="nil"/>
                  </w:tcBorders>
                  <w:tcMar>
                    <w:left w:w="0" w:type="dxa"/>
                    <w:right w:w="0" w:type="dxa"/>
                  </w:tcMar>
                  <w:vAlign w:val="center"/>
                </w:tcPr>
                <w:p w14:paraId="6134791C">
                  <w:pPr>
                    <w:jc w:val="center"/>
                    <w:rPr>
                      <w:color w:val="auto"/>
                      <w:szCs w:val="21"/>
                    </w:rPr>
                  </w:pPr>
                  <w:r>
                    <w:rPr>
                      <w:rFonts w:hint="eastAsia"/>
                      <w:color w:val="auto"/>
                      <w:szCs w:val="21"/>
                    </w:rPr>
                    <w:t>15m</w:t>
                  </w:r>
                </w:p>
              </w:tc>
              <w:tc>
                <w:tcPr>
                  <w:tcW w:w="1377" w:type="pct"/>
                  <w:tcBorders>
                    <w:tl2br w:val="nil"/>
                    <w:tr2bl w:val="nil"/>
                  </w:tcBorders>
                  <w:tcMar>
                    <w:left w:w="0" w:type="dxa"/>
                    <w:right w:w="0" w:type="dxa"/>
                  </w:tcMar>
                  <w:vAlign w:val="center"/>
                </w:tcPr>
                <w:p w14:paraId="06033F40">
                  <w:pPr>
                    <w:jc w:val="center"/>
                    <w:rPr>
                      <w:color w:val="auto"/>
                      <w:szCs w:val="21"/>
                    </w:rPr>
                  </w:pPr>
                  <w:r>
                    <w:rPr>
                      <w:rFonts w:hint="eastAsia"/>
                      <w:color w:val="auto"/>
                      <w:szCs w:val="21"/>
                    </w:rPr>
                    <w:t>0.33</w:t>
                  </w:r>
                  <w:r>
                    <w:rPr>
                      <w:rFonts w:hint="eastAsia"/>
                      <w:bCs/>
                      <w:color w:val="auto"/>
                    </w:rPr>
                    <w:t>kg/h</w:t>
                  </w:r>
                </w:p>
              </w:tc>
              <w:tc>
                <w:tcPr>
                  <w:tcW w:w="1377" w:type="pct"/>
                  <w:vMerge w:val="continue"/>
                  <w:tcBorders>
                    <w:tl2br w:val="nil"/>
                    <w:tr2bl w:val="nil"/>
                  </w:tcBorders>
                  <w:tcMar>
                    <w:left w:w="0" w:type="dxa"/>
                    <w:right w:w="0" w:type="dxa"/>
                  </w:tcMar>
                  <w:vAlign w:val="center"/>
                </w:tcPr>
                <w:p w14:paraId="70119F5D">
                  <w:pPr>
                    <w:jc w:val="center"/>
                    <w:rPr>
                      <w:color w:val="auto"/>
                      <w:szCs w:val="21"/>
                    </w:rPr>
                  </w:pPr>
                </w:p>
              </w:tc>
            </w:tr>
            <w:tr w14:paraId="11A07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43" w:type="pct"/>
                  <w:tcBorders>
                    <w:tl2br w:val="nil"/>
                    <w:tr2bl w:val="nil"/>
                  </w:tcBorders>
                  <w:tcMar>
                    <w:left w:w="0" w:type="dxa"/>
                    <w:right w:w="0" w:type="dxa"/>
                  </w:tcMar>
                  <w:vAlign w:val="center"/>
                </w:tcPr>
                <w:p w14:paraId="576B0368">
                  <w:pPr>
                    <w:jc w:val="center"/>
                    <w:rPr>
                      <w:color w:val="auto"/>
                      <w:szCs w:val="21"/>
                    </w:rPr>
                  </w:pPr>
                  <w:r>
                    <w:rPr>
                      <w:color w:val="auto"/>
                      <w:szCs w:val="21"/>
                    </w:rPr>
                    <w:t>臭气浓度</w:t>
                  </w:r>
                </w:p>
              </w:tc>
              <w:tc>
                <w:tcPr>
                  <w:tcW w:w="1500" w:type="pct"/>
                  <w:tcBorders>
                    <w:tl2br w:val="nil"/>
                    <w:tr2bl w:val="nil"/>
                  </w:tcBorders>
                  <w:tcMar>
                    <w:left w:w="0" w:type="dxa"/>
                    <w:right w:w="0" w:type="dxa"/>
                  </w:tcMar>
                  <w:vAlign w:val="center"/>
                </w:tcPr>
                <w:p w14:paraId="1D35CA7B">
                  <w:pPr>
                    <w:jc w:val="center"/>
                    <w:rPr>
                      <w:color w:val="auto"/>
                      <w:szCs w:val="21"/>
                    </w:rPr>
                  </w:pPr>
                  <w:r>
                    <w:rPr>
                      <w:rFonts w:hint="eastAsia"/>
                      <w:color w:val="auto"/>
                      <w:szCs w:val="21"/>
                    </w:rPr>
                    <w:t>15m</w:t>
                  </w:r>
                </w:p>
              </w:tc>
              <w:tc>
                <w:tcPr>
                  <w:tcW w:w="1377" w:type="pct"/>
                  <w:tcBorders>
                    <w:tl2br w:val="nil"/>
                    <w:tr2bl w:val="nil"/>
                  </w:tcBorders>
                  <w:tcMar>
                    <w:left w:w="0" w:type="dxa"/>
                    <w:right w:w="0" w:type="dxa"/>
                  </w:tcMar>
                  <w:vAlign w:val="center"/>
                </w:tcPr>
                <w:p w14:paraId="69611E8E">
                  <w:pPr>
                    <w:jc w:val="center"/>
                    <w:rPr>
                      <w:color w:val="auto"/>
                      <w:szCs w:val="21"/>
                    </w:rPr>
                  </w:pPr>
                  <w:r>
                    <w:rPr>
                      <w:rFonts w:hint="eastAsia"/>
                      <w:color w:val="auto"/>
                      <w:szCs w:val="21"/>
                    </w:rPr>
                    <w:t>2</w:t>
                  </w:r>
                  <w:r>
                    <w:rPr>
                      <w:color w:val="auto"/>
                      <w:szCs w:val="21"/>
                    </w:rPr>
                    <w:t>000（无量纲）</w:t>
                  </w:r>
                </w:p>
              </w:tc>
              <w:tc>
                <w:tcPr>
                  <w:tcW w:w="1377" w:type="pct"/>
                  <w:vMerge w:val="continue"/>
                  <w:tcBorders>
                    <w:tl2br w:val="nil"/>
                    <w:tr2bl w:val="nil"/>
                  </w:tcBorders>
                  <w:tcMar>
                    <w:left w:w="0" w:type="dxa"/>
                    <w:right w:w="0" w:type="dxa"/>
                  </w:tcMar>
                  <w:vAlign w:val="center"/>
                </w:tcPr>
                <w:p w14:paraId="718BA374">
                  <w:pPr>
                    <w:jc w:val="center"/>
                    <w:rPr>
                      <w:color w:val="auto"/>
                      <w:szCs w:val="21"/>
                    </w:rPr>
                  </w:pPr>
                </w:p>
              </w:tc>
            </w:tr>
          </w:tbl>
          <w:p w14:paraId="2C1B257E">
            <w:pPr>
              <w:spacing w:before="120" w:beforeLines="50"/>
              <w:jc w:val="center"/>
              <w:rPr>
                <w:rFonts w:hint="eastAsia" w:eastAsia="宋体"/>
                <w:b/>
                <w:color w:val="auto"/>
                <w:lang w:val="en-US" w:eastAsia="zh-CN"/>
              </w:rPr>
            </w:pPr>
            <w:r>
              <w:rPr>
                <w:b/>
                <w:color w:val="auto"/>
              </w:rPr>
              <w:t>表3-</w:t>
            </w:r>
            <w:r>
              <w:rPr>
                <w:rFonts w:hint="eastAsia"/>
                <w:b/>
                <w:color w:val="auto"/>
              </w:rPr>
              <w:t>5</w:t>
            </w:r>
            <w:r>
              <w:rPr>
                <w:b/>
                <w:color w:val="auto"/>
              </w:rPr>
              <w:t xml:space="preserve">  </w:t>
            </w:r>
            <w:r>
              <w:rPr>
                <w:rFonts w:hint="eastAsia"/>
                <w:b/>
                <w:color w:val="auto"/>
                <w:lang w:val="en-US" w:eastAsia="zh-CN"/>
              </w:rPr>
              <w:t>无组织废气排放标准</w:t>
            </w:r>
          </w:p>
          <w:tbl>
            <w:tblPr>
              <w:tblStyle w:val="3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2"/>
              <w:gridCol w:w="3247"/>
              <w:gridCol w:w="2982"/>
            </w:tblGrid>
            <w:tr w14:paraId="528EB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028" w:type="pct"/>
                  <w:tcBorders>
                    <w:tl2br w:val="nil"/>
                    <w:tr2bl w:val="nil"/>
                  </w:tcBorders>
                  <w:tcMar>
                    <w:left w:w="0" w:type="dxa"/>
                    <w:right w:w="0" w:type="dxa"/>
                  </w:tcMar>
                  <w:vAlign w:val="center"/>
                </w:tcPr>
                <w:p w14:paraId="5047AFFF">
                  <w:pPr>
                    <w:pStyle w:val="78"/>
                    <w:rPr>
                      <w:b/>
                      <w:bCs/>
                      <w:color w:val="auto"/>
                    </w:rPr>
                  </w:pPr>
                  <w:r>
                    <w:rPr>
                      <w:b/>
                      <w:color w:val="auto"/>
                    </w:rPr>
                    <w:t>控制项目</w:t>
                  </w:r>
                </w:p>
              </w:tc>
              <w:tc>
                <w:tcPr>
                  <w:tcW w:w="2070" w:type="pct"/>
                  <w:tcBorders>
                    <w:tl2br w:val="nil"/>
                    <w:tr2bl w:val="nil"/>
                  </w:tcBorders>
                  <w:tcMar>
                    <w:left w:w="0" w:type="dxa"/>
                    <w:right w:w="0" w:type="dxa"/>
                  </w:tcMar>
                  <w:vAlign w:val="center"/>
                </w:tcPr>
                <w:p w14:paraId="2E831598">
                  <w:pPr>
                    <w:widowControl/>
                    <w:jc w:val="center"/>
                    <w:rPr>
                      <w:b/>
                      <w:bCs/>
                      <w:color w:val="auto"/>
                    </w:rPr>
                  </w:pPr>
                  <w:r>
                    <w:rPr>
                      <w:rFonts w:hint="eastAsia" w:ascii="宋体" w:hAnsi="宋体" w:cs="宋体"/>
                      <w:b/>
                      <w:bCs/>
                      <w:color w:val="auto"/>
                      <w:kern w:val="0"/>
                      <w:szCs w:val="21"/>
                      <w:lang w:bidi="ar"/>
                    </w:rPr>
                    <w:t>厂周界浓度限值</w:t>
                  </w:r>
                </w:p>
              </w:tc>
              <w:tc>
                <w:tcPr>
                  <w:tcW w:w="1901" w:type="pct"/>
                  <w:tcBorders>
                    <w:tl2br w:val="nil"/>
                    <w:tr2bl w:val="nil"/>
                  </w:tcBorders>
                  <w:tcMar>
                    <w:left w:w="0" w:type="dxa"/>
                    <w:right w:w="0" w:type="dxa"/>
                  </w:tcMar>
                  <w:vAlign w:val="center"/>
                </w:tcPr>
                <w:p w14:paraId="266C206C">
                  <w:pPr>
                    <w:jc w:val="center"/>
                    <w:rPr>
                      <w:color w:val="auto"/>
                      <w:szCs w:val="21"/>
                    </w:rPr>
                  </w:pPr>
                  <w:r>
                    <w:rPr>
                      <w:rFonts w:hint="eastAsia"/>
                      <w:b/>
                      <w:bCs/>
                      <w:color w:val="auto"/>
                    </w:rPr>
                    <w:t>标准来源</w:t>
                  </w:r>
                </w:p>
              </w:tc>
            </w:tr>
            <w:tr w14:paraId="77133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028" w:type="pct"/>
                  <w:tcBorders>
                    <w:tl2br w:val="nil"/>
                    <w:tr2bl w:val="nil"/>
                  </w:tcBorders>
                  <w:tcMar>
                    <w:left w:w="0" w:type="dxa"/>
                    <w:right w:w="0" w:type="dxa"/>
                  </w:tcMar>
                  <w:vAlign w:val="center"/>
                </w:tcPr>
                <w:p w14:paraId="17B0D58A">
                  <w:pPr>
                    <w:jc w:val="center"/>
                    <w:rPr>
                      <w:color w:val="auto"/>
                      <w:szCs w:val="21"/>
                    </w:rPr>
                  </w:pPr>
                  <w:r>
                    <w:rPr>
                      <w:color w:val="auto"/>
                      <w:szCs w:val="21"/>
                    </w:rPr>
                    <w:t>氨</w:t>
                  </w:r>
                </w:p>
              </w:tc>
              <w:tc>
                <w:tcPr>
                  <w:tcW w:w="2070" w:type="pct"/>
                  <w:tcBorders>
                    <w:tl2br w:val="nil"/>
                    <w:tr2bl w:val="nil"/>
                  </w:tcBorders>
                  <w:tcMar>
                    <w:left w:w="0" w:type="dxa"/>
                    <w:right w:w="0" w:type="dxa"/>
                  </w:tcMar>
                  <w:vAlign w:val="center"/>
                </w:tcPr>
                <w:p w14:paraId="7FC4F090">
                  <w:pPr>
                    <w:jc w:val="center"/>
                    <w:rPr>
                      <w:color w:val="auto"/>
                      <w:szCs w:val="21"/>
                    </w:rPr>
                  </w:pPr>
                  <w:r>
                    <w:rPr>
                      <w:rFonts w:hint="eastAsia"/>
                      <w:color w:val="auto"/>
                      <w:szCs w:val="21"/>
                    </w:rPr>
                    <w:t>1.5</w:t>
                  </w:r>
                  <w:r>
                    <w:rPr>
                      <w:color w:val="auto"/>
                      <w:kern w:val="0"/>
                      <w:szCs w:val="21"/>
                      <w:lang w:bidi="ar"/>
                    </w:rPr>
                    <w:t>mg/m</w:t>
                  </w:r>
                  <w:r>
                    <w:rPr>
                      <w:rFonts w:hint="eastAsia"/>
                      <w:color w:val="auto"/>
                      <w:kern w:val="0"/>
                      <w:sz w:val="24"/>
                      <w:vertAlign w:val="superscript"/>
                      <w:lang w:bidi="ar"/>
                    </w:rPr>
                    <w:t>3</w:t>
                  </w:r>
                </w:p>
              </w:tc>
              <w:tc>
                <w:tcPr>
                  <w:tcW w:w="1901" w:type="pct"/>
                  <w:vMerge w:val="restart"/>
                  <w:tcBorders>
                    <w:tl2br w:val="nil"/>
                    <w:tr2bl w:val="nil"/>
                  </w:tcBorders>
                  <w:tcMar>
                    <w:left w:w="0" w:type="dxa"/>
                    <w:right w:w="0" w:type="dxa"/>
                  </w:tcMar>
                  <w:vAlign w:val="center"/>
                </w:tcPr>
                <w:p w14:paraId="6B29AB13">
                  <w:pPr>
                    <w:jc w:val="center"/>
                    <w:rPr>
                      <w:rFonts w:ascii="宋体" w:hAnsi="宋体" w:cs="宋体"/>
                      <w:color w:val="auto"/>
                      <w:kern w:val="0"/>
                      <w:szCs w:val="21"/>
                      <w:lang w:bidi="ar"/>
                    </w:rPr>
                  </w:pPr>
                  <w:r>
                    <w:rPr>
                      <w:rFonts w:hint="eastAsia" w:ascii="宋体" w:hAnsi="宋体" w:cs="宋体"/>
                      <w:color w:val="auto"/>
                      <w:kern w:val="0"/>
                      <w:szCs w:val="21"/>
                      <w:lang w:bidi="ar"/>
                    </w:rPr>
                    <w:t>《恶臭污染物排放标准》（</w:t>
                  </w:r>
                  <w:r>
                    <w:rPr>
                      <w:color w:val="auto"/>
                      <w:kern w:val="0"/>
                      <w:szCs w:val="21"/>
                      <w:lang w:bidi="ar"/>
                    </w:rPr>
                    <w:t>GB14554-93</w:t>
                  </w:r>
                  <w:r>
                    <w:rPr>
                      <w:rFonts w:hint="eastAsia" w:ascii="宋体" w:hAnsi="宋体" w:cs="宋体"/>
                      <w:color w:val="auto"/>
                      <w:kern w:val="0"/>
                      <w:szCs w:val="21"/>
                      <w:lang w:bidi="ar"/>
                    </w:rPr>
                    <w:t>）表</w:t>
                  </w:r>
                  <w:r>
                    <w:rPr>
                      <w:rFonts w:hint="eastAsia"/>
                      <w:color w:val="auto"/>
                      <w:kern w:val="0"/>
                      <w:szCs w:val="21"/>
                      <w:lang w:val="en-US" w:eastAsia="zh-CN" w:bidi="ar"/>
                    </w:rPr>
                    <w:t>1</w:t>
                  </w:r>
                  <w:r>
                    <w:rPr>
                      <w:rFonts w:hint="eastAsia" w:ascii="宋体" w:hAnsi="宋体" w:cs="宋体"/>
                      <w:color w:val="auto"/>
                      <w:kern w:val="0"/>
                      <w:szCs w:val="21"/>
                      <w:lang w:bidi="ar"/>
                    </w:rPr>
                    <w:t>标准限值</w:t>
                  </w:r>
                </w:p>
              </w:tc>
            </w:tr>
            <w:tr w14:paraId="180F0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 w:hRule="atLeast"/>
                <w:jc w:val="center"/>
              </w:trPr>
              <w:tc>
                <w:tcPr>
                  <w:tcW w:w="1028" w:type="pct"/>
                  <w:tcBorders>
                    <w:tl2br w:val="nil"/>
                    <w:tr2bl w:val="nil"/>
                  </w:tcBorders>
                  <w:tcMar>
                    <w:left w:w="0" w:type="dxa"/>
                    <w:right w:w="0" w:type="dxa"/>
                  </w:tcMar>
                  <w:vAlign w:val="center"/>
                </w:tcPr>
                <w:p w14:paraId="05688DAD">
                  <w:pPr>
                    <w:jc w:val="center"/>
                    <w:rPr>
                      <w:color w:val="auto"/>
                      <w:szCs w:val="21"/>
                    </w:rPr>
                  </w:pPr>
                  <w:r>
                    <w:rPr>
                      <w:color w:val="auto"/>
                      <w:szCs w:val="21"/>
                    </w:rPr>
                    <w:t>硫化氢</w:t>
                  </w:r>
                </w:p>
              </w:tc>
              <w:tc>
                <w:tcPr>
                  <w:tcW w:w="2070" w:type="pct"/>
                  <w:tcBorders>
                    <w:tl2br w:val="nil"/>
                    <w:tr2bl w:val="nil"/>
                  </w:tcBorders>
                  <w:tcMar>
                    <w:left w:w="0" w:type="dxa"/>
                    <w:right w:w="0" w:type="dxa"/>
                  </w:tcMar>
                  <w:vAlign w:val="center"/>
                </w:tcPr>
                <w:p w14:paraId="122F817F">
                  <w:pPr>
                    <w:jc w:val="center"/>
                    <w:rPr>
                      <w:color w:val="auto"/>
                      <w:szCs w:val="21"/>
                    </w:rPr>
                  </w:pPr>
                  <w:r>
                    <w:rPr>
                      <w:rFonts w:hint="eastAsia"/>
                      <w:color w:val="auto"/>
                      <w:szCs w:val="21"/>
                    </w:rPr>
                    <w:t>0.06</w:t>
                  </w:r>
                  <w:r>
                    <w:rPr>
                      <w:color w:val="auto"/>
                      <w:kern w:val="0"/>
                      <w:szCs w:val="21"/>
                      <w:lang w:bidi="ar"/>
                    </w:rPr>
                    <w:t>mg/m</w:t>
                  </w:r>
                  <w:r>
                    <w:rPr>
                      <w:rFonts w:hint="eastAsia"/>
                      <w:color w:val="auto"/>
                      <w:kern w:val="0"/>
                      <w:sz w:val="24"/>
                      <w:vertAlign w:val="superscript"/>
                      <w:lang w:bidi="ar"/>
                    </w:rPr>
                    <w:t>3</w:t>
                  </w:r>
                </w:p>
              </w:tc>
              <w:tc>
                <w:tcPr>
                  <w:tcW w:w="1901" w:type="pct"/>
                  <w:vMerge w:val="continue"/>
                  <w:tcBorders>
                    <w:tl2br w:val="nil"/>
                    <w:tr2bl w:val="nil"/>
                  </w:tcBorders>
                  <w:tcMar>
                    <w:left w:w="0" w:type="dxa"/>
                    <w:right w:w="0" w:type="dxa"/>
                  </w:tcMar>
                  <w:vAlign w:val="center"/>
                </w:tcPr>
                <w:p w14:paraId="22CB8D70">
                  <w:pPr>
                    <w:jc w:val="center"/>
                    <w:rPr>
                      <w:color w:val="auto"/>
                      <w:szCs w:val="21"/>
                    </w:rPr>
                  </w:pPr>
                </w:p>
              </w:tc>
            </w:tr>
            <w:tr w14:paraId="7A95A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028" w:type="pct"/>
                  <w:tcBorders>
                    <w:tl2br w:val="nil"/>
                    <w:tr2bl w:val="nil"/>
                  </w:tcBorders>
                  <w:tcMar>
                    <w:left w:w="0" w:type="dxa"/>
                    <w:right w:w="0" w:type="dxa"/>
                  </w:tcMar>
                  <w:vAlign w:val="center"/>
                </w:tcPr>
                <w:p w14:paraId="694565F6">
                  <w:pPr>
                    <w:jc w:val="center"/>
                    <w:rPr>
                      <w:color w:val="auto"/>
                      <w:szCs w:val="21"/>
                    </w:rPr>
                  </w:pPr>
                  <w:r>
                    <w:rPr>
                      <w:color w:val="auto"/>
                      <w:szCs w:val="21"/>
                    </w:rPr>
                    <w:t>臭气浓度</w:t>
                  </w:r>
                </w:p>
              </w:tc>
              <w:tc>
                <w:tcPr>
                  <w:tcW w:w="2070" w:type="pct"/>
                  <w:tcBorders>
                    <w:tl2br w:val="nil"/>
                    <w:tr2bl w:val="nil"/>
                  </w:tcBorders>
                  <w:tcMar>
                    <w:left w:w="0" w:type="dxa"/>
                    <w:right w:w="0" w:type="dxa"/>
                  </w:tcMar>
                  <w:vAlign w:val="center"/>
                </w:tcPr>
                <w:p w14:paraId="241C22FD">
                  <w:pPr>
                    <w:jc w:val="center"/>
                    <w:rPr>
                      <w:color w:val="auto"/>
                      <w:szCs w:val="21"/>
                    </w:rPr>
                  </w:pPr>
                  <w:r>
                    <w:rPr>
                      <w:rFonts w:hint="eastAsia"/>
                      <w:color w:val="auto"/>
                      <w:szCs w:val="21"/>
                    </w:rPr>
                    <w:t>20</w:t>
                  </w:r>
                  <w:r>
                    <w:rPr>
                      <w:color w:val="auto"/>
                      <w:szCs w:val="21"/>
                    </w:rPr>
                    <w:t>（无量纲）</w:t>
                  </w:r>
                </w:p>
              </w:tc>
              <w:tc>
                <w:tcPr>
                  <w:tcW w:w="1901" w:type="pct"/>
                  <w:vMerge w:val="continue"/>
                  <w:tcBorders>
                    <w:tl2br w:val="nil"/>
                    <w:tr2bl w:val="nil"/>
                  </w:tcBorders>
                  <w:tcMar>
                    <w:left w:w="0" w:type="dxa"/>
                    <w:right w:w="0" w:type="dxa"/>
                  </w:tcMar>
                  <w:vAlign w:val="center"/>
                </w:tcPr>
                <w:p w14:paraId="7EA6F25E">
                  <w:pPr>
                    <w:jc w:val="center"/>
                    <w:rPr>
                      <w:color w:val="auto"/>
                      <w:szCs w:val="21"/>
                    </w:rPr>
                  </w:pPr>
                </w:p>
              </w:tc>
            </w:tr>
          </w:tbl>
          <w:p w14:paraId="169FB152">
            <w:pPr>
              <w:pStyle w:val="68"/>
              <w:spacing w:line="240" w:lineRule="auto"/>
              <w:ind w:firstLine="0" w:firstLineChars="0"/>
              <w:jc w:val="center"/>
              <w:rPr>
                <w:rFonts w:hint="default" w:eastAsia="宋体" w:cs="Times New Roman"/>
                <w:b/>
                <w:color w:val="auto"/>
                <w:lang w:val="en-US" w:eastAsia="zh-CN"/>
              </w:rPr>
            </w:pPr>
            <w:r>
              <w:rPr>
                <w:rFonts w:hint="eastAsia" w:cs="Times New Roman"/>
                <w:b/>
                <w:color w:val="auto"/>
                <w:sz w:val="21"/>
                <w:szCs w:val="21"/>
                <w:lang w:val="en-US" w:eastAsia="zh-CN"/>
              </w:rPr>
              <w:t>3-6  《饮食业油烟排放标准（试行）》（GB18483-2001）</w:t>
            </w:r>
          </w:p>
          <w:tbl>
            <w:tblPr>
              <w:tblStyle w:val="32"/>
              <w:tblW w:w="78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69"/>
              <w:gridCol w:w="1157"/>
              <w:gridCol w:w="1964"/>
              <w:gridCol w:w="1964"/>
            </w:tblGrid>
            <w:tr w14:paraId="66B7E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69" w:type="dxa"/>
                  <w:vAlign w:val="center"/>
                </w:tcPr>
                <w:p w14:paraId="61F743DC">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eastAsia="宋体" w:cs="Times New Roman"/>
                      <w:b/>
                      <w:bCs w:val="0"/>
                      <w:color w:val="auto"/>
                      <w:sz w:val="21"/>
                      <w:szCs w:val="21"/>
                      <w:vertAlign w:val="baseline"/>
                      <w:lang w:val="en-US" w:eastAsia="zh-CN"/>
                    </w:rPr>
                  </w:pPr>
                  <w:r>
                    <w:rPr>
                      <w:rFonts w:hint="eastAsia" w:cs="Times New Roman"/>
                      <w:b/>
                      <w:bCs w:val="0"/>
                      <w:color w:val="auto"/>
                      <w:sz w:val="21"/>
                      <w:szCs w:val="21"/>
                      <w:vertAlign w:val="baseline"/>
                      <w:lang w:val="en-US" w:eastAsia="zh-CN"/>
                    </w:rPr>
                    <w:t>规模</w:t>
                  </w:r>
                </w:p>
              </w:tc>
              <w:tc>
                <w:tcPr>
                  <w:tcW w:w="1157" w:type="dxa"/>
                  <w:vAlign w:val="center"/>
                </w:tcPr>
                <w:p w14:paraId="0635A15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eastAsia="宋体" w:cs="Times New Roman"/>
                      <w:b/>
                      <w:bCs w:val="0"/>
                      <w:color w:val="auto"/>
                      <w:sz w:val="21"/>
                      <w:szCs w:val="21"/>
                      <w:vertAlign w:val="baseline"/>
                      <w:lang w:val="en-US" w:eastAsia="zh-CN"/>
                    </w:rPr>
                  </w:pPr>
                  <w:r>
                    <w:rPr>
                      <w:rFonts w:hint="eastAsia" w:cs="Times New Roman"/>
                      <w:b/>
                      <w:bCs w:val="0"/>
                      <w:color w:val="auto"/>
                      <w:sz w:val="21"/>
                      <w:szCs w:val="21"/>
                      <w:vertAlign w:val="baseline"/>
                      <w:lang w:val="en-US" w:eastAsia="zh-CN"/>
                    </w:rPr>
                    <w:t>大型</w:t>
                  </w:r>
                </w:p>
              </w:tc>
              <w:tc>
                <w:tcPr>
                  <w:tcW w:w="1964" w:type="dxa"/>
                  <w:vAlign w:val="center"/>
                </w:tcPr>
                <w:p w14:paraId="658106A8">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eastAsia="宋体" w:cs="Times New Roman"/>
                      <w:b/>
                      <w:bCs w:val="0"/>
                      <w:color w:val="auto"/>
                      <w:sz w:val="21"/>
                      <w:szCs w:val="21"/>
                      <w:vertAlign w:val="baseline"/>
                      <w:lang w:val="en-US" w:eastAsia="zh-CN"/>
                    </w:rPr>
                  </w:pPr>
                  <w:r>
                    <w:rPr>
                      <w:rFonts w:hint="eastAsia" w:cs="Times New Roman"/>
                      <w:b/>
                      <w:bCs w:val="0"/>
                      <w:color w:val="auto"/>
                      <w:sz w:val="21"/>
                      <w:szCs w:val="21"/>
                      <w:vertAlign w:val="baseline"/>
                      <w:lang w:val="en-US" w:eastAsia="zh-CN"/>
                    </w:rPr>
                    <w:t>中型</w:t>
                  </w:r>
                </w:p>
              </w:tc>
              <w:tc>
                <w:tcPr>
                  <w:tcW w:w="1964" w:type="dxa"/>
                  <w:vAlign w:val="center"/>
                </w:tcPr>
                <w:p w14:paraId="632E1A5D">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eastAsia="宋体" w:cs="Times New Roman"/>
                      <w:b/>
                      <w:bCs w:val="0"/>
                      <w:color w:val="auto"/>
                      <w:sz w:val="21"/>
                      <w:szCs w:val="21"/>
                      <w:vertAlign w:val="baseline"/>
                      <w:lang w:val="en-US" w:eastAsia="zh-CN"/>
                    </w:rPr>
                  </w:pPr>
                  <w:r>
                    <w:rPr>
                      <w:rFonts w:hint="eastAsia" w:cs="Times New Roman"/>
                      <w:b/>
                      <w:bCs w:val="0"/>
                      <w:color w:val="auto"/>
                      <w:sz w:val="21"/>
                      <w:szCs w:val="21"/>
                      <w:vertAlign w:val="baseline"/>
                      <w:lang w:val="en-US" w:eastAsia="zh-CN"/>
                    </w:rPr>
                    <w:t>小型</w:t>
                  </w:r>
                </w:p>
              </w:tc>
            </w:tr>
            <w:tr w14:paraId="5F847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69" w:type="dxa"/>
                  <w:vAlign w:val="center"/>
                </w:tcPr>
                <w:p w14:paraId="50E936A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基准灶头数</w:t>
                  </w:r>
                </w:p>
              </w:tc>
              <w:tc>
                <w:tcPr>
                  <w:tcW w:w="1157" w:type="dxa"/>
                  <w:vAlign w:val="center"/>
                </w:tcPr>
                <w:p w14:paraId="147D9069">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≥6</w:t>
                  </w:r>
                </w:p>
              </w:tc>
              <w:tc>
                <w:tcPr>
                  <w:tcW w:w="1964" w:type="dxa"/>
                  <w:vAlign w:val="center"/>
                </w:tcPr>
                <w:p w14:paraId="66F72B2B">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≥3，＜6</w:t>
                  </w:r>
                </w:p>
              </w:tc>
              <w:tc>
                <w:tcPr>
                  <w:tcW w:w="1964" w:type="dxa"/>
                  <w:vAlign w:val="center"/>
                </w:tcPr>
                <w:p w14:paraId="5B5FC0BC">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≥1，＜3</w:t>
                  </w:r>
                </w:p>
              </w:tc>
            </w:tr>
            <w:tr w14:paraId="757A1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69" w:type="dxa"/>
                  <w:vAlign w:val="center"/>
                </w:tcPr>
                <w:p w14:paraId="69255C17">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最高允许排放浓度</w:t>
                  </w:r>
                </w:p>
              </w:tc>
              <w:tc>
                <w:tcPr>
                  <w:tcW w:w="5085" w:type="dxa"/>
                  <w:gridSpan w:val="3"/>
                  <w:vAlign w:val="center"/>
                </w:tcPr>
                <w:p w14:paraId="33B19AF7">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2.0</w:t>
                  </w:r>
                </w:p>
              </w:tc>
            </w:tr>
            <w:tr w14:paraId="5E578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69" w:type="dxa"/>
                  <w:vAlign w:val="center"/>
                </w:tcPr>
                <w:p w14:paraId="7153CB9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净化设施最低去除效率，%</w:t>
                  </w:r>
                </w:p>
              </w:tc>
              <w:tc>
                <w:tcPr>
                  <w:tcW w:w="1157" w:type="dxa"/>
                  <w:vAlign w:val="center"/>
                </w:tcPr>
                <w:p w14:paraId="4B2ABCF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85</w:t>
                  </w:r>
                </w:p>
              </w:tc>
              <w:tc>
                <w:tcPr>
                  <w:tcW w:w="1964" w:type="dxa"/>
                  <w:vAlign w:val="center"/>
                </w:tcPr>
                <w:p w14:paraId="427CD508">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75</w:t>
                  </w:r>
                </w:p>
              </w:tc>
              <w:tc>
                <w:tcPr>
                  <w:tcW w:w="1964" w:type="dxa"/>
                  <w:vAlign w:val="center"/>
                </w:tcPr>
                <w:p w14:paraId="42A306B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eastAsia="宋体" w:cs="Times New Roman"/>
                      <w:b w:val="0"/>
                      <w:bCs/>
                      <w:color w:val="auto"/>
                      <w:sz w:val="21"/>
                      <w:szCs w:val="21"/>
                      <w:vertAlign w:val="baseline"/>
                      <w:lang w:val="en-US" w:eastAsia="zh-CN"/>
                    </w:rPr>
                  </w:pPr>
                  <w:r>
                    <w:rPr>
                      <w:rFonts w:hint="eastAsia" w:cs="Times New Roman"/>
                      <w:b w:val="0"/>
                      <w:bCs/>
                      <w:color w:val="auto"/>
                      <w:sz w:val="21"/>
                      <w:szCs w:val="21"/>
                      <w:vertAlign w:val="baseline"/>
                      <w:lang w:val="en-US" w:eastAsia="zh-CN"/>
                    </w:rPr>
                    <w:t>60</w:t>
                  </w:r>
                </w:p>
              </w:tc>
            </w:tr>
          </w:tbl>
          <w:p w14:paraId="35DABDFE">
            <w:pPr>
              <w:pStyle w:val="68"/>
              <w:ind w:firstLine="0" w:firstLineChars="0"/>
              <w:rPr>
                <w:rFonts w:cs="Times New Roman"/>
                <w:b/>
                <w:color w:val="auto"/>
              </w:rPr>
            </w:pPr>
            <w:r>
              <w:rPr>
                <w:rFonts w:cs="Times New Roman"/>
                <w:b/>
                <w:color w:val="auto"/>
              </w:rPr>
              <w:t>2、噪声</w:t>
            </w:r>
          </w:p>
          <w:p w14:paraId="5B903BB7">
            <w:pPr>
              <w:pStyle w:val="156"/>
              <w:ind w:firstLine="488"/>
              <w:rPr>
                <w:color w:val="auto"/>
                <w:spacing w:val="4"/>
              </w:rPr>
            </w:pPr>
            <w:r>
              <w:rPr>
                <w:color w:val="auto"/>
                <w:spacing w:val="4"/>
              </w:rPr>
              <w:t>本项目</w:t>
            </w:r>
            <w:r>
              <w:rPr>
                <w:rFonts w:hint="eastAsia"/>
                <w:color w:val="auto"/>
                <w:spacing w:val="4"/>
              </w:rPr>
              <w:t>施工期噪声执行《建筑施工场界环境噪声排放标准》（GB12523-2011）：昼间70dB（A）、夜间55dB（A）。</w:t>
            </w:r>
          </w:p>
          <w:p w14:paraId="3EB89FD0">
            <w:pPr>
              <w:pStyle w:val="156"/>
              <w:ind w:firstLine="488"/>
              <w:rPr>
                <w:color w:val="auto"/>
              </w:rPr>
            </w:pPr>
            <w:r>
              <w:rPr>
                <w:color w:val="auto"/>
                <w:spacing w:val="4"/>
              </w:rPr>
              <w:t>本项目</w:t>
            </w:r>
            <w:r>
              <w:rPr>
                <w:rFonts w:hint="eastAsia"/>
                <w:color w:val="auto"/>
                <w:spacing w:val="4"/>
              </w:rPr>
              <w:t>运营期</w:t>
            </w:r>
            <w:r>
              <w:rPr>
                <w:rFonts w:hint="eastAsia"/>
                <w:color w:val="auto"/>
                <w:spacing w:val="4"/>
                <w:lang w:val="en-US" w:eastAsia="zh-CN"/>
              </w:rPr>
              <w:t>厂界</w:t>
            </w:r>
            <w:r>
              <w:rPr>
                <w:color w:val="auto"/>
                <w:spacing w:val="4"/>
              </w:rPr>
              <w:t>噪声执行</w:t>
            </w:r>
            <w:r>
              <w:rPr>
                <w:color w:val="auto"/>
              </w:rPr>
              <w:t>《工业企业厂界环境噪声排放标准》（GB12348-2008）</w:t>
            </w:r>
            <w:r>
              <w:rPr>
                <w:rFonts w:hint="eastAsia"/>
                <w:color w:val="auto"/>
              </w:rPr>
              <w:t>3</w:t>
            </w:r>
            <w:r>
              <w:rPr>
                <w:color w:val="auto"/>
              </w:rPr>
              <w:t>类标准，标准值详见表3-</w:t>
            </w:r>
            <w:r>
              <w:rPr>
                <w:rFonts w:hint="eastAsia"/>
                <w:color w:val="auto"/>
                <w:lang w:val="en-US" w:eastAsia="zh-CN"/>
              </w:rPr>
              <w:t>7</w:t>
            </w:r>
            <w:r>
              <w:rPr>
                <w:color w:val="auto"/>
              </w:rPr>
              <w:t>。</w:t>
            </w:r>
          </w:p>
          <w:p w14:paraId="4A07AF50">
            <w:pPr>
              <w:pStyle w:val="157"/>
              <w:spacing w:before="120" w:line="240" w:lineRule="auto"/>
              <w:rPr>
                <w:color w:val="auto"/>
              </w:rPr>
            </w:pPr>
            <w:r>
              <w:rPr>
                <w:color w:val="auto"/>
              </w:rPr>
              <w:t>表3-</w:t>
            </w:r>
            <w:r>
              <w:rPr>
                <w:rFonts w:hint="eastAsia"/>
                <w:color w:val="auto"/>
                <w:lang w:val="en-US" w:eastAsia="zh-CN"/>
              </w:rPr>
              <w:t>7</w:t>
            </w:r>
            <w:r>
              <w:rPr>
                <w:color w:val="auto"/>
              </w:rPr>
              <w:t xml:space="preserve">  场界噪声排放标准限值</w:t>
            </w:r>
          </w:p>
          <w:tbl>
            <w:tblPr>
              <w:tblStyle w:val="31"/>
              <w:tblW w:w="5049" w:type="pct"/>
              <w:tblInd w:w="1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6"/>
              <w:gridCol w:w="1373"/>
              <w:gridCol w:w="1351"/>
              <w:gridCol w:w="4081"/>
            </w:tblGrid>
            <w:tr w14:paraId="033E0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pct"/>
                  <w:tcBorders>
                    <w:tl2br w:val="nil"/>
                    <w:tr2bl w:val="nil"/>
                  </w:tcBorders>
                  <w:vAlign w:val="center"/>
                </w:tcPr>
                <w:p w14:paraId="020D5B4C">
                  <w:pPr>
                    <w:pStyle w:val="69"/>
                    <w:jc w:val="center"/>
                    <w:rPr>
                      <w:color w:val="auto"/>
                    </w:rPr>
                  </w:pPr>
                  <w:r>
                    <w:rPr>
                      <w:color w:val="auto"/>
                    </w:rPr>
                    <w:t>项目</w:t>
                  </w:r>
                </w:p>
              </w:tc>
              <w:tc>
                <w:tcPr>
                  <w:tcW w:w="866" w:type="pct"/>
                  <w:tcBorders>
                    <w:tl2br w:val="nil"/>
                    <w:tr2bl w:val="nil"/>
                  </w:tcBorders>
                  <w:vAlign w:val="center"/>
                </w:tcPr>
                <w:p w14:paraId="73D7ADE1">
                  <w:pPr>
                    <w:pStyle w:val="69"/>
                    <w:jc w:val="center"/>
                    <w:rPr>
                      <w:color w:val="auto"/>
                    </w:rPr>
                  </w:pPr>
                  <w:r>
                    <w:rPr>
                      <w:color w:val="auto"/>
                    </w:rPr>
                    <w:t>标准限值</w:t>
                  </w:r>
                </w:p>
              </w:tc>
              <w:tc>
                <w:tcPr>
                  <w:tcW w:w="852" w:type="pct"/>
                  <w:tcBorders>
                    <w:tl2br w:val="nil"/>
                    <w:tr2bl w:val="nil"/>
                  </w:tcBorders>
                  <w:vAlign w:val="center"/>
                </w:tcPr>
                <w:p w14:paraId="45055BEC">
                  <w:pPr>
                    <w:pStyle w:val="69"/>
                    <w:jc w:val="center"/>
                    <w:rPr>
                      <w:color w:val="auto"/>
                    </w:rPr>
                  </w:pPr>
                  <w:r>
                    <w:rPr>
                      <w:color w:val="auto"/>
                    </w:rPr>
                    <w:t>单位</w:t>
                  </w:r>
                </w:p>
              </w:tc>
              <w:tc>
                <w:tcPr>
                  <w:tcW w:w="2576" w:type="pct"/>
                  <w:tcBorders>
                    <w:tl2br w:val="nil"/>
                    <w:tr2bl w:val="nil"/>
                  </w:tcBorders>
                  <w:vAlign w:val="center"/>
                </w:tcPr>
                <w:p w14:paraId="3FAD98A4">
                  <w:pPr>
                    <w:pStyle w:val="69"/>
                    <w:jc w:val="center"/>
                    <w:rPr>
                      <w:color w:val="auto"/>
                    </w:rPr>
                  </w:pPr>
                  <w:r>
                    <w:rPr>
                      <w:color w:val="auto"/>
                    </w:rPr>
                    <w:t>标准来源</w:t>
                  </w:r>
                </w:p>
              </w:tc>
            </w:tr>
            <w:tr w14:paraId="643AA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04" w:type="pct"/>
                  <w:tcBorders>
                    <w:tl2br w:val="nil"/>
                    <w:tr2bl w:val="nil"/>
                  </w:tcBorders>
                  <w:vAlign w:val="center"/>
                </w:tcPr>
                <w:p w14:paraId="01CDED53">
                  <w:pPr>
                    <w:pStyle w:val="69"/>
                    <w:jc w:val="center"/>
                    <w:rPr>
                      <w:color w:val="auto"/>
                    </w:rPr>
                  </w:pPr>
                  <w:r>
                    <w:rPr>
                      <w:color w:val="auto"/>
                    </w:rPr>
                    <w:t>昼间</w:t>
                  </w:r>
                </w:p>
              </w:tc>
              <w:tc>
                <w:tcPr>
                  <w:tcW w:w="866" w:type="pct"/>
                  <w:tcBorders>
                    <w:tl2br w:val="nil"/>
                    <w:tr2bl w:val="nil"/>
                  </w:tcBorders>
                  <w:vAlign w:val="center"/>
                </w:tcPr>
                <w:p w14:paraId="4127E3A9">
                  <w:pPr>
                    <w:pStyle w:val="69"/>
                    <w:jc w:val="center"/>
                    <w:rPr>
                      <w:color w:val="auto"/>
                    </w:rPr>
                  </w:pPr>
                  <w:r>
                    <w:rPr>
                      <w:rFonts w:hint="eastAsia"/>
                      <w:color w:val="auto"/>
                    </w:rPr>
                    <w:t>65</w:t>
                  </w:r>
                </w:p>
              </w:tc>
              <w:tc>
                <w:tcPr>
                  <w:tcW w:w="852" w:type="pct"/>
                  <w:tcBorders>
                    <w:tl2br w:val="nil"/>
                    <w:tr2bl w:val="nil"/>
                  </w:tcBorders>
                  <w:vAlign w:val="center"/>
                </w:tcPr>
                <w:p w14:paraId="592F785E">
                  <w:pPr>
                    <w:pStyle w:val="69"/>
                    <w:jc w:val="center"/>
                    <w:rPr>
                      <w:color w:val="auto"/>
                    </w:rPr>
                  </w:pPr>
                  <w:r>
                    <w:rPr>
                      <w:color w:val="auto"/>
                    </w:rPr>
                    <w:t>dB（A）</w:t>
                  </w:r>
                </w:p>
              </w:tc>
              <w:tc>
                <w:tcPr>
                  <w:tcW w:w="2576" w:type="pct"/>
                  <w:vMerge w:val="restart"/>
                  <w:tcBorders>
                    <w:tl2br w:val="nil"/>
                    <w:tr2bl w:val="nil"/>
                  </w:tcBorders>
                  <w:vAlign w:val="center"/>
                </w:tcPr>
                <w:p w14:paraId="42461B02">
                  <w:pPr>
                    <w:pStyle w:val="69"/>
                    <w:jc w:val="center"/>
                    <w:rPr>
                      <w:color w:val="auto"/>
                    </w:rPr>
                  </w:pPr>
                  <w:r>
                    <w:rPr>
                      <w:color w:val="auto"/>
                    </w:rPr>
                    <w:t>《工业企业厂界环境噪声排放标准》（GB12348-2008）</w:t>
                  </w:r>
                  <w:r>
                    <w:rPr>
                      <w:rFonts w:hint="eastAsia"/>
                      <w:color w:val="auto"/>
                    </w:rPr>
                    <w:t>3</w:t>
                  </w:r>
                  <w:r>
                    <w:rPr>
                      <w:color w:val="auto"/>
                    </w:rPr>
                    <w:t>类标准</w:t>
                  </w:r>
                </w:p>
              </w:tc>
            </w:tr>
            <w:tr w14:paraId="65710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pct"/>
                  <w:tcBorders>
                    <w:tl2br w:val="nil"/>
                    <w:tr2bl w:val="nil"/>
                  </w:tcBorders>
                  <w:vAlign w:val="center"/>
                </w:tcPr>
                <w:p w14:paraId="1053D379">
                  <w:pPr>
                    <w:pStyle w:val="69"/>
                    <w:jc w:val="center"/>
                    <w:rPr>
                      <w:color w:val="auto"/>
                    </w:rPr>
                  </w:pPr>
                  <w:r>
                    <w:rPr>
                      <w:color w:val="auto"/>
                    </w:rPr>
                    <w:t>夜间</w:t>
                  </w:r>
                </w:p>
              </w:tc>
              <w:tc>
                <w:tcPr>
                  <w:tcW w:w="866" w:type="pct"/>
                  <w:tcBorders>
                    <w:tl2br w:val="nil"/>
                    <w:tr2bl w:val="nil"/>
                  </w:tcBorders>
                  <w:vAlign w:val="center"/>
                </w:tcPr>
                <w:p w14:paraId="7C0BDF94">
                  <w:pPr>
                    <w:pStyle w:val="69"/>
                    <w:jc w:val="center"/>
                    <w:rPr>
                      <w:color w:val="auto"/>
                    </w:rPr>
                  </w:pPr>
                  <w:r>
                    <w:rPr>
                      <w:rFonts w:hint="eastAsia"/>
                      <w:color w:val="auto"/>
                    </w:rPr>
                    <w:t>55</w:t>
                  </w:r>
                </w:p>
              </w:tc>
              <w:tc>
                <w:tcPr>
                  <w:tcW w:w="852" w:type="pct"/>
                  <w:tcBorders>
                    <w:tl2br w:val="nil"/>
                    <w:tr2bl w:val="nil"/>
                  </w:tcBorders>
                  <w:vAlign w:val="center"/>
                </w:tcPr>
                <w:p w14:paraId="70676A7A">
                  <w:pPr>
                    <w:pStyle w:val="69"/>
                    <w:jc w:val="center"/>
                    <w:rPr>
                      <w:color w:val="auto"/>
                    </w:rPr>
                  </w:pPr>
                  <w:r>
                    <w:rPr>
                      <w:color w:val="auto"/>
                    </w:rPr>
                    <w:t>dB（A）</w:t>
                  </w:r>
                </w:p>
              </w:tc>
              <w:tc>
                <w:tcPr>
                  <w:tcW w:w="2576" w:type="pct"/>
                  <w:vMerge w:val="continue"/>
                  <w:tcBorders>
                    <w:tl2br w:val="nil"/>
                    <w:tr2bl w:val="nil"/>
                  </w:tcBorders>
                  <w:vAlign w:val="center"/>
                </w:tcPr>
                <w:p w14:paraId="78F25742">
                  <w:pPr>
                    <w:pStyle w:val="69"/>
                    <w:ind w:firstLine="0"/>
                    <w:jc w:val="center"/>
                    <w:rPr>
                      <w:color w:val="auto"/>
                    </w:rPr>
                  </w:pPr>
                </w:p>
              </w:tc>
            </w:tr>
          </w:tbl>
          <w:p w14:paraId="6E1C2296">
            <w:pPr>
              <w:pStyle w:val="68"/>
              <w:ind w:firstLine="0" w:firstLineChars="0"/>
              <w:rPr>
                <w:rFonts w:cs="Times New Roman"/>
                <w:b/>
                <w:color w:val="auto"/>
              </w:rPr>
            </w:pPr>
            <w:r>
              <w:rPr>
                <w:rFonts w:cs="Times New Roman"/>
                <w:b/>
                <w:color w:val="auto"/>
              </w:rPr>
              <w:t>3、废水</w:t>
            </w:r>
          </w:p>
          <w:p w14:paraId="61C1C9E7">
            <w:pPr>
              <w:pStyle w:val="168"/>
              <w:ind w:firstLine="480"/>
              <w:rPr>
                <w:rFonts w:hint="eastAsia"/>
                <w:bCs/>
                <w:color w:val="auto"/>
                <w:sz w:val="24"/>
                <w:lang w:val="en-US" w:eastAsia="zh-CN"/>
              </w:rPr>
            </w:pPr>
            <w:r>
              <w:rPr>
                <w:rFonts w:hint="eastAsia"/>
                <w:bCs/>
                <w:color w:val="auto"/>
                <w:sz w:val="24"/>
                <w:lang w:val="en-US" w:eastAsia="zh-CN"/>
              </w:rPr>
              <w:t>生活废水经防渗化粪池沉淀、腐化处理后，排入市政污水管网；生产废水经厂区内污水处理站处理后，排入市政污水管网。</w:t>
            </w:r>
          </w:p>
          <w:p w14:paraId="04EAFAC9">
            <w:pPr>
              <w:pStyle w:val="168"/>
              <w:ind w:firstLine="480"/>
              <w:rPr>
                <w:bCs/>
                <w:color w:val="auto"/>
                <w:sz w:val="24"/>
                <w:szCs w:val="24"/>
              </w:rPr>
            </w:pPr>
            <w:r>
              <w:rPr>
                <w:bCs/>
                <w:color w:val="auto"/>
                <w:sz w:val="24"/>
                <w:szCs w:val="24"/>
              </w:rPr>
              <w:t>本项目运营期生产废水排放执行《肉类加工工业水污染物排放标准》（GB13457-92）中规定的三级排放标准，</w:t>
            </w:r>
            <w:r>
              <w:rPr>
                <w:rFonts w:hint="eastAsia"/>
                <w:bCs/>
                <w:color w:val="auto"/>
                <w:sz w:val="24"/>
                <w:szCs w:val="24"/>
                <w:lang w:val="en-US" w:eastAsia="zh-CN"/>
              </w:rPr>
              <w:t>生活污水排放执行《污水综合排放标准》（GB8978-1996）三级标准，</w:t>
            </w:r>
            <w:r>
              <w:rPr>
                <w:bCs/>
                <w:color w:val="auto"/>
                <w:sz w:val="24"/>
                <w:szCs w:val="24"/>
              </w:rPr>
              <w:t>排放标准见</w:t>
            </w:r>
            <w:r>
              <w:rPr>
                <w:rFonts w:hint="eastAsia"/>
                <w:bCs/>
                <w:color w:val="auto"/>
                <w:sz w:val="24"/>
                <w:szCs w:val="24"/>
              </w:rPr>
              <w:t>表3-</w:t>
            </w:r>
            <w:r>
              <w:rPr>
                <w:rFonts w:hint="eastAsia"/>
                <w:bCs/>
                <w:color w:val="auto"/>
                <w:sz w:val="24"/>
                <w:szCs w:val="24"/>
                <w:lang w:val="en-US" w:eastAsia="zh-CN"/>
              </w:rPr>
              <w:t>8、表3-9。</w:t>
            </w:r>
          </w:p>
          <w:p w14:paraId="0FD1BBAF">
            <w:pPr>
              <w:jc w:val="center"/>
              <w:rPr>
                <w:b/>
                <w:color w:val="auto"/>
                <w:szCs w:val="21"/>
              </w:rPr>
            </w:pPr>
            <w:r>
              <w:rPr>
                <w:b/>
                <w:color w:val="auto"/>
                <w:szCs w:val="21"/>
              </w:rPr>
              <w:t>表3-</w:t>
            </w:r>
            <w:r>
              <w:rPr>
                <w:rFonts w:hint="eastAsia"/>
                <w:b/>
                <w:color w:val="auto"/>
                <w:szCs w:val="21"/>
                <w:lang w:val="en-US" w:eastAsia="zh-CN"/>
              </w:rPr>
              <w:t>8</w:t>
            </w:r>
            <w:r>
              <w:rPr>
                <w:b/>
                <w:color w:val="auto"/>
                <w:szCs w:val="21"/>
              </w:rPr>
              <w:t xml:space="preserve">  </w:t>
            </w:r>
            <w:r>
              <w:rPr>
                <w:rFonts w:hint="eastAsia"/>
                <w:b/>
                <w:color w:val="auto"/>
                <w:szCs w:val="21"/>
                <w:lang w:val="en-US" w:eastAsia="zh-CN"/>
              </w:rPr>
              <w:t>生产</w:t>
            </w:r>
            <w:r>
              <w:rPr>
                <w:b/>
                <w:bCs/>
                <w:color w:val="auto"/>
              </w:rPr>
              <w:t>废水</w:t>
            </w:r>
            <w:r>
              <w:rPr>
                <w:b/>
                <w:color w:val="auto"/>
                <w:szCs w:val="21"/>
              </w:rPr>
              <w:t>执行标准  单位：</w:t>
            </w:r>
            <w:r>
              <w:rPr>
                <w:b/>
                <w:bCs/>
                <w:color w:val="auto"/>
              </w:rPr>
              <w:t>mg/L</w:t>
            </w:r>
            <w:r>
              <w:rPr>
                <w:rFonts w:hint="eastAsia"/>
                <w:b/>
                <w:bCs/>
                <w:color w:val="auto"/>
              </w:rPr>
              <w:t>（</w:t>
            </w:r>
            <w:r>
              <w:rPr>
                <w:rFonts w:hint="eastAsia"/>
                <w:b/>
                <w:bCs/>
                <w:color w:val="auto"/>
                <w:lang w:eastAsia="zh-CN"/>
              </w:rPr>
              <w:t>pH值</w:t>
            </w:r>
            <w:r>
              <w:rPr>
                <w:rFonts w:hint="eastAsia"/>
                <w:b/>
                <w:bCs/>
                <w:color w:val="auto"/>
              </w:rPr>
              <w:t>无量纲）</w:t>
            </w:r>
          </w:p>
          <w:tbl>
            <w:tblPr>
              <w:tblStyle w:val="31"/>
              <w:tblW w:w="78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4"/>
              <w:gridCol w:w="1954"/>
              <w:gridCol w:w="1954"/>
              <w:gridCol w:w="1955"/>
            </w:tblGrid>
            <w:tr w14:paraId="618F6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954" w:type="dxa"/>
                  <w:tcBorders>
                    <w:tl2br w:val="nil"/>
                    <w:tr2bl w:val="nil"/>
                  </w:tcBorders>
                  <w:vAlign w:val="center"/>
                </w:tcPr>
                <w:p w14:paraId="286D082F">
                  <w:pPr>
                    <w:pStyle w:val="69"/>
                    <w:jc w:val="center"/>
                    <w:rPr>
                      <w:color w:val="auto"/>
                    </w:rPr>
                  </w:pPr>
                  <w:r>
                    <w:rPr>
                      <w:color w:val="auto"/>
                    </w:rPr>
                    <w:t>序号</w:t>
                  </w:r>
                </w:p>
              </w:tc>
              <w:tc>
                <w:tcPr>
                  <w:tcW w:w="1954" w:type="dxa"/>
                  <w:tcBorders>
                    <w:tl2br w:val="nil"/>
                    <w:tr2bl w:val="nil"/>
                  </w:tcBorders>
                  <w:vAlign w:val="center"/>
                </w:tcPr>
                <w:p w14:paraId="77E9E8BB">
                  <w:pPr>
                    <w:pStyle w:val="69"/>
                    <w:jc w:val="center"/>
                    <w:rPr>
                      <w:color w:val="auto"/>
                    </w:rPr>
                  </w:pPr>
                  <w:r>
                    <w:rPr>
                      <w:color w:val="auto"/>
                    </w:rPr>
                    <w:t>污染物</w:t>
                  </w:r>
                </w:p>
              </w:tc>
              <w:tc>
                <w:tcPr>
                  <w:tcW w:w="1954" w:type="dxa"/>
                  <w:tcBorders>
                    <w:tl2br w:val="nil"/>
                    <w:tr2bl w:val="nil"/>
                  </w:tcBorders>
                  <w:vAlign w:val="center"/>
                </w:tcPr>
                <w:p w14:paraId="1BE80051">
                  <w:pPr>
                    <w:pStyle w:val="69"/>
                    <w:jc w:val="center"/>
                    <w:rPr>
                      <w:color w:val="auto"/>
                    </w:rPr>
                  </w:pPr>
                  <w:r>
                    <w:rPr>
                      <w:color w:val="auto"/>
                    </w:rPr>
                    <w:t>标准限值</w:t>
                  </w:r>
                </w:p>
              </w:tc>
              <w:tc>
                <w:tcPr>
                  <w:tcW w:w="1955" w:type="dxa"/>
                  <w:tcBorders>
                    <w:tl2br w:val="nil"/>
                    <w:tr2bl w:val="nil"/>
                  </w:tcBorders>
                  <w:vAlign w:val="center"/>
                </w:tcPr>
                <w:p w14:paraId="19945994">
                  <w:pPr>
                    <w:pStyle w:val="69"/>
                    <w:jc w:val="center"/>
                    <w:rPr>
                      <w:color w:val="auto"/>
                    </w:rPr>
                  </w:pPr>
                  <w:r>
                    <w:rPr>
                      <w:color w:val="auto"/>
                    </w:rPr>
                    <w:t>执行标准</w:t>
                  </w:r>
                </w:p>
              </w:tc>
            </w:tr>
            <w:tr w14:paraId="28953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954" w:type="dxa"/>
                  <w:tcBorders>
                    <w:tl2br w:val="nil"/>
                    <w:tr2bl w:val="nil"/>
                  </w:tcBorders>
                  <w:vAlign w:val="center"/>
                </w:tcPr>
                <w:p w14:paraId="42E717F5">
                  <w:pPr>
                    <w:pStyle w:val="69"/>
                    <w:jc w:val="center"/>
                    <w:rPr>
                      <w:color w:val="auto"/>
                    </w:rPr>
                  </w:pPr>
                  <w:r>
                    <w:rPr>
                      <w:color w:val="auto"/>
                    </w:rPr>
                    <w:t>1</w:t>
                  </w:r>
                </w:p>
              </w:tc>
              <w:tc>
                <w:tcPr>
                  <w:tcW w:w="1954" w:type="dxa"/>
                  <w:tcBorders>
                    <w:tl2br w:val="nil"/>
                    <w:tr2bl w:val="nil"/>
                  </w:tcBorders>
                  <w:vAlign w:val="center"/>
                </w:tcPr>
                <w:p w14:paraId="13DFD460">
                  <w:pPr>
                    <w:jc w:val="center"/>
                    <w:rPr>
                      <w:color w:val="auto"/>
                    </w:rPr>
                  </w:pPr>
                  <w:r>
                    <w:rPr>
                      <w:rFonts w:hint="eastAsia"/>
                      <w:color w:val="auto"/>
                      <w:lang w:eastAsia="zh-CN"/>
                    </w:rPr>
                    <w:t>pH值</w:t>
                  </w:r>
                </w:p>
              </w:tc>
              <w:tc>
                <w:tcPr>
                  <w:tcW w:w="1954" w:type="dxa"/>
                  <w:tcBorders>
                    <w:tl2br w:val="nil"/>
                    <w:tr2bl w:val="nil"/>
                  </w:tcBorders>
                  <w:vAlign w:val="center"/>
                </w:tcPr>
                <w:p w14:paraId="450C368F">
                  <w:pPr>
                    <w:jc w:val="center"/>
                    <w:rPr>
                      <w:color w:val="auto"/>
                    </w:rPr>
                  </w:pPr>
                  <w:r>
                    <w:rPr>
                      <w:rFonts w:hint="eastAsia"/>
                      <w:color w:val="auto"/>
                    </w:rPr>
                    <w:t>6.0-8.5</w:t>
                  </w:r>
                </w:p>
              </w:tc>
              <w:tc>
                <w:tcPr>
                  <w:tcW w:w="1955" w:type="dxa"/>
                  <w:vMerge w:val="restart"/>
                  <w:tcBorders>
                    <w:tl2br w:val="nil"/>
                    <w:tr2bl w:val="nil"/>
                  </w:tcBorders>
                  <w:vAlign w:val="center"/>
                </w:tcPr>
                <w:p w14:paraId="7ACCE203">
                  <w:pPr>
                    <w:pStyle w:val="69"/>
                    <w:jc w:val="center"/>
                    <w:rPr>
                      <w:color w:val="auto"/>
                    </w:rPr>
                  </w:pPr>
                  <w:r>
                    <w:rPr>
                      <w:color w:val="auto"/>
                    </w:rPr>
                    <w:t>《肉类加工工业水污染物排放标准》（GB13457-92）三级排放标准</w:t>
                  </w:r>
                </w:p>
              </w:tc>
            </w:tr>
            <w:tr w14:paraId="355624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954" w:type="dxa"/>
                  <w:tcBorders>
                    <w:tl2br w:val="nil"/>
                    <w:tr2bl w:val="nil"/>
                  </w:tcBorders>
                  <w:vAlign w:val="center"/>
                </w:tcPr>
                <w:p w14:paraId="3A9B2462">
                  <w:pPr>
                    <w:pStyle w:val="69"/>
                    <w:jc w:val="center"/>
                    <w:rPr>
                      <w:color w:val="auto"/>
                    </w:rPr>
                  </w:pPr>
                  <w:r>
                    <w:rPr>
                      <w:color w:val="auto"/>
                    </w:rPr>
                    <w:t>2</w:t>
                  </w:r>
                </w:p>
              </w:tc>
              <w:tc>
                <w:tcPr>
                  <w:tcW w:w="1954" w:type="dxa"/>
                  <w:tcBorders>
                    <w:tl2br w:val="nil"/>
                    <w:tr2bl w:val="nil"/>
                  </w:tcBorders>
                  <w:vAlign w:val="center"/>
                </w:tcPr>
                <w:p w14:paraId="73A80B92">
                  <w:pPr>
                    <w:jc w:val="center"/>
                    <w:rPr>
                      <w:color w:val="auto"/>
                    </w:rPr>
                  </w:pPr>
                  <w:r>
                    <w:rPr>
                      <w:color w:val="auto"/>
                    </w:rPr>
                    <w:t>悬浮物</w:t>
                  </w:r>
                </w:p>
              </w:tc>
              <w:tc>
                <w:tcPr>
                  <w:tcW w:w="1954" w:type="dxa"/>
                  <w:tcBorders>
                    <w:tl2br w:val="nil"/>
                    <w:tr2bl w:val="nil"/>
                  </w:tcBorders>
                  <w:vAlign w:val="center"/>
                </w:tcPr>
                <w:p w14:paraId="57B55D26">
                  <w:pPr>
                    <w:jc w:val="center"/>
                    <w:rPr>
                      <w:color w:val="auto"/>
                    </w:rPr>
                  </w:pPr>
                  <w:r>
                    <w:rPr>
                      <w:rFonts w:hint="eastAsia"/>
                      <w:color w:val="auto"/>
                      <w:lang w:val="en-US" w:eastAsia="zh-CN"/>
                    </w:rPr>
                    <w:t>35</w:t>
                  </w:r>
                  <w:r>
                    <w:rPr>
                      <w:color w:val="auto"/>
                    </w:rPr>
                    <w:t>0</w:t>
                  </w:r>
                </w:p>
              </w:tc>
              <w:tc>
                <w:tcPr>
                  <w:tcW w:w="1955" w:type="dxa"/>
                  <w:vMerge w:val="continue"/>
                  <w:tcBorders>
                    <w:tl2br w:val="nil"/>
                    <w:tr2bl w:val="nil"/>
                  </w:tcBorders>
                  <w:vAlign w:val="center"/>
                </w:tcPr>
                <w:p w14:paraId="7E701048">
                  <w:pPr>
                    <w:pStyle w:val="69"/>
                    <w:rPr>
                      <w:color w:val="auto"/>
                    </w:rPr>
                  </w:pPr>
                </w:p>
              </w:tc>
            </w:tr>
            <w:tr w14:paraId="64871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954" w:type="dxa"/>
                  <w:tcBorders>
                    <w:tl2br w:val="nil"/>
                    <w:tr2bl w:val="nil"/>
                  </w:tcBorders>
                  <w:vAlign w:val="center"/>
                </w:tcPr>
                <w:p w14:paraId="65A8768F">
                  <w:pPr>
                    <w:pStyle w:val="69"/>
                    <w:jc w:val="center"/>
                    <w:rPr>
                      <w:color w:val="auto"/>
                    </w:rPr>
                  </w:pPr>
                  <w:r>
                    <w:rPr>
                      <w:color w:val="auto"/>
                    </w:rPr>
                    <w:t>3</w:t>
                  </w:r>
                </w:p>
              </w:tc>
              <w:tc>
                <w:tcPr>
                  <w:tcW w:w="1954" w:type="dxa"/>
                  <w:tcBorders>
                    <w:tl2br w:val="nil"/>
                    <w:tr2bl w:val="nil"/>
                  </w:tcBorders>
                  <w:vAlign w:val="center"/>
                </w:tcPr>
                <w:p w14:paraId="205343EC">
                  <w:pPr>
                    <w:jc w:val="center"/>
                    <w:rPr>
                      <w:color w:val="auto"/>
                    </w:rPr>
                  </w:pPr>
                  <w:r>
                    <w:rPr>
                      <w:color w:val="auto"/>
                    </w:rPr>
                    <w:t>化学需氧量</w:t>
                  </w:r>
                </w:p>
              </w:tc>
              <w:tc>
                <w:tcPr>
                  <w:tcW w:w="1954" w:type="dxa"/>
                  <w:tcBorders>
                    <w:tl2br w:val="nil"/>
                    <w:tr2bl w:val="nil"/>
                  </w:tcBorders>
                  <w:vAlign w:val="center"/>
                </w:tcPr>
                <w:p w14:paraId="6E2CF0F7">
                  <w:pPr>
                    <w:jc w:val="center"/>
                    <w:rPr>
                      <w:color w:val="auto"/>
                    </w:rPr>
                  </w:pPr>
                  <w:r>
                    <w:rPr>
                      <w:color w:val="auto"/>
                    </w:rPr>
                    <w:t>500</w:t>
                  </w:r>
                </w:p>
              </w:tc>
              <w:tc>
                <w:tcPr>
                  <w:tcW w:w="1955" w:type="dxa"/>
                  <w:vMerge w:val="continue"/>
                  <w:tcBorders>
                    <w:tl2br w:val="nil"/>
                    <w:tr2bl w:val="nil"/>
                  </w:tcBorders>
                  <w:vAlign w:val="center"/>
                </w:tcPr>
                <w:p w14:paraId="51EE7992">
                  <w:pPr>
                    <w:pStyle w:val="69"/>
                    <w:rPr>
                      <w:color w:val="auto"/>
                    </w:rPr>
                  </w:pPr>
                </w:p>
              </w:tc>
            </w:tr>
            <w:tr w14:paraId="706AA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954" w:type="dxa"/>
                  <w:tcBorders>
                    <w:tl2br w:val="nil"/>
                    <w:tr2bl w:val="nil"/>
                  </w:tcBorders>
                </w:tcPr>
                <w:p w14:paraId="13A622AE">
                  <w:pPr>
                    <w:pStyle w:val="69"/>
                    <w:jc w:val="center"/>
                    <w:rPr>
                      <w:color w:val="auto"/>
                    </w:rPr>
                  </w:pPr>
                  <w:r>
                    <w:rPr>
                      <w:color w:val="auto"/>
                    </w:rPr>
                    <w:t>4</w:t>
                  </w:r>
                </w:p>
              </w:tc>
              <w:tc>
                <w:tcPr>
                  <w:tcW w:w="1954" w:type="dxa"/>
                  <w:tcBorders>
                    <w:tl2br w:val="nil"/>
                    <w:tr2bl w:val="nil"/>
                  </w:tcBorders>
                  <w:vAlign w:val="center"/>
                </w:tcPr>
                <w:p w14:paraId="67C42FA0">
                  <w:pPr>
                    <w:jc w:val="center"/>
                    <w:rPr>
                      <w:color w:val="auto"/>
                    </w:rPr>
                  </w:pPr>
                  <w:r>
                    <w:rPr>
                      <w:color w:val="auto"/>
                    </w:rPr>
                    <w:t>五日生化需氧量</w:t>
                  </w:r>
                </w:p>
              </w:tc>
              <w:tc>
                <w:tcPr>
                  <w:tcW w:w="1954" w:type="dxa"/>
                  <w:tcBorders>
                    <w:tl2br w:val="nil"/>
                    <w:tr2bl w:val="nil"/>
                  </w:tcBorders>
                  <w:vAlign w:val="center"/>
                </w:tcPr>
                <w:p w14:paraId="54A536A2">
                  <w:pPr>
                    <w:jc w:val="center"/>
                    <w:rPr>
                      <w:color w:val="auto"/>
                    </w:rPr>
                  </w:pPr>
                  <w:r>
                    <w:rPr>
                      <w:color w:val="auto"/>
                    </w:rPr>
                    <w:t>300</w:t>
                  </w:r>
                </w:p>
              </w:tc>
              <w:tc>
                <w:tcPr>
                  <w:tcW w:w="1955" w:type="dxa"/>
                  <w:vMerge w:val="continue"/>
                  <w:tcBorders>
                    <w:tl2br w:val="nil"/>
                    <w:tr2bl w:val="nil"/>
                  </w:tcBorders>
                  <w:vAlign w:val="center"/>
                </w:tcPr>
                <w:p w14:paraId="61F96318">
                  <w:pPr>
                    <w:pStyle w:val="69"/>
                    <w:rPr>
                      <w:color w:val="auto"/>
                    </w:rPr>
                  </w:pPr>
                </w:p>
              </w:tc>
            </w:tr>
            <w:tr w14:paraId="4AD72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954" w:type="dxa"/>
                  <w:tcBorders>
                    <w:tl2br w:val="nil"/>
                    <w:tr2bl w:val="nil"/>
                  </w:tcBorders>
                </w:tcPr>
                <w:p w14:paraId="021C3B7D">
                  <w:pPr>
                    <w:pStyle w:val="69"/>
                    <w:jc w:val="center"/>
                    <w:rPr>
                      <w:color w:val="auto"/>
                    </w:rPr>
                  </w:pPr>
                  <w:r>
                    <w:rPr>
                      <w:color w:val="auto"/>
                    </w:rPr>
                    <w:t>5</w:t>
                  </w:r>
                </w:p>
              </w:tc>
              <w:tc>
                <w:tcPr>
                  <w:tcW w:w="1954" w:type="dxa"/>
                  <w:tcBorders>
                    <w:tl2br w:val="nil"/>
                    <w:tr2bl w:val="nil"/>
                  </w:tcBorders>
                  <w:vAlign w:val="center"/>
                </w:tcPr>
                <w:p w14:paraId="727F17F3">
                  <w:pPr>
                    <w:jc w:val="center"/>
                    <w:rPr>
                      <w:color w:val="auto"/>
                    </w:rPr>
                  </w:pPr>
                  <w:r>
                    <w:rPr>
                      <w:color w:val="auto"/>
                    </w:rPr>
                    <w:t>氨氮</w:t>
                  </w:r>
                </w:p>
              </w:tc>
              <w:tc>
                <w:tcPr>
                  <w:tcW w:w="1954" w:type="dxa"/>
                  <w:tcBorders>
                    <w:tl2br w:val="nil"/>
                    <w:tr2bl w:val="nil"/>
                  </w:tcBorders>
                  <w:vAlign w:val="center"/>
                </w:tcPr>
                <w:p w14:paraId="02BC45E6">
                  <w:pPr>
                    <w:jc w:val="center"/>
                    <w:rPr>
                      <w:color w:val="auto"/>
                    </w:rPr>
                  </w:pPr>
                  <w:r>
                    <w:rPr>
                      <w:color w:val="auto"/>
                    </w:rPr>
                    <w:t>/</w:t>
                  </w:r>
                </w:p>
              </w:tc>
              <w:tc>
                <w:tcPr>
                  <w:tcW w:w="1955" w:type="dxa"/>
                  <w:vMerge w:val="continue"/>
                  <w:tcBorders>
                    <w:tl2br w:val="nil"/>
                    <w:tr2bl w:val="nil"/>
                  </w:tcBorders>
                  <w:vAlign w:val="center"/>
                </w:tcPr>
                <w:p w14:paraId="467279E7">
                  <w:pPr>
                    <w:pStyle w:val="69"/>
                    <w:rPr>
                      <w:color w:val="auto"/>
                    </w:rPr>
                  </w:pPr>
                </w:p>
              </w:tc>
            </w:tr>
            <w:tr w14:paraId="74237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954" w:type="dxa"/>
                  <w:tcBorders>
                    <w:tl2br w:val="nil"/>
                    <w:tr2bl w:val="nil"/>
                  </w:tcBorders>
                </w:tcPr>
                <w:p w14:paraId="56879F7C">
                  <w:pPr>
                    <w:pStyle w:val="69"/>
                    <w:jc w:val="center"/>
                    <w:rPr>
                      <w:color w:val="auto"/>
                    </w:rPr>
                  </w:pPr>
                  <w:r>
                    <w:rPr>
                      <w:rFonts w:hint="eastAsia"/>
                      <w:color w:val="auto"/>
                    </w:rPr>
                    <w:t>6</w:t>
                  </w:r>
                </w:p>
              </w:tc>
              <w:tc>
                <w:tcPr>
                  <w:tcW w:w="1954" w:type="dxa"/>
                  <w:tcBorders>
                    <w:tl2br w:val="nil"/>
                    <w:tr2bl w:val="nil"/>
                  </w:tcBorders>
                  <w:vAlign w:val="center"/>
                </w:tcPr>
                <w:p w14:paraId="254595D7">
                  <w:pPr>
                    <w:jc w:val="center"/>
                    <w:rPr>
                      <w:color w:val="auto"/>
                    </w:rPr>
                  </w:pPr>
                  <w:r>
                    <w:rPr>
                      <w:rFonts w:hint="eastAsia"/>
                      <w:color w:val="auto"/>
                    </w:rPr>
                    <w:t>动植物油</w:t>
                  </w:r>
                </w:p>
              </w:tc>
              <w:tc>
                <w:tcPr>
                  <w:tcW w:w="1954" w:type="dxa"/>
                  <w:tcBorders>
                    <w:tl2br w:val="nil"/>
                    <w:tr2bl w:val="nil"/>
                  </w:tcBorders>
                  <w:vAlign w:val="center"/>
                </w:tcPr>
                <w:p w14:paraId="1AF558EF">
                  <w:pPr>
                    <w:jc w:val="center"/>
                    <w:rPr>
                      <w:color w:val="auto"/>
                    </w:rPr>
                  </w:pPr>
                  <w:r>
                    <w:rPr>
                      <w:rFonts w:hint="eastAsia"/>
                      <w:color w:val="auto"/>
                    </w:rPr>
                    <w:t>60</w:t>
                  </w:r>
                </w:p>
              </w:tc>
              <w:tc>
                <w:tcPr>
                  <w:tcW w:w="1955" w:type="dxa"/>
                  <w:vMerge w:val="continue"/>
                  <w:tcBorders>
                    <w:tl2br w:val="nil"/>
                    <w:tr2bl w:val="nil"/>
                  </w:tcBorders>
                  <w:vAlign w:val="center"/>
                </w:tcPr>
                <w:p w14:paraId="0FAC163C">
                  <w:pPr>
                    <w:pStyle w:val="69"/>
                    <w:rPr>
                      <w:color w:val="auto"/>
                    </w:rPr>
                  </w:pPr>
                </w:p>
              </w:tc>
            </w:tr>
            <w:tr w14:paraId="3C1C7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954" w:type="dxa"/>
                  <w:tcBorders>
                    <w:tl2br w:val="nil"/>
                    <w:tr2bl w:val="nil"/>
                  </w:tcBorders>
                </w:tcPr>
                <w:p w14:paraId="0EA197FD">
                  <w:pPr>
                    <w:pStyle w:val="69"/>
                    <w:jc w:val="center"/>
                    <w:rPr>
                      <w:color w:val="auto"/>
                    </w:rPr>
                  </w:pPr>
                  <w:r>
                    <w:rPr>
                      <w:rFonts w:hint="eastAsia"/>
                      <w:color w:val="auto"/>
                    </w:rPr>
                    <w:t>7</w:t>
                  </w:r>
                </w:p>
              </w:tc>
              <w:tc>
                <w:tcPr>
                  <w:tcW w:w="1954" w:type="dxa"/>
                  <w:tcBorders>
                    <w:tl2br w:val="nil"/>
                    <w:tr2bl w:val="nil"/>
                  </w:tcBorders>
                  <w:vAlign w:val="center"/>
                </w:tcPr>
                <w:p w14:paraId="2413E24F">
                  <w:pPr>
                    <w:jc w:val="center"/>
                    <w:rPr>
                      <w:color w:val="auto"/>
                    </w:rPr>
                  </w:pPr>
                  <w:r>
                    <w:rPr>
                      <w:rFonts w:hint="eastAsia"/>
                      <w:color w:val="auto"/>
                    </w:rPr>
                    <w:t>大肠菌群数</w:t>
                  </w:r>
                </w:p>
              </w:tc>
              <w:tc>
                <w:tcPr>
                  <w:tcW w:w="1954" w:type="dxa"/>
                  <w:tcBorders>
                    <w:tl2br w:val="nil"/>
                    <w:tr2bl w:val="nil"/>
                  </w:tcBorders>
                  <w:vAlign w:val="center"/>
                </w:tcPr>
                <w:p w14:paraId="50A9F9DB">
                  <w:pPr>
                    <w:jc w:val="center"/>
                    <w:rPr>
                      <w:color w:val="auto"/>
                    </w:rPr>
                  </w:pPr>
                  <w:r>
                    <w:rPr>
                      <w:rFonts w:hint="eastAsia"/>
                      <w:color w:val="auto"/>
                    </w:rPr>
                    <w:t>/</w:t>
                  </w:r>
                </w:p>
              </w:tc>
              <w:tc>
                <w:tcPr>
                  <w:tcW w:w="1955" w:type="dxa"/>
                  <w:vMerge w:val="continue"/>
                  <w:tcBorders>
                    <w:tl2br w:val="nil"/>
                    <w:tr2bl w:val="nil"/>
                  </w:tcBorders>
                  <w:vAlign w:val="center"/>
                </w:tcPr>
                <w:p w14:paraId="2B39B915">
                  <w:pPr>
                    <w:pStyle w:val="69"/>
                    <w:rPr>
                      <w:color w:val="auto"/>
                    </w:rPr>
                  </w:pPr>
                </w:p>
              </w:tc>
            </w:tr>
          </w:tbl>
          <w:p w14:paraId="50AB0064">
            <w:pPr>
              <w:jc w:val="center"/>
              <w:rPr>
                <w:b/>
                <w:color w:val="auto"/>
                <w:szCs w:val="21"/>
              </w:rPr>
            </w:pPr>
            <w:r>
              <w:rPr>
                <w:b/>
                <w:color w:val="auto"/>
                <w:szCs w:val="21"/>
              </w:rPr>
              <w:t>表3-</w:t>
            </w:r>
            <w:r>
              <w:rPr>
                <w:rFonts w:hint="eastAsia"/>
                <w:b/>
                <w:color w:val="auto"/>
                <w:szCs w:val="21"/>
                <w:lang w:val="en-US" w:eastAsia="zh-CN"/>
              </w:rPr>
              <w:t>9</w:t>
            </w:r>
            <w:r>
              <w:rPr>
                <w:b/>
                <w:color w:val="auto"/>
                <w:szCs w:val="21"/>
              </w:rPr>
              <w:t xml:space="preserve">  </w:t>
            </w:r>
            <w:r>
              <w:rPr>
                <w:rFonts w:hint="eastAsia"/>
                <w:b/>
                <w:bCs/>
                <w:color w:val="auto"/>
                <w:lang w:val="en-US" w:eastAsia="zh-CN"/>
              </w:rPr>
              <w:t>生活污水执行标准</w:t>
            </w:r>
            <w:r>
              <w:rPr>
                <w:b/>
                <w:color w:val="auto"/>
                <w:szCs w:val="21"/>
              </w:rPr>
              <w:t xml:space="preserve">  单位</w:t>
            </w:r>
            <w:r>
              <w:rPr>
                <w:bCs/>
                <w:color w:val="auto"/>
                <w:szCs w:val="21"/>
              </w:rPr>
              <w:t>：</w:t>
            </w:r>
            <w:r>
              <w:rPr>
                <w:bCs/>
                <w:color w:val="auto"/>
              </w:rPr>
              <w:t>mg/L</w:t>
            </w:r>
            <w:r>
              <w:rPr>
                <w:rFonts w:hint="eastAsia"/>
                <w:bCs/>
                <w:color w:val="auto"/>
              </w:rPr>
              <w:t>（</w:t>
            </w:r>
            <w:r>
              <w:rPr>
                <w:rFonts w:hint="eastAsia"/>
                <w:bCs/>
                <w:color w:val="auto"/>
                <w:lang w:eastAsia="zh-CN"/>
              </w:rPr>
              <w:t>pH值</w:t>
            </w:r>
            <w:r>
              <w:rPr>
                <w:rFonts w:hint="eastAsia"/>
                <w:bCs/>
                <w:color w:val="auto"/>
              </w:rPr>
              <w:t>无量纲）</w:t>
            </w:r>
          </w:p>
          <w:tbl>
            <w:tblPr>
              <w:tblStyle w:val="31"/>
              <w:tblW w:w="78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4"/>
              <w:gridCol w:w="1954"/>
              <w:gridCol w:w="1954"/>
              <w:gridCol w:w="1955"/>
            </w:tblGrid>
            <w:tr w14:paraId="335E2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954" w:type="dxa"/>
                  <w:tcBorders>
                    <w:tl2br w:val="nil"/>
                    <w:tr2bl w:val="nil"/>
                  </w:tcBorders>
                  <w:vAlign w:val="center"/>
                </w:tcPr>
                <w:p w14:paraId="4A767466">
                  <w:pPr>
                    <w:pStyle w:val="69"/>
                    <w:jc w:val="center"/>
                    <w:rPr>
                      <w:color w:val="auto"/>
                    </w:rPr>
                  </w:pPr>
                  <w:r>
                    <w:rPr>
                      <w:color w:val="auto"/>
                    </w:rPr>
                    <w:t>序号</w:t>
                  </w:r>
                </w:p>
              </w:tc>
              <w:tc>
                <w:tcPr>
                  <w:tcW w:w="1954" w:type="dxa"/>
                  <w:tcBorders>
                    <w:tl2br w:val="nil"/>
                    <w:tr2bl w:val="nil"/>
                  </w:tcBorders>
                  <w:vAlign w:val="center"/>
                </w:tcPr>
                <w:p w14:paraId="0DB22451">
                  <w:pPr>
                    <w:pStyle w:val="69"/>
                    <w:jc w:val="center"/>
                    <w:rPr>
                      <w:color w:val="auto"/>
                    </w:rPr>
                  </w:pPr>
                  <w:r>
                    <w:rPr>
                      <w:color w:val="auto"/>
                    </w:rPr>
                    <w:t>污染物</w:t>
                  </w:r>
                </w:p>
              </w:tc>
              <w:tc>
                <w:tcPr>
                  <w:tcW w:w="1954" w:type="dxa"/>
                  <w:tcBorders>
                    <w:tl2br w:val="nil"/>
                    <w:tr2bl w:val="nil"/>
                  </w:tcBorders>
                  <w:vAlign w:val="center"/>
                </w:tcPr>
                <w:p w14:paraId="6DD74BAD">
                  <w:pPr>
                    <w:pStyle w:val="69"/>
                    <w:jc w:val="center"/>
                    <w:rPr>
                      <w:color w:val="auto"/>
                    </w:rPr>
                  </w:pPr>
                  <w:r>
                    <w:rPr>
                      <w:color w:val="auto"/>
                    </w:rPr>
                    <w:t>标准限值</w:t>
                  </w:r>
                </w:p>
              </w:tc>
              <w:tc>
                <w:tcPr>
                  <w:tcW w:w="1955" w:type="dxa"/>
                  <w:tcBorders>
                    <w:tl2br w:val="nil"/>
                    <w:tr2bl w:val="nil"/>
                  </w:tcBorders>
                  <w:vAlign w:val="center"/>
                </w:tcPr>
                <w:p w14:paraId="3A381BF9">
                  <w:pPr>
                    <w:pStyle w:val="69"/>
                    <w:jc w:val="center"/>
                    <w:rPr>
                      <w:color w:val="auto"/>
                    </w:rPr>
                  </w:pPr>
                  <w:r>
                    <w:rPr>
                      <w:color w:val="auto"/>
                    </w:rPr>
                    <w:t>执行标准</w:t>
                  </w:r>
                </w:p>
              </w:tc>
            </w:tr>
            <w:tr w14:paraId="42301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954" w:type="dxa"/>
                  <w:tcBorders>
                    <w:tl2br w:val="nil"/>
                    <w:tr2bl w:val="nil"/>
                  </w:tcBorders>
                  <w:vAlign w:val="center"/>
                </w:tcPr>
                <w:p w14:paraId="4F719D44">
                  <w:pPr>
                    <w:pStyle w:val="69"/>
                    <w:jc w:val="center"/>
                    <w:rPr>
                      <w:color w:val="auto"/>
                    </w:rPr>
                  </w:pPr>
                  <w:r>
                    <w:rPr>
                      <w:color w:val="auto"/>
                    </w:rPr>
                    <w:t>1</w:t>
                  </w:r>
                </w:p>
              </w:tc>
              <w:tc>
                <w:tcPr>
                  <w:tcW w:w="1954" w:type="dxa"/>
                  <w:tcBorders>
                    <w:tl2br w:val="nil"/>
                    <w:tr2bl w:val="nil"/>
                  </w:tcBorders>
                  <w:vAlign w:val="center"/>
                </w:tcPr>
                <w:p w14:paraId="4315D970">
                  <w:pPr>
                    <w:jc w:val="center"/>
                    <w:rPr>
                      <w:color w:val="auto"/>
                    </w:rPr>
                  </w:pPr>
                  <w:r>
                    <w:rPr>
                      <w:rFonts w:hint="eastAsia"/>
                      <w:color w:val="auto"/>
                      <w:lang w:eastAsia="zh-CN"/>
                    </w:rPr>
                    <w:t>pH值</w:t>
                  </w:r>
                </w:p>
              </w:tc>
              <w:tc>
                <w:tcPr>
                  <w:tcW w:w="1954" w:type="dxa"/>
                  <w:tcBorders>
                    <w:tl2br w:val="nil"/>
                    <w:tr2bl w:val="nil"/>
                  </w:tcBorders>
                  <w:vAlign w:val="center"/>
                </w:tcPr>
                <w:p w14:paraId="621BF5CE">
                  <w:pPr>
                    <w:jc w:val="center"/>
                    <w:rPr>
                      <w:rFonts w:hint="default" w:eastAsia="宋体"/>
                      <w:color w:val="auto"/>
                      <w:lang w:val="en-US" w:eastAsia="zh-CN"/>
                    </w:rPr>
                  </w:pPr>
                  <w:r>
                    <w:rPr>
                      <w:rFonts w:hint="eastAsia"/>
                      <w:color w:val="auto"/>
                    </w:rPr>
                    <w:t>6.0-</w:t>
                  </w:r>
                  <w:r>
                    <w:rPr>
                      <w:rFonts w:hint="eastAsia"/>
                      <w:color w:val="auto"/>
                      <w:lang w:val="en-US" w:eastAsia="zh-CN"/>
                    </w:rPr>
                    <w:t>9.0</w:t>
                  </w:r>
                </w:p>
              </w:tc>
              <w:tc>
                <w:tcPr>
                  <w:tcW w:w="1955" w:type="dxa"/>
                  <w:vMerge w:val="restart"/>
                  <w:tcBorders>
                    <w:tl2br w:val="nil"/>
                    <w:tr2bl w:val="nil"/>
                  </w:tcBorders>
                  <w:vAlign w:val="center"/>
                </w:tcPr>
                <w:p w14:paraId="5496B737">
                  <w:pPr>
                    <w:pStyle w:val="69"/>
                    <w:jc w:val="center"/>
                    <w:rPr>
                      <w:color w:val="auto"/>
                    </w:rPr>
                  </w:pPr>
                  <w:r>
                    <w:rPr>
                      <w:rFonts w:hint="eastAsia"/>
                      <w:color w:val="auto"/>
                      <w:lang w:val="en-US" w:eastAsia="zh-CN"/>
                    </w:rPr>
                    <w:t>《污水综合排放标准》（GB8978-1996）三级标准</w:t>
                  </w:r>
                </w:p>
              </w:tc>
            </w:tr>
            <w:tr w14:paraId="30948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954" w:type="dxa"/>
                  <w:tcBorders>
                    <w:tl2br w:val="nil"/>
                    <w:tr2bl w:val="nil"/>
                  </w:tcBorders>
                  <w:vAlign w:val="center"/>
                </w:tcPr>
                <w:p w14:paraId="4D985C92">
                  <w:pPr>
                    <w:pStyle w:val="69"/>
                    <w:jc w:val="center"/>
                    <w:rPr>
                      <w:color w:val="auto"/>
                    </w:rPr>
                  </w:pPr>
                  <w:r>
                    <w:rPr>
                      <w:color w:val="auto"/>
                    </w:rPr>
                    <w:t>2</w:t>
                  </w:r>
                </w:p>
              </w:tc>
              <w:tc>
                <w:tcPr>
                  <w:tcW w:w="1954" w:type="dxa"/>
                  <w:tcBorders>
                    <w:tl2br w:val="nil"/>
                    <w:tr2bl w:val="nil"/>
                  </w:tcBorders>
                  <w:vAlign w:val="center"/>
                </w:tcPr>
                <w:p w14:paraId="0CAA54F7">
                  <w:pPr>
                    <w:jc w:val="center"/>
                    <w:rPr>
                      <w:color w:val="auto"/>
                    </w:rPr>
                  </w:pPr>
                  <w:r>
                    <w:rPr>
                      <w:color w:val="auto"/>
                    </w:rPr>
                    <w:t>悬浮物</w:t>
                  </w:r>
                </w:p>
              </w:tc>
              <w:tc>
                <w:tcPr>
                  <w:tcW w:w="1954" w:type="dxa"/>
                  <w:tcBorders>
                    <w:tl2br w:val="nil"/>
                    <w:tr2bl w:val="nil"/>
                  </w:tcBorders>
                  <w:vAlign w:val="center"/>
                </w:tcPr>
                <w:p w14:paraId="7C3889EC">
                  <w:pPr>
                    <w:jc w:val="center"/>
                    <w:rPr>
                      <w:rFonts w:hint="default" w:eastAsia="宋体"/>
                      <w:color w:val="auto"/>
                      <w:lang w:val="en-US" w:eastAsia="zh-CN"/>
                    </w:rPr>
                  </w:pPr>
                  <w:r>
                    <w:rPr>
                      <w:rFonts w:hint="eastAsia"/>
                      <w:color w:val="auto"/>
                      <w:lang w:val="en-US" w:eastAsia="zh-CN"/>
                    </w:rPr>
                    <w:t>400</w:t>
                  </w:r>
                </w:p>
              </w:tc>
              <w:tc>
                <w:tcPr>
                  <w:tcW w:w="1955" w:type="dxa"/>
                  <w:vMerge w:val="continue"/>
                  <w:tcBorders>
                    <w:tl2br w:val="nil"/>
                    <w:tr2bl w:val="nil"/>
                  </w:tcBorders>
                  <w:vAlign w:val="center"/>
                </w:tcPr>
                <w:p w14:paraId="46EC0928">
                  <w:pPr>
                    <w:pStyle w:val="69"/>
                    <w:jc w:val="center"/>
                    <w:rPr>
                      <w:color w:val="auto"/>
                    </w:rPr>
                  </w:pPr>
                </w:p>
              </w:tc>
            </w:tr>
            <w:tr w14:paraId="59A06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954" w:type="dxa"/>
                  <w:tcBorders>
                    <w:tl2br w:val="nil"/>
                    <w:tr2bl w:val="nil"/>
                  </w:tcBorders>
                  <w:vAlign w:val="center"/>
                </w:tcPr>
                <w:p w14:paraId="2F1E3847">
                  <w:pPr>
                    <w:pStyle w:val="69"/>
                    <w:jc w:val="center"/>
                    <w:rPr>
                      <w:color w:val="auto"/>
                    </w:rPr>
                  </w:pPr>
                  <w:r>
                    <w:rPr>
                      <w:color w:val="auto"/>
                    </w:rPr>
                    <w:t>3</w:t>
                  </w:r>
                </w:p>
              </w:tc>
              <w:tc>
                <w:tcPr>
                  <w:tcW w:w="1954" w:type="dxa"/>
                  <w:tcBorders>
                    <w:tl2br w:val="nil"/>
                    <w:tr2bl w:val="nil"/>
                  </w:tcBorders>
                  <w:vAlign w:val="center"/>
                </w:tcPr>
                <w:p w14:paraId="4A0131CC">
                  <w:pPr>
                    <w:jc w:val="center"/>
                    <w:rPr>
                      <w:color w:val="auto"/>
                    </w:rPr>
                  </w:pPr>
                  <w:r>
                    <w:rPr>
                      <w:color w:val="auto"/>
                    </w:rPr>
                    <w:t>化学需氧量</w:t>
                  </w:r>
                </w:p>
              </w:tc>
              <w:tc>
                <w:tcPr>
                  <w:tcW w:w="1954" w:type="dxa"/>
                  <w:tcBorders>
                    <w:tl2br w:val="nil"/>
                    <w:tr2bl w:val="nil"/>
                  </w:tcBorders>
                  <w:vAlign w:val="center"/>
                </w:tcPr>
                <w:p w14:paraId="4DEA73E4">
                  <w:pPr>
                    <w:jc w:val="center"/>
                    <w:rPr>
                      <w:color w:val="auto"/>
                    </w:rPr>
                  </w:pPr>
                  <w:r>
                    <w:rPr>
                      <w:rFonts w:hint="eastAsia"/>
                      <w:color w:val="auto"/>
                      <w:lang w:val="en-US" w:eastAsia="zh-CN"/>
                    </w:rPr>
                    <w:t>5</w:t>
                  </w:r>
                  <w:r>
                    <w:rPr>
                      <w:color w:val="auto"/>
                    </w:rPr>
                    <w:t>00</w:t>
                  </w:r>
                </w:p>
              </w:tc>
              <w:tc>
                <w:tcPr>
                  <w:tcW w:w="1955" w:type="dxa"/>
                  <w:vMerge w:val="continue"/>
                  <w:tcBorders>
                    <w:tl2br w:val="nil"/>
                    <w:tr2bl w:val="nil"/>
                  </w:tcBorders>
                  <w:vAlign w:val="center"/>
                </w:tcPr>
                <w:p w14:paraId="1704BDD0">
                  <w:pPr>
                    <w:pStyle w:val="69"/>
                    <w:jc w:val="center"/>
                    <w:rPr>
                      <w:color w:val="auto"/>
                    </w:rPr>
                  </w:pPr>
                </w:p>
              </w:tc>
            </w:tr>
            <w:tr w14:paraId="59D49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954" w:type="dxa"/>
                  <w:tcBorders>
                    <w:tl2br w:val="nil"/>
                    <w:tr2bl w:val="nil"/>
                  </w:tcBorders>
                </w:tcPr>
                <w:p w14:paraId="2E1CC30C">
                  <w:pPr>
                    <w:pStyle w:val="69"/>
                    <w:jc w:val="center"/>
                    <w:rPr>
                      <w:color w:val="auto"/>
                    </w:rPr>
                  </w:pPr>
                  <w:r>
                    <w:rPr>
                      <w:color w:val="auto"/>
                    </w:rPr>
                    <w:t>4</w:t>
                  </w:r>
                </w:p>
              </w:tc>
              <w:tc>
                <w:tcPr>
                  <w:tcW w:w="1954" w:type="dxa"/>
                  <w:tcBorders>
                    <w:tl2br w:val="nil"/>
                    <w:tr2bl w:val="nil"/>
                  </w:tcBorders>
                  <w:vAlign w:val="center"/>
                </w:tcPr>
                <w:p w14:paraId="347FC1EB">
                  <w:pPr>
                    <w:jc w:val="center"/>
                    <w:rPr>
                      <w:color w:val="auto"/>
                    </w:rPr>
                  </w:pPr>
                  <w:r>
                    <w:rPr>
                      <w:color w:val="auto"/>
                    </w:rPr>
                    <w:t>五日生化需氧量</w:t>
                  </w:r>
                </w:p>
              </w:tc>
              <w:tc>
                <w:tcPr>
                  <w:tcW w:w="1954" w:type="dxa"/>
                  <w:tcBorders>
                    <w:tl2br w:val="nil"/>
                    <w:tr2bl w:val="nil"/>
                  </w:tcBorders>
                  <w:vAlign w:val="center"/>
                </w:tcPr>
                <w:p w14:paraId="0F56DD92">
                  <w:pPr>
                    <w:jc w:val="center"/>
                    <w:rPr>
                      <w:color w:val="auto"/>
                    </w:rPr>
                  </w:pPr>
                  <w:r>
                    <w:rPr>
                      <w:rFonts w:hint="eastAsia"/>
                      <w:color w:val="auto"/>
                      <w:lang w:val="en-US" w:eastAsia="zh-CN"/>
                    </w:rPr>
                    <w:t>3</w:t>
                  </w:r>
                  <w:r>
                    <w:rPr>
                      <w:color w:val="auto"/>
                    </w:rPr>
                    <w:t>00</w:t>
                  </w:r>
                </w:p>
              </w:tc>
              <w:tc>
                <w:tcPr>
                  <w:tcW w:w="1955" w:type="dxa"/>
                  <w:vMerge w:val="continue"/>
                  <w:tcBorders>
                    <w:tl2br w:val="nil"/>
                    <w:tr2bl w:val="nil"/>
                  </w:tcBorders>
                  <w:vAlign w:val="center"/>
                </w:tcPr>
                <w:p w14:paraId="18D26CD7">
                  <w:pPr>
                    <w:pStyle w:val="69"/>
                    <w:jc w:val="center"/>
                    <w:rPr>
                      <w:color w:val="auto"/>
                    </w:rPr>
                  </w:pPr>
                </w:p>
              </w:tc>
            </w:tr>
            <w:tr w14:paraId="01248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954" w:type="dxa"/>
                  <w:tcBorders>
                    <w:tl2br w:val="nil"/>
                    <w:tr2bl w:val="nil"/>
                  </w:tcBorders>
                </w:tcPr>
                <w:p w14:paraId="1B8F3E22">
                  <w:pPr>
                    <w:pStyle w:val="69"/>
                    <w:jc w:val="center"/>
                    <w:rPr>
                      <w:color w:val="auto"/>
                    </w:rPr>
                  </w:pPr>
                  <w:r>
                    <w:rPr>
                      <w:color w:val="auto"/>
                    </w:rPr>
                    <w:t>5</w:t>
                  </w:r>
                </w:p>
              </w:tc>
              <w:tc>
                <w:tcPr>
                  <w:tcW w:w="1954" w:type="dxa"/>
                  <w:tcBorders>
                    <w:tl2br w:val="nil"/>
                    <w:tr2bl w:val="nil"/>
                  </w:tcBorders>
                  <w:vAlign w:val="center"/>
                </w:tcPr>
                <w:p w14:paraId="33156F56">
                  <w:pPr>
                    <w:jc w:val="center"/>
                    <w:rPr>
                      <w:color w:val="auto"/>
                    </w:rPr>
                  </w:pPr>
                  <w:r>
                    <w:rPr>
                      <w:color w:val="auto"/>
                    </w:rPr>
                    <w:t>氨氮</w:t>
                  </w:r>
                </w:p>
              </w:tc>
              <w:tc>
                <w:tcPr>
                  <w:tcW w:w="1954" w:type="dxa"/>
                  <w:tcBorders>
                    <w:tl2br w:val="nil"/>
                    <w:tr2bl w:val="nil"/>
                  </w:tcBorders>
                  <w:vAlign w:val="center"/>
                </w:tcPr>
                <w:p w14:paraId="5F68B69B">
                  <w:pPr>
                    <w:jc w:val="center"/>
                    <w:rPr>
                      <w:rFonts w:hint="eastAsia" w:eastAsia="宋体"/>
                      <w:color w:val="auto"/>
                      <w:lang w:val="en-US" w:eastAsia="zh-CN"/>
                    </w:rPr>
                  </w:pPr>
                  <w:r>
                    <w:rPr>
                      <w:rFonts w:hint="eastAsia"/>
                      <w:color w:val="auto"/>
                      <w:lang w:val="en-US" w:eastAsia="zh-CN"/>
                    </w:rPr>
                    <w:t>-</w:t>
                  </w:r>
                </w:p>
              </w:tc>
              <w:tc>
                <w:tcPr>
                  <w:tcW w:w="1955" w:type="dxa"/>
                  <w:vMerge w:val="continue"/>
                  <w:tcBorders>
                    <w:tl2br w:val="nil"/>
                    <w:tr2bl w:val="nil"/>
                  </w:tcBorders>
                  <w:vAlign w:val="center"/>
                </w:tcPr>
                <w:p w14:paraId="5E122100">
                  <w:pPr>
                    <w:pStyle w:val="69"/>
                    <w:jc w:val="center"/>
                    <w:rPr>
                      <w:color w:val="auto"/>
                    </w:rPr>
                  </w:pPr>
                </w:p>
              </w:tc>
            </w:tr>
            <w:tr w14:paraId="5BEC0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954" w:type="dxa"/>
                  <w:tcBorders>
                    <w:tl2br w:val="nil"/>
                    <w:tr2bl w:val="nil"/>
                  </w:tcBorders>
                </w:tcPr>
                <w:p w14:paraId="2EABB402">
                  <w:pPr>
                    <w:pStyle w:val="69"/>
                    <w:jc w:val="center"/>
                    <w:rPr>
                      <w:rFonts w:hint="eastAsia" w:eastAsia="宋体"/>
                      <w:color w:val="auto"/>
                      <w:lang w:val="en-US" w:eastAsia="zh-CN"/>
                    </w:rPr>
                  </w:pPr>
                  <w:r>
                    <w:rPr>
                      <w:rFonts w:hint="eastAsia"/>
                      <w:color w:val="auto"/>
                      <w:lang w:val="en-US" w:eastAsia="zh-CN"/>
                    </w:rPr>
                    <w:t>6</w:t>
                  </w:r>
                </w:p>
              </w:tc>
              <w:tc>
                <w:tcPr>
                  <w:tcW w:w="1954" w:type="dxa"/>
                  <w:tcBorders>
                    <w:tl2br w:val="nil"/>
                    <w:tr2bl w:val="nil"/>
                  </w:tcBorders>
                  <w:vAlign w:val="center"/>
                </w:tcPr>
                <w:p w14:paraId="7987EA71">
                  <w:pPr>
                    <w:jc w:val="center"/>
                    <w:rPr>
                      <w:rFonts w:hint="eastAsia" w:eastAsia="宋体"/>
                      <w:color w:val="auto"/>
                      <w:lang w:val="en-US" w:eastAsia="zh-CN"/>
                    </w:rPr>
                  </w:pPr>
                  <w:r>
                    <w:rPr>
                      <w:rFonts w:hint="eastAsia"/>
                      <w:color w:val="auto"/>
                      <w:lang w:val="en-US" w:eastAsia="zh-CN"/>
                    </w:rPr>
                    <w:t>动植物油</w:t>
                  </w:r>
                </w:p>
              </w:tc>
              <w:tc>
                <w:tcPr>
                  <w:tcW w:w="1954" w:type="dxa"/>
                  <w:tcBorders>
                    <w:tl2br w:val="nil"/>
                    <w:tr2bl w:val="nil"/>
                  </w:tcBorders>
                  <w:vAlign w:val="center"/>
                </w:tcPr>
                <w:p w14:paraId="6F55E490">
                  <w:pPr>
                    <w:jc w:val="center"/>
                    <w:rPr>
                      <w:rFonts w:hint="default"/>
                      <w:color w:val="auto"/>
                      <w:lang w:val="en-US" w:eastAsia="zh-CN"/>
                    </w:rPr>
                  </w:pPr>
                  <w:r>
                    <w:rPr>
                      <w:rFonts w:hint="eastAsia"/>
                      <w:color w:val="auto"/>
                      <w:lang w:val="en-US" w:eastAsia="zh-CN"/>
                    </w:rPr>
                    <w:t>100</w:t>
                  </w:r>
                </w:p>
              </w:tc>
              <w:tc>
                <w:tcPr>
                  <w:tcW w:w="1955" w:type="dxa"/>
                  <w:vMerge w:val="continue"/>
                  <w:tcBorders>
                    <w:tl2br w:val="nil"/>
                    <w:tr2bl w:val="nil"/>
                  </w:tcBorders>
                  <w:vAlign w:val="center"/>
                </w:tcPr>
                <w:p w14:paraId="57E940EE">
                  <w:pPr>
                    <w:pStyle w:val="69"/>
                    <w:jc w:val="center"/>
                    <w:rPr>
                      <w:color w:val="auto"/>
                    </w:rPr>
                  </w:pPr>
                </w:p>
              </w:tc>
            </w:tr>
          </w:tbl>
          <w:p w14:paraId="62F875DE">
            <w:pPr>
              <w:pStyle w:val="68"/>
              <w:ind w:firstLine="0" w:firstLineChars="0"/>
              <w:rPr>
                <w:rFonts w:cs="Times New Roman"/>
                <w:b/>
                <w:color w:val="auto"/>
              </w:rPr>
            </w:pPr>
            <w:r>
              <w:rPr>
                <w:rFonts w:cs="Times New Roman"/>
                <w:b/>
                <w:color w:val="auto"/>
              </w:rPr>
              <w:t>4、固体废弃物</w:t>
            </w:r>
          </w:p>
          <w:p w14:paraId="632F3EAD">
            <w:pPr>
              <w:pStyle w:val="68"/>
              <w:ind w:firstLine="480"/>
              <w:rPr>
                <w:rFonts w:cs="Times New Roman"/>
                <w:color w:val="auto"/>
                <w:szCs w:val="21"/>
              </w:rPr>
            </w:pPr>
            <w:r>
              <w:rPr>
                <w:rFonts w:cs="Times New Roman"/>
                <w:color w:val="auto"/>
              </w:rPr>
              <w:t>一般固废执行《一般工业固体废物贮存和填埋污染控制标准》（GB18599-2020）的规定。</w:t>
            </w:r>
          </w:p>
        </w:tc>
      </w:tr>
      <w:tr w14:paraId="0D4223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30" w:hRule="atLeast"/>
          <w:jc w:val="center"/>
        </w:trPr>
        <w:tc>
          <w:tcPr>
            <w:tcW w:w="266" w:type="pct"/>
            <w:vAlign w:val="center"/>
          </w:tcPr>
          <w:p w14:paraId="44EFA6A0">
            <w:pPr>
              <w:jc w:val="center"/>
              <w:rPr>
                <w:b/>
                <w:color w:val="auto"/>
                <w:kern w:val="0"/>
                <w:szCs w:val="21"/>
              </w:rPr>
            </w:pPr>
            <w:r>
              <w:rPr>
                <w:b/>
                <w:color w:val="auto"/>
                <w:kern w:val="0"/>
                <w:szCs w:val="21"/>
              </w:rPr>
              <w:t>总量</w:t>
            </w:r>
          </w:p>
          <w:p w14:paraId="5746DF49">
            <w:pPr>
              <w:jc w:val="center"/>
              <w:rPr>
                <w:b/>
                <w:color w:val="auto"/>
                <w:kern w:val="0"/>
                <w:szCs w:val="21"/>
              </w:rPr>
            </w:pPr>
            <w:r>
              <w:rPr>
                <w:b/>
                <w:color w:val="auto"/>
                <w:kern w:val="0"/>
                <w:szCs w:val="21"/>
              </w:rPr>
              <w:t>控制</w:t>
            </w:r>
          </w:p>
          <w:p w14:paraId="0C23F3A6">
            <w:pPr>
              <w:jc w:val="center"/>
              <w:rPr>
                <w:color w:val="auto"/>
                <w:kern w:val="0"/>
                <w:szCs w:val="21"/>
              </w:rPr>
            </w:pPr>
            <w:r>
              <w:rPr>
                <w:b/>
                <w:color w:val="auto"/>
                <w:kern w:val="0"/>
                <w:szCs w:val="21"/>
              </w:rPr>
              <w:t>指标</w:t>
            </w:r>
          </w:p>
        </w:tc>
        <w:tc>
          <w:tcPr>
            <w:tcW w:w="4733" w:type="pct"/>
            <w:vAlign w:val="center"/>
          </w:tcPr>
          <w:p w14:paraId="031F8B56">
            <w:pPr>
              <w:pStyle w:val="68"/>
              <w:ind w:firstLine="480"/>
              <w:rPr>
                <w:rFonts w:cs="Times New Roman"/>
                <w:color w:val="auto"/>
              </w:rPr>
            </w:pPr>
            <w:r>
              <w:rPr>
                <w:rFonts w:cs="Times New Roman"/>
                <w:color w:val="auto"/>
              </w:rPr>
              <w:t>按照我国对总量控制的有关要求，总量控制指标的项目为挥发性有机物、NO</w:t>
            </w:r>
            <w:r>
              <w:rPr>
                <w:rFonts w:cs="Times New Roman"/>
                <w:color w:val="auto"/>
                <w:vertAlign w:val="subscript"/>
              </w:rPr>
              <w:t>X</w:t>
            </w:r>
            <w:r>
              <w:rPr>
                <w:rFonts w:cs="Times New Roman"/>
                <w:color w:val="auto"/>
              </w:rPr>
              <w:t>、COD、NH</w:t>
            </w:r>
            <w:r>
              <w:rPr>
                <w:rFonts w:cs="Times New Roman"/>
                <w:color w:val="auto"/>
                <w:vertAlign w:val="subscript"/>
              </w:rPr>
              <w:t>3</w:t>
            </w:r>
            <w:r>
              <w:rPr>
                <w:rFonts w:cs="Times New Roman"/>
                <w:color w:val="auto"/>
              </w:rPr>
              <w:t>-N。本项目无大气污染物总量控制指标；</w:t>
            </w:r>
          </w:p>
          <w:p w14:paraId="61CC4A95">
            <w:pPr>
              <w:pStyle w:val="68"/>
              <w:ind w:firstLine="480"/>
              <w:rPr>
                <w:rFonts w:cs="Times New Roman"/>
                <w:bCs/>
                <w:color w:val="auto"/>
              </w:rPr>
            </w:pPr>
            <w:r>
              <w:rPr>
                <w:rFonts w:cs="Times New Roman"/>
                <w:bCs/>
                <w:color w:val="auto"/>
              </w:rPr>
              <w:t>本项目</w:t>
            </w:r>
            <w:r>
              <w:rPr>
                <w:rFonts w:hint="eastAsia" w:cs="Times New Roman"/>
                <w:bCs/>
                <w:color w:val="auto"/>
                <w:lang w:val="en-US" w:eastAsia="zh-CN"/>
              </w:rPr>
              <w:t>生产</w:t>
            </w:r>
            <w:r>
              <w:rPr>
                <w:rFonts w:cs="Times New Roman"/>
                <w:bCs/>
                <w:color w:val="auto"/>
              </w:rPr>
              <w:t>废水</w:t>
            </w:r>
            <w:r>
              <w:rPr>
                <w:rFonts w:hint="eastAsia" w:cs="Times New Roman"/>
                <w:bCs/>
                <w:color w:val="auto"/>
              </w:rPr>
              <w:t>进入厂区污水处理站，最后排入</w:t>
            </w:r>
            <w:r>
              <w:rPr>
                <w:rFonts w:hint="eastAsia"/>
                <w:bCs/>
                <w:color w:val="auto"/>
                <w:sz w:val="24"/>
                <w:lang w:val="en-US" w:eastAsia="zh-CN"/>
              </w:rPr>
              <w:t>市政</w:t>
            </w:r>
            <w:r>
              <w:rPr>
                <w:rFonts w:hint="eastAsia" w:cs="Times New Roman"/>
                <w:bCs/>
                <w:color w:val="auto"/>
                <w:lang w:val="en-US" w:eastAsia="zh-CN"/>
              </w:rPr>
              <w:t>污水管网；生活污水经化粪池处理后，排入</w:t>
            </w:r>
            <w:r>
              <w:rPr>
                <w:rFonts w:hint="eastAsia"/>
                <w:bCs/>
                <w:color w:val="auto"/>
                <w:sz w:val="24"/>
                <w:lang w:val="en-US" w:eastAsia="zh-CN"/>
              </w:rPr>
              <w:t>市政</w:t>
            </w:r>
            <w:r>
              <w:rPr>
                <w:rFonts w:hint="eastAsia" w:cs="Times New Roman"/>
                <w:bCs/>
                <w:color w:val="auto"/>
                <w:lang w:val="en-US" w:eastAsia="zh-CN"/>
              </w:rPr>
              <w:t>污水管网</w:t>
            </w:r>
            <w:r>
              <w:rPr>
                <w:rFonts w:cs="Times New Roman"/>
                <w:bCs/>
                <w:color w:val="auto"/>
              </w:rPr>
              <w:t>。</w:t>
            </w:r>
          </w:p>
          <w:p w14:paraId="419475C7">
            <w:pPr>
              <w:pStyle w:val="68"/>
              <w:ind w:firstLine="480"/>
              <w:rPr>
                <w:rFonts w:cs="Times New Roman"/>
                <w:color w:val="auto"/>
              </w:rPr>
            </w:pPr>
            <w:r>
              <w:rPr>
                <w:rFonts w:cs="Times New Roman"/>
                <w:color w:val="auto"/>
              </w:rPr>
              <w:t>根据项目工程分析计算，本项目废水总量为</w:t>
            </w:r>
            <w:r>
              <w:rPr>
                <w:rFonts w:hint="eastAsia"/>
                <w:color w:val="auto"/>
                <w:lang w:val="en-US" w:eastAsia="zh-CN"/>
              </w:rPr>
              <w:t>1188</w:t>
            </w:r>
            <w:r>
              <w:rPr>
                <w:rFonts w:cs="Times New Roman"/>
                <w:color w:val="auto"/>
              </w:rPr>
              <w:t>t/a，</w:t>
            </w:r>
            <w:r>
              <w:rPr>
                <w:rFonts w:hint="eastAsia" w:cs="Times New Roman"/>
                <w:color w:val="auto"/>
                <w:lang w:val="en-US" w:eastAsia="zh-CN"/>
              </w:rPr>
              <w:t>其中生活污水排放量为208</w:t>
            </w:r>
            <w:r>
              <w:rPr>
                <w:rFonts w:cs="Times New Roman"/>
                <w:color w:val="auto"/>
              </w:rPr>
              <w:t>t/a</w:t>
            </w:r>
            <w:r>
              <w:rPr>
                <w:rFonts w:hint="eastAsia" w:cs="Times New Roman"/>
                <w:color w:val="auto"/>
                <w:lang w:val="en-US" w:eastAsia="zh-CN"/>
              </w:rPr>
              <w:t>，生产废水排放量为980</w:t>
            </w:r>
            <w:r>
              <w:rPr>
                <w:rFonts w:cs="Times New Roman"/>
                <w:color w:val="auto"/>
              </w:rPr>
              <w:t>t/a</w:t>
            </w:r>
            <w:r>
              <w:rPr>
                <w:rFonts w:hint="eastAsia" w:cs="Times New Roman"/>
                <w:color w:val="auto"/>
                <w:lang w:eastAsia="zh-CN"/>
              </w:rPr>
              <w:t>。</w:t>
            </w:r>
            <w:r>
              <w:rPr>
                <w:rFonts w:cs="Times New Roman"/>
                <w:color w:val="auto"/>
              </w:rPr>
              <w:t>本项目涉及的</w:t>
            </w:r>
            <w:r>
              <w:rPr>
                <w:rFonts w:hint="eastAsia" w:cs="Times New Roman"/>
                <w:color w:val="auto"/>
                <w:lang w:val="en-US" w:eastAsia="zh-CN"/>
              </w:rPr>
              <w:t>生产</w:t>
            </w:r>
            <w:r>
              <w:rPr>
                <w:rFonts w:cs="Times New Roman"/>
                <w:color w:val="auto"/>
              </w:rPr>
              <w:t>废水污染物总量控制指标为COD：</w:t>
            </w:r>
            <w:r>
              <w:rPr>
                <w:rFonts w:hint="eastAsia" w:cs="Times New Roman"/>
                <w:color w:val="auto"/>
                <w:lang w:val="en-US" w:eastAsia="zh-CN"/>
              </w:rPr>
              <w:t>0.39</w:t>
            </w:r>
            <w:r>
              <w:rPr>
                <w:rFonts w:cs="Times New Roman"/>
                <w:color w:val="auto"/>
              </w:rPr>
              <w:t>t/a、NH</w:t>
            </w:r>
            <w:r>
              <w:rPr>
                <w:rFonts w:cs="Times New Roman"/>
                <w:color w:val="auto"/>
                <w:vertAlign w:val="subscript"/>
              </w:rPr>
              <w:t>3</w:t>
            </w:r>
            <w:r>
              <w:rPr>
                <w:rFonts w:cs="Times New Roman"/>
                <w:color w:val="auto"/>
              </w:rPr>
              <w:t>-N：</w:t>
            </w:r>
            <w:r>
              <w:rPr>
                <w:rFonts w:cs="Times New Roman"/>
                <w:color w:val="auto"/>
                <w:lang w:bidi="ar"/>
              </w:rPr>
              <w:t>0.</w:t>
            </w:r>
            <w:r>
              <w:rPr>
                <w:rFonts w:hint="eastAsia" w:cs="Times New Roman"/>
                <w:color w:val="auto"/>
                <w:lang w:val="en-US" w:eastAsia="zh-CN" w:bidi="ar"/>
              </w:rPr>
              <w:t>01</w:t>
            </w:r>
            <w:r>
              <w:rPr>
                <w:rFonts w:cs="Times New Roman"/>
                <w:color w:val="auto"/>
              </w:rPr>
              <w:t>t/a，</w:t>
            </w:r>
            <w:r>
              <w:rPr>
                <w:rFonts w:hint="eastAsia" w:cs="Times New Roman"/>
                <w:color w:val="auto"/>
                <w:lang w:val="en-US" w:eastAsia="zh-CN"/>
              </w:rPr>
              <w:t>生活污水</w:t>
            </w:r>
            <w:r>
              <w:rPr>
                <w:rFonts w:cs="Times New Roman"/>
                <w:color w:val="auto"/>
              </w:rPr>
              <w:t>污染物总量控制指标为COD：</w:t>
            </w:r>
            <w:r>
              <w:rPr>
                <w:rFonts w:hint="eastAsia" w:cs="Times New Roman"/>
                <w:color w:val="auto"/>
                <w:lang w:val="en-US" w:eastAsia="zh-CN"/>
              </w:rPr>
              <w:t>0.07</w:t>
            </w:r>
            <w:r>
              <w:rPr>
                <w:rFonts w:cs="Times New Roman"/>
                <w:color w:val="auto"/>
              </w:rPr>
              <w:t>t/a、NH</w:t>
            </w:r>
            <w:r>
              <w:rPr>
                <w:rFonts w:cs="Times New Roman"/>
                <w:color w:val="auto"/>
                <w:vertAlign w:val="subscript"/>
              </w:rPr>
              <w:t>3</w:t>
            </w:r>
            <w:r>
              <w:rPr>
                <w:rFonts w:cs="Times New Roman"/>
                <w:color w:val="auto"/>
              </w:rPr>
              <w:t>-N：</w:t>
            </w:r>
            <w:r>
              <w:rPr>
                <w:rFonts w:cs="Times New Roman"/>
                <w:color w:val="auto"/>
                <w:lang w:bidi="ar"/>
              </w:rPr>
              <w:t>0.</w:t>
            </w:r>
            <w:r>
              <w:rPr>
                <w:rFonts w:hint="eastAsia" w:cs="Times New Roman"/>
                <w:color w:val="auto"/>
                <w:lang w:val="en-US" w:eastAsia="zh-CN" w:bidi="ar"/>
              </w:rPr>
              <w:t>0060</w:t>
            </w:r>
            <w:r>
              <w:rPr>
                <w:rFonts w:cs="Times New Roman"/>
                <w:color w:val="auto"/>
              </w:rPr>
              <w:t>t/a</w:t>
            </w:r>
            <w:r>
              <w:rPr>
                <w:rFonts w:hint="eastAsia" w:cs="Times New Roman"/>
                <w:color w:val="auto"/>
                <w:lang w:eastAsia="zh-CN"/>
              </w:rPr>
              <w:t>，</w:t>
            </w:r>
            <w:r>
              <w:rPr>
                <w:rFonts w:hint="eastAsia" w:cs="Times New Roman"/>
                <w:color w:val="auto"/>
                <w:lang w:val="en-US" w:eastAsia="zh-CN"/>
              </w:rPr>
              <w:t>本次</w:t>
            </w:r>
            <w:r>
              <w:rPr>
                <w:rFonts w:cs="Times New Roman"/>
                <w:color w:val="auto"/>
              </w:rPr>
              <w:t>污染物总量控制指标</w:t>
            </w:r>
            <w:r>
              <w:rPr>
                <w:rFonts w:hint="eastAsia" w:cs="Times New Roman"/>
                <w:color w:val="auto"/>
                <w:lang w:val="en-US" w:eastAsia="zh-CN"/>
              </w:rPr>
              <w:t>共计</w:t>
            </w:r>
            <w:r>
              <w:rPr>
                <w:rFonts w:cs="Times New Roman"/>
                <w:color w:val="auto"/>
              </w:rPr>
              <w:t>COD：</w:t>
            </w:r>
            <w:r>
              <w:rPr>
                <w:rFonts w:hint="eastAsia" w:cs="Times New Roman"/>
                <w:color w:val="auto"/>
                <w:lang w:val="en-US" w:eastAsia="zh-CN"/>
              </w:rPr>
              <w:t>0.46</w:t>
            </w:r>
            <w:r>
              <w:rPr>
                <w:rFonts w:cs="Times New Roman"/>
                <w:color w:val="auto"/>
              </w:rPr>
              <w:t>t/a、NH</w:t>
            </w:r>
            <w:r>
              <w:rPr>
                <w:rFonts w:cs="Times New Roman"/>
                <w:color w:val="auto"/>
                <w:vertAlign w:val="subscript"/>
              </w:rPr>
              <w:t>3</w:t>
            </w:r>
            <w:r>
              <w:rPr>
                <w:rFonts w:cs="Times New Roman"/>
                <w:color w:val="auto"/>
              </w:rPr>
              <w:t>-N：</w:t>
            </w:r>
            <w:r>
              <w:rPr>
                <w:rFonts w:cs="Times New Roman"/>
                <w:color w:val="auto"/>
                <w:lang w:bidi="ar"/>
              </w:rPr>
              <w:t>0.</w:t>
            </w:r>
            <w:r>
              <w:rPr>
                <w:rFonts w:hint="eastAsia" w:cs="Times New Roman"/>
                <w:color w:val="auto"/>
                <w:lang w:val="en-US" w:eastAsia="zh-CN" w:bidi="ar"/>
              </w:rPr>
              <w:t>016</w:t>
            </w:r>
            <w:r>
              <w:rPr>
                <w:rFonts w:cs="Times New Roman"/>
                <w:color w:val="auto"/>
              </w:rPr>
              <w:t>t/a</w:t>
            </w:r>
            <w:r>
              <w:rPr>
                <w:rFonts w:hint="eastAsia" w:cs="Times New Roman"/>
                <w:color w:val="auto"/>
                <w:lang w:eastAsia="zh-CN"/>
              </w:rPr>
              <w:t>，</w:t>
            </w:r>
            <w:r>
              <w:rPr>
                <w:rFonts w:hint="eastAsia" w:cs="Times New Roman"/>
                <w:color w:val="auto"/>
              </w:rPr>
              <w:t>本项目</w:t>
            </w:r>
            <w:r>
              <w:rPr>
                <w:rFonts w:hint="eastAsia" w:cs="Times New Roman"/>
                <w:color w:val="auto"/>
                <w:lang w:val="en-US" w:eastAsia="zh-CN"/>
              </w:rPr>
              <w:t>生活污水经防渗化粪池沉淀、腐化处理后，排入市政污水管网；生产</w:t>
            </w:r>
            <w:r>
              <w:rPr>
                <w:rFonts w:hint="eastAsia" w:cs="Times New Roman"/>
                <w:color w:val="auto"/>
              </w:rPr>
              <w:t>废水进入厂区污水处理站，最后排入</w:t>
            </w:r>
            <w:r>
              <w:rPr>
                <w:rFonts w:hint="eastAsia"/>
                <w:bCs/>
                <w:color w:val="auto"/>
                <w:sz w:val="24"/>
                <w:lang w:val="en-US" w:eastAsia="zh-CN"/>
              </w:rPr>
              <w:t>市政</w:t>
            </w:r>
            <w:r>
              <w:rPr>
                <w:rFonts w:hint="eastAsia" w:cs="Times New Roman"/>
                <w:color w:val="auto"/>
                <w:lang w:val="en-US" w:eastAsia="zh-CN"/>
              </w:rPr>
              <w:t>污水管网</w:t>
            </w:r>
            <w:r>
              <w:rPr>
                <w:rFonts w:cs="Times New Roman"/>
                <w:color w:val="auto"/>
              </w:rPr>
              <w:t>，总量已计入污水处理厂，本次环评不再申请污水总量指标。</w:t>
            </w:r>
          </w:p>
        </w:tc>
      </w:tr>
    </w:tbl>
    <w:p w14:paraId="6BA38576">
      <w:pPr>
        <w:pStyle w:val="27"/>
        <w:spacing w:after="120"/>
        <w:outlineLvl w:val="0"/>
        <w:rPr>
          <w:rFonts w:eastAsiaTheme="minorEastAsia"/>
          <w:snapToGrid w:val="0"/>
          <w:color w:val="auto"/>
          <w:sz w:val="30"/>
          <w:szCs w:val="30"/>
        </w:rPr>
      </w:pPr>
      <w:r>
        <w:rPr>
          <w:rFonts w:eastAsia="黑体"/>
          <w:snapToGrid w:val="0"/>
          <w:color w:val="auto"/>
          <w:sz w:val="36"/>
          <w:szCs w:val="36"/>
        </w:rPr>
        <w:br w:type="page"/>
      </w:r>
      <w:r>
        <w:rPr>
          <w:rFonts w:eastAsiaTheme="minorEastAsia"/>
          <w:snapToGrid w:val="0"/>
          <w:color w:val="auto"/>
          <w:sz w:val="30"/>
          <w:szCs w:val="30"/>
        </w:rPr>
        <w:t>四、主要环境影响和保护措施</w:t>
      </w:r>
    </w:p>
    <w:tbl>
      <w:tblPr>
        <w:tblStyle w:val="31"/>
        <w:tblW w:w="5095"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9"/>
        <w:gridCol w:w="220"/>
        <w:gridCol w:w="40"/>
        <w:gridCol w:w="8264"/>
      </w:tblGrid>
      <w:tr w14:paraId="4C6A6D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452" w:hRule="atLeast"/>
          <w:jc w:val="center"/>
        </w:trPr>
        <w:tc>
          <w:tcPr>
            <w:tcW w:w="174" w:type="pct"/>
            <w:gridSpan w:val="2"/>
            <w:tcMar>
              <w:left w:w="28" w:type="dxa"/>
              <w:right w:w="28" w:type="dxa"/>
            </w:tcMar>
            <w:vAlign w:val="center"/>
          </w:tcPr>
          <w:p w14:paraId="280A0691">
            <w:pPr>
              <w:pStyle w:val="69"/>
              <w:rPr>
                <w:color w:val="auto"/>
              </w:rPr>
            </w:pPr>
            <w:r>
              <w:rPr>
                <w:color w:val="auto"/>
              </w:rPr>
              <w:t>施工</w:t>
            </w:r>
          </w:p>
          <w:p w14:paraId="1943389F">
            <w:pPr>
              <w:pStyle w:val="69"/>
              <w:rPr>
                <w:color w:val="auto"/>
              </w:rPr>
            </w:pPr>
            <w:r>
              <w:rPr>
                <w:color w:val="auto"/>
              </w:rPr>
              <w:t>期环</w:t>
            </w:r>
          </w:p>
          <w:p w14:paraId="3330C165">
            <w:pPr>
              <w:pStyle w:val="69"/>
              <w:rPr>
                <w:color w:val="auto"/>
              </w:rPr>
            </w:pPr>
            <w:r>
              <w:rPr>
                <w:color w:val="auto"/>
              </w:rPr>
              <w:t>境保</w:t>
            </w:r>
          </w:p>
          <w:p w14:paraId="275A2A1D">
            <w:pPr>
              <w:pStyle w:val="69"/>
              <w:rPr>
                <w:color w:val="auto"/>
              </w:rPr>
            </w:pPr>
            <w:r>
              <w:rPr>
                <w:color w:val="auto"/>
              </w:rPr>
              <w:t>护措</w:t>
            </w:r>
          </w:p>
          <w:p w14:paraId="5CEFA8C6">
            <w:pPr>
              <w:pStyle w:val="69"/>
              <w:rPr>
                <w:color w:val="auto"/>
              </w:rPr>
            </w:pPr>
            <w:r>
              <w:rPr>
                <w:color w:val="auto"/>
              </w:rPr>
              <w:t>施</w:t>
            </w:r>
          </w:p>
        </w:tc>
        <w:tc>
          <w:tcPr>
            <w:tcW w:w="4825" w:type="pct"/>
            <w:gridSpan w:val="2"/>
            <w:vAlign w:val="center"/>
          </w:tcPr>
          <w:p w14:paraId="245802AE">
            <w:pPr>
              <w:pStyle w:val="68"/>
              <w:numPr>
                <w:ilvl w:val="0"/>
                <w:numId w:val="4"/>
              </w:numPr>
              <w:ind w:firstLine="482"/>
              <w:rPr>
                <w:rFonts w:cs="Times New Roman"/>
                <w:b/>
                <w:bCs/>
                <w:color w:val="auto"/>
              </w:rPr>
            </w:pPr>
            <w:r>
              <w:rPr>
                <w:rFonts w:cs="Times New Roman"/>
                <w:b/>
                <w:bCs/>
                <w:color w:val="auto"/>
              </w:rPr>
              <w:t>施工期间的环境保护措施</w:t>
            </w:r>
          </w:p>
          <w:p w14:paraId="2060FB94">
            <w:pPr>
              <w:pStyle w:val="68"/>
              <w:ind w:firstLine="480"/>
              <w:rPr>
                <w:rFonts w:cs="Times New Roman"/>
                <w:color w:val="auto"/>
              </w:rPr>
            </w:pPr>
            <w:r>
              <w:rPr>
                <w:rFonts w:cs="Times New Roman"/>
                <w:color w:val="auto"/>
              </w:rPr>
              <w:t>加强施工期间的环境管理，实行清洁生产，杜绝粗放式施工，应尽可能合理安排施工计划，缩短施工周期，以减少施工期扬尘及噪声等对外围环境的污染。</w:t>
            </w:r>
          </w:p>
          <w:p w14:paraId="1ED58DEB">
            <w:pPr>
              <w:pStyle w:val="68"/>
              <w:numPr>
                <w:ilvl w:val="0"/>
                <w:numId w:val="0"/>
              </w:numPr>
              <w:ind w:left="-60" w:leftChars="0" w:firstLine="480" w:firstLineChars="0"/>
              <w:rPr>
                <w:rFonts w:cs="Times New Roman"/>
                <w:b/>
                <w:bCs/>
                <w:color w:val="auto"/>
              </w:rPr>
            </w:pPr>
            <w:r>
              <w:rPr>
                <w:rFonts w:hint="eastAsia" w:cs="Times New Roman"/>
                <w:b/>
                <w:bCs/>
                <w:color w:val="auto"/>
                <w:kern w:val="0"/>
                <w:sz w:val="24"/>
                <w:szCs w:val="24"/>
                <w:lang w:val="en-US" w:eastAsia="zh-CN" w:bidi="ar-SA"/>
              </w:rPr>
              <w:t>1、</w:t>
            </w:r>
            <w:r>
              <w:rPr>
                <w:rFonts w:cs="Times New Roman"/>
                <w:b/>
                <w:bCs/>
                <w:color w:val="auto"/>
              </w:rPr>
              <w:t>废气的治理措施</w:t>
            </w:r>
          </w:p>
          <w:p w14:paraId="2136E5B8">
            <w:pPr>
              <w:pStyle w:val="156"/>
              <w:ind w:firstLine="480"/>
              <w:rPr>
                <w:color w:val="auto"/>
              </w:rPr>
            </w:pPr>
            <w:r>
              <w:rPr>
                <w:color w:val="auto"/>
              </w:rPr>
              <w:t>施工期的大气污染主要来自施工产生的扬尘</w:t>
            </w:r>
            <w:r>
              <w:rPr>
                <w:rFonts w:hint="eastAsia"/>
                <w:color w:val="auto"/>
                <w:lang w:eastAsia="zh-CN"/>
              </w:rPr>
              <w:t>、</w:t>
            </w:r>
            <w:r>
              <w:rPr>
                <w:color w:val="auto"/>
              </w:rPr>
              <w:t>燃油机械设备</w:t>
            </w:r>
            <w:r>
              <w:rPr>
                <w:rFonts w:hint="eastAsia"/>
                <w:color w:val="auto"/>
                <w:lang w:val="en-US" w:eastAsia="zh-CN"/>
              </w:rPr>
              <w:t>和</w:t>
            </w:r>
            <w:r>
              <w:rPr>
                <w:color w:val="auto"/>
              </w:rPr>
              <w:t>运输车辆产生的机械废气。</w:t>
            </w:r>
          </w:p>
          <w:p w14:paraId="4D9579DA">
            <w:pPr>
              <w:pStyle w:val="156"/>
              <w:ind w:firstLine="480"/>
              <w:rPr>
                <w:color w:val="auto"/>
              </w:rPr>
            </w:pPr>
            <w:r>
              <w:rPr>
                <w:color w:val="auto"/>
              </w:rPr>
              <w:t>（1）施工扬尘</w:t>
            </w:r>
          </w:p>
          <w:p w14:paraId="4953431B">
            <w:pPr>
              <w:pStyle w:val="156"/>
              <w:ind w:firstLine="480"/>
              <w:rPr>
                <w:color w:val="auto"/>
              </w:rPr>
            </w:pPr>
            <w:r>
              <w:rPr>
                <w:color w:val="auto"/>
              </w:rPr>
              <w:t>项目施工期在场地平整、施工材料装卸和运输等施工过程会产生大量的粉尘，施工场地道路与砂石堆场遇风亦会产生扬尘。为最大程度的减轻扬尘污染，建议按照以下要求进行防尘：</w:t>
            </w:r>
          </w:p>
          <w:p w14:paraId="0C64036F">
            <w:pPr>
              <w:pStyle w:val="156"/>
              <w:ind w:firstLine="480"/>
              <w:rPr>
                <w:color w:val="auto"/>
              </w:rPr>
            </w:pPr>
            <w:r>
              <w:rPr>
                <w:color w:val="auto"/>
              </w:rPr>
              <w:t>①装运土方时控制车内土方低于车厢挡板，做到表面覆盖。减少途中</w:t>
            </w:r>
            <w:r>
              <w:rPr>
                <w:rFonts w:hint="eastAsia"/>
                <w:color w:val="auto"/>
                <w:lang w:eastAsia="zh-CN"/>
              </w:rPr>
              <w:t>洒落</w:t>
            </w:r>
            <w:r>
              <w:rPr>
                <w:color w:val="auto"/>
              </w:rPr>
              <w:t>，对施工现场</w:t>
            </w:r>
            <w:r>
              <w:rPr>
                <w:rFonts w:hint="eastAsia"/>
                <w:color w:val="auto"/>
                <w:lang w:eastAsia="zh-CN"/>
              </w:rPr>
              <w:t>抛洒</w:t>
            </w:r>
            <w:r>
              <w:rPr>
                <w:color w:val="auto"/>
              </w:rPr>
              <w:t>的砂石等物料应及时清扫，砂石堆场、施工道路应定时洒水抑尘。</w:t>
            </w:r>
          </w:p>
          <w:p w14:paraId="2D10846B">
            <w:pPr>
              <w:pStyle w:val="156"/>
              <w:ind w:firstLine="480"/>
              <w:rPr>
                <w:color w:val="auto"/>
              </w:rPr>
            </w:pPr>
            <w:r>
              <w:rPr>
                <w:color w:val="auto"/>
              </w:rPr>
              <w:t>②限制车速。施工场地的扬尘，大部分来自施工车辆。在同样的清洁程度的条件下，车速越慢，扬尘量越小。施工车辆在进入施工场地时，需减速行驶，以减少施工场地扬尘</w:t>
            </w:r>
          </w:p>
          <w:p w14:paraId="747CDA9E">
            <w:pPr>
              <w:pStyle w:val="156"/>
              <w:ind w:firstLine="480"/>
              <w:rPr>
                <w:color w:val="auto"/>
              </w:rPr>
            </w:pPr>
            <w:r>
              <w:rPr>
                <w:color w:val="auto"/>
              </w:rPr>
              <w:t>③避免大风天气作业。应避免在大风天气下进行沙石等的装卸作业，物资尽可能不要露天堆放，即使必须露天堆放，也要注意加盖防雨布，减少大风造成的施工扬尘。</w:t>
            </w:r>
          </w:p>
          <w:p w14:paraId="49772647">
            <w:pPr>
              <w:pStyle w:val="156"/>
              <w:ind w:firstLine="480"/>
              <w:rPr>
                <w:color w:val="auto"/>
              </w:rPr>
            </w:pPr>
            <w:r>
              <w:rPr>
                <w:color w:val="auto"/>
              </w:rPr>
              <w:t>④对整个施工场地设临时围墙或防护板，减少施工场地与外界的流通，减轻的施工场界外的影响。</w:t>
            </w:r>
          </w:p>
          <w:p w14:paraId="0A52A6EC">
            <w:pPr>
              <w:pStyle w:val="156"/>
              <w:ind w:firstLine="480"/>
              <w:rPr>
                <w:color w:val="auto"/>
              </w:rPr>
            </w:pPr>
            <w:r>
              <w:rPr>
                <w:rFonts w:hint="eastAsia"/>
                <w:color w:val="auto"/>
              </w:rPr>
              <w:t>⑤</w:t>
            </w:r>
            <w:r>
              <w:rPr>
                <w:bCs/>
                <w:color w:val="auto"/>
              </w:rPr>
              <w:t>施工场地进行洒水抑尘</w:t>
            </w:r>
            <w:r>
              <w:rPr>
                <w:rFonts w:hint="eastAsia"/>
                <w:bCs/>
                <w:color w:val="auto"/>
              </w:rPr>
              <w:t>。</w:t>
            </w:r>
          </w:p>
          <w:p w14:paraId="620E960F">
            <w:pPr>
              <w:pStyle w:val="156"/>
              <w:ind w:firstLine="480"/>
              <w:rPr>
                <w:color w:val="auto"/>
              </w:rPr>
            </w:pPr>
            <w:r>
              <w:rPr>
                <w:color w:val="auto"/>
              </w:rPr>
              <w:t>通过上述措施，能够最大限度减少扬尘的产生，使本工程的施工扬尘对大气环境产生的影响降到最低。</w:t>
            </w:r>
          </w:p>
          <w:p w14:paraId="27F982DF">
            <w:pPr>
              <w:pStyle w:val="156"/>
              <w:ind w:firstLine="480"/>
              <w:rPr>
                <w:color w:val="auto"/>
              </w:rPr>
            </w:pPr>
            <w:r>
              <w:rPr>
                <w:color w:val="auto"/>
              </w:rPr>
              <w:t>（2）机械与运输车辆废气</w:t>
            </w:r>
          </w:p>
          <w:p w14:paraId="0089B707">
            <w:pPr>
              <w:pStyle w:val="156"/>
              <w:ind w:firstLine="480"/>
              <w:rPr>
                <w:color w:val="auto"/>
              </w:rPr>
            </w:pPr>
            <w:r>
              <w:rPr>
                <w:color w:val="auto"/>
              </w:rPr>
              <w:t>在建筑原材料、建筑垃圾运输过程中会排放一定量的车辆废气，其主要污染物为HC、CO、NOx等。由于运输车辆尾气排放具有间歇性和流动性，污染物排放量较少且属于无组织排放，对环境产生的影响不大。建议建设单位采用排放达标的设备和车辆，加强对机械设备和车辆的维护保养，使之处于良好的运行状态，使用合格的油品，尽量减少设备和车辆空转空驶，可进一步减小环境影响。</w:t>
            </w:r>
          </w:p>
          <w:p w14:paraId="1FB58F0A">
            <w:pPr>
              <w:pStyle w:val="156"/>
              <w:ind w:firstLine="480"/>
              <w:rPr>
                <w:rFonts w:hint="default" w:eastAsia="宋体"/>
                <w:color w:val="auto"/>
                <w:lang w:val="en-US" w:eastAsia="zh-CN"/>
              </w:rPr>
            </w:pPr>
            <w:r>
              <w:rPr>
                <w:rFonts w:hint="eastAsia"/>
                <w:color w:val="auto"/>
                <w:lang w:eastAsia="zh-CN"/>
              </w:rPr>
              <w:t>（</w:t>
            </w:r>
            <w:r>
              <w:rPr>
                <w:rFonts w:hint="eastAsia"/>
                <w:color w:val="auto"/>
                <w:lang w:val="en-US" w:eastAsia="zh-CN"/>
              </w:rPr>
              <w:t>3</w:t>
            </w:r>
            <w:r>
              <w:rPr>
                <w:rFonts w:hint="eastAsia"/>
                <w:color w:val="auto"/>
                <w:lang w:eastAsia="zh-CN"/>
              </w:rPr>
              <w:t>）</w:t>
            </w:r>
            <w:r>
              <w:rPr>
                <w:rFonts w:hint="eastAsia"/>
                <w:color w:val="auto"/>
                <w:lang w:val="en-US" w:eastAsia="zh-CN"/>
              </w:rPr>
              <w:t>装卸工程产生的</w:t>
            </w:r>
            <w:r>
              <w:rPr>
                <w:rFonts w:hint="eastAsia"/>
                <w:color w:val="auto"/>
                <w:sz w:val="24"/>
                <w:lang w:val="en-US" w:eastAsia="zh-CN"/>
              </w:rPr>
              <w:t>VOCs</w:t>
            </w:r>
          </w:p>
          <w:p w14:paraId="57AAE437">
            <w:pPr>
              <w:pStyle w:val="156"/>
              <w:ind w:firstLine="480"/>
              <w:rPr>
                <w:color w:val="auto"/>
              </w:rPr>
            </w:pPr>
            <w:r>
              <w:rPr>
                <w:color w:val="auto"/>
              </w:rPr>
              <w:t>①使用环保材料</w:t>
            </w:r>
            <w:r>
              <w:rPr>
                <w:rFonts w:hint="default"/>
                <w:color w:val="auto"/>
              </w:rPr>
              <w:t>：优先选择低VOCs含量的涂料、油漆、胶粘剂、板材等装修材料。例如，水性涂料、粉末涂料等环保型涂料，其VOCs含量远低于传统的溶剂型涂料；无醛添加板材能有效减少甲醛等有机污染物的释放。</w:t>
            </w:r>
          </w:p>
          <w:p w14:paraId="58FD5D5D">
            <w:pPr>
              <w:pStyle w:val="156"/>
              <w:ind w:firstLine="480"/>
              <w:rPr>
                <w:color w:val="auto"/>
              </w:rPr>
            </w:pPr>
            <w:r>
              <w:rPr>
                <w:color w:val="auto"/>
              </w:rPr>
              <w:t>②</w:t>
            </w:r>
            <w:r>
              <w:rPr>
                <w:rFonts w:hint="default"/>
                <w:color w:val="auto"/>
              </w:rPr>
              <w:t>优化施工工艺：推广采用先进的施工工艺，减少材料浪费和VOCs的挥发。如采用高压无气喷涂技术，可使涂料更均匀地附着在物体表面，提高涂料利用率，降低VOCs的排放。</w:t>
            </w:r>
          </w:p>
          <w:p w14:paraId="3893AB57">
            <w:pPr>
              <w:pStyle w:val="156"/>
              <w:ind w:firstLine="480"/>
              <w:rPr>
                <w:color w:val="auto"/>
              </w:rPr>
            </w:pPr>
            <w:r>
              <w:rPr>
                <w:color w:val="auto"/>
              </w:rPr>
              <w:t>综上所述，本项目施工期废气影响最大的为施工扬尘，项目施工时在严格执行本环评提出的扬尘防治措施后，施工期产生的粉尘、扬尘满足《大气污染物综合排放标准》（GB16297-1996）表2中无组织排放监控浓度限值。施工期废气对周边空气环境的影响为暂时性影响，项目完工后，该影响也将消失。</w:t>
            </w:r>
          </w:p>
          <w:p w14:paraId="6FF1AA2A">
            <w:pPr>
              <w:pStyle w:val="68"/>
              <w:numPr>
                <w:ilvl w:val="0"/>
                <w:numId w:val="0"/>
              </w:numPr>
              <w:ind w:left="-60" w:leftChars="0" w:firstLine="480" w:firstLineChars="0"/>
              <w:rPr>
                <w:rFonts w:cs="Times New Roman"/>
                <w:b/>
                <w:bCs/>
                <w:color w:val="auto"/>
              </w:rPr>
            </w:pPr>
            <w:r>
              <w:rPr>
                <w:rFonts w:hint="eastAsia" w:cs="Times New Roman"/>
                <w:b/>
                <w:bCs/>
                <w:color w:val="auto"/>
                <w:lang w:val="en-US" w:eastAsia="zh-CN"/>
              </w:rPr>
              <w:t>2、</w:t>
            </w:r>
            <w:r>
              <w:rPr>
                <w:rFonts w:cs="Times New Roman"/>
                <w:b/>
                <w:bCs/>
                <w:color w:val="auto"/>
              </w:rPr>
              <w:t>废水的治理措施</w:t>
            </w:r>
          </w:p>
          <w:p w14:paraId="737A97B1">
            <w:pPr>
              <w:pStyle w:val="156"/>
              <w:ind w:firstLine="480"/>
              <w:rPr>
                <w:color w:val="auto"/>
              </w:rPr>
            </w:pPr>
            <w:bookmarkStart w:id="14" w:name="_Toc1131"/>
            <w:r>
              <w:rPr>
                <w:color w:val="auto"/>
              </w:rPr>
              <w:t>施工期废水来源于施工机械冲洗废水和施工阶段产生的泥浆废水、现场施工人员生活污水。</w:t>
            </w:r>
          </w:p>
          <w:p w14:paraId="0F4D4115">
            <w:pPr>
              <w:pStyle w:val="156"/>
              <w:ind w:firstLine="480"/>
              <w:rPr>
                <w:color w:val="auto"/>
              </w:rPr>
            </w:pPr>
            <w:r>
              <w:rPr>
                <w:color w:val="auto"/>
              </w:rPr>
              <w:t>（1）施工期，由于车辆机械检修清洗</w:t>
            </w:r>
            <w:r>
              <w:rPr>
                <w:rFonts w:hint="eastAsia"/>
                <w:color w:val="auto"/>
              </w:rPr>
              <w:t>和</w:t>
            </w:r>
            <w:r>
              <w:rPr>
                <w:color w:val="auto"/>
              </w:rPr>
              <w:t>建筑安装等工程的实施，将会产生一定量的施工废水。施工废水经沉淀池沉淀处理后，在厂区内喷洒，不外排。砂浆应集中沉淀处理，干燥后与固体废物一起处置。</w:t>
            </w:r>
          </w:p>
          <w:p w14:paraId="63BB69EA">
            <w:pPr>
              <w:pStyle w:val="156"/>
              <w:ind w:firstLine="480"/>
              <w:rPr>
                <w:color w:val="auto"/>
              </w:rPr>
            </w:pPr>
            <w:r>
              <w:rPr>
                <w:color w:val="auto"/>
              </w:rPr>
              <w:t>（2）施工人员在不在工地食宿，本项目施工高峰期施工人员每天约20人，生活用水量按20L/人•d，本项目建设期</w:t>
            </w:r>
            <w:r>
              <w:rPr>
                <w:rFonts w:hint="eastAsia"/>
                <w:color w:val="auto"/>
                <w:lang w:val="en-US" w:eastAsia="zh-CN"/>
              </w:rPr>
              <w:t>5</w:t>
            </w:r>
            <w:r>
              <w:rPr>
                <w:color w:val="auto"/>
              </w:rPr>
              <w:t>个月，施工期生活用水量约0.4m³/d（</w:t>
            </w:r>
            <w:r>
              <w:rPr>
                <w:rFonts w:hint="eastAsia"/>
                <w:color w:val="auto"/>
                <w:lang w:val="en-US" w:eastAsia="zh-CN"/>
              </w:rPr>
              <w:t>60</w:t>
            </w:r>
            <w:r>
              <w:rPr>
                <w:color w:val="auto"/>
              </w:rPr>
              <w:t>m³），污水产出系数按0.8计，则施工期每天生活污水量平均产生量约为0.</w:t>
            </w:r>
            <w:r>
              <w:rPr>
                <w:rFonts w:hint="eastAsia"/>
                <w:color w:val="auto"/>
                <w:lang w:val="en-US" w:eastAsia="zh-CN"/>
              </w:rPr>
              <w:t>32</w:t>
            </w:r>
            <w:r>
              <w:rPr>
                <w:color w:val="auto"/>
              </w:rPr>
              <w:t>m³/d，生活污水排放量为</w:t>
            </w:r>
            <w:r>
              <w:rPr>
                <w:rFonts w:hint="eastAsia"/>
                <w:color w:val="auto"/>
                <w:lang w:val="en-US" w:eastAsia="zh-CN"/>
              </w:rPr>
              <w:t>48</w:t>
            </w:r>
            <w:r>
              <w:rPr>
                <w:color w:val="auto"/>
              </w:rPr>
              <w:t>m³。施工期生活污水根据《社会区域类环境影响评价》（原国家环境保护总局职业资格培训管理办公室编制的培训教材）推荐的生活污水水质参数并结合项目特点，项目生活污水COD、BOD</w:t>
            </w:r>
            <w:r>
              <w:rPr>
                <w:color w:val="auto"/>
                <w:vertAlign w:val="subscript"/>
              </w:rPr>
              <w:t>5</w:t>
            </w:r>
            <w:r>
              <w:rPr>
                <w:color w:val="auto"/>
              </w:rPr>
              <w:t>、SS、NH</w:t>
            </w:r>
            <w:r>
              <w:rPr>
                <w:color w:val="auto"/>
                <w:vertAlign w:val="subscript"/>
              </w:rPr>
              <w:t>3</w:t>
            </w:r>
            <w:r>
              <w:rPr>
                <w:color w:val="auto"/>
              </w:rPr>
              <w:t>-N的产生浓度分</w:t>
            </w:r>
            <w:r>
              <w:rPr>
                <w:rFonts w:hint="eastAsia"/>
                <w:color w:val="auto"/>
                <w:lang w:eastAsia="zh-CN"/>
              </w:rPr>
              <w:t>别为</w:t>
            </w:r>
            <w:r>
              <w:rPr>
                <w:color w:val="auto"/>
              </w:rPr>
              <w:t>350mg/L、200mg/L、300mg/L、30mg/L。则施工人员生活污水排放情况见表4-1。</w:t>
            </w:r>
          </w:p>
          <w:p w14:paraId="03A07F22">
            <w:pPr>
              <w:pStyle w:val="157"/>
              <w:spacing w:before="120" w:line="240" w:lineRule="auto"/>
              <w:rPr>
                <w:color w:val="auto"/>
              </w:rPr>
            </w:pPr>
            <w:r>
              <w:rPr>
                <w:color w:val="auto"/>
              </w:rPr>
              <w:t>表4-1  施工人员生活污水及污染物排放量</w:t>
            </w:r>
          </w:p>
          <w:tbl>
            <w:tblPr>
              <w:tblStyle w:val="12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3"/>
              <w:gridCol w:w="1352"/>
              <w:gridCol w:w="1549"/>
              <w:gridCol w:w="1982"/>
              <w:gridCol w:w="1859"/>
            </w:tblGrid>
            <w:tr w14:paraId="46EF4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825" w:type="pct"/>
                  <w:tcBorders>
                    <w:tl2br w:val="nil"/>
                    <w:tr2bl w:val="nil"/>
                  </w:tcBorders>
                  <w:vAlign w:val="center"/>
                </w:tcPr>
                <w:p w14:paraId="0E6F9F7A">
                  <w:pPr>
                    <w:pStyle w:val="69"/>
                    <w:jc w:val="center"/>
                    <w:rPr>
                      <w:color w:val="auto"/>
                    </w:rPr>
                  </w:pPr>
                  <w:r>
                    <w:rPr>
                      <w:color w:val="auto"/>
                    </w:rPr>
                    <w:t>生活用水量</w:t>
                  </w:r>
                </w:p>
              </w:tc>
              <w:tc>
                <w:tcPr>
                  <w:tcW w:w="837" w:type="pct"/>
                  <w:tcBorders>
                    <w:tl2br w:val="nil"/>
                    <w:tr2bl w:val="nil"/>
                  </w:tcBorders>
                  <w:vAlign w:val="center"/>
                </w:tcPr>
                <w:p w14:paraId="0DAE84E1">
                  <w:pPr>
                    <w:pStyle w:val="69"/>
                    <w:jc w:val="center"/>
                    <w:rPr>
                      <w:color w:val="auto"/>
                    </w:rPr>
                  </w:pPr>
                  <w:r>
                    <w:rPr>
                      <w:color w:val="auto"/>
                    </w:rPr>
                    <w:t>污水排放量</w:t>
                  </w:r>
                </w:p>
              </w:tc>
              <w:tc>
                <w:tcPr>
                  <w:tcW w:w="959" w:type="pct"/>
                  <w:tcBorders>
                    <w:tl2br w:val="nil"/>
                    <w:tr2bl w:val="nil"/>
                  </w:tcBorders>
                  <w:vAlign w:val="center"/>
                </w:tcPr>
                <w:p w14:paraId="0864D5C2">
                  <w:pPr>
                    <w:pStyle w:val="69"/>
                    <w:jc w:val="center"/>
                    <w:rPr>
                      <w:color w:val="auto"/>
                    </w:rPr>
                  </w:pPr>
                  <w:r>
                    <w:rPr>
                      <w:color w:val="auto"/>
                    </w:rPr>
                    <w:t>污染物</w:t>
                  </w:r>
                </w:p>
              </w:tc>
              <w:tc>
                <w:tcPr>
                  <w:tcW w:w="1227" w:type="pct"/>
                  <w:tcBorders>
                    <w:tl2br w:val="nil"/>
                    <w:tr2bl w:val="nil"/>
                  </w:tcBorders>
                  <w:vAlign w:val="center"/>
                </w:tcPr>
                <w:p w14:paraId="4EC52CD2">
                  <w:pPr>
                    <w:pStyle w:val="69"/>
                    <w:jc w:val="center"/>
                    <w:rPr>
                      <w:bCs/>
                      <w:color w:val="auto"/>
                    </w:rPr>
                  </w:pPr>
                  <w:r>
                    <w:rPr>
                      <w:color w:val="auto"/>
                    </w:rPr>
                    <w:t>排放浓度（mg/L）</w:t>
                  </w:r>
                </w:p>
              </w:tc>
              <w:tc>
                <w:tcPr>
                  <w:tcW w:w="1150" w:type="pct"/>
                  <w:tcBorders>
                    <w:tl2br w:val="nil"/>
                    <w:tr2bl w:val="nil"/>
                  </w:tcBorders>
                  <w:vAlign w:val="center"/>
                </w:tcPr>
                <w:p w14:paraId="438EE33C">
                  <w:pPr>
                    <w:pStyle w:val="69"/>
                    <w:jc w:val="center"/>
                    <w:rPr>
                      <w:color w:val="auto"/>
                    </w:rPr>
                  </w:pPr>
                  <w:r>
                    <w:rPr>
                      <w:color w:val="auto"/>
                    </w:rPr>
                    <w:t>排放量（t/a）</w:t>
                  </w:r>
                </w:p>
              </w:tc>
            </w:tr>
            <w:tr w14:paraId="68ECA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825" w:type="pct"/>
                  <w:vMerge w:val="restart"/>
                  <w:tcBorders>
                    <w:tl2br w:val="nil"/>
                    <w:tr2bl w:val="nil"/>
                  </w:tcBorders>
                  <w:vAlign w:val="center"/>
                </w:tcPr>
                <w:p w14:paraId="5D991B59">
                  <w:pPr>
                    <w:pStyle w:val="78"/>
                    <w:rPr>
                      <w:color w:val="auto"/>
                    </w:rPr>
                  </w:pPr>
                  <w:r>
                    <w:rPr>
                      <w:rFonts w:hint="eastAsia"/>
                      <w:color w:val="auto"/>
                      <w:lang w:val="en-US" w:eastAsia="zh-CN"/>
                    </w:rPr>
                    <w:t>60</w:t>
                  </w:r>
                  <w:r>
                    <w:rPr>
                      <w:color w:val="auto"/>
                    </w:rPr>
                    <w:t>t/a</w:t>
                  </w:r>
                </w:p>
              </w:tc>
              <w:tc>
                <w:tcPr>
                  <w:tcW w:w="837" w:type="pct"/>
                  <w:vMerge w:val="restart"/>
                  <w:tcBorders>
                    <w:tl2br w:val="nil"/>
                    <w:tr2bl w:val="nil"/>
                  </w:tcBorders>
                  <w:vAlign w:val="center"/>
                </w:tcPr>
                <w:p w14:paraId="406EB27A">
                  <w:pPr>
                    <w:pStyle w:val="78"/>
                    <w:rPr>
                      <w:color w:val="auto"/>
                    </w:rPr>
                  </w:pPr>
                  <w:r>
                    <w:rPr>
                      <w:rFonts w:hint="eastAsia"/>
                      <w:color w:val="auto"/>
                      <w:lang w:val="en-US" w:eastAsia="zh-CN"/>
                    </w:rPr>
                    <w:t>48</w:t>
                  </w:r>
                  <w:r>
                    <w:rPr>
                      <w:color w:val="auto"/>
                    </w:rPr>
                    <w:t>t/a</w:t>
                  </w:r>
                </w:p>
              </w:tc>
              <w:tc>
                <w:tcPr>
                  <w:tcW w:w="959" w:type="pct"/>
                  <w:tcBorders>
                    <w:tl2br w:val="nil"/>
                    <w:tr2bl w:val="nil"/>
                  </w:tcBorders>
                  <w:vAlign w:val="center"/>
                </w:tcPr>
                <w:p w14:paraId="5DD4EE10">
                  <w:pPr>
                    <w:pStyle w:val="69"/>
                    <w:jc w:val="center"/>
                    <w:rPr>
                      <w:color w:val="auto"/>
                    </w:rPr>
                  </w:pPr>
                  <w:r>
                    <w:rPr>
                      <w:color w:val="auto"/>
                    </w:rPr>
                    <w:t>COD</w:t>
                  </w:r>
                </w:p>
              </w:tc>
              <w:tc>
                <w:tcPr>
                  <w:tcW w:w="1227" w:type="pct"/>
                  <w:tcBorders>
                    <w:tl2br w:val="nil"/>
                    <w:tr2bl w:val="nil"/>
                  </w:tcBorders>
                  <w:vAlign w:val="center"/>
                </w:tcPr>
                <w:p w14:paraId="4F6780D0">
                  <w:pPr>
                    <w:pStyle w:val="69"/>
                    <w:jc w:val="center"/>
                    <w:rPr>
                      <w:color w:val="auto"/>
                    </w:rPr>
                  </w:pPr>
                  <w:r>
                    <w:rPr>
                      <w:color w:val="auto"/>
                    </w:rPr>
                    <w:t>350</w:t>
                  </w:r>
                </w:p>
              </w:tc>
              <w:tc>
                <w:tcPr>
                  <w:tcW w:w="1840" w:type="dxa"/>
                  <w:tcBorders>
                    <w:tl2br w:val="nil"/>
                    <w:tr2bl w:val="nil"/>
                  </w:tcBorders>
                  <w:vAlign w:val="center"/>
                </w:tcPr>
                <w:p w14:paraId="1AE7767A">
                  <w:pPr>
                    <w:keepNext w:val="0"/>
                    <w:keepLines w:val="0"/>
                    <w:widowControl/>
                    <w:suppressLineNumbers w:val="0"/>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i w:val="0"/>
                      <w:iCs w:val="0"/>
                      <w:color w:val="auto"/>
                      <w:kern w:val="0"/>
                      <w:sz w:val="21"/>
                      <w:szCs w:val="21"/>
                      <w:u w:val="none"/>
                      <w:lang w:val="en-US" w:eastAsia="zh-CN" w:bidi="ar"/>
                    </w:rPr>
                    <w:t>0.0168</w:t>
                  </w:r>
                </w:p>
              </w:tc>
            </w:tr>
            <w:tr w14:paraId="27CE2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25" w:type="pct"/>
                  <w:vMerge w:val="continue"/>
                  <w:tcBorders>
                    <w:tl2br w:val="nil"/>
                    <w:tr2bl w:val="nil"/>
                  </w:tcBorders>
                  <w:vAlign w:val="center"/>
                </w:tcPr>
                <w:p w14:paraId="13C78616">
                  <w:pPr>
                    <w:pStyle w:val="69"/>
                    <w:jc w:val="center"/>
                    <w:rPr>
                      <w:color w:val="auto"/>
                    </w:rPr>
                  </w:pPr>
                </w:p>
              </w:tc>
              <w:tc>
                <w:tcPr>
                  <w:tcW w:w="837" w:type="pct"/>
                  <w:vMerge w:val="continue"/>
                  <w:tcBorders>
                    <w:tl2br w:val="nil"/>
                    <w:tr2bl w:val="nil"/>
                  </w:tcBorders>
                  <w:vAlign w:val="center"/>
                </w:tcPr>
                <w:p w14:paraId="2FF64E0D">
                  <w:pPr>
                    <w:pStyle w:val="69"/>
                    <w:jc w:val="center"/>
                    <w:rPr>
                      <w:color w:val="auto"/>
                    </w:rPr>
                  </w:pPr>
                </w:p>
              </w:tc>
              <w:tc>
                <w:tcPr>
                  <w:tcW w:w="959" w:type="pct"/>
                  <w:tcBorders>
                    <w:tl2br w:val="nil"/>
                    <w:tr2bl w:val="nil"/>
                  </w:tcBorders>
                  <w:vAlign w:val="center"/>
                </w:tcPr>
                <w:p w14:paraId="26388A67">
                  <w:pPr>
                    <w:pStyle w:val="69"/>
                    <w:jc w:val="center"/>
                    <w:rPr>
                      <w:color w:val="auto"/>
                    </w:rPr>
                  </w:pPr>
                  <w:r>
                    <w:rPr>
                      <w:color w:val="auto"/>
                    </w:rPr>
                    <w:t>BOD</w:t>
                  </w:r>
                  <w:r>
                    <w:rPr>
                      <w:color w:val="auto"/>
                      <w:vertAlign w:val="subscript"/>
                    </w:rPr>
                    <w:t>5</w:t>
                  </w:r>
                </w:p>
              </w:tc>
              <w:tc>
                <w:tcPr>
                  <w:tcW w:w="1227" w:type="pct"/>
                  <w:tcBorders>
                    <w:tl2br w:val="nil"/>
                    <w:tr2bl w:val="nil"/>
                  </w:tcBorders>
                  <w:vAlign w:val="center"/>
                </w:tcPr>
                <w:p w14:paraId="262B481E">
                  <w:pPr>
                    <w:pStyle w:val="69"/>
                    <w:jc w:val="center"/>
                    <w:rPr>
                      <w:color w:val="auto"/>
                    </w:rPr>
                  </w:pPr>
                  <w:r>
                    <w:rPr>
                      <w:color w:val="auto"/>
                    </w:rPr>
                    <w:t>200</w:t>
                  </w:r>
                </w:p>
              </w:tc>
              <w:tc>
                <w:tcPr>
                  <w:tcW w:w="1840" w:type="dxa"/>
                  <w:tcBorders>
                    <w:tl2br w:val="nil"/>
                    <w:tr2bl w:val="nil"/>
                  </w:tcBorders>
                  <w:vAlign w:val="center"/>
                </w:tcPr>
                <w:p w14:paraId="18913C16">
                  <w:pPr>
                    <w:keepNext w:val="0"/>
                    <w:keepLines w:val="0"/>
                    <w:widowControl/>
                    <w:suppressLineNumbers w:val="0"/>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i w:val="0"/>
                      <w:iCs w:val="0"/>
                      <w:color w:val="auto"/>
                      <w:kern w:val="0"/>
                      <w:sz w:val="21"/>
                      <w:szCs w:val="21"/>
                      <w:u w:val="none"/>
                      <w:lang w:val="en-US" w:eastAsia="zh-CN" w:bidi="ar"/>
                    </w:rPr>
                    <w:t>0.0096</w:t>
                  </w:r>
                </w:p>
              </w:tc>
            </w:tr>
            <w:tr w14:paraId="0AFE0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jc w:val="center"/>
              </w:trPr>
              <w:tc>
                <w:tcPr>
                  <w:tcW w:w="825" w:type="pct"/>
                  <w:vMerge w:val="continue"/>
                  <w:tcBorders>
                    <w:tl2br w:val="nil"/>
                    <w:tr2bl w:val="nil"/>
                  </w:tcBorders>
                  <w:vAlign w:val="center"/>
                </w:tcPr>
                <w:p w14:paraId="16CB35DE">
                  <w:pPr>
                    <w:pStyle w:val="69"/>
                    <w:jc w:val="center"/>
                    <w:rPr>
                      <w:color w:val="auto"/>
                    </w:rPr>
                  </w:pPr>
                </w:p>
              </w:tc>
              <w:tc>
                <w:tcPr>
                  <w:tcW w:w="837" w:type="pct"/>
                  <w:vMerge w:val="continue"/>
                  <w:tcBorders>
                    <w:tl2br w:val="nil"/>
                    <w:tr2bl w:val="nil"/>
                  </w:tcBorders>
                  <w:vAlign w:val="center"/>
                </w:tcPr>
                <w:p w14:paraId="73886811">
                  <w:pPr>
                    <w:pStyle w:val="69"/>
                    <w:jc w:val="center"/>
                    <w:rPr>
                      <w:color w:val="auto"/>
                    </w:rPr>
                  </w:pPr>
                </w:p>
              </w:tc>
              <w:tc>
                <w:tcPr>
                  <w:tcW w:w="959" w:type="pct"/>
                  <w:tcBorders>
                    <w:tl2br w:val="nil"/>
                    <w:tr2bl w:val="nil"/>
                  </w:tcBorders>
                  <w:vAlign w:val="center"/>
                </w:tcPr>
                <w:p w14:paraId="18C90A65">
                  <w:pPr>
                    <w:pStyle w:val="69"/>
                    <w:jc w:val="center"/>
                    <w:rPr>
                      <w:color w:val="auto"/>
                    </w:rPr>
                  </w:pPr>
                  <w:r>
                    <w:rPr>
                      <w:color w:val="auto"/>
                    </w:rPr>
                    <w:t>SS</w:t>
                  </w:r>
                </w:p>
              </w:tc>
              <w:tc>
                <w:tcPr>
                  <w:tcW w:w="1227" w:type="pct"/>
                  <w:tcBorders>
                    <w:tl2br w:val="nil"/>
                    <w:tr2bl w:val="nil"/>
                  </w:tcBorders>
                  <w:vAlign w:val="center"/>
                </w:tcPr>
                <w:p w14:paraId="79E9B0A6">
                  <w:pPr>
                    <w:pStyle w:val="69"/>
                    <w:jc w:val="center"/>
                    <w:rPr>
                      <w:color w:val="auto"/>
                    </w:rPr>
                  </w:pPr>
                  <w:r>
                    <w:rPr>
                      <w:color w:val="auto"/>
                    </w:rPr>
                    <w:t>300</w:t>
                  </w:r>
                </w:p>
              </w:tc>
              <w:tc>
                <w:tcPr>
                  <w:tcW w:w="1840" w:type="dxa"/>
                  <w:tcBorders>
                    <w:tl2br w:val="nil"/>
                    <w:tr2bl w:val="nil"/>
                  </w:tcBorders>
                  <w:vAlign w:val="center"/>
                </w:tcPr>
                <w:p w14:paraId="4FD909A7">
                  <w:pPr>
                    <w:keepNext w:val="0"/>
                    <w:keepLines w:val="0"/>
                    <w:widowControl/>
                    <w:suppressLineNumbers w:val="0"/>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i w:val="0"/>
                      <w:iCs w:val="0"/>
                      <w:color w:val="auto"/>
                      <w:kern w:val="0"/>
                      <w:sz w:val="21"/>
                      <w:szCs w:val="21"/>
                      <w:u w:val="none"/>
                      <w:lang w:val="en-US" w:eastAsia="zh-CN" w:bidi="ar"/>
                    </w:rPr>
                    <w:t>0.0144</w:t>
                  </w:r>
                </w:p>
              </w:tc>
            </w:tr>
            <w:tr w14:paraId="39F6B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jc w:val="center"/>
              </w:trPr>
              <w:tc>
                <w:tcPr>
                  <w:tcW w:w="825" w:type="pct"/>
                  <w:vMerge w:val="continue"/>
                  <w:tcBorders>
                    <w:tl2br w:val="nil"/>
                    <w:tr2bl w:val="nil"/>
                  </w:tcBorders>
                  <w:vAlign w:val="center"/>
                </w:tcPr>
                <w:p w14:paraId="5FD9B6E2">
                  <w:pPr>
                    <w:pStyle w:val="69"/>
                    <w:jc w:val="center"/>
                    <w:rPr>
                      <w:color w:val="auto"/>
                    </w:rPr>
                  </w:pPr>
                </w:p>
              </w:tc>
              <w:tc>
                <w:tcPr>
                  <w:tcW w:w="837" w:type="pct"/>
                  <w:vMerge w:val="continue"/>
                  <w:tcBorders>
                    <w:tl2br w:val="nil"/>
                    <w:tr2bl w:val="nil"/>
                  </w:tcBorders>
                  <w:vAlign w:val="center"/>
                </w:tcPr>
                <w:p w14:paraId="5DD34E6F">
                  <w:pPr>
                    <w:pStyle w:val="69"/>
                    <w:jc w:val="center"/>
                    <w:rPr>
                      <w:color w:val="auto"/>
                    </w:rPr>
                  </w:pPr>
                </w:p>
              </w:tc>
              <w:tc>
                <w:tcPr>
                  <w:tcW w:w="959" w:type="pct"/>
                  <w:tcBorders>
                    <w:tl2br w:val="nil"/>
                    <w:tr2bl w:val="nil"/>
                  </w:tcBorders>
                  <w:vAlign w:val="center"/>
                </w:tcPr>
                <w:p w14:paraId="21CEA84F">
                  <w:pPr>
                    <w:pStyle w:val="69"/>
                    <w:jc w:val="center"/>
                    <w:rPr>
                      <w:color w:val="auto"/>
                    </w:rPr>
                  </w:pPr>
                  <w:r>
                    <w:rPr>
                      <w:color w:val="auto"/>
                    </w:rPr>
                    <w:t>NH</w:t>
                  </w:r>
                  <w:r>
                    <w:rPr>
                      <w:color w:val="auto"/>
                      <w:vertAlign w:val="subscript"/>
                    </w:rPr>
                    <w:t>3</w:t>
                  </w:r>
                  <w:r>
                    <w:rPr>
                      <w:color w:val="auto"/>
                    </w:rPr>
                    <w:t>-N</w:t>
                  </w:r>
                </w:p>
              </w:tc>
              <w:tc>
                <w:tcPr>
                  <w:tcW w:w="1227" w:type="pct"/>
                  <w:tcBorders>
                    <w:tl2br w:val="nil"/>
                    <w:tr2bl w:val="nil"/>
                  </w:tcBorders>
                  <w:vAlign w:val="center"/>
                </w:tcPr>
                <w:p w14:paraId="2AFD4D94">
                  <w:pPr>
                    <w:pStyle w:val="69"/>
                    <w:jc w:val="center"/>
                    <w:rPr>
                      <w:color w:val="auto"/>
                    </w:rPr>
                  </w:pPr>
                  <w:r>
                    <w:rPr>
                      <w:color w:val="auto"/>
                    </w:rPr>
                    <w:t>30</w:t>
                  </w:r>
                </w:p>
              </w:tc>
              <w:tc>
                <w:tcPr>
                  <w:tcW w:w="1840" w:type="dxa"/>
                  <w:tcBorders>
                    <w:tl2br w:val="nil"/>
                    <w:tr2bl w:val="nil"/>
                  </w:tcBorders>
                  <w:vAlign w:val="center"/>
                </w:tcPr>
                <w:p w14:paraId="7A859469">
                  <w:pPr>
                    <w:keepNext w:val="0"/>
                    <w:keepLines w:val="0"/>
                    <w:widowControl/>
                    <w:suppressLineNumbers w:val="0"/>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i w:val="0"/>
                      <w:iCs w:val="0"/>
                      <w:color w:val="auto"/>
                      <w:kern w:val="0"/>
                      <w:sz w:val="21"/>
                      <w:szCs w:val="21"/>
                      <w:u w:val="none"/>
                      <w:lang w:val="en-US" w:eastAsia="zh-CN" w:bidi="ar"/>
                    </w:rPr>
                    <w:t>0.00144</w:t>
                  </w:r>
                </w:p>
              </w:tc>
            </w:tr>
          </w:tbl>
          <w:p w14:paraId="08DDAC68">
            <w:pPr>
              <w:pStyle w:val="156"/>
              <w:ind w:firstLine="480"/>
              <w:rPr>
                <w:color w:val="auto"/>
              </w:rPr>
            </w:pPr>
            <w:r>
              <w:rPr>
                <w:color w:val="auto"/>
              </w:rPr>
              <w:t>项目施工人员</w:t>
            </w:r>
            <w:r>
              <w:rPr>
                <w:bCs/>
                <w:color w:val="auto"/>
              </w:rPr>
              <w:t>生活污水定期由吸污车送至</w:t>
            </w:r>
            <w:r>
              <w:rPr>
                <w:rFonts w:hint="eastAsia"/>
                <w:bCs/>
                <w:color w:val="auto"/>
                <w:lang w:val="en-US" w:eastAsia="zh-CN"/>
              </w:rPr>
              <w:t>市政管网</w:t>
            </w:r>
            <w:r>
              <w:rPr>
                <w:rFonts w:hint="eastAsia"/>
                <w:bCs/>
                <w:color w:val="auto"/>
              </w:rPr>
              <w:t>污水处理厂</w:t>
            </w:r>
            <w:r>
              <w:rPr>
                <w:bCs/>
                <w:color w:val="auto"/>
              </w:rPr>
              <w:t>处理</w:t>
            </w:r>
            <w:r>
              <w:rPr>
                <w:color w:val="auto"/>
              </w:rPr>
              <w:t>，本项目施工期无污水外排，对周围水环境影响很小。</w:t>
            </w:r>
          </w:p>
          <w:p w14:paraId="15DFA21F">
            <w:pPr>
              <w:pStyle w:val="156"/>
              <w:ind w:firstLine="480"/>
              <w:rPr>
                <w:color w:val="auto"/>
              </w:rPr>
            </w:pPr>
            <w:r>
              <w:rPr>
                <w:color w:val="auto"/>
              </w:rPr>
              <w:t>通过上述措施能有效地控制对水体的污染，预计施工期对水环境的影响较小，且将随着施工期的结束而消失。评价要求施工期产生的生活污水及施工废水不得随意排放。</w:t>
            </w:r>
            <w:bookmarkEnd w:id="14"/>
            <w:bookmarkStart w:id="15" w:name="_Hlt500302901"/>
            <w:bookmarkStart w:id="16" w:name="_Toc11518"/>
          </w:p>
          <w:bookmarkEnd w:id="15"/>
          <w:bookmarkEnd w:id="16"/>
          <w:p w14:paraId="41E08FDE">
            <w:pPr>
              <w:pStyle w:val="68"/>
              <w:numPr>
                <w:ilvl w:val="0"/>
                <w:numId w:val="0"/>
              </w:numPr>
              <w:ind w:left="-60" w:leftChars="0" w:firstLine="480" w:firstLineChars="0"/>
              <w:rPr>
                <w:rFonts w:cs="Times New Roman"/>
                <w:b/>
                <w:bCs/>
                <w:color w:val="auto"/>
              </w:rPr>
            </w:pPr>
            <w:r>
              <w:rPr>
                <w:rFonts w:hint="eastAsia" w:cs="Times New Roman"/>
                <w:b/>
                <w:bCs/>
                <w:color w:val="auto"/>
                <w:kern w:val="0"/>
                <w:sz w:val="24"/>
                <w:szCs w:val="24"/>
                <w:lang w:val="en-US" w:eastAsia="zh-CN" w:bidi="ar-SA"/>
              </w:rPr>
              <w:t>3、</w:t>
            </w:r>
            <w:r>
              <w:rPr>
                <w:rFonts w:cs="Times New Roman"/>
                <w:b/>
                <w:bCs/>
                <w:color w:val="auto"/>
              </w:rPr>
              <w:t>噪声的治理措施</w:t>
            </w:r>
          </w:p>
          <w:p w14:paraId="20784B8F">
            <w:pPr>
              <w:pStyle w:val="68"/>
              <w:ind w:firstLine="480"/>
              <w:rPr>
                <w:color w:val="auto"/>
              </w:rPr>
            </w:pPr>
            <w:r>
              <w:rPr>
                <w:color w:val="auto"/>
              </w:rPr>
              <w:t>项目在施工过程中的噪声源主要是挖掘机和运输车辆作业活动，声源强度约为80~90dB（A），其特点是：噪声源在露天，不易被遮盖；施工作业时间稳定，产生的噪声连续；噪声源强变化范围不大。</w:t>
            </w:r>
          </w:p>
          <w:p w14:paraId="5D646FCC">
            <w:pPr>
              <w:pStyle w:val="68"/>
              <w:ind w:firstLine="480"/>
              <w:rPr>
                <w:color w:val="auto"/>
              </w:rPr>
            </w:pPr>
            <w:r>
              <w:rPr>
                <w:color w:val="auto"/>
              </w:rPr>
              <w:t>根据《环境影响评价技术导则</w:t>
            </w:r>
            <w:r>
              <w:rPr>
                <w:rFonts w:eastAsia="TimesNewRomanPSMT"/>
                <w:color w:val="auto"/>
              </w:rPr>
              <w:t>-</w:t>
            </w:r>
            <w:r>
              <w:rPr>
                <w:color w:val="auto"/>
              </w:rPr>
              <w:t>声环境》推荐的模式，预测主要施工机械噪声声级随距离衰减情况。</w:t>
            </w:r>
          </w:p>
          <w:p w14:paraId="5DE43862">
            <w:pPr>
              <w:pStyle w:val="69"/>
              <w:rPr>
                <w:color w:val="auto"/>
              </w:rPr>
            </w:pPr>
            <m:oMathPara>
              <m:oMath>
                <m:sSub>
                  <m:sSubPr>
                    <m:ctrlPr>
                      <w:rPr>
                        <w:rFonts w:ascii="Cambria Math" w:hAnsi="Cambria Math"/>
                        <w:color w:val="auto"/>
                        <w:sz w:val="24"/>
                      </w:rPr>
                    </m:ctrlPr>
                  </m:sSubPr>
                  <m:e>
                    <m:r>
                      <m:rPr>
                        <m:sty m:val="p"/>
                      </m:rPr>
                      <w:rPr>
                        <w:rFonts w:ascii="Cambria Math"/>
                        <w:color w:val="auto"/>
                        <w:sz w:val="24"/>
                      </w:rPr>
                      <m:t>L</m:t>
                    </m:r>
                    <m:ctrlPr>
                      <w:rPr>
                        <w:rFonts w:ascii="Cambria Math" w:hAnsi="Cambria Math"/>
                        <w:color w:val="auto"/>
                        <w:sz w:val="24"/>
                      </w:rPr>
                    </m:ctrlPr>
                  </m:e>
                  <m:sub>
                    <m:r>
                      <m:rPr>
                        <m:sty m:val="p"/>
                      </m:rPr>
                      <w:rPr>
                        <w:rFonts w:ascii="Cambria Math"/>
                        <w:color w:val="auto"/>
                        <w:sz w:val="24"/>
                      </w:rPr>
                      <m:t>P</m:t>
                    </m:r>
                    <m:ctrlPr>
                      <w:rPr>
                        <w:rFonts w:ascii="Cambria Math" w:hAnsi="Cambria Math"/>
                        <w:color w:val="auto"/>
                        <w:sz w:val="24"/>
                      </w:rPr>
                    </m:ctrlPr>
                  </m:sub>
                </m:sSub>
                <m:d>
                  <m:dPr>
                    <m:ctrlPr>
                      <w:rPr>
                        <w:rFonts w:ascii="Cambria Math" w:hAnsi="Cambria Math"/>
                        <w:color w:val="auto"/>
                        <w:sz w:val="24"/>
                      </w:rPr>
                    </m:ctrlPr>
                  </m:dPr>
                  <m:e>
                    <m:r>
                      <m:rPr>
                        <m:sty m:val="p"/>
                      </m:rPr>
                      <w:rPr>
                        <w:rFonts w:ascii="Cambria Math"/>
                        <w:color w:val="auto"/>
                        <w:sz w:val="24"/>
                      </w:rPr>
                      <m:t>r</m:t>
                    </m:r>
                    <m:ctrlPr>
                      <w:rPr>
                        <w:rFonts w:ascii="Cambria Math" w:hAnsi="Cambria Math"/>
                        <w:color w:val="auto"/>
                        <w:sz w:val="24"/>
                      </w:rPr>
                    </m:ctrlPr>
                  </m:e>
                </m:d>
                <m:r>
                  <m:rPr>
                    <m:sty m:val="p"/>
                  </m:rPr>
                  <w:rPr>
                    <w:rFonts w:ascii="Cambria Math"/>
                    <w:color w:val="auto"/>
                    <w:sz w:val="24"/>
                  </w:rPr>
                  <m:t>=</m:t>
                </m:r>
                <m:sSub>
                  <m:sSubPr>
                    <m:ctrlPr>
                      <w:rPr>
                        <w:rFonts w:ascii="Cambria Math" w:hAnsi="Cambria Math"/>
                        <w:color w:val="auto"/>
                        <w:sz w:val="24"/>
                      </w:rPr>
                    </m:ctrlPr>
                  </m:sSubPr>
                  <m:e>
                    <m:r>
                      <m:rPr>
                        <m:sty m:val="p"/>
                      </m:rPr>
                      <w:rPr>
                        <w:rFonts w:ascii="Cambria Math"/>
                        <w:color w:val="auto"/>
                        <w:sz w:val="24"/>
                      </w:rPr>
                      <m:t>L</m:t>
                    </m:r>
                    <m:ctrlPr>
                      <w:rPr>
                        <w:rFonts w:ascii="Cambria Math" w:hAnsi="Cambria Math"/>
                        <w:color w:val="auto"/>
                        <w:sz w:val="24"/>
                      </w:rPr>
                    </m:ctrlPr>
                  </m:e>
                  <m:sub>
                    <m:r>
                      <m:rPr>
                        <m:sty m:val="p"/>
                      </m:rPr>
                      <w:rPr>
                        <w:rFonts w:ascii="Cambria Math"/>
                        <w:color w:val="auto"/>
                        <w:sz w:val="24"/>
                      </w:rPr>
                      <m:t>P</m:t>
                    </m:r>
                    <m:ctrlPr>
                      <w:rPr>
                        <w:rFonts w:ascii="Cambria Math" w:hAnsi="Cambria Math"/>
                        <w:color w:val="auto"/>
                        <w:sz w:val="24"/>
                      </w:rPr>
                    </m:ctrlPr>
                  </m:sub>
                </m:sSub>
                <m:d>
                  <m:dPr>
                    <m:ctrlPr>
                      <w:rPr>
                        <w:rFonts w:ascii="Cambria Math" w:hAnsi="Cambria Math"/>
                        <w:color w:val="auto"/>
                        <w:sz w:val="24"/>
                      </w:rPr>
                    </m:ctrlPr>
                  </m:dPr>
                  <m:e>
                    <m:sSub>
                      <m:sSubPr>
                        <m:ctrlPr>
                          <w:rPr>
                            <w:rFonts w:ascii="Cambria Math" w:hAnsi="Cambria Math"/>
                            <w:color w:val="auto"/>
                            <w:sz w:val="24"/>
                          </w:rPr>
                        </m:ctrlPr>
                      </m:sSubPr>
                      <m:e>
                        <m:r>
                          <m:rPr>
                            <m:sty m:val="p"/>
                          </m:rPr>
                          <w:rPr>
                            <w:rFonts w:ascii="Cambria Math"/>
                            <w:color w:val="auto"/>
                            <w:sz w:val="24"/>
                          </w:rPr>
                          <m:t>r</m:t>
                        </m:r>
                        <m:ctrlPr>
                          <w:rPr>
                            <w:rFonts w:ascii="Cambria Math" w:hAnsi="Cambria Math"/>
                            <w:color w:val="auto"/>
                            <w:sz w:val="24"/>
                          </w:rPr>
                        </m:ctrlPr>
                      </m:e>
                      <m:sub>
                        <m:r>
                          <m:rPr>
                            <m:sty m:val="p"/>
                          </m:rPr>
                          <w:rPr>
                            <w:rFonts w:ascii="Cambria Math"/>
                            <w:color w:val="auto"/>
                            <w:sz w:val="24"/>
                          </w:rPr>
                          <m:t>0</m:t>
                        </m:r>
                        <m:ctrlPr>
                          <w:rPr>
                            <w:rFonts w:ascii="Cambria Math" w:hAnsi="Cambria Math"/>
                            <w:color w:val="auto"/>
                            <w:sz w:val="24"/>
                          </w:rPr>
                        </m:ctrlPr>
                      </m:sub>
                    </m:sSub>
                    <m:ctrlPr>
                      <w:rPr>
                        <w:rFonts w:ascii="Cambria Math" w:hAnsi="Cambria Math"/>
                        <w:color w:val="auto"/>
                        <w:sz w:val="24"/>
                      </w:rPr>
                    </m:ctrlPr>
                  </m:e>
                </m:d>
                <m:r>
                  <m:rPr>
                    <m:sty m:val="p"/>
                  </m:rPr>
                  <w:rPr>
                    <w:rFonts w:ascii="Cambria Math" w:hAnsi="Cambria Math"/>
                    <w:color w:val="auto"/>
                    <w:sz w:val="24"/>
                  </w:rPr>
                  <m:t>−</m:t>
                </m:r>
                <m:r>
                  <m:rPr>
                    <m:sty m:val="p"/>
                  </m:rPr>
                  <w:rPr>
                    <w:rFonts w:ascii="Cambria Math"/>
                    <w:color w:val="auto"/>
                    <w:sz w:val="24"/>
                  </w:rPr>
                  <m:t>20lg</m:t>
                </m:r>
                <m:r>
                  <m:rPr>
                    <m:sty m:val="p"/>
                  </m:rPr>
                  <w:rPr>
                    <w:rFonts w:ascii="Cambria Math" w:hAnsi="Cambria Math" w:cs="Cambria Math"/>
                    <w:color w:val="auto"/>
                    <w:sz w:val="24"/>
                  </w:rPr>
                  <m:t>⁡</m:t>
                </m:r>
                <m:r>
                  <m:rPr>
                    <m:sty m:val="p"/>
                  </m:rPr>
                  <w:rPr>
                    <w:rFonts w:ascii="Cambria Math"/>
                    <w:color w:val="auto"/>
                    <w:sz w:val="24"/>
                  </w:rPr>
                  <m:t>（</m:t>
                </m:r>
                <m:f>
                  <m:fPr>
                    <m:ctrlPr>
                      <w:rPr>
                        <w:rFonts w:ascii="Cambria Math" w:hAnsi="Cambria Math"/>
                        <w:color w:val="auto"/>
                        <w:sz w:val="24"/>
                      </w:rPr>
                    </m:ctrlPr>
                  </m:fPr>
                  <m:num>
                    <m:r>
                      <m:rPr>
                        <m:sty m:val="p"/>
                      </m:rPr>
                      <w:rPr>
                        <w:rFonts w:ascii="Cambria Math"/>
                        <w:color w:val="auto"/>
                        <w:sz w:val="24"/>
                      </w:rPr>
                      <m:t>r</m:t>
                    </m:r>
                    <m:ctrlPr>
                      <w:rPr>
                        <w:rFonts w:ascii="Cambria Math" w:hAnsi="Cambria Math"/>
                        <w:color w:val="auto"/>
                        <w:sz w:val="24"/>
                      </w:rPr>
                    </m:ctrlPr>
                  </m:num>
                  <m:den>
                    <m:sSub>
                      <m:sSubPr>
                        <m:ctrlPr>
                          <w:rPr>
                            <w:rFonts w:ascii="Cambria Math" w:hAnsi="Cambria Math"/>
                            <w:color w:val="auto"/>
                            <w:sz w:val="24"/>
                          </w:rPr>
                        </m:ctrlPr>
                      </m:sSubPr>
                      <m:e>
                        <m:r>
                          <m:rPr>
                            <m:sty m:val="p"/>
                          </m:rPr>
                          <w:rPr>
                            <w:rFonts w:ascii="Cambria Math"/>
                            <w:color w:val="auto"/>
                            <w:sz w:val="24"/>
                          </w:rPr>
                          <m:t>r</m:t>
                        </m:r>
                        <m:ctrlPr>
                          <w:rPr>
                            <w:rFonts w:ascii="Cambria Math" w:hAnsi="Cambria Math"/>
                            <w:color w:val="auto"/>
                            <w:sz w:val="24"/>
                          </w:rPr>
                        </m:ctrlPr>
                      </m:e>
                      <m:sub>
                        <m:r>
                          <m:rPr>
                            <m:sty m:val="p"/>
                          </m:rPr>
                          <w:rPr>
                            <w:rFonts w:ascii="Cambria Math"/>
                            <w:color w:val="auto"/>
                            <w:sz w:val="24"/>
                          </w:rPr>
                          <m:t>0</m:t>
                        </m:r>
                        <m:ctrlPr>
                          <w:rPr>
                            <w:rFonts w:ascii="Cambria Math" w:hAnsi="Cambria Math"/>
                            <w:color w:val="auto"/>
                            <w:sz w:val="24"/>
                          </w:rPr>
                        </m:ctrlPr>
                      </m:sub>
                    </m:sSub>
                    <m:ctrlPr>
                      <w:rPr>
                        <w:rFonts w:ascii="Cambria Math" w:hAnsi="Cambria Math"/>
                        <w:color w:val="auto"/>
                        <w:sz w:val="24"/>
                      </w:rPr>
                    </m:ctrlPr>
                  </m:den>
                </m:f>
                <m:r>
                  <m:rPr>
                    <m:sty m:val="p"/>
                  </m:rPr>
                  <w:rPr>
                    <w:rFonts w:ascii="Cambria Math"/>
                    <w:color w:val="auto"/>
                    <w:sz w:val="24"/>
                  </w:rPr>
                  <m:t>）</m:t>
                </m:r>
              </m:oMath>
            </m:oMathPara>
          </w:p>
          <w:p w14:paraId="1E4412F5">
            <w:pPr>
              <w:pStyle w:val="68"/>
              <w:spacing w:line="276" w:lineRule="auto"/>
              <w:ind w:firstLine="480"/>
              <w:rPr>
                <w:color w:val="auto"/>
              </w:rPr>
            </w:pPr>
            <w:r>
              <w:rPr>
                <w:color w:val="auto"/>
              </w:rPr>
              <w:t>式中：</w:t>
            </w:r>
          </w:p>
          <w:p w14:paraId="05349412">
            <w:pPr>
              <w:pStyle w:val="68"/>
              <w:ind w:firstLine="480"/>
              <w:rPr>
                <w:color w:val="auto"/>
              </w:rPr>
            </w:pPr>
            <w:r>
              <w:rPr>
                <w:color w:val="auto"/>
              </w:rPr>
              <w:t>LP（r）——为距声源r处的噪声值，dB（A）；</w:t>
            </w:r>
          </w:p>
          <w:p w14:paraId="4C1E4853">
            <w:pPr>
              <w:pStyle w:val="68"/>
              <w:ind w:firstLine="480"/>
              <w:rPr>
                <w:color w:val="auto"/>
              </w:rPr>
            </w:pPr>
            <w:r>
              <w:rPr>
                <w:color w:val="auto"/>
              </w:rPr>
              <w:t>LP（r0）——为距声源r0处的噪声值，dB（A）；</w:t>
            </w:r>
          </w:p>
          <w:p w14:paraId="18B949BD">
            <w:pPr>
              <w:pStyle w:val="68"/>
              <w:ind w:firstLine="480"/>
              <w:rPr>
                <w:color w:val="auto"/>
              </w:rPr>
            </w:pPr>
            <w:r>
              <w:rPr>
                <w:color w:val="auto"/>
              </w:rPr>
              <w:t>r0，r—距声源的距离，m。</w:t>
            </w:r>
          </w:p>
          <w:p w14:paraId="69C06A9C">
            <w:pPr>
              <w:pStyle w:val="68"/>
              <w:ind w:firstLine="480"/>
              <w:rPr>
                <w:color w:val="auto"/>
              </w:rPr>
            </w:pPr>
            <w:r>
              <w:rPr>
                <w:color w:val="auto"/>
              </w:rPr>
              <w:t>根据施工机械的声—为预测点源强度，按噪声模式计算出主要施工机械噪声声级随距离衰减情况见表4-</w:t>
            </w:r>
            <w:r>
              <w:rPr>
                <w:rFonts w:hint="eastAsia"/>
                <w:color w:val="auto"/>
                <w:lang w:val="en-US" w:eastAsia="zh-CN"/>
              </w:rPr>
              <w:t>2</w:t>
            </w:r>
            <w:r>
              <w:rPr>
                <w:color w:val="auto"/>
              </w:rPr>
              <w:t>。</w:t>
            </w:r>
          </w:p>
          <w:p w14:paraId="676F5A09">
            <w:pPr>
              <w:pStyle w:val="70"/>
              <w:spacing w:before="120" w:line="240" w:lineRule="auto"/>
              <w:jc w:val="center"/>
              <w:rPr>
                <w:color w:val="auto"/>
              </w:rPr>
            </w:pPr>
            <w:r>
              <w:rPr>
                <w:color w:val="auto"/>
              </w:rPr>
              <w:t>表4-</w:t>
            </w:r>
            <w:r>
              <w:rPr>
                <w:rFonts w:hint="eastAsia"/>
                <w:color w:val="auto"/>
                <w:lang w:val="en-US" w:eastAsia="zh-CN"/>
              </w:rPr>
              <w:t>2</w:t>
            </w:r>
            <w:r>
              <w:rPr>
                <w:rFonts w:hint="eastAsia"/>
                <w:color w:val="auto"/>
              </w:rPr>
              <w:t xml:space="preserve">  </w:t>
            </w:r>
            <w:r>
              <w:rPr>
                <w:color w:val="auto"/>
              </w:rPr>
              <w:t>现场施工噪声随距离的衰减值</w:t>
            </w:r>
            <w:r>
              <w:rPr>
                <w:rFonts w:hint="eastAsia"/>
                <w:color w:val="auto"/>
              </w:rPr>
              <w:t xml:space="preserve">  </w:t>
            </w:r>
            <w:r>
              <w:rPr>
                <w:color w:val="auto"/>
              </w:rPr>
              <w:t>单位：dB（A）</w:t>
            </w:r>
          </w:p>
          <w:tbl>
            <w:tblPr>
              <w:tblStyle w:val="9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5"/>
              <w:gridCol w:w="757"/>
              <w:gridCol w:w="794"/>
              <w:gridCol w:w="1008"/>
              <w:gridCol w:w="1011"/>
              <w:gridCol w:w="1011"/>
              <w:gridCol w:w="1011"/>
              <w:gridCol w:w="1006"/>
            </w:tblGrid>
            <w:tr w14:paraId="55BFB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 w:type="pct"/>
                  <w:tcBorders>
                    <w:tl2br w:val="nil"/>
                    <w:tr2bl w:val="nil"/>
                  </w:tcBorders>
                  <w:vAlign w:val="center"/>
                </w:tcPr>
                <w:p w14:paraId="133636D3">
                  <w:pPr>
                    <w:pStyle w:val="181"/>
                    <w:rPr>
                      <w:color w:val="auto"/>
                    </w:rPr>
                  </w:pPr>
                  <w:r>
                    <w:rPr>
                      <w:color w:val="auto"/>
                    </w:rPr>
                    <w:t>距离声源</w:t>
                  </w:r>
                </w:p>
              </w:tc>
              <w:tc>
                <w:tcPr>
                  <w:tcW w:w="469" w:type="pct"/>
                  <w:tcBorders>
                    <w:tl2br w:val="nil"/>
                    <w:tr2bl w:val="nil"/>
                  </w:tcBorders>
                  <w:vAlign w:val="center"/>
                </w:tcPr>
                <w:p w14:paraId="28956C93">
                  <w:pPr>
                    <w:jc w:val="center"/>
                    <w:rPr>
                      <w:color w:val="auto"/>
                      <w:kern w:val="0"/>
                      <w:szCs w:val="21"/>
                    </w:rPr>
                  </w:pPr>
                  <w:r>
                    <w:rPr>
                      <w:color w:val="auto"/>
                      <w:kern w:val="0"/>
                      <w:szCs w:val="21"/>
                    </w:rPr>
                    <w:t>10</w:t>
                  </w:r>
                  <w:r>
                    <w:rPr>
                      <w:color w:val="auto"/>
                    </w:rPr>
                    <w:t>m</w:t>
                  </w:r>
                </w:p>
              </w:tc>
              <w:tc>
                <w:tcPr>
                  <w:tcW w:w="492" w:type="pct"/>
                  <w:tcBorders>
                    <w:tl2br w:val="nil"/>
                    <w:tr2bl w:val="nil"/>
                  </w:tcBorders>
                  <w:vAlign w:val="center"/>
                </w:tcPr>
                <w:p w14:paraId="578D74CA">
                  <w:pPr>
                    <w:jc w:val="center"/>
                    <w:rPr>
                      <w:color w:val="auto"/>
                      <w:kern w:val="0"/>
                      <w:szCs w:val="21"/>
                    </w:rPr>
                  </w:pPr>
                  <w:r>
                    <w:rPr>
                      <w:color w:val="auto"/>
                      <w:kern w:val="0"/>
                      <w:szCs w:val="21"/>
                    </w:rPr>
                    <w:t>20</w:t>
                  </w:r>
                  <w:r>
                    <w:rPr>
                      <w:color w:val="auto"/>
                    </w:rPr>
                    <w:t>m</w:t>
                  </w:r>
                </w:p>
              </w:tc>
              <w:tc>
                <w:tcPr>
                  <w:tcW w:w="624" w:type="pct"/>
                  <w:tcBorders>
                    <w:tl2br w:val="nil"/>
                    <w:tr2bl w:val="nil"/>
                  </w:tcBorders>
                  <w:vAlign w:val="center"/>
                </w:tcPr>
                <w:p w14:paraId="0A42D00F">
                  <w:pPr>
                    <w:jc w:val="center"/>
                    <w:rPr>
                      <w:color w:val="auto"/>
                      <w:kern w:val="0"/>
                      <w:szCs w:val="21"/>
                    </w:rPr>
                  </w:pPr>
                  <w:r>
                    <w:rPr>
                      <w:color w:val="auto"/>
                      <w:kern w:val="0"/>
                      <w:szCs w:val="21"/>
                    </w:rPr>
                    <w:t>40</w:t>
                  </w:r>
                  <w:r>
                    <w:rPr>
                      <w:color w:val="auto"/>
                    </w:rPr>
                    <w:t>m</w:t>
                  </w:r>
                </w:p>
              </w:tc>
              <w:tc>
                <w:tcPr>
                  <w:tcW w:w="626" w:type="pct"/>
                  <w:tcBorders>
                    <w:tl2br w:val="nil"/>
                    <w:tr2bl w:val="nil"/>
                  </w:tcBorders>
                  <w:vAlign w:val="center"/>
                </w:tcPr>
                <w:p w14:paraId="447CE38D">
                  <w:pPr>
                    <w:jc w:val="center"/>
                    <w:rPr>
                      <w:color w:val="auto"/>
                      <w:kern w:val="0"/>
                      <w:szCs w:val="21"/>
                    </w:rPr>
                  </w:pPr>
                  <w:r>
                    <w:rPr>
                      <w:color w:val="auto"/>
                      <w:kern w:val="0"/>
                      <w:szCs w:val="21"/>
                    </w:rPr>
                    <w:t>60</w:t>
                  </w:r>
                  <w:r>
                    <w:rPr>
                      <w:color w:val="auto"/>
                    </w:rPr>
                    <w:t>m</w:t>
                  </w:r>
                </w:p>
              </w:tc>
              <w:tc>
                <w:tcPr>
                  <w:tcW w:w="626" w:type="pct"/>
                  <w:tcBorders>
                    <w:tl2br w:val="nil"/>
                    <w:tr2bl w:val="nil"/>
                  </w:tcBorders>
                  <w:vAlign w:val="center"/>
                </w:tcPr>
                <w:p w14:paraId="599557FE">
                  <w:pPr>
                    <w:jc w:val="center"/>
                    <w:rPr>
                      <w:color w:val="auto"/>
                      <w:kern w:val="0"/>
                      <w:szCs w:val="21"/>
                    </w:rPr>
                  </w:pPr>
                  <w:r>
                    <w:rPr>
                      <w:color w:val="auto"/>
                      <w:kern w:val="0"/>
                      <w:szCs w:val="21"/>
                    </w:rPr>
                    <w:t>80</w:t>
                  </w:r>
                  <w:r>
                    <w:rPr>
                      <w:color w:val="auto"/>
                    </w:rPr>
                    <w:t>m</w:t>
                  </w:r>
                </w:p>
              </w:tc>
              <w:tc>
                <w:tcPr>
                  <w:tcW w:w="626" w:type="pct"/>
                  <w:tcBorders>
                    <w:tl2br w:val="nil"/>
                    <w:tr2bl w:val="nil"/>
                  </w:tcBorders>
                  <w:vAlign w:val="center"/>
                </w:tcPr>
                <w:p w14:paraId="06472A9A">
                  <w:pPr>
                    <w:jc w:val="center"/>
                    <w:rPr>
                      <w:color w:val="auto"/>
                      <w:kern w:val="0"/>
                      <w:szCs w:val="21"/>
                    </w:rPr>
                  </w:pPr>
                  <w:r>
                    <w:rPr>
                      <w:color w:val="auto"/>
                      <w:kern w:val="0"/>
                      <w:szCs w:val="21"/>
                    </w:rPr>
                    <w:t>100</w:t>
                  </w:r>
                  <w:r>
                    <w:rPr>
                      <w:color w:val="auto"/>
                    </w:rPr>
                    <w:t>m</w:t>
                  </w:r>
                </w:p>
              </w:tc>
              <w:tc>
                <w:tcPr>
                  <w:tcW w:w="624" w:type="pct"/>
                  <w:tcBorders>
                    <w:tl2br w:val="nil"/>
                    <w:tr2bl w:val="nil"/>
                  </w:tcBorders>
                  <w:vAlign w:val="center"/>
                </w:tcPr>
                <w:p w14:paraId="1827D9F6">
                  <w:pPr>
                    <w:jc w:val="center"/>
                    <w:rPr>
                      <w:color w:val="auto"/>
                      <w:kern w:val="0"/>
                      <w:szCs w:val="21"/>
                    </w:rPr>
                  </w:pPr>
                  <w:r>
                    <w:rPr>
                      <w:color w:val="auto"/>
                      <w:kern w:val="0"/>
                      <w:szCs w:val="21"/>
                    </w:rPr>
                    <w:t>200</w:t>
                  </w:r>
                  <w:r>
                    <w:rPr>
                      <w:color w:val="auto"/>
                    </w:rPr>
                    <w:t>m</w:t>
                  </w:r>
                </w:p>
              </w:tc>
            </w:tr>
            <w:tr w14:paraId="58A18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 w:type="pct"/>
                  <w:tcBorders>
                    <w:tl2br w:val="nil"/>
                    <w:tr2bl w:val="nil"/>
                  </w:tcBorders>
                  <w:vAlign w:val="center"/>
                </w:tcPr>
                <w:p w14:paraId="2D8DF09B">
                  <w:pPr>
                    <w:jc w:val="center"/>
                    <w:rPr>
                      <w:color w:val="auto"/>
                      <w:kern w:val="0"/>
                      <w:szCs w:val="21"/>
                    </w:rPr>
                  </w:pPr>
                  <w:r>
                    <w:rPr>
                      <w:color w:val="auto"/>
                      <w:kern w:val="0"/>
                      <w:szCs w:val="21"/>
                    </w:rPr>
                    <w:t>挖掘机</w:t>
                  </w:r>
                </w:p>
              </w:tc>
              <w:tc>
                <w:tcPr>
                  <w:tcW w:w="469" w:type="pct"/>
                  <w:tcBorders>
                    <w:tl2br w:val="nil"/>
                    <w:tr2bl w:val="nil"/>
                  </w:tcBorders>
                  <w:vAlign w:val="center"/>
                </w:tcPr>
                <w:p w14:paraId="54852806">
                  <w:pPr>
                    <w:jc w:val="center"/>
                    <w:rPr>
                      <w:color w:val="auto"/>
                      <w:kern w:val="0"/>
                      <w:szCs w:val="21"/>
                    </w:rPr>
                  </w:pPr>
                  <w:r>
                    <w:rPr>
                      <w:color w:val="auto"/>
                      <w:kern w:val="0"/>
                      <w:szCs w:val="21"/>
                    </w:rPr>
                    <w:t>70</w:t>
                  </w:r>
                </w:p>
              </w:tc>
              <w:tc>
                <w:tcPr>
                  <w:tcW w:w="492" w:type="pct"/>
                  <w:tcBorders>
                    <w:tl2br w:val="nil"/>
                    <w:tr2bl w:val="nil"/>
                  </w:tcBorders>
                  <w:vAlign w:val="center"/>
                </w:tcPr>
                <w:p w14:paraId="61588B34">
                  <w:pPr>
                    <w:jc w:val="center"/>
                    <w:rPr>
                      <w:color w:val="auto"/>
                      <w:kern w:val="0"/>
                      <w:szCs w:val="21"/>
                    </w:rPr>
                  </w:pPr>
                  <w:r>
                    <w:rPr>
                      <w:color w:val="auto"/>
                      <w:kern w:val="0"/>
                      <w:szCs w:val="21"/>
                    </w:rPr>
                    <w:t>64.0</w:t>
                  </w:r>
                </w:p>
              </w:tc>
              <w:tc>
                <w:tcPr>
                  <w:tcW w:w="624" w:type="pct"/>
                  <w:tcBorders>
                    <w:tl2br w:val="nil"/>
                    <w:tr2bl w:val="nil"/>
                  </w:tcBorders>
                  <w:vAlign w:val="center"/>
                </w:tcPr>
                <w:p w14:paraId="62F1363C">
                  <w:pPr>
                    <w:jc w:val="center"/>
                    <w:rPr>
                      <w:color w:val="auto"/>
                      <w:kern w:val="0"/>
                      <w:szCs w:val="21"/>
                    </w:rPr>
                  </w:pPr>
                  <w:r>
                    <w:rPr>
                      <w:color w:val="auto"/>
                      <w:kern w:val="0"/>
                      <w:szCs w:val="21"/>
                    </w:rPr>
                    <w:t>58.0</w:t>
                  </w:r>
                </w:p>
              </w:tc>
              <w:tc>
                <w:tcPr>
                  <w:tcW w:w="626" w:type="pct"/>
                  <w:tcBorders>
                    <w:tl2br w:val="nil"/>
                    <w:tr2bl w:val="nil"/>
                  </w:tcBorders>
                  <w:vAlign w:val="center"/>
                </w:tcPr>
                <w:p w14:paraId="4E77CCA8">
                  <w:pPr>
                    <w:jc w:val="center"/>
                    <w:rPr>
                      <w:color w:val="auto"/>
                      <w:kern w:val="0"/>
                      <w:szCs w:val="21"/>
                    </w:rPr>
                  </w:pPr>
                  <w:r>
                    <w:rPr>
                      <w:color w:val="auto"/>
                      <w:kern w:val="0"/>
                      <w:szCs w:val="21"/>
                    </w:rPr>
                    <w:t>54.4</w:t>
                  </w:r>
                </w:p>
              </w:tc>
              <w:tc>
                <w:tcPr>
                  <w:tcW w:w="626" w:type="pct"/>
                  <w:tcBorders>
                    <w:tl2br w:val="nil"/>
                    <w:tr2bl w:val="nil"/>
                  </w:tcBorders>
                  <w:vAlign w:val="center"/>
                </w:tcPr>
                <w:p w14:paraId="0B25E985">
                  <w:pPr>
                    <w:jc w:val="center"/>
                    <w:rPr>
                      <w:color w:val="auto"/>
                      <w:kern w:val="0"/>
                      <w:szCs w:val="21"/>
                    </w:rPr>
                  </w:pPr>
                  <w:r>
                    <w:rPr>
                      <w:color w:val="auto"/>
                      <w:kern w:val="0"/>
                      <w:szCs w:val="21"/>
                    </w:rPr>
                    <w:t>51.9</w:t>
                  </w:r>
                </w:p>
              </w:tc>
              <w:tc>
                <w:tcPr>
                  <w:tcW w:w="626" w:type="pct"/>
                  <w:tcBorders>
                    <w:tl2br w:val="nil"/>
                    <w:tr2bl w:val="nil"/>
                  </w:tcBorders>
                  <w:vAlign w:val="center"/>
                </w:tcPr>
                <w:p w14:paraId="3FBFC0C5">
                  <w:pPr>
                    <w:jc w:val="center"/>
                    <w:rPr>
                      <w:color w:val="auto"/>
                      <w:kern w:val="0"/>
                      <w:szCs w:val="21"/>
                    </w:rPr>
                  </w:pPr>
                  <w:r>
                    <w:rPr>
                      <w:color w:val="auto"/>
                      <w:kern w:val="0"/>
                      <w:szCs w:val="21"/>
                    </w:rPr>
                    <w:t>50</w:t>
                  </w:r>
                </w:p>
              </w:tc>
              <w:tc>
                <w:tcPr>
                  <w:tcW w:w="624" w:type="pct"/>
                  <w:tcBorders>
                    <w:tl2br w:val="nil"/>
                    <w:tr2bl w:val="nil"/>
                  </w:tcBorders>
                  <w:vAlign w:val="center"/>
                </w:tcPr>
                <w:p w14:paraId="43E88947">
                  <w:pPr>
                    <w:jc w:val="center"/>
                    <w:rPr>
                      <w:color w:val="auto"/>
                      <w:kern w:val="0"/>
                      <w:szCs w:val="21"/>
                    </w:rPr>
                  </w:pPr>
                  <w:r>
                    <w:rPr>
                      <w:color w:val="auto"/>
                      <w:kern w:val="0"/>
                      <w:szCs w:val="21"/>
                    </w:rPr>
                    <w:t>44.0</w:t>
                  </w:r>
                </w:p>
              </w:tc>
            </w:tr>
            <w:tr w14:paraId="51455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 w:type="pct"/>
                  <w:tcBorders>
                    <w:tl2br w:val="nil"/>
                    <w:tr2bl w:val="nil"/>
                  </w:tcBorders>
                  <w:vAlign w:val="center"/>
                </w:tcPr>
                <w:p w14:paraId="45092F70">
                  <w:pPr>
                    <w:jc w:val="center"/>
                    <w:rPr>
                      <w:color w:val="auto"/>
                      <w:kern w:val="0"/>
                      <w:szCs w:val="21"/>
                    </w:rPr>
                  </w:pPr>
                  <w:r>
                    <w:rPr>
                      <w:color w:val="auto"/>
                      <w:kern w:val="0"/>
                      <w:szCs w:val="21"/>
                    </w:rPr>
                    <w:t>运输车辆</w:t>
                  </w:r>
                </w:p>
              </w:tc>
              <w:tc>
                <w:tcPr>
                  <w:tcW w:w="469" w:type="pct"/>
                  <w:tcBorders>
                    <w:tl2br w:val="nil"/>
                    <w:tr2bl w:val="nil"/>
                  </w:tcBorders>
                  <w:vAlign w:val="center"/>
                </w:tcPr>
                <w:p w14:paraId="61999DE4">
                  <w:pPr>
                    <w:jc w:val="center"/>
                    <w:rPr>
                      <w:color w:val="auto"/>
                      <w:kern w:val="0"/>
                      <w:szCs w:val="21"/>
                    </w:rPr>
                  </w:pPr>
                  <w:r>
                    <w:rPr>
                      <w:color w:val="auto"/>
                      <w:kern w:val="0"/>
                      <w:szCs w:val="21"/>
                    </w:rPr>
                    <w:t>60</w:t>
                  </w:r>
                </w:p>
              </w:tc>
              <w:tc>
                <w:tcPr>
                  <w:tcW w:w="492" w:type="pct"/>
                  <w:tcBorders>
                    <w:tl2br w:val="nil"/>
                    <w:tr2bl w:val="nil"/>
                  </w:tcBorders>
                  <w:vAlign w:val="center"/>
                </w:tcPr>
                <w:p w14:paraId="58A51DAF">
                  <w:pPr>
                    <w:jc w:val="center"/>
                    <w:rPr>
                      <w:color w:val="auto"/>
                      <w:kern w:val="0"/>
                      <w:szCs w:val="21"/>
                    </w:rPr>
                  </w:pPr>
                  <w:r>
                    <w:rPr>
                      <w:color w:val="auto"/>
                      <w:kern w:val="0"/>
                      <w:szCs w:val="21"/>
                    </w:rPr>
                    <w:t>54.0</w:t>
                  </w:r>
                </w:p>
              </w:tc>
              <w:tc>
                <w:tcPr>
                  <w:tcW w:w="624" w:type="pct"/>
                  <w:tcBorders>
                    <w:tl2br w:val="nil"/>
                    <w:tr2bl w:val="nil"/>
                  </w:tcBorders>
                  <w:vAlign w:val="center"/>
                </w:tcPr>
                <w:p w14:paraId="0229C445">
                  <w:pPr>
                    <w:jc w:val="center"/>
                    <w:rPr>
                      <w:color w:val="auto"/>
                      <w:kern w:val="0"/>
                      <w:szCs w:val="21"/>
                    </w:rPr>
                  </w:pPr>
                  <w:r>
                    <w:rPr>
                      <w:color w:val="auto"/>
                      <w:kern w:val="0"/>
                      <w:szCs w:val="21"/>
                    </w:rPr>
                    <w:t>48.0</w:t>
                  </w:r>
                </w:p>
              </w:tc>
              <w:tc>
                <w:tcPr>
                  <w:tcW w:w="626" w:type="pct"/>
                  <w:tcBorders>
                    <w:tl2br w:val="nil"/>
                    <w:tr2bl w:val="nil"/>
                  </w:tcBorders>
                  <w:vAlign w:val="center"/>
                </w:tcPr>
                <w:p w14:paraId="7E5FA98B">
                  <w:pPr>
                    <w:jc w:val="center"/>
                    <w:rPr>
                      <w:color w:val="auto"/>
                      <w:kern w:val="0"/>
                      <w:szCs w:val="21"/>
                    </w:rPr>
                  </w:pPr>
                  <w:r>
                    <w:rPr>
                      <w:color w:val="auto"/>
                      <w:kern w:val="0"/>
                      <w:szCs w:val="21"/>
                    </w:rPr>
                    <w:t>44.4</w:t>
                  </w:r>
                </w:p>
              </w:tc>
              <w:tc>
                <w:tcPr>
                  <w:tcW w:w="626" w:type="pct"/>
                  <w:tcBorders>
                    <w:tl2br w:val="nil"/>
                    <w:tr2bl w:val="nil"/>
                  </w:tcBorders>
                  <w:vAlign w:val="center"/>
                </w:tcPr>
                <w:p w14:paraId="1304413C">
                  <w:pPr>
                    <w:jc w:val="center"/>
                    <w:rPr>
                      <w:color w:val="auto"/>
                      <w:kern w:val="0"/>
                      <w:szCs w:val="21"/>
                    </w:rPr>
                  </w:pPr>
                  <w:r>
                    <w:rPr>
                      <w:color w:val="auto"/>
                      <w:kern w:val="0"/>
                      <w:szCs w:val="21"/>
                    </w:rPr>
                    <w:t>41.9</w:t>
                  </w:r>
                </w:p>
              </w:tc>
              <w:tc>
                <w:tcPr>
                  <w:tcW w:w="626" w:type="pct"/>
                  <w:tcBorders>
                    <w:tl2br w:val="nil"/>
                    <w:tr2bl w:val="nil"/>
                  </w:tcBorders>
                  <w:vAlign w:val="center"/>
                </w:tcPr>
                <w:p w14:paraId="200C1C13">
                  <w:pPr>
                    <w:jc w:val="center"/>
                    <w:rPr>
                      <w:color w:val="auto"/>
                      <w:kern w:val="0"/>
                      <w:szCs w:val="21"/>
                    </w:rPr>
                  </w:pPr>
                  <w:r>
                    <w:rPr>
                      <w:color w:val="auto"/>
                      <w:kern w:val="0"/>
                      <w:szCs w:val="21"/>
                    </w:rPr>
                    <w:t>40</w:t>
                  </w:r>
                </w:p>
              </w:tc>
              <w:tc>
                <w:tcPr>
                  <w:tcW w:w="624" w:type="pct"/>
                  <w:tcBorders>
                    <w:tl2br w:val="nil"/>
                    <w:tr2bl w:val="nil"/>
                  </w:tcBorders>
                  <w:vAlign w:val="center"/>
                </w:tcPr>
                <w:p w14:paraId="526983B2">
                  <w:pPr>
                    <w:jc w:val="center"/>
                    <w:rPr>
                      <w:color w:val="auto"/>
                      <w:kern w:val="0"/>
                      <w:szCs w:val="21"/>
                    </w:rPr>
                  </w:pPr>
                  <w:r>
                    <w:rPr>
                      <w:color w:val="auto"/>
                      <w:kern w:val="0"/>
                      <w:szCs w:val="21"/>
                    </w:rPr>
                    <w:t>34.0</w:t>
                  </w:r>
                </w:p>
              </w:tc>
            </w:tr>
          </w:tbl>
          <w:p w14:paraId="1B688DFD">
            <w:pPr>
              <w:pStyle w:val="68"/>
              <w:ind w:firstLine="480"/>
              <w:rPr>
                <w:color w:val="auto"/>
              </w:rPr>
            </w:pPr>
            <w:r>
              <w:rPr>
                <w:color w:val="auto"/>
              </w:rPr>
              <w:t>根据预测结果，在未采取降噪措施的情况下，项目施工期各施工机械所产生的噪声在</w:t>
            </w:r>
            <w:r>
              <w:rPr>
                <w:rFonts w:hint="eastAsia" w:ascii="宋体" w:hAnsi="宋体" w:cs="宋体"/>
                <w:color w:val="auto"/>
              </w:rPr>
              <w:t>距离噪声源</w:t>
            </w:r>
            <w:r>
              <w:rPr>
                <w:rFonts w:hint="eastAsia" w:eastAsia="TimesNewRomanPSMT"/>
                <w:color w:val="auto"/>
              </w:rPr>
              <w:t>10</w:t>
            </w:r>
            <w:r>
              <w:rPr>
                <w:rFonts w:eastAsia="TimesNewRomanPSMT"/>
                <w:color w:val="auto"/>
              </w:rPr>
              <w:t>m</w:t>
            </w:r>
            <w:r>
              <w:rPr>
                <w:rFonts w:hint="eastAsia" w:eastAsia="宋体"/>
                <w:color w:val="auto"/>
                <w:lang w:eastAsia="zh-CN"/>
              </w:rPr>
              <w:t>处</w:t>
            </w:r>
            <w:r>
              <w:rPr>
                <w:color w:val="auto"/>
              </w:rPr>
              <w:t>可</w:t>
            </w:r>
            <w:r>
              <w:rPr>
                <w:rFonts w:hint="eastAsia"/>
                <w:color w:val="auto"/>
              </w:rPr>
              <w:t>满足《建筑施工场界环境噪声排放标准》（GB12523-2011）中噪声限值中昼间限值，</w:t>
            </w:r>
            <w:r>
              <w:rPr>
                <w:color w:val="auto"/>
              </w:rPr>
              <w:t>本次环评要求建设单位夜间禁止施工</w:t>
            </w:r>
            <w:r>
              <w:rPr>
                <w:rFonts w:hint="eastAsia"/>
                <w:color w:val="auto"/>
              </w:rPr>
              <w:t>。</w:t>
            </w:r>
          </w:p>
          <w:p w14:paraId="186D5D6E">
            <w:pPr>
              <w:spacing w:line="360" w:lineRule="auto"/>
              <w:ind w:firstLine="480"/>
              <w:rPr>
                <w:color w:val="auto"/>
                <w:sz w:val="24"/>
              </w:rPr>
            </w:pPr>
            <w:r>
              <w:rPr>
                <w:color w:val="auto"/>
                <w:sz w:val="24"/>
              </w:rPr>
              <w:t>为最大程度的减轻噪声污染，施工单位应做到：</w:t>
            </w:r>
          </w:p>
          <w:p w14:paraId="4ACC613D">
            <w:pPr>
              <w:pStyle w:val="156"/>
              <w:ind w:firstLine="480"/>
              <w:rPr>
                <w:color w:val="auto"/>
              </w:rPr>
            </w:pPr>
            <w:r>
              <w:rPr>
                <w:rFonts w:hint="eastAsia"/>
                <w:color w:val="auto"/>
                <w:lang w:eastAsia="zh-CN"/>
              </w:rPr>
              <w:t>（</w:t>
            </w:r>
            <w:r>
              <w:rPr>
                <w:rFonts w:hint="eastAsia"/>
                <w:color w:val="auto"/>
                <w:lang w:val="en-US" w:eastAsia="zh-CN"/>
              </w:rPr>
              <w:t>1</w:t>
            </w:r>
            <w:r>
              <w:rPr>
                <w:rFonts w:hint="eastAsia"/>
                <w:color w:val="auto"/>
                <w:lang w:eastAsia="zh-CN"/>
              </w:rPr>
              <w:t>）</w:t>
            </w:r>
            <w:r>
              <w:rPr>
                <w:color w:val="auto"/>
              </w:rPr>
              <w:t>施工单位应尽量选用先进的低噪声设备，在高噪声设备周围设置屏障以减轻噪声对周围环境的影响。</w:t>
            </w:r>
          </w:p>
          <w:p w14:paraId="3DAB5117">
            <w:pPr>
              <w:pStyle w:val="156"/>
              <w:ind w:firstLine="480"/>
              <w:rPr>
                <w:color w:val="auto"/>
              </w:rPr>
            </w:pPr>
            <w:r>
              <w:rPr>
                <w:rFonts w:hint="eastAsia"/>
                <w:color w:val="auto"/>
                <w:lang w:eastAsia="zh-CN"/>
              </w:rPr>
              <w:t>（</w:t>
            </w:r>
            <w:r>
              <w:rPr>
                <w:rFonts w:hint="eastAsia"/>
                <w:color w:val="auto"/>
                <w:lang w:val="en-US" w:eastAsia="zh-CN"/>
              </w:rPr>
              <w:t>2</w:t>
            </w:r>
            <w:r>
              <w:rPr>
                <w:rFonts w:hint="eastAsia"/>
                <w:color w:val="auto"/>
                <w:lang w:eastAsia="zh-CN"/>
              </w:rPr>
              <w:t>）</w:t>
            </w:r>
            <w:r>
              <w:rPr>
                <w:color w:val="auto"/>
              </w:rPr>
              <w:t>加强施工期设备的运行管理，要按照国家环境噪声污染防治条例的有关规定严格控制高噪声设备的运行及其运行时段，并采取必要的隔声降噪措施。</w:t>
            </w:r>
          </w:p>
          <w:p w14:paraId="757548FB">
            <w:pPr>
              <w:pStyle w:val="156"/>
              <w:ind w:firstLine="480"/>
              <w:rPr>
                <w:color w:val="auto"/>
              </w:rPr>
            </w:pPr>
            <w:r>
              <w:rPr>
                <w:rFonts w:hint="eastAsia"/>
                <w:color w:val="auto"/>
                <w:lang w:eastAsia="zh-CN"/>
              </w:rPr>
              <w:t>（</w:t>
            </w:r>
            <w:r>
              <w:rPr>
                <w:rFonts w:hint="eastAsia"/>
                <w:color w:val="auto"/>
                <w:lang w:val="en-US" w:eastAsia="zh-CN"/>
              </w:rPr>
              <w:t>3</w:t>
            </w:r>
            <w:r>
              <w:rPr>
                <w:rFonts w:hint="eastAsia"/>
                <w:color w:val="auto"/>
                <w:lang w:eastAsia="zh-CN"/>
              </w:rPr>
              <w:t>）</w:t>
            </w:r>
            <w:r>
              <w:rPr>
                <w:color w:val="auto"/>
              </w:rPr>
              <w:t>精心安排，减少施工噪声影响时间，禁止中午午休时间（12:00-14:00）及夜间（22:00-06:00）施工。如需夜间施工，需按国家有关规定到相关主管部门及时办理夜间施工许可手续。</w:t>
            </w:r>
          </w:p>
          <w:p w14:paraId="7E4A0153">
            <w:pPr>
              <w:pStyle w:val="156"/>
              <w:ind w:firstLine="480"/>
              <w:rPr>
                <w:color w:val="auto"/>
              </w:rPr>
            </w:pPr>
            <w:r>
              <w:rPr>
                <w:rFonts w:hint="eastAsia"/>
                <w:color w:val="auto"/>
                <w:lang w:eastAsia="zh-CN"/>
              </w:rPr>
              <w:t>（</w:t>
            </w:r>
            <w:r>
              <w:rPr>
                <w:rFonts w:hint="eastAsia"/>
                <w:color w:val="auto"/>
                <w:lang w:val="en-US" w:eastAsia="zh-CN"/>
              </w:rPr>
              <w:t>4</w:t>
            </w:r>
            <w:r>
              <w:rPr>
                <w:rFonts w:hint="eastAsia"/>
                <w:color w:val="auto"/>
                <w:lang w:eastAsia="zh-CN"/>
              </w:rPr>
              <w:t>）</w:t>
            </w:r>
            <w:r>
              <w:rPr>
                <w:color w:val="auto"/>
              </w:rPr>
              <w:t>施工过程中运输车辆应对现场的施工车辆进行疏导，禁止鸣笛；合理安排施工避开敏感点，绕道行驶。</w:t>
            </w:r>
          </w:p>
          <w:p w14:paraId="2597B503">
            <w:pPr>
              <w:pStyle w:val="156"/>
              <w:ind w:firstLine="480"/>
              <w:rPr>
                <w:color w:val="auto"/>
              </w:rPr>
            </w:pPr>
            <w:r>
              <w:rPr>
                <w:color w:val="auto"/>
              </w:rPr>
              <w:t>采取以上防噪措施后，施工期噪声与振动可减轻对周围敏感点造成影响。</w:t>
            </w:r>
          </w:p>
          <w:p w14:paraId="65481EA1">
            <w:pPr>
              <w:pStyle w:val="68"/>
              <w:numPr>
                <w:ilvl w:val="0"/>
                <w:numId w:val="0"/>
              </w:numPr>
              <w:ind w:left="-60" w:leftChars="0" w:firstLine="480" w:firstLineChars="0"/>
              <w:rPr>
                <w:rFonts w:cs="Times New Roman"/>
                <w:b/>
                <w:bCs/>
                <w:color w:val="auto"/>
              </w:rPr>
            </w:pPr>
            <w:r>
              <w:rPr>
                <w:rFonts w:hint="eastAsia" w:cs="Times New Roman"/>
                <w:b/>
                <w:bCs/>
                <w:color w:val="auto"/>
                <w:lang w:val="en-US" w:eastAsia="zh-CN"/>
              </w:rPr>
              <w:t>4、</w:t>
            </w:r>
            <w:r>
              <w:rPr>
                <w:rFonts w:cs="Times New Roman"/>
                <w:b/>
                <w:bCs/>
                <w:color w:val="auto"/>
              </w:rPr>
              <w:t>固体废物的治理措施</w:t>
            </w:r>
          </w:p>
          <w:p w14:paraId="119C9513">
            <w:pPr>
              <w:spacing w:line="360" w:lineRule="auto"/>
              <w:ind w:firstLine="420" w:firstLineChars="175"/>
              <w:rPr>
                <w:color w:val="auto"/>
                <w:sz w:val="24"/>
              </w:rPr>
            </w:pPr>
            <w:r>
              <w:rPr>
                <w:color w:val="auto"/>
                <w:sz w:val="24"/>
              </w:rPr>
              <w:t>施工期产生固体废物主要是施工工人的生活垃圾</w:t>
            </w:r>
            <w:r>
              <w:rPr>
                <w:rFonts w:hint="eastAsia"/>
                <w:color w:val="auto"/>
                <w:sz w:val="24"/>
                <w:lang w:val="en-US" w:eastAsia="zh-CN"/>
              </w:rPr>
              <w:t>和建筑垃圾</w:t>
            </w:r>
            <w:r>
              <w:rPr>
                <w:color w:val="auto"/>
                <w:sz w:val="24"/>
              </w:rPr>
              <w:t>。</w:t>
            </w:r>
          </w:p>
          <w:p w14:paraId="4A94D45F">
            <w:pPr>
              <w:spacing w:line="360" w:lineRule="auto"/>
              <w:ind w:firstLine="420" w:firstLineChars="175"/>
              <w:rPr>
                <w:color w:val="auto"/>
                <w:sz w:val="24"/>
              </w:rPr>
            </w:pPr>
            <w:r>
              <w:rPr>
                <w:rFonts w:hint="eastAsia"/>
                <w:color w:val="auto"/>
                <w:sz w:val="24"/>
                <w:lang w:eastAsia="zh-CN"/>
              </w:rPr>
              <w:t>（</w:t>
            </w:r>
            <w:r>
              <w:rPr>
                <w:rFonts w:hint="eastAsia"/>
                <w:color w:val="auto"/>
                <w:sz w:val="24"/>
                <w:lang w:val="en-US" w:eastAsia="zh-CN"/>
              </w:rPr>
              <w:t>1</w:t>
            </w:r>
            <w:r>
              <w:rPr>
                <w:rFonts w:hint="eastAsia"/>
                <w:color w:val="auto"/>
                <w:sz w:val="24"/>
                <w:lang w:eastAsia="zh-CN"/>
              </w:rPr>
              <w:t>）</w:t>
            </w:r>
            <w:r>
              <w:rPr>
                <w:color w:val="auto"/>
                <w:sz w:val="24"/>
              </w:rPr>
              <w:t>生活垃圾</w:t>
            </w:r>
          </w:p>
          <w:p w14:paraId="252CFA79">
            <w:pPr>
              <w:spacing w:line="360" w:lineRule="auto"/>
              <w:ind w:firstLine="480" w:firstLineChars="200"/>
              <w:rPr>
                <w:color w:val="auto"/>
              </w:rPr>
            </w:pPr>
            <w:r>
              <w:rPr>
                <w:color w:val="auto"/>
                <w:sz w:val="24"/>
              </w:rPr>
              <w:t>本项目施工人员按20人，每人每天排放生活垃圾量0.5kg，施工期按</w:t>
            </w:r>
            <w:r>
              <w:rPr>
                <w:rFonts w:hint="eastAsia"/>
                <w:color w:val="auto"/>
                <w:sz w:val="24"/>
                <w:lang w:val="en-US" w:eastAsia="zh-CN"/>
              </w:rPr>
              <w:t>5</w:t>
            </w:r>
            <w:r>
              <w:rPr>
                <w:rFonts w:hint="eastAsia"/>
                <w:color w:val="auto"/>
                <w:sz w:val="24"/>
              </w:rPr>
              <w:t>个月</w:t>
            </w:r>
            <w:r>
              <w:rPr>
                <w:color w:val="auto"/>
                <w:sz w:val="24"/>
              </w:rPr>
              <w:t>计，产生生活垃圾0.01t/d，产生生活垃圾</w:t>
            </w:r>
            <w:r>
              <w:rPr>
                <w:rFonts w:hint="eastAsia"/>
                <w:color w:val="auto"/>
                <w:sz w:val="24"/>
              </w:rPr>
              <w:t>1.</w:t>
            </w:r>
            <w:r>
              <w:rPr>
                <w:rFonts w:hint="eastAsia"/>
                <w:color w:val="auto"/>
                <w:sz w:val="24"/>
                <w:lang w:val="en-US" w:eastAsia="zh-CN"/>
              </w:rPr>
              <w:t>5</w:t>
            </w:r>
            <w:r>
              <w:rPr>
                <w:color w:val="auto"/>
                <w:sz w:val="24"/>
              </w:rPr>
              <w:t>t。施工人员生活垃圾由施工单位分类收集后委托环卫部门清运处理。</w:t>
            </w:r>
          </w:p>
          <w:p w14:paraId="14295A66">
            <w:pPr>
              <w:spacing w:line="360" w:lineRule="auto"/>
              <w:ind w:left="420" w:leftChars="200"/>
              <w:rPr>
                <w:color w:val="auto"/>
                <w:sz w:val="24"/>
              </w:rPr>
            </w:pPr>
            <w:r>
              <w:rPr>
                <w:rFonts w:hint="eastAsia"/>
                <w:color w:val="auto"/>
                <w:sz w:val="24"/>
                <w:lang w:eastAsia="zh-CN"/>
              </w:rPr>
              <w:t>（</w:t>
            </w:r>
            <w:r>
              <w:rPr>
                <w:rFonts w:hint="eastAsia"/>
                <w:color w:val="auto"/>
                <w:sz w:val="24"/>
                <w:lang w:val="en-US" w:eastAsia="zh-CN"/>
              </w:rPr>
              <w:t>2</w:t>
            </w:r>
            <w:r>
              <w:rPr>
                <w:rFonts w:hint="eastAsia"/>
                <w:color w:val="auto"/>
                <w:sz w:val="24"/>
                <w:lang w:eastAsia="zh-CN"/>
              </w:rPr>
              <w:t>）</w:t>
            </w:r>
            <w:r>
              <w:rPr>
                <w:color w:val="auto"/>
                <w:sz w:val="24"/>
              </w:rPr>
              <w:t>建筑垃圾</w:t>
            </w:r>
          </w:p>
          <w:p w14:paraId="14EB5041">
            <w:pPr>
              <w:spacing w:line="360" w:lineRule="auto"/>
              <w:ind w:firstLine="480" w:firstLineChars="200"/>
              <w:rPr>
                <w:color w:val="auto"/>
              </w:rPr>
            </w:pPr>
            <w:r>
              <w:rPr>
                <w:bCs/>
                <w:color w:val="auto"/>
                <w:sz w:val="24"/>
              </w:rPr>
              <w:t>施工建筑垃圾由厂区统一收集处理，及时清运至建筑垃圾填埋场</w:t>
            </w:r>
            <w:r>
              <w:rPr>
                <w:rFonts w:hint="eastAsia"/>
                <w:bCs/>
                <w:color w:val="auto"/>
                <w:sz w:val="24"/>
              </w:rPr>
              <w:t>。</w:t>
            </w:r>
          </w:p>
          <w:p w14:paraId="68904C47">
            <w:pPr>
              <w:pStyle w:val="68"/>
              <w:numPr>
                <w:ilvl w:val="255"/>
                <w:numId w:val="0"/>
              </w:numPr>
              <w:ind w:firstLine="480"/>
              <w:rPr>
                <w:rFonts w:cs="Times New Roman"/>
                <w:color w:val="auto"/>
              </w:rPr>
            </w:pPr>
            <w:r>
              <w:rPr>
                <w:rFonts w:cs="Times New Roman"/>
                <w:color w:val="auto"/>
              </w:rPr>
              <w:t>在采取上述措施后施工期固体废物对周围环境影响较小。</w:t>
            </w:r>
          </w:p>
          <w:p w14:paraId="5EA91E55">
            <w:pPr>
              <w:pStyle w:val="68"/>
              <w:ind w:firstLine="482"/>
              <w:rPr>
                <w:rFonts w:cs="Times New Roman"/>
                <w:b/>
                <w:bCs/>
                <w:color w:val="auto"/>
              </w:rPr>
            </w:pPr>
            <w:r>
              <w:rPr>
                <w:rFonts w:hint="eastAsia" w:cs="Times New Roman"/>
                <w:b/>
                <w:bCs/>
                <w:color w:val="auto"/>
                <w:lang w:val="en-US" w:eastAsia="zh-CN"/>
              </w:rPr>
              <w:t>5、</w:t>
            </w:r>
            <w:r>
              <w:rPr>
                <w:rFonts w:cs="Times New Roman"/>
                <w:b/>
                <w:bCs/>
                <w:color w:val="auto"/>
              </w:rPr>
              <w:t>管理保护措施</w:t>
            </w:r>
          </w:p>
          <w:p w14:paraId="18612061">
            <w:pPr>
              <w:pStyle w:val="68"/>
              <w:ind w:firstLine="480"/>
              <w:rPr>
                <w:rFonts w:cs="Times New Roman"/>
                <w:color w:val="auto"/>
              </w:rPr>
            </w:pPr>
            <w:r>
              <w:rPr>
                <w:rFonts w:hint="eastAsia" w:cs="Times New Roman"/>
                <w:color w:val="auto"/>
                <w:lang w:eastAsia="zh-CN"/>
              </w:rPr>
              <w:t>（</w:t>
            </w:r>
            <w:r>
              <w:rPr>
                <w:rFonts w:hint="eastAsia" w:cs="Times New Roman"/>
                <w:color w:val="auto"/>
                <w:lang w:val="en-US" w:eastAsia="zh-CN"/>
              </w:rPr>
              <w:t>1</w:t>
            </w:r>
            <w:r>
              <w:rPr>
                <w:rFonts w:hint="eastAsia" w:cs="Times New Roman"/>
                <w:color w:val="auto"/>
                <w:lang w:eastAsia="zh-CN"/>
              </w:rPr>
              <w:t>）</w:t>
            </w:r>
            <w:r>
              <w:rPr>
                <w:rFonts w:cs="Times New Roman"/>
                <w:color w:val="auto"/>
              </w:rPr>
              <w:t>在项目区各类建筑物及设施施工过程中，项目承建单位签订环保目标责任书，以保障施工过程不产生大的环境问题。</w:t>
            </w:r>
          </w:p>
          <w:p w14:paraId="5DA26687">
            <w:pPr>
              <w:pStyle w:val="68"/>
              <w:ind w:firstLine="480"/>
              <w:rPr>
                <w:rFonts w:cs="Times New Roman"/>
                <w:color w:val="auto"/>
              </w:rPr>
            </w:pPr>
            <w:r>
              <w:rPr>
                <w:rFonts w:hint="eastAsia" w:cs="Times New Roman"/>
                <w:color w:val="auto"/>
                <w:lang w:eastAsia="zh-CN"/>
              </w:rPr>
              <w:t>（</w:t>
            </w:r>
            <w:r>
              <w:rPr>
                <w:rFonts w:hint="eastAsia" w:cs="Times New Roman"/>
                <w:color w:val="auto"/>
                <w:lang w:val="en-US" w:eastAsia="zh-CN"/>
              </w:rPr>
              <w:t>2</w:t>
            </w:r>
            <w:r>
              <w:rPr>
                <w:rFonts w:hint="eastAsia" w:cs="Times New Roman"/>
                <w:color w:val="auto"/>
                <w:lang w:eastAsia="zh-CN"/>
              </w:rPr>
              <w:t>）</w:t>
            </w:r>
            <w:r>
              <w:rPr>
                <w:rFonts w:cs="Times New Roman"/>
                <w:color w:val="auto"/>
              </w:rPr>
              <w:t>合理布置施工场地、施工道路等，尽可能与项目区道路和设施相结合，减少施工占地损失。</w:t>
            </w:r>
          </w:p>
          <w:p w14:paraId="69F2F3C4">
            <w:pPr>
              <w:pStyle w:val="68"/>
              <w:ind w:firstLine="480"/>
              <w:rPr>
                <w:rFonts w:cs="Times New Roman"/>
                <w:color w:val="auto"/>
              </w:rPr>
            </w:pPr>
            <w:r>
              <w:rPr>
                <w:rFonts w:hint="eastAsia" w:cs="Times New Roman"/>
                <w:color w:val="auto"/>
                <w:lang w:eastAsia="zh-CN"/>
              </w:rPr>
              <w:t>（</w:t>
            </w:r>
            <w:r>
              <w:rPr>
                <w:rFonts w:hint="eastAsia" w:cs="Times New Roman"/>
                <w:color w:val="auto"/>
                <w:lang w:val="en-US" w:eastAsia="zh-CN"/>
              </w:rPr>
              <w:t>3</w:t>
            </w:r>
            <w:r>
              <w:rPr>
                <w:rFonts w:hint="eastAsia" w:cs="Times New Roman"/>
                <w:color w:val="auto"/>
                <w:lang w:eastAsia="zh-CN"/>
              </w:rPr>
              <w:t>）</w:t>
            </w:r>
            <w:r>
              <w:rPr>
                <w:rFonts w:cs="Times New Roman"/>
                <w:color w:val="auto"/>
              </w:rPr>
              <w:t>妥善处理施工弃料等施工垃圾（包括“三废”），使其合理排放，尽可能减少对环境的污染和破坏。</w:t>
            </w:r>
          </w:p>
          <w:p w14:paraId="74C1E4B0">
            <w:pPr>
              <w:pStyle w:val="68"/>
              <w:ind w:firstLine="480"/>
              <w:rPr>
                <w:rFonts w:cs="Times New Roman"/>
                <w:color w:val="auto"/>
              </w:rPr>
            </w:pPr>
            <w:r>
              <w:rPr>
                <w:rFonts w:cs="Times New Roman"/>
                <w:color w:val="auto"/>
              </w:rPr>
              <w:t>综上所述施工期在采取上述污染防治与生态恢复措施后，可将施工建设带来的不利环境影响降到最小限度。</w:t>
            </w:r>
          </w:p>
        </w:tc>
      </w:tr>
      <w:tr w14:paraId="259632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Before w:val="1"/>
          <w:wBefore w:w="46" w:type="pct"/>
          <w:trHeight w:val="13609" w:hRule="atLeast"/>
          <w:jc w:val="center"/>
        </w:trPr>
        <w:tc>
          <w:tcPr>
            <w:tcW w:w="151" w:type="pct"/>
            <w:gridSpan w:val="2"/>
            <w:tcMar>
              <w:left w:w="28" w:type="dxa"/>
              <w:right w:w="28" w:type="dxa"/>
            </w:tcMar>
            <w:vAlign w:val="center"/>
          </w:tcPr>
          <w:p w14:paraId="0581A24F">
            <w:pPr>
              <w:pStyle w:val="69"/>
              <w:rPr>
                <w:color w:val="auto"/>
              </w:rPr>
            </w:pPr>
            <w:r>
              <w:rPr>
                <w:rFonts w:hint="eastAsia"/>
                <w:color w:val="auto"/>
                <w:lang w:val="en-US" w:eastAsia="zh-CN"/>
              </w:rPr>
              <w:t>运</w:t>
            </w:r>
            <w:r>
              <w:rPr>
                <w:color w:val="auto"/>
              </w:rPr>
              <w:t>营</w:t>
            </w:r>
          </w:p>
          <w:p w14:paraId="5C82D428">
            <w:pPr>
              <w:pStyle w:val="69"/>
              <w:rPr>
                <w:color w:val="auto"/>
              </w:rPr>
            </w:pPr>
            <w:r>
              <w:rPr>
                <w:color w:val="auto"/>
              </w:rPr>
              <w:t>期环</w:t>
            </w:r>
          </w:p>
          <w:p w14:paraId="0C0DEBB4">
            <w:pPr>
              <w:pStyle w:val="69"/>
              <w:rPr>
                <w:color w:val="auto"/>
              </w:rPr>
            </w:pPr>
            <w:r>
              <w:rPr>
                <w:color w:val="auto"/>
              </w:rPr>
              <w:t>境影</w:t>
            </w:r>
          </w:p>
          <w:p w14:paraId="38721016">
            <w:pPr>
              <w:pStyle w:val="69"/>
              <w:rPr>
                <w:color w:val="auto"/>
              </w:rPr>
            </w:pPr>
            <w:r>
              <w:rPr>
                <w:color w:val="auto"/>
              </w:rPr>
              <w:t>响和</w:t>
            </w:r>
          </w:p>
          <w:p w14:paraId="22F481D0">
            <w:pPr>
              <w:pStyle w:val="69"/>
              <w:rPr>
                <w:color w:val="auto"/>
              </w:rPr>
            </w:pPr>
            <w:r>
              <w:rPr>
                <w:color w:val="auto"/>
              </w:rPr>
              <w:t>保护</w:t>
            </w:r>
          </w:p>
          <w:p w14:paraId="3FCE769A">
            <w:pPr>
              <w:pStyle w:val="69"/>
              <w:rPr>
                <w:color w:val="auto"/>
              </w:rPr>
            </w:pPr>
            <w:r>
              <w:rPr>
                <w:color w:val="auto"/>
              </w:rPr>
              <w:t>措施</w:t>
            </w:r>
          </w:p>
        </w:tc>
        <w:tc>
          <w:tcPr>
            <w:tcW w:w="4801" w:type="pct"/>
            <w:vAlign w:val="center"/>
          </w:tcPr>
          <w:p w14:paraId="5256DC6A">
            <w:pPr>
              <w:pStyle w:val="68"/>
              <w:ind w:firstLine="0" w:firstLineChars="0"/>
              <w:rPr>
                <w:rFonts w:cs="Times New Roman"/>
                <w:b/>
                <w:color w:val="auto"/>
              </w:rPr>
            </w:pPr>
            <w:r>
              <w:rPr>
                <w:rFonts w:cs="Times New Roman"/>
                <w:b/>
                <w:color w:val="auto"/>
              </w:rPr>
              <w:t>二、运行期间的环境保护措施</w:t>
            </w:r>
          </w:p>
          <w:p w14:paraId="140BC4A4">
            <w:pPr>
              <w:spacing w:line="360" w:lineRule="auto"/>
              <w:ind w:firstLine="442" w:firstLineChars="200"/>
              <w:rPr>
                <w:b/>
                <w:color w:val="auto"/>
                <w:spacing w:val="-10"/>
                <w:sz w:val="24"/>
              </w:rPr>
            </w:pPr>
            <w:bookmarkStart w:id="17" w:name="_Hlk536201500"/>
            <w:r>
              <w:rPr>
                <w:b/>
                <w:color w:val="auto"/>
                <w:spacing w:val="-10"/>
                <w:sz w:val="24"/>
              </w:rPr>
              <w:t>1</w:t>
            </w:r>
            <w:r>
              <w:rPr>
                <w:rFonts w:hint="eastAsia"/>
                <w:b/>
                <w:color w:val="auto"/>
                <w:spacing w:val="-10"/>
                <w:sz w:val="24"/>
                <w:lang w:eastAsia="zh-CN"/>
              </w:rPr>
              <w:t>、</w:t>
            </w:r>
            <w:r>
              <w:rPr>
                <w:b/>
                <w:color w:val="auto"/>
                <w:spacing w:val="-10"/>
                <w:sz w:val="24"/>
              </w:rPr>
              <w:t>废气</w:t>
            </w:r>
          </w:p>
          <w:p w14:paraId="4FC85873">
            <w:pPr>
              <w:pStyle w:val="68"/>
              <w:ind w:firstLine="482"/>
              <w:rPr>
                <w:rFonts w:cs="Times New Roman"/>
                <w:b/>
                <w:bCs/>
                <w:color w:val="auto"/>
              </w:rPr>
            </w:pPr>
            <w:r>
              <w:rPr>
                <w:rFonts w:cs="Times New Roman"/>
                <w:b/>
                <w:bCs/>
                <w:color w:val="auto"/>
              </w:rPr>
              <w:t>1.1</w:t>
            </w:r>
            <w:r>
              <w:rPr>
                <w:rFonts w:hint="eastAsia" w:cs="Times New Roman"/>
                <w:b/>
                <w:bCs/>
                <w:color w:val="auto"/>
                <w:lang w:eastAsia="zh-CN"/>
              </w:rPr>
              <w:t>、</w:t>
            </w:r>
            <w:r>
              <w:rPr>
                <w:rFonts w:cs="Times New Roman"/>
                <w:b/>
                <w:bCs/>
                <w:color w:val="auto"/>
              </w:rPr>
              <w:t>产排污环节</w:t>
            </w:r>
          </w:p>
          <w:p w14:paraId="5625BA11">
            <w:pPr>
              <w:pStyle w:val="68"/>
              <w:ind w:firstLine="480"/>
              <w:rPr>
                <w:rFonts w:hint="default" w:eastAsia="宋体"/>
                <w:color w:val="auto"/>
                <w:lang w:val="en-US" w:eastAsia="zh-CN"/>
              </w:rPr>
            </w:pPr>
            <w:r>
              <w:rPr>
                <w:color w:val="auto"/>
              </w:rPr>
              <w:t>本项目产生废气主要来源于</w:t>
            </w:r>
            <w:r>
              <w:rPr>
                <w:rFonts w:hint="eastAsia"/>
                <w:color w:val="auto"/>
                <w:lang w:val="en-US" w:eastAsia="zh-CN"/>
              </w:rPr>
              <w:t>污水处理站恶臭、生产车间烘烤产生的油烟废气、生产车间肉制品腌制及蒸煮废气（以臭气浓度表征）、制冷系统废气。废气主要产污环节见表4-3。</w:t>
            </w:r>
          </w:p>
          <w:p w14:paraId="5B1F1594">
            <w:pPr>
              <w:pStyle w:val="68"/>
              <w:ind w:left="0" w:leftChars="0" w:firstLine="0" w:firstLineChars="0"/>
              <w:jc w:val="center"/>
              <w:rPr>
                <w:rFonts w:hint="default" w:eastAsia="宋体" w:cs="Times New Roman"/>
                <w:b/>
                <w:bCs/>
                <w:color w:val="auto"/>
                <w:lang w:val="en-US" w:eastAsia="zh-CN"/>
              </w:rPr>
            </w:pPr>
            <w:r>
              <w:rPr>
                <w:rFonts w:hint="eastAsia" w:cs="Times New Roman"/>
                <w:b/>
                <w:bCs/>
                <w:color w:val="auto"/>
                <w:sz w:val="21"/>
                <w:szCs w:val="21"/>
                <w:lang w:val="en-US" w:eastAsia="zh-CN"/>
              </w:rPr>
              <w:t>表4-3  废气主要产污环节一览表</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3"/>
              <w:gridCol w:w="1710"/>
              <w:gridCol w:w="1669"/>
              <w:gridCol w:w="1206"/>
              <w:gridCol w:w="2637"/>
            </w:tblGrid>
            <w:tr w14:paraId="4D654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6" w:type="pct"/>
                  <w:vAlign w:val="center"/>
                </w:tcPr>
                <w:p w14:paraId="68CF496D">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项目</w:t>
                  </w:r>
                </w:p>
              </w:tc>
              <w:tc>
                <w:tcPr>
                  <w:tcW w:w="1064" w:type="pct"/>
                  <w:vAlign w:val="center"/>
                </w:tcPr>
                <w:p w14:paraId="2576C39D">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产</w:t>
                  </w:r>
                  <w:r>
                    <w:rPr>
                      <w:rFonts w:hint="eastAsia" w:ascii="Times New Roman" w:hAnsi="Times New Roman" w:cs="Times New Roman"/>
                      <w:b/>
                      <w:bCs/>
                      <w:color w:val="auto"/>
                      <w:sz w:val="21"/>
                      <w:szCs w:val="21"/>
                      <w:vertAlign w:val="baseline"/>
                      <w:lang w:val="en-US" w:eastAsia="zh-CN"/>
                    </w:rPr>
                    <w:t>污</w:t>
                  </w:r>
                  <w:r>
                    <w:rPr>
                      <w:rFonts w:hint="default" w:ascii="Times New Roman" w:hAnsi="Times New Roman" w:cs="Times New Roman"/>
                      <w:b/>
                      <w:bCs/>
                      <w:color w:val="auto"/>
                      <w:sz w:val="21"/>
                      <w:szCs w:val="21"/>
                      <w:vertAlign w:val="baseline"/>
                      <w:lang w:val="en-US" w:eastAsia="zh-CN"/>
                    </w:rPr>
                    <w:t>工序</w:t>
                  </w:r>
                </w:p>
              </w:tc>
              <w:tc>
                <w:tcPr>
                  <w:tcW w:w="1038" w:type="pct"/>
                  <w:vAlign w:val="center"/>
                </w:tcPr>
                <w:p w14:paraId="7D6365F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主要污染物</w:t>
                  </w:r>
                </w:p>
              </w:tc>
              <w:tc>
                <w:tcPr>
                  <w:tcW w:w="750" w:type="pct"/>
                  <w:vAlign w:val="center"/>
                </w:tcPr>
                <w:p w14:paraId="16FBC9AF">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排放特征</w:t>
                  </w:r>
                </w:p>
              </w:tc>
              <w:tc>
                <w:tcPr>
                  <w:tcW w:w="1640" w:type="pct"/>
                  <w:vAlign w:val="center"/>
                </w:tcPr>
                <w:p w14:paraId="0AFFF88C">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治理措施及去向</w:t>
                  </w:r>
                </w:p>
              </w:tc>
            </w:tr>
            <w:tr w14:paraId="6827B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6" w:type="pct"/>
                  <w:vMerge w:val="restart"/>
                  <w:vAlign w:val="center"/>
                </w:tcPr>
                <w:p w14:paraId="63D5BC41">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bCs/>
                      <w:color w:val="auto"/>
                      <w:sz w:val="21"/>
                      <w:szCs w:val="21"/>
                      <w:vertAlign w:val="baseline"/>
                      <w:lang w:val="en-US" w:eastAsia="zh-CN"/>
                    </w:rPr>
                  </w:pPr>
                  <w:r>
                    <w:rPr>
                      <w:rFonts w:hint="eastAsia" w:ascii="Times New Roman" w:hAnsi="Times New Roman" w:cs="Times New Roman"/>
                      <w:b/>
                      <w:bCs/>
                      <w:color w:val="auto"/>
                      <w:sz w:val="21"/>
                      <w:szCs w:val="21"/>
                      <w:vertAlign w:val="baseline"/>
                      <w:lang w:val="en-US" w:eastAsia="zh-CN"/>
                    </w:rPr>
                    <w:t>废气</w:t>
                  </w:r>
                </w:p>
              </w:tc>
              <w:tc>
                <w:tcPr>
                  <w:tcW w:w="1064" w:type="pct"/>
                  <w:vAlign w:val="center"/>
                </w:tcPr>
                <w:p w14:paraId="388D799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烘烤废气</w:t>
                  </w:r>
                </w:p>
              </w:tc>
              <w:tc>
                <w:tcPr>
                  <w:tcW w:w="1038" w:type="pct"/>
                  <w:vAlign w:val="center"/>
                </w:tcPr>
                <w:p w14:paraId="5A85679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油烟</w:t>
                  </w:r>
                </w:p>
              </w:tc>
              <w:tc>
                <w:tcPr>
                  <w:tcW w:w="750" w:type="pct"/>
                  <w:vAlign w:val="center"/>
                </w:tcPr>
                <w:p w14:paraId="6067AEE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持续</w:t>
                  </w:r>
                </w:p>
              </w:tc>
              <w:tc>
                <w:tcPr>
                  <w:tcW w:w="1640" w:type="pct"/>
                  <w:vMerge w:val="restart"/>
                  <w:vAlign w:val="center"/>
                </w:tcPr>
                <w:p w14:paraId="62185FF8">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left"/>
                    <w:textAlignment w:val="auto"/>
                    <w:rPr>
                      <w:rFonts w:hint="default" w:ascii="Times New Roman" w:hAnsi="Times New Roman" w:cs="Times New Roman"/>
                      <w:b w:val="0"/>
                      <w:bCs w:val="0"/>
                      <w:color w:val="auto"/>
                      <w:sz w:val="21"/>
                      <w:szCs w:val="21"/>
                      <w:vertAlign w:val="baseline"/>
                    </w:rPr>
                  </w:pPr>
                  <w:r>
                    <w:rPr>
                      <w:rFonts w:hint="default" w:ascii="Times New Roman" w:hAnsi="Times New Roman" w:cs="Times New Roman"/>
                      <w:b w:val="0"/>
                      <w:bCs w:val="0"/>
                      <w:color w:val="auto"/>
                      <w:sz w:val="21"/>
                      <w:szCs w:val="21"/>
                      <w:vertAlign w:val="baseline"/>
                    </w:rPr>
                    <w:t>静电式油烟净化器+</w:t>
                  </w:r>
                  <w:r>
                    <w:rPr>
                      <w:rFonts w:hint="eastAsia" w:ascii="Times New Roman" w:hAnsi="Times New Roman" w:cs="Times New Roman"/>
                      <w:b w:val="0"/>
                      <w:bCs w:val="0"/>
                      <w:color w:val="auto"/>
                      <w:sz w:val="21"/>
                      <w:szCs w:val="21"/>
                      <w:vertAlign w:val="baseline"/>
                      <w:lang w:val="en-US" w:eastAsia="zh-CN"/>
                    </w:rPr>
                    <w:t>屋顶排放</w:t>
                  </w:r>
                  <w:r>
                    <w:rPr>
                      <w:rFonts w:hint="default" w:ascii="Times New Roman" w:hAnsi="Times New Roman" w:cs="Times New Roman"/>
                      <w:b w:val="0"/>
                      <w:bCs w:val="0"/>
                      <w:color w:val="auto"/>
                      <w:sz w:val="21"/>
                      <w:szCs w:val="21"/>
                      <w:vertAlign w:val="baseline"/>
                    </w:rPr>
                    <w:t>（DA00</w:t>
                  </w:r>
                  <w:r>
                    <w:rPr>
                      <w:rFonts w:hint="eastAsia" w:ascii="Times New Roman" w:hAnsi="Times New Roman" w:cs="Times New Roman"/>
                      <w:b w:val="0"/>
                      <w:bCs w:val="0"/>
                      <w:color w:val="auto"/>
                      <w:sz w:val="21"/>
                      <w:szCs w:val="21"/>
                      <w:vertAlign w:val="baseline"/>
                      <w:lang w:val="en-US" w:eastAsia="zh-CN"/>
                    </w:rPr>
                    <w:t>2</w:t>
                  </w:r>
                  <w:r>
                    <w:rPr>
                      <w:rFonts w:hint="default" w:ascii="Times New Roman" w:hAnsi="Times New Roman" w:cs="Times New Roman"/>
                      <w:b w:val="0"/>
                      <w:bCs w:val="0"/>
                      <w:color w:val="auto"/>
                      <w:sz w:val="21"/>
                      <w:szCs w:val="21"/>
                      <w:vertAlign w:val="baseline"/>
                    </w:rPr>
                    <w:t>）</w:t>
                  </w:r>
                </w:p>
              </w:tc>
            </w:tr>
            <w:tr w14:paraId="132CF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6" w:type="pct"/>
                  <w:vMerge w:val="continue"/>
                  <w:vAlign w:val="center"/>
                </w:tcPr>
                <w:p w14:paraId="2E987822">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1064" w:type="pct"/>
                  <w:vAlign w:val="center"/>
                </w:tcPr>
                <w:p w14:paraId="2BF6E961">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腌制及蒸煮废气</w:t>
                  </w:r>
                </w:p>
              </w:tc>
              <w:tc>
                <w:tcPr>
                  <w:tcW w:w="1038" w:type="pct"/>
                  <w:vAlign w:val="center"/>
                </w:tcPr>
                <w:p w14:paraId="02F1FA52">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异味（臭气浓度）</w:t>
                  </w:r>
                </w:p>
              </w:tc>
              <w:tc>
                <w:tcPr>
                  <w:tcW w:w="750" w:type="pct"/>
                  <w:vAlign w:val="center"/>
                </w:tcPr>
                <w:p w14:paraId="0BF91A6F">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val="0"/>
                      <w:color w:val="auto"/>
                      <w:sz w:val="21"/>
                      <w:szCs w:val="21"/>
                      <w:vertAlign w:val="baseline"/>
                    </w:rPr>
                  </w:pPr>
                  <w:r>
                    <w:rPr>
                      <w:rFonts w:hint="eastAsia" w:ascii="Times New Roman" w:hAnsi="Times New Roman" w:cs="Times New Roman"/>
                      <w:b w:val="0"/>
                      <w:bCs w:val="0"/>
                      <w:color w:val="auto"/>
                      <w:sz w:val="21"/>
                      <w:szCs w:val="21"/>
                      <w:vertAlign w:val="baseline"/>
                      <w:lang w:val="en-US" w:eastAsia="zh-CN"/>
                    </w:rPr>
                    <w:t>持续</w:t>
                  </w:r>
                </w:p>
              </w:tc>
              <w:tc>
                <w:tcPr>
                  <w:tcW w:w="1640" w:type="pct"/>
                  <w:vMerge w:val="continue"/>
                  <w:vAlign w:val="center"/>
                </w:tcPr>
                <w:p w14:paraId="6F0AB76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val="0"/>
                      <w:color w:val="auto"/>
                      <w:sz w:val="21"/>
                      <w:szCs w:val="21"/>
                      <w:vertAlign w:val="baseline"/>
                    </w:rPr>
                  </w:pPr>
                </w:p>
              </w:tc>
            </w:tr>
            <w:tr w14:paraId="6010E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6" w:type="pct"/>
                  <w:vMerge w:val="continue"/>
                  <w:vAlign w:val="center"/>
                </w:tcPr>
                <w:p w14:paraId="4EC2ECB1">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1064" w:type="pct"/>
                  <w:vAlign w:val="center"/>
                </w:tcPr>
                <w:p w14:paraId="60B3DED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制冷系统废气</w:t>
                  </w:r>
                </w:p>
              </w:tc>
              <w:tc>
                <w:tcPr>
                  <w:tcW w:w="1038" w:type="pct"/>
                  <w:vAlign w:val="center"/>
                </w:tcPr>
                <w:p w14:paraId="5F444D4C">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氨</w:t>
                  </w:r>
                </w:p>
              </w:tc>
              <w:tc>
                <w:tcPr>
                  <w:tcW w:w="750" w:type="pct"/>
                  <w:vAlign w:val="center"/>
                </w:tcPr>
                <w:p w14:paraId="0857B2A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间断</w:t>
                  </w:r>
                </w:p>
              </w:tc>
              <w:tc>
                <w:tcPr>
                  <w:tcW w:w="1640" w:type="pct"/>
                  <w:vAlign w:val="center"/>
                </w:tcPr>
                <w:p w14:paraId="796B31D8">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left"/>
                    <w:textAlignment w:val="auto"/>
                    <w:rPr>
                      <w:rFonts w:hint="default" w:ascii="Times New Roman" w:hAnsi="Times New Roman" w:cs="Times New Roman"/>
                      <w:b w:val="0"/>
                      <w:bCs w:val="0"/>
                      <w:color w:val="auto"/>
                      <w:sz w:val="21"/>
                      <w:szCs w:val="21"/>
                      <w:vertAlign w:val="baseline"/>
                    </w:rPr>
                  </w:pPr>
                  <w:r>
                    <w:rPr>
                      <w:rFonts w:hint="default" w:ascii="Times New Roman" w:hAnsi="Times New Roman" w:cs="Times New Roman"/>
                      <w:b w:val="0"/>
                      <w:bCs w:val="0"/>
                      <w:color w:val="auto"/>
                      <w:sz w:val="21"/>
                      <w:szCs w:val="21"/>
                      <w:vertAlign w:val="baseline"/>
                      <w:lang w:val="en-US" w:eastAsia="zh-CN"/>
                    </w:rPr>
                    <w:t>采用符合环保要求的“氨”（R717）作制冷剂，</w:t>
                  </w:r>
                  <w:r>
                    <w:rPr>
                      <w:rFonts w:hint="default" w:ascii="Times New Roman" w:hAnsi="Times New Roman" w:cs="Times New Roman"/>
                      <w:b w:val="0"/>
                      <w:bCs w:val="0"/>
                      <w:color w:val="auto"/>
                      <w:sz w:val="21"/>
                      <w:szCs w:val="21"/>
                      <w:vertAlign w:val="baseline"/>
                    </w:rPr>
                    <w:t>定期对制冷系统密封检查和检测，及时更换老化阀门和管道</w:t>
                  </w:r>
                </w:p>
              </w:tc>
            </w:tr>
            <w:tr w14:paraId="21CFF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6" w:type="pct"/>
                  <w:vMerge w:val="continue"/>
                  <w:vAlign w:val="center"/>
                </w:tcPr>
                <w:p w14:paraId="459CE862">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1064" w:type="pct"/>
                  <w:vAlign w:val="center"/>
                </w:tcPr>
                <w:p w14:paraId="6A7CAF7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污水处理站废气</w:t>
                  </w:r>
                </w:p>
              </w:tc>
              <w:tc>
                <w:tcPr>
                  <w:tcW w:w="1038" w:type="pct"/>
                  <w:vAlign w:val="center"/>
                </w:tcPr>
                <w:p w14:paraId="10462EF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臭气浓度、氨气、硫化氢</w:t>
                  </w:r>
                </w:p>
              </w:tc>
              <w:tc>
                <w:tcPr>
                  <w:tcW w:w="750" w:type="pct"/>
                  <w:vAlign w:val="center"/>
                </w:tcPr>
                <w:p w14:paraId="7165EDC9">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val="0"/>
                      <w:color w:val="auto"/>
                      <w:sz w:val="21"/>
                      <w:szCs w:val="21"/>
                      <w:vertAlign w:val="baseline"/>
                    </w:rPr>
                  </w:pPr>
                  <w:r>
                    <w:rPr>
                      <w:rFonts w:hint="eastAsia" w:ascii="Times New Roman" w:hAnsi="Times New Roman" w:cs="Times New Roman"/>
                      <w:b w:val="0"/>
                      <w:bCs w:val="0"/>
                      <w:color w:val="auto"/>
                      <w:sz w:val="21"/>
                      <w:szCs w:val="21"/>
                      <w:vertAlign w:val="baseline"/>
                      <w:lang w:val="en-US" w:eastAsia="zh-CN"/>
                    </w:rPr>
                    <w:t>持续</w:t>
                  </w:r>
                </w:p>
              </w:tc>
              <w:tc>
                <w:tcPr>
                  <w:tcW w:w="1640" w:type="pct"/>
                  <w:vAlign w:val="center"/>
                </w:tcPr>
                <w:p w14:paraId="04CE10A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val="0"/>
                      <w:color w:val="auto"/>
                      <w:sz w:val="21"/>
                      <w:szCs w:val="21"/>
                      <w:vertAlign w:val="baseline"/>
                    </w:rPr>
                  </w:pPr>
                  <w:r>
                    <w:rPr>
                      <w:rFonts w:hint="default" w:ascii="Times New Roman" w:hAnsi="Times New Roman" w:cs="Times New Roman"/>
                      <w:b w:val="0"/>
                      <w:bCs w:val="0"/>
                      <w:color w:val="auto"/>
                      <w:sz w:val="21"/>
                      <w:szCs w:val="21"/>
                      <w:vertAlign w:val="baseline"/>
                    </w:rPr>
                    <w:t>活性炭吸附装置</w:t>
                  </w:r>
                  <w:r>
                    <w:rPr>
                      <w:rFonts w:hint="eastAsia" w:ascii="Times New Roman" w:hAnsi="Times New Roman" w:cs="Times New Roman"/>
                      <w:b w:val="0"/>
                      <w:bCs w:val="0"/>
                      <w:color w:val="auto"/>
                      <w:sz w:val="21"/>
                      <w:szCs w:val="21"/>
                      <w:vertAlign w:val="baseline"/>
                      <w:lang w:val="en-US" w:eastAsia="zh-CN"/>
                    </w:rPr>
                    <w:t>＋</w:t>
                  </w:r>
                  <w:r>
                    <w:rPr>
                      <w:rFonts w:hint="default" w:ascii="Times New Roman" w:hAnsi="Times New Roman" w:cs="Times New Roman"/>
                      <w:b w:val="0"/>
                      <w:bCs w:val="0"/>
                      <w:color w:val="auto"/>
                      <w:sz w:val="21"/>
                      <w:szCs w:val="21"/>
                      <w:vertAlign w:val="baseline"/>
                    </w:rPr>
                    <w:t>15m高排气筒排放（DA00</w:t>
                  </w:r>
                  <w:r>
                    <w:rPr>
                      <w:rFonts w:hint="eastAsia" w:ascii="Times New Roman" w:hAnsi="Times New Roman" w:cs="Times New Roman"/>
                      <w:b w:val="0"/>
                      <w:bCs w:val="0"/>
                      <w:color w:val="auto"/>
                      <w:sz w:val="21"/>
                      <w:szCs w:val="21"/>
                      <w:vertAlign w:val="baseline"/>
                      <w:lang w:val="en-US" w:eastAsia="zh-CN"/>
                    </w:rPr>
                    <w:t>1</w:t>
                  </w:r>
                  <w:r>
                    <w:rPr>
                      <w:rFonts w:hint="default" w:ascii="Times New Roman" w:hAnsi="Times New Roman" w:cs="Times New Roman"/>
                      <w:b w:val="0"/>
                      <w:bCs w:val="0"/>
                      <w:color w:val="auto"/>
                      <w:sz w:val="21"/>
                      <w:szCs w:val="21"/>
                      <w:vertAlign w:val="baseline"/>
                    </w:rPr>
                    <w:t>）</w:t>
                  </w:r>
                </w:p>
              </w:tc>
            </w:tr>
          </w:tbl>
          <w:p w14:paraId="1598FF23">
            <w:pPr>
              <w:pStyle w:val="68"/>
              <w:ind w:firstLine="482"/>
              <w:rPr>
                <w:rFonts w:cs="Times New Roman"/>
                <w:b/>
                <w:bCs/>
                <w:color w:val="auto"/>
              </w:rPr>
            </w:pPr>
            <w:r>
              <w:rPr>
                <w:rFonts w:cs="Times New Roman"/>
                <w:b/>
                <w:bCs/>
                <w:color w:val="auto"/>
              </w:rPr>
              <w:t>1.2</w:t>
            </w:r>
            <w:r>
              <w:rPr>
                <w:rFonts w:hint="eastAsia" w:cs="Times New Roman"/>
                <w:b/>
                <w:bCs/>
                <w:color w:val="auto"/>
                <w:lang w:eastAsia="zh-CN"/>
              </w:rPr>
              <w:t>、</w:t>
            </w:r>
            <w:r>
              <w:rPr>
                <w:rFonts w:cs="Times New Roman"/>
                <w:b/>
                <w:bCs/>
                <w:color w:val="auto"/>
              </w:rPr>
              <w:t>废气产排及治理措施情况</w:t>
            </w:r>
          </w:p>
          <w:bookmarkEnd w:id="17"/>
          <w:p w14:paraId="13EE78AF">
            <w:pPr>
              <w:pStyle w:val="155"/>
              <w:adjustRightInd w:val="0"/>
              <w:snapToGrid w:val="0"/>
              <w:ind w:left="420" w:leftChars="200" w:firstLine="0" w:firstLineChars="0"/>
              <w:rPr>
                <w:color w:val="auto"/>
              </w:rPr>
            </w:pPr>
            <w:r>
              <w:rPr>
                <w:rFonts w:hint="eastAsia"/>
                <w:color w:val="auto"/>
                <w:kern w:val="0"/>
                <w:sz w:val="24"/>
                <w:lang w:bidi="ar"/>
              </w:rPr>
              <w:t>（1）</w:t>
            </w:r>
            <w:r>
              <w:rPr>
                <w:bCs/>
                <w:color w:val="auto"/>
              </w:rPr>
              <w:t>污水处理站恶臭</w:t>
            </w:r>
          </w:p>
          <w:p w14:paraId="1B5A0D26">
            <w:pPr>
              <w:pStyle w:val="68"/>
              <w:ind w:firstLine="480"/>
              <w:rPr>
                <w:bCs/>
                <w:color w:val="auto"/>
              </w:rPr>
            </w:pPr>
            <w:r>
              <w:rPr>
                <w:bCs/>
                <w:color w:val="auto"/>
              </w:rPr>
              <w:t>本项目</w:t>
            </w:r>
            <w:r>
              <w:rPr>
                <w:rFonts w:hint="eastAsia"/>
                <w:bCs/>
                <w:color w:val="auto"/>
              </w:rPr>
              <w:t>废水由</w:t>
            </w:r>
            <w:r>
              <w:rPr>
                <w:bCs/>
                <w:color w:val="auto"/>
              </w:rPr>
              <w:t>污水处理站进行处理，处理达标后排入市政污水管网。污水处理站主要工艺为</w:t>
            </w:r>
            <w:r>
              <w:rPr>
                <w:rFonts w:hint="eastAsia"/>
                <w:bCs/>
                <w:color w:val="auto"/>
                <w:lang w:eastAsia="zh-CN"/>
              </w:rPr>
              <w:t>“</w:t>
            </w:r>
            <w:r>
              <w:rPr>
                <w:rFonts w:hint="eastAsia"/>
                <w:bCs/>
                <w:color w:val="auto"/>
                <w:lang w:val="en-US" w:eastAsia="zh-CN"/>
              </w:rPr>
              <w:t>格栅→收集池→气浮机→厌氧池→缺氧池→好氧池→二沉池→消毒池处理</w:t>
            </w:r>
            <w:r>
              <w:rPr>
                <w:rFonts w:hint="eastAsia"/>
                <w:bCs/>
                <w:color w:val="auto"/>
                <w:lang w:eastAsia="zh-CN"/>
              </w:rPr>
              <w:t>”</w:t>
            </w:r>
            <w:r>
              <w:rPr>
                <w:bCs/>
                <w:color w:val="auto"/>
              </w:rPr>
              <w:t>，污水处理站会产生一定量的恶臭气体，</w:t>
            </w:r>
            <w:r>
              <w:rPr>
                <w:rFonts w:hint="eastAsia"/>
                <w:bCs/>
                <w:color w:val="auto"/>
              </w:rPr>
              <w:t>主要成分为</w:t>
            </w:r>
            <w:r>
              <w:rPr>
                <w:bCs/>
                <w:color w:val="auto"/>
              </w:rPr>
              <w:t>氨、硫化氢等。</w:t>
            </w:r>
          </w:p>
          <w:p w14:paraId="7ED65E9E">
            <w:pPr>
              <w:pStyle w:val="68"/>
              <w:ind w:firstLine="480"/>
              <w:rPr>
                <w:bCs/>
                <w:color w:val="auto"/>
              </w:rPr>
            </w:pPr>
            <w:r>
              <w:rPr>
                <w:bCs/>
                <w:color w:val="auto"/>
              </w:rPr>
              <w:t>根据美国EPA的研究调查，每处理1g的BOD</w:t>
            </w:r>
            <w:r>
              <w:rPr>
                <w:bCs/>
                <w:color w:val="auto"/>
                <w:vertAlign w:val="subscript"/>
              </w:rPr>
              <w:t>5</w:t>
            </w:r>
            <w:r>
              <w:rPr>
                <w:bCs/>
                <w:color w:val="auto"/>
              </w:rPr>
              <w:t>则产生0.0031gNH</w:t>
            </w:r>
            <w:r>
              <w:rPr>
                <w:bCs/>
                <w:color w:val="auto"/>
                <w:vertAlign w:val="subscript"/>
              </w:rPr>
              <w:t>3</w:t>
            </w:r>
            <w:r>
              <w:rPr>
                <w:bCs/>
                <w:color w:val="auto"/>
              </w:rPr>
              <w:t>和0.00012gH</w:t>
            </w:r>
            <w:r>
              <w:rPr>
                <w:bCs/>
                <w:color w:val="auto"/>
                <w:vertAlign w:val="subscript"/>
              </w:rPr>
              <w:t>2</w:t>
            </w:r>
            <w:r>
              <w:rPr>
                <w:bCs/>
                <w:color w:val="auto"/>
              </w:rPr>
              <w:t>S。根据项目废水源强分析计算，本项目BOD</w:t>
            </w:r>
            <w:r>
              <w:rPr>
                <w:bCs/>
                <w:color w:val="auto"/>
                <w:vertAlign w:val="subscript"/>
              </w:rPr>
              <w:t>5</w:t>
            </w:r>
            <w:r>
              <w:rPr>
                <w:bCs/>
                <w:color w:val="auto"/>
              </w:rPr>
              <w:t>处理量为</w:t>
            </w:r>
            <w:r>
              <w:rPr>
                <w:rFonts w:hint="eastAsia" w:cs="Times New Roman"/>
                <w:color w:val="auto"/>
                <w:lang w:val="en-US" w:eastAsia="zh-CN" w:bidi="ar"/>
              </w:rPr>
              <w:t>0.78</w:t>
            </w:r>
            <w:r>
              <w:rPr>
                <w:bCs/>
                <w:color w:val="auto"/>
              </w:rPr>
              <w:t>t/a，计算可得污水处理站恶臭NH</w:t>
            </w:r>
            <w:r>
              <w:rPr>
                <w:bCs/>
                <w:color w:val="auto"/>
                <w:vertAlign w:val="subscript"/>
              </w:rPr>
              <w:t>3</w:t>
            </w:r>
            <w:r>
              <w:rPr>
                <w:bCs/>
                <w:color w:val="auto"/>
              </w:rPr>
              <w:t>、H</w:t>
            </w:r>
            <w:r>
              <w:rPr>
                <w:bCs/>
                <w:color w:val="auto"/>
                <w:vertAlign w:val="subscript"/>
              </w:rPr>
              <w:t>2</w:t>
            </w:r>
            <w:r>
              <w:rPr>
                <w:bCs/>
                <w:color w:val="auto"/>
              </w:rPr>
              <w:t>S的产生量分别为</w:t>
            </w:r>
            <w:r>
              <w:rPr>
                <w:rFonts w:hint="eastAsia"/>
                <w:bCs/>
                <w:color w:val="auto"/>
                <w:lang w:val="en-US" w:eastAsia="zh-CN"/>
              </w:rPr>
              <w:t>2.42</w:t>
            </w:r>
            <w:r>
              <w:rPr>
                <w:rFonts w:hint="eastAsia"/>
                <w:bCs/>
                <w:color w:val="auto"/>
              </w:rPr>
              <w:t>kg</w:t>
            </w:r>
            <w:r>
              <w:rPr>
                <w:bCs/>
                <w:color w:val="auto"/>
              </w:rPr>
              <w:t>/a、</w:t>
            </w:r>
            <w:r>
              <w:rPr>
                <w:rFonts w:hint="eastAsia"/>
                <w:bCs/>
                <w:color w:val="auto"/>
                <w:lang w:val="en-US" w:eastAsia="zh-CN"/>
              </w:rPr>
              <w:t>0.09</w:t>
            </w:r>
            <w:r>
              <w:rPr>
                <w:rFonts w:hint="eastAsia"/>
                <w:bCs/>
                <w:color w:val="auto"/>
              </w:rPr>
              <w:t>kg</w:t>
            </w:r>
            <w:r>
              <w:rPr>
                <w:bCs/>
                <w:color w:val="auto"/>
              </w:rPr>
              <w:t>/a。</w:t>
            </w:r>
          </w:p>
          <w:p w14:paraId="0647F655">
            <w:pPr>
              <w:pStyle w:val="68"/>
              <w:ind w:firstLine="480"/>
              <w:rPr>
                <w:color w:val="auto"/>
              </w:rPr>
            </w:pPr>
            <w:r>
              <w:rPr>
                <w:color w:val="auto"/>
              </w:rPr>
              <w:t>根据《屠宰与肉类加工废水治理工程技术规范》（HJ2004-2010）第5.1.2条规定：“屠宰与肉类加工废水处理工艺应包含消毒及除臭单元”。污水处理站应设计为密闭式，污泥应及时浓缩脱水加工污泥饼，污泥饼应及时清运。</w:t>
            </w:r>
          </w:p>
          <w:p w14:paraId="5DA10766">
            <w:pPr>
              <w:pStyle w:val="68"/>
              <w:ind w:firstLine="480"/>
              <w:rPr>
                <w:bCs/>
                <w:color w:val="auto"/>
              </w:rPr>
            </w:pPr>
            <w:r>
              <w:rPr>
                <w:color w:val="auto"/>
              </w:rPr>
              <w:t>本项目污水处理单元除臭采用</w:t>
            </w:r>
            <w:r>
              <w:rPr>
                <w:rFonts w:hint="eastAsia"/>
                <w:color w:val="auto"/>
                <w:lang w:val="en-US" w:eastAsia="zh-CN"/>
              </w:rPr>
              <w:t>活性炭吸附</w:t>
            </w:r>
            <w:r>
              <w:rPr>
                <w:color w:val="auto"/>
              </w:rPr>
              <w:t>除臭工艺，集气效率约90%，</w:t>
            </w:r>
            <w:r>
              <w:rPr>
                <w:rFonts w:hint="eastAsia"/>
                <w:color w:val="auto"/>
              </w:rPr>
              <w:t>去除</w:t>
            </w:r>
            <w:r>
              <w:rPr>
                <w:color w:val="auto"/>
              </w:rPr>
              <w:t>效率约80%，通过引风机收集的废气进入</w:t>
            </w:r>
            <w:r>
              <w:rPr>
                <w:rFonts w:hint="eastAsia"/>
                <w:color w:val="auto"/>
                <w:lang w:val="en-US" w:eastAsia="zh-CN"/>
              </w:rPr>
              <w:t>活性炭吸附</w:t>
            </w:r>
            <w:r>
              <w:rPr>
                <w:color w:val="auto"/>
              </w:rPr>
              <w:t>装置进行除臭处理，处理后经15m高排气筒(</w:t>
            </w:r>
            <w:r>
              <w:rPr>
                <w:rFonts w:hint="eastAsia"/>
                <w:color w:val="auto"/>
                <w:lang w:val="en-US" w:eastAsia="zh-CN"/>
              </w:rPr>
              <w:t>DA001</w:t>
            </w:r>
            <w:r>
              <w:rPr>
                <w:color w:val="auto"/>
              </w:rPr>
              <w:t>)排放，</w:t>
            </w:r>
            <w:r>
              <w:rPr>
                <w:color w:val="auto"/>
                <w:sz w:val="24"/>
              </w:rPr>
              <w:t>集气装置风量</w:t>
            </w:r>
            <w:r>
              <w:rPr>
                <w:rFonts w:hint="eastAsia"/>
                <w:color w:val="auto"/>
                <w:sz w:val="24"/>
                <w:lang w:val="en-US" w:eastAsia="zh-CN"/>
              </w:rPr>
              <w:t>1</w:t>
            </w:r>
            <w:r>
              <w:rPr>
                <w:color w:val="auto"/>
                <w:sz w:val="24"/>
              </w:rPr>
              <w:t>000m</w:t>
            </w:r>
            <w:r>
              <w:rPr>
                <w:color w:val="auto"/>
                <w:sz w:val="24"/>
                <w:vertAlign w:val="superscript"/>
              </w:rPr>
              <w:t>3</w:t>
            </w:r>
            <w:r>
              <w:rPr>
                <w:color w:val="auto"/>
                <w:sz w:val="24"/>
              </w:rPr>
              <w:t>/h，</w:t>
            </w:r>
            <w:r>
              <w:rPr>
                <w:color w:val="auto"/>
              </w:rPr>
              <w:t>处理后</w:t>
            </w:r>
            <w:r>
              <w:rPr>
                <w:bCs/>
                <w:color w:val="auto"/>
              </w:rPr>
              <w:t>NH</w:t>
            </w:r>
            <w:r>
              <w:rPr>
                <w:bCs/>
                <w:color w:val="auto"/>
                <w:vertAlign w:val="subscript"/>
              </w:rPr>
              <w:t>3</w:t>
            </w:r>
            <w:r>
              <w:rPr>
                <w:color w:val="auto"/>
              </w:rPr>
              <w:t>排放量为</w:t>
            </w:r>
            <w:r>
              <w:rPr>
                <w:rFonts w:hint="eastAsia"/>
                <w:bCs/>
                <w:color w:val="auto"/>
                <w:lang w:val="en-US" w:eastAsia="zh-CN"/>
              </w:rPr>
              <w:t>0.44</w:t>
            </w:r>
            <w:r>
              <w:rPr>
                <w:color w:val="auto"/>
              </w:rPr>
              <w:t>kg/a，排放速率为0.0</w:t>
            </w:r>
            <w:r>
              <w:rPr>
                <w:rFonts w:hint="eastAsia"/>
                <w:color w:val="auto"/>
              </w:rPr>
              <w:t>0</w:t>
            </w:r>
            <w:r>
              <w:rPr>
                <w:rFonts w:hint="eastAsia"/>
                <w:color w:val="auto"/>
                <w:lang w:val="en-US" w:eastAsia="zh-CN"/>
              </w:rPr>
              <w:t>02</w:t>
            </w:r>
            <w:r>
              <w:rPr>
                <w:color w:val="auto"/>
              </w:rPr>
              <w:t>kg/h，排放</w:t>
            </w:r>
            <w:r>
              <w:rPr>
                <w:rFonts w:hint="eastAsia"/>
                <w:color w:val="auto"/>
                <w:lang w:val="en-US" w:eastAsia="zh-CN"/>
              </w:rPr>
              <w:t>浓度</w:t>
            </w:r>
            <w:r>
              <w:rPr>
                <w:color w:val="auto"/>
              </w:rPr>
              <w:t>为</w:t>
            </w:r>
            <w:r>
              <w:rPr>
                <w:rFonts w:hint="eastAsia"/>
                <w:color w:val="auto"/>
                <w:lang w:val="en-US" w:eastAsia="zh-CN"/>
              </w:rPr>
              <w:t>0.21</w:t>
            </w:r>
            <w:r>
              <w:rPr>
                <w:color w:val="auto"/>
                <w:sz w:val="24"/>
              </w:rPr>
              <w:t>mg/m</w:t>
            </w:r>
            <w:r>
              <w:rPr>
                <w:color w:val="auto"/>
                <w:sz w:val="24"/>
                <w:vertAlign w:val="superscript"/>
              </w:rPr>
              <w:t>3</w:t>
            </w:r>
            <w:r>
              <w:rPr>
                <w:rFonts w:hint="eastAsia"/>
                <w:color w:val="auto"/>
                <w:lang w:eastAsia="zh-CN"/>
              </w:rPr>
              <w:t>。</w:t>
            </w:r>
            <w:r>
              <w:rPr>
                <w:bCs/>
                <w:color w:val="auto"/>
              </w:rPr>
              <w:t>H</w:t>
            </w:r>
            <w:r>
              <w:rPr>
                <w:bCs/>
                <w:color w:val="auto"/>
                <w:vertAlign w:val="subscript"/>
              </w:rPr>
              <w:t>2</w:t>
            </w:r>
            <w:r>
              <w:rPr>
                <w:bCs/>
                <w:color w:val="auto"/>
              </w:rPr>
              <w:t>S排放量为</w:t>
            </w:r>
            <w:r>
              <w:rPr>
                <w:rFonts w:hint="eastAsia"/>
                <w:bCs/>
                <w:color w:val="auto"/>
                <w:lang w:val="en-US" w:eastAsia="zh-CN"/>
              </w:rPr>
              <w:t>0.02</w:t>
            </w:r>
            <w:r>
              <w:rPr>
                <w:bCs/>
                <w:color w:val="auto"/>
              </w:rPr>
              <w:t>kg/a，排放速率为</w:t>
            </w:r>
            <w:r>
              <w:rPr>
                <w:rFonts w:hint="eastAsia"/>
                <w:bCs/>
                <w:color w:val="auto"/>
                <w:lang w:val="en-US" w:eastAsia="zh-CN"/>
              </w:rPr>
              <w:t>0.0000081</w:t>
            </w:r>
            <w:r>
              <w:rPr>
                <w:bCs/>
                <w:color w:val="auto"/>
              </w:rPr>
              <w:t>kg/h</w:t>
            </w:r>
            <w:r>
              <w:rPr>
                <w:color w:val="auto"/>
              </w:rPr>
              <w:t>，排放</w:t>
            </w:r>
            <w:r>
              <w:rPr>
                <w:rFonts w:hint="eastAsia"/>
                <w:color w:val="auto"/>
                <w:lang w:val="en-US" w:eastAsia="zh-CN"/>
              </w:rPr>
              <w:t>浓度</w:t>
            </w:r>
            <w:r>
              <w:rPr>
                <w:color w:val="auto"/>
              </w:rPr>
              <w:t>为</w:t>
            </w:r>
            <w:r>
              <w:rPr>
                <w:rFonts w:hint="eastAsia"/>
                <w:color w:val="auto"/>
                <w:lang w:val="en-US" w:eastAsia="zh-CN"/>
              </w:rPr>
              <w:t>0.008</w:t>
            </w:r>
            <w:r>
              <w:rPr>
                <w:color w:val="auto"/>
                <w:sz w:val="24"/>
              </w:rPr>
              <w:t>mg/m</w:t>
            </w:r>
            <w:r>
              <w:rPr>
                <w:color w:val="auto"/>
                <w:sz w:val="24"/>
                <w:vertAlign w:val="superscript"/>
              </w:rPr>
              <w:t>3</w:t>
            </w:r>
            <w:r>
              <w:rPr>
                <w:color w:val="auto"/>
              </w:rPr>
              <w:t>。未被引风机收集的废气以无组织形式排放，</w:t>
            </w:r>
            <w:r>
              <w:rPr>
                <w:bCs/>
                <w:color w:val="auto"/>
              </w:rPr>
              <w:t>NH</w:t>
            </w:r>
            <w:r>
              <w:rPr>
                <w:bCs/>
                <w:color w:val="auto"/>
                <w:vertAlign w:val="subscript"/>
              </w:rPr>
              <w:t>3</w:t>
            </w:r>
            <w:r>
              <w:rPr>
                <w:bCs/>
                <w:color w:val="auto"/>
              </w:rPr>
              <w:t>无组织</w:t>
            </w:r>
            <w:r>
              <w:rPr>
                <w:color w:val="auto"/>
              </w:rPr>
              <w:t>排放量为</w:t>
            </w:r>
            <w:r>
              <w:rPr>
                <w:rFonts w:hint="eastAsia"/>
                <w:color w:val="auto"/>
                <w:lang w:val="en-US" w:eastAsia="zh-CN"/>
              </w:rPr>
              <w:t>0.24</w:t>
            </w:r>
            <w:r>
              <w:rPr>
                <w:color w:val="auto"/>
              </w:rPr>
              <w:t>kg/a</w:t>
            </w:r>
            <w:r>
              <w:rPr>
                <w:rFonts w:hint="eastAsia"/>
                <w:color w:val="auto"/>
                <w:lang w:eastAsia="zh-CN"/>
              </w:rPr>
              <w:t>，</w:t>
            </w:r>
            <w:r>
              <w:rPr>
                <w:bCs/>
                <w:color w:val="auto"/>
              </w:rPr>
              <w:t>排放速率为</w:t>
            </w:r>
            <w:r>
              <w:rPr>
                <w:rFonts w:hint="eastAsia"/>
                <w:bCs/>
                <w:color w:val="auto"/>
                <w:lang w:val="en-US" w:eastAsia="zh-CN"/>
              </w:rPr>
              <w:t>0.00012k</w:t>
            </w:r>
            <w:r>
              <w:rPr>
                <w:bCs/>
                <w:color w:val="auto"/>
              </w:rPr>
              <w:t>g/h</w:t>
            </w:r>
            <w:r>
              <w:rPr>
                <w:color w:val="auto"/>
              </w:rPr>
              <w:t>，</w:t>
            </w:r>
            <w:r>
              <w:rPr>
                <w:bCs/>
                <w:color w:val="auto"/>
              </w:rPr>
              <w:t>H</w:t>
            </w:r>
            <w:r>
              <w:rPr>
                <w:bCs/>
                <w:color w:val="auto"/>
                <w:vertAlign w:val="subscript"/>
              </w:rPr>
              <w:t>2</w:t>
            </w:r>
            <w:r>
              <w:rPr>
                <w:bCs/>
                <w:color w:val="auto"/>
              </w:rPr>
              <w:t>S无组织排放量为</w:t>
            </w:r>
            <w:r>
              <w:rPr>
                <w:rFonts w:hint="eastAsia"/>
                <w:bCs/>
                <w:color w:val="auto"/>
                <w:lang w:val="en-US" w:eastAsia="zh-CN"/>
              </w:rPr>
              <w:t>0.009</w:t>
            </w:r>
            <w:r>
              <w:rPr>
                <w:bCs/>
                <w:color w:val="auto"/>
              </w:rPr>
              <w:t>kg/a</w:t>
            </w:r>
            <w:r>
              <w:rPr>
                <w:rFonts w:hint="eastAsia"/>
                <w:color w:val="auto"/>
                <w:lang w:eastAsia="zh-CN"/>
              </w:rPr>
              <w:t>，</w:t>
            </w:r>
            <w:r>
              <w:rPr>
                <w:bCs/>
                <w:color w:val="auto"/>
              </w:rPr>
              <w:t>排放速率为</w:t>
            </w:r>
            <w:r>
              <w:rPr>
                <w:rFonts w:hint="eastAsia"/>
                <w:bCs/>
                <w:color w:val="auto"/>
                <w:lang w:val="en-US" w:eastAsia="zh-CN"/>
              </w:rPr>
              <w:t>0.0000045k</w:t>
            </w:r>
            <w:r>
              <w:rPr>
                <w:bCs/>
                <w:color w:val="auto"/>
              </w:rPr>
              <w:t>g/h。</w:t>
            </w:r>
          </w:p>
          <w:p w14:paraId="0D222EB0">
            <w:pPr>
              <w:pStyle w:val="68"/>
              <w:ind w:firstLine="480"/>
              <w:rPr>
                <w:color w:val="auto"/>
              </w:rPr>
            </w:pPr>
            <w:r>
              <w:rPr>
                <w:rFonts w:hint="eastAsia"/>
                <w:color w:val="auto"/>
              </w:rPr>
              <w:t>污水处理站污泥经压滤机压滤收集后</w:t>
            </w:r>
            <w:r>
              <w:rPr>
                <w:rFonts w:hint="eastAsia"/>
                <w:color w:val="auto"/>
                <w:lang w:eastAsia="zh-CN"/>
              </w:rPr>
              <w:t>送至有机肥生产企业堆肥场堆肥或镶黄旗生活垃圾焚烧场进行合理化处理</w:t>
            </w:r>
            <w:r>
              <w:rPr>
                <w:rFonts w:hint="eastAsia"/>
                <w:color w:val="auto"/>
              </w:rPr>
              <w:t>，不在厂区内暂存</w:t>
            </w:r>
            <w:r>
              <w:rPr>
                <w:color w:val="auto"/>
              </w:rPr>
              <w:t>，每天喷洒除臭剂，减少废水处理设施恶臭气体对周围环境的影响。</w:t>
            </w:r>
          </w:p>
          <w:p w14:paraId="1E8E185E">
            <w:pPr>
              <w:pStyle w:val="68"/>
              <w:spacing w:line="240" w:lineRule="auto"/>
              <w:ind w:firstLine="422"/>
              <w:jc w:val="center"/>
              <w:rPr>
                <w:b/>
                <w:color w:val="auto"/>
                <w:kern w:val="2"/>
                <w:sz w:val="21"/>
                <w:szCs w:val="21"/>
              </w:rPr>
            </w:pPr>
            <w:r>
              <w:rPr>
                <w:b/>
                <w:color w:val="auto"/>
                <w:sz w:val="21"/>
                <w:szCs w:val="21"/>
              </w:rPr>
              <w:t>表</w:t>
            </w:r>
            <w:r>
              <w:rPr>
                <w:rFonts w:hint="eastAsia"/>
                <w:b/>
                <w:color w:val="auto"/>
                <w:sz w:val="21"/>
                <w:szCs w:val="21"/>
              </w:rPr>
              <w:t>4-</w:t>
            </w:r>
            <w:r>
              <w:rPr>
                <w:rFonts w:hint="eastAsia"/>
                <w:b/>
                <w:color w:val="auto"/>
                <w:sz w:val="21"/>
                <w:szCs w:val="21"/>
                <w:lang w:val="en-US" w:eastAsia="zh-CN"/>
              </w:rPr>
              <w:t>4</w:t>
            </w:r>
            <w:r>
              <w:rPr>
                <w:b/>
                <w:color w:val="auto"/>
                <w:sz w:val="21"/>
                <w:szCs w:val="21"/>
              </w:rPr>
              <w:t xml:space="preserve">  污水处理站有组织废气产排污情况</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
              <w:gridCol w:w="825"/>
              <w:gridCol w:w="835"/>
              <w:gridCol w:w="1147"/>
              <w:gridCol w:w="1543"/>
              <w:gridCol w:w="985"/>
              <w:gridCol w:w="997"/>
              <w:gridCol w:w="850"/>
            </w:tblGrid>
            <w:tr w14:paraId="4FDFA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pct"/>
                  <w:tcBorders>
                    <w:tl2br w:val="nil"/>
                    <w:tr2bl w:val="nil"/>
                  </w:tcBorders>
                  <w:vAlign w:val="center"/>
                </w:tcPr>
                <w:p w14:paraId="299107AE">
                  <w:pPr>
                    <w:pStyle w:val="169"/>
                    <w:rPr>
                      <w:b/>
                      <w:bCs/>
                      <w:color w:val="auto"/>
                    </w:rPr>
                  </w:pPr>
                  <w:r>
                    <w:rPr>
                      <w:b/>
                      <w:bCs/>
                      <w:color w:val="auto"/>
                    </w:rPr>
                    <w:t>污染物</w:t>
                  </w:r>
                </w:p>
              </w:tc>
              <w:tc>
                <w:tcPr>
                  <w:tcW w:w="513" w:type="pct"/>
                  <w:tcBorders>
                    <w:tl2br w:val="nil"/>
                    <w:tr2bl w:val="nil"/>
                  </w:tcBorders>
                </w:tcPr>
                <w:p w14:paraId="7D707346">
                  <w:pPr>
                    <w:pStyle w:val="169"/>
                    <w:rPr>
                      <w:b/>
                      <w:bCs/>
                      <w:color w:val="auto"/>
                    </w:rPr>
                  </w:pPr>
                  <w:r>
                    <w:rPr>
                      <w:b/>
                      <w:bCs/>
                      <w:color w:val="auto"/>
                    </w:rPr>
                    <w:t>产生量</w:t>
                  </w:r>
                </w:p>
              </w:tc>
              <w:tc>
                <w:tcPr>
                  <w:tcW w:w="519" w:type="pct"/>
                  <w:tcBorders>
                    <w:tl2br w:val="nil"/>
                    <w:tr2bl w:val="nil"/>
                  </w:tcBorders>
                </w:tcPr>
                <w:p w14:paraId="23A8EE06">
                  <w:pPr>
                    <w:pStyle w:val="169"/>
                    <w:rPr>
                      <w:b/>
                      <w:bCs/>
                      <w:color w:val="auto"/>
                    </w:rPr>
                  </w:pPr>
                  <w:r>
                    <w:rPr>
                      <w:b/>
                      <w:bCs/>
                      <w:color w:val="auto"/>
                    </w:rPr>
                    <w:t>产生速率</w:t>
                  </w:r>
                </w:p>
              </w:tc>
              <w:tc>
                <w:tcPr>
                  <w:tcW w:w="713" w:type="pct"/>
                  <w:tcBorders>
                    <w:tl2br w:val="nil"/>
                    <w:tr2bl w:val="nil"/>
                  </w:tcBorders>
                </w:tcPr>
                <w:p w14:paraId="57B6EB89">
                  <w:pPr>
                    <w:pStyle w:val="169"/>
                    <w:rPr>
                      <w:rFonts w:hint="default" w:eastAsia="宋体"/>
                      <w:b/>
                      <w:bCs/>
                      <w:color w:val="auto"/>
                      <w:lang w:val="en-US" w:eastAsia="zh-CN"/>
                    </w:rPr>
                  </w:pPr>
                  <w:r>
                    <w:rPr>
                      <w:rFonts w:hint="eastAsia"/>
                      <w:b/>
                      <w:bCs/>
                      <w:color w:val="auto"/>
                      <w:lang w:val="en-US" w:eastAsia="zh-CN"/>
                    </w:rPr>
                    <w:t>产生浓度</w:t>
                  </w:r>
                </w:p>
              </w:tc>
              <w:tc>
                <w:tcPr>
                  <w:tcW w:w="959" w:type="pct"/>
                  <w:tcBorders>
                    <w:tl2br w:val="nil"/>
                    <w:tr2bl w:val="nil"/>
                  </w:tcBorders>
                </w:tcPr>
                <w:p w14:paraId="52B7C417">
                  <w:pPr>
                    <w:pStyle w:val="169"/>
                    <w:rPr>
                      <w:b/>
                      <w:bCs/>
                      <w:color w:val="auto"/>
                    </w:rPr>
                  </w:pPr>
                  <w:r>
                    <w:rPr>
                      <w:b/>
                      <w:bCs/>
                      <w:color w:val="auto"/>
                    </w:rPr>
                    <w:t>处理措施</w:t>
                  </w:r>
                </w:p>
              </w:tc>
              <w:tc>
                <w:tcPr>
                  <w:tcW w:w="612" w:type="pct"/>
                  <w:tcBorders>
                    <w:tl2br w:val="nil"/>
                    <w:tr2bl w:val="nil"/>
                  </w:tcBorders>
                </w:tcPr>
                <w:p w14:paraId="0F9B57F4">
                  <w:pPr>
                    <w:pStyle w:val="169"/>
                    <w:rPr>
                      <w:b/>
                      <w:bCs/>
                      <w:color w:val="auto"/>
                    </w:rPr>
                  </w:pPr>
                  <w:r>
                    <w:rPr>
                      <w:b/>
                      <w:bCs/>
                      <w:color w:val="auto"/>
                    </w:rPr>
                    <w:t>排放量</w:t>
                  </w:r>
                </w:p>
              </w:tc>
              <w:tc>
                <w:tcPr>
                  <w:tcW w:w="620" w:type="pct"/>
                  <w:tcBorders>
                    <w:tl2br w:val="nil"/>
                    <w:tr2bl w:val="nil"/>
                  </w:tcBorders>
                </w:tcPr>
                <w:p w14:paraId="49B49C9E">
                  <w:pPr>
                    <w:pStyle w:val="169"/>
                    <w:rPr>
                      <w:b/>
                      <w:bCs/>
                      <w:color w:val="auto"/>
                    </w:rPr>
                  </w:pPr>
                  <w:r>
                    <w:rPr>
                      <w:b/>
                      <w:bCs/>
                      <w:color w:val="auto"/>
                    </w:rPr>
                    <w:t>排放速率</w:t>
                  </w:r>
                </w:p>
              </w:tc>
              <w:tc>
                <w:tcPr>
                  <w:tcW w:w="528" w:type="pct"/>
                  <w:tcBorders>
                    <w:tl2br w:val="nil"/>
                    <w:tr2bl w:val="nil"/>
                  </w:tcBorders>
                </w:tcPr>
                <w:p w14:paraId="5ABEF675">
                  <w:pPr>
                    <w:pStyle w:val="169"/>
                    <w:rPr>
                      <w:b/>
                      <w:bCs/>
                      <w:color w:val="auto"/>
                    </w:rPr>
                  </w:pPr>
                  <w:r>
                    <w:rPr>
                      <w:rFonts w:hint="eastAsia"/>
                      <w:b/>
                      <w:bCs/>
                      <w:color w:val="auto"/>
                      <w:lang w:val="en-US" w:eastAsia="zh-CN"/>
                    </w:rPr>
                    <w:t>排放浓度</w:t>
                  </w:r>
                </w:p>
              </w:tc>
            </w:tr>
            <w:tr w14:paraId="29E78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pct"/>
                  <w:tcBorders>
                    <w:tl2br w:val="nil"/>
                    <w:tr2bl w:val="nil"/>
                  </w:tcBorders>
                  <w:vAlign w:val="center"/>
                </w:tcPr>
                <w:p w14:paraId="21578DB0">
                  <w:pPr>
                    <w:pStyle w:val="169"/>
                    <w:rPr>
                      <w:color w:val="auto"/>
                    </w:rPr>
                  </w:pPr>
                  <w:r>
                    <w:rPr>
                      <w:color w:val="auto"/>
                    </w:rPr>
                    <w:t>NH</w:t>
                  </w:r>
                  <w:r>
                    <w:rPr>
                      <w:color w:val="auto"/>
                      <w:vertAlign w:val="subscript"/>
                    </w:rPr>
                    <w:t>3</w:t>
                  </w:r>
                </w:p>
              </w:tc>
              <w:tc>
                <w:tcPr>
                  <w:tcW w:w="513" w:type="pct"/>
                  <w:tcBorders>
                    <w:tl2br w:val="nil"/>
                    <w:tr2bl w:val="nil"/>
                  </w:tcBorders>
                  <w:vAlign w:val="center"/>
                </w:tcPr>
                <w:p w14:paraId="677EF362">
                  <w:pPr>
                    <w:pStyle w:val="169"/>
                    <w:rPr>
                      <w:color w:val="auto"/>
                    </w:rPr>
                  </w:pPr>
                  <w:r>
                    <w:rPr>
                      <w:rFonts w:hint="eastAsia"/>
                      <w:bCs/>
                      <w:color w:val="auto"/>
                      <w:kern w:val="0"/>
                      <w:lang w:val="en-US" w:eastAsia="zh-CN"/>
                    </w:rPr>
                    <w:t>2.42</w:t>
                  </w:r>
                  <w:r>
                    <w:rPr>
                      <w:rFonts w:hint="default"/>
                      <w:color w:val="auto"/>
                    </w:rPr>
                    <w:t>kg</w:t>
                  </w:r>
                  <w:r>
                    <w:rPr>
                      <w:color w:val="auto"/>
                    </w:rPr>
                    <w:t>/a</w:t>
                  </w:r>
                </w:p>
              </w:tc>
              <w:tc>
                <w:tcPr>
                  <w:tcW w:w="519" w:type="pct"/>
                  <w:tcBorders>
                    <w:tl2br w:val="nil"/>
                    <w:tr2bl w:val="nil"/>
                  </w:tcBorders>
                  <w:vAlign w:val="center"/>
                </w:tcPr>
                <w:p w14:paraId="7B3C58E9">
                  <w:pPr>
                    <w:pStyle w:val="169"/>
                    <w:rPr>
                      <w:bCs/>
                      <w:color w:val="auto"/>
                    </w:rPr>
                  </w:pPr>
                  <w:r>
                    <w:rPr>
                      <w:bCs/>
                      <w:color w:val="auto"/>
                      <w:kern w:val="0"/>
                    </w:rPr>
                    <w:t>0.</w:t>
                  </w:r>
                  <w:r>
                    <w:rPr>
                      <w:rFonts w:hint="default"/>
                      <w:bCs/>
                      <w:color w:val="auto"/>
                      <w:kern w:val="0"/>
                    </w:rPr>
                    <w:t>0</w:t>
                  </w:r>
                  <w:r>
                    <w:rPr>
                      <w:rFonts w:hint="eastAsia"/>
                      <w:bCs/>
                      <w:color w:val="auto"/>
                      <w:kern w:val="0"/>
                      <w:lang w:val="en-US" w:eastAsia="zh-CN"/>
                    </w:rPr>
                    <w:t>012</w:t>
                  </w:r>
                  <w:r>
                    <w:rPr>
                      <w:bCs/>
                      <w:color w:val="auto"/>
                    </w:rPr>
                    <w:t>kg/h</w:t>
                  </w:r>
                </w:p>
              </w:tc>
              <w:tc>
                <w:tcPr>
                  <w:tcW w:w="713" w:type="pct"/>
                  <w:tcBorders>
                    <w:tl2br w:val="nil"/>
                    <w:tr2bl w:val="nil"/>
                  </w:tcBorders>
                </w:tcPr>
                <w:p w14:paraId="2814A2AB">
                  <w:pPr>
                    <w:pStyle w:val="169"/>
                    <w:rPr>
                      <w:rFonts w:hint="default" w:eastAsia="宋体"/>
                      <w:color w:val="auto"/>
                      <w:lang w:val="en-US" w:eastAsia="zh-CN"/>
                    </w:rPr>
                  </w:pPr>
                  <w:r>
                    <w:rPr>
                      <w:rFonts w:hint="eastAsia"/>
                      <w:color w:val="auto"/>
                      <w:lang w:val="en-US" w:eastAsia="zh-CN"/>
                    </w:rPr>
                    <w:t>1.16</w:t>
                  </w:r>
                  <w:r>
                    <w:rPr>
                      <w:color w:val="auto"/>
                      <w:sz w:val="21"/>
                      <w:szCs w:val="20"/>
                    </w:rPr>
                    <w:t>mg/m</w:t>
                  </w:r>
                  <w:r>
                    <w:rPr>
                      <w:color w:val="auto"/>
                      <w:sz w:val="21"/>
                      <w:szCs w:val="20"/>
                      <w:vertAlign w:val="superscript"/>
                    </w:rPr>
                    <w:t>3</w:t>
                  </w:r>
                </w:p>
              </w:tc>
              <w:tc>
                <w:tcPr>
                  <w:tcW w:w="959" w:type="pct"/>
                  <w:vMerge w:val="restart"/>
                  <w:tcBorders>
                    <w:tl2br w:val="nil"/>
                    <w:tr2bl w:val="nil"/>
                  </w:tcBorders>
                </w:tcPr>
                <w:p w14:paraId="383BDEB1">
                  <w:pPr>
                    <w:pStyle w:val="169"/>
                    <w:rPr>
                      <w:color w:val="auto"/>
                    </w:rPr>
                  </w:pPr>
                  <w:r>
                    <w:rPr>
                      <w:color w:val="auto"/>
                    </w:rPr>
                    <w:t>经</w:t>
                  </w:r>
                  <w:r>
                    <w:rPr>
                      <w:rFonts w:hint="eastAsia"/>
                      <w:color w:val="auto"/>
                      <w:lang w:val="en-US" w:eastAsia="zh-CN"/>
                    </w:rPr>
                    <w:t>活性炭吸附</w:t>
                  </w:r>
                  <w:r>
                    <w:rPr>
                      <w:color w:val="auto"/>
                    </w:rPr>
                    <w:t>除臭装置</w:t>
                  </w:r>
                  <w:r>
                    <w:rPr>
                      <w:rFonts w:hint="eastAsia"/>
                      <w:color w:val="auto"/>
                      <w:lang w:val="en-US" w:eastAsia="zh-CN"/>
                    </w:rPr>
                    <w:t>处理</w:t>
                  </w:r>
                  <w:r>
                    <w:rPr>
                      <w:color w:val="auto"/>
                    </w:rPr>
                    <w:t>后</w:t>
                  </w:r>
                  <w:r>
                    <w:rPr>
                      <w:rFonts w:hint="eastAsia"/>
                      <w:color w:val="auto"/>
                      <w:lang w:val="en-US" w:eastAsia="zh-CN"/>
                    </w:rPr>
                    <w:t>由</w:t>
                  </w:r>
                  <w:r>
                    <w:rPr>
                      <w:color w:val="auto"/>
                    </w:rPr>
                    <w:t>15m</w:t>
                  </w:r>
                  <w:r>
                    <w:rPr>
                      <w:rFonts w:hint="eastAsia"/>
                      <w:color w:val="auto"/>
                      <w:lang w:val="en-US" w:eastAsia="zh-CN"/>
                    </w:rPr>
                    <w:t>高</w:t>
                  </w:r>
                  <w:r>
                    <w:rPr>
                      <w:color w:val="auto"/>
                    </w:rPr>
                    <w:t>排气筒排放</w:t>
                  </w:r>
                </w:p>
              </w:tc>
              <w:tc>
                <w:tcPr>
                  <w:tcW w:w="612" w:type="pct"/>
                  <w:tcBorders>
                    <w:tl2br w:val="nil"/>
                    <w:tr2bl w:val="nil"/>
                  </w:tcBorders>
                  <w:vAlign w:val="center"/>
                </w:tcPr>
                <w:p w14:paraId="3C52E361">
                  <w:pPr>
                    <w:pStyle w:val="169"/>
                    <w:rPr>
                      <w:color w:val="auto"/>
                    </w:rPr>
                  </w:pPr>
                  <w:r>
                    <w:rPr>
                      <w:rFonts w:hint="eastAsia"/>
                      <w:bCs/>
                      <w:color w:val="auto"/>
                      <w:kern w:val="0"/>
                      <w:lang w:val="en-US" w:eastAsia="zh-CN"/>
                    </w:rPr>
                    <w:t>0.44</w:t>
                  </w:r>
                  <w:r>
                    <w:rPr>
                      <w:rFonts w:hint="default"/>
                      <w:color w:val="auto"/>
                    </w:rPr>
                    <w:t>kg</w:t>
                  </w:r>
                  <w:r>
                    <w:rPr>
                      <w:color w:val="auto"/>
                    </w:rPr>
                    <w:t>/a</w:t>
                  </w:r>
                </w:p>
              </w:tc>
              <w:tc>
                <w:tcPr>
                  <w:tcW w:w="620" w:type="pct"/>
                  <w:tcBorders>
                    <w:tl2br w:val="nil"/>
                    <w:tr2bl w:val="nil"/>
                  </w:tcBorders>
                  <w:vAlign w:val="center"/>
                </w:tcPr>
                <w:p w14:paraId="135D7287">
                  <w:pPr>
                    <w:pStyle w:val="169"/>
                    <w:rPr>
                      <w:color w:val="auto"/>
                    </w:rPr>
                  </w:pPr>
                  <w:r>
                    <w:rPr>
                      <w:bCs/>
                      <w:color w:val="auto"/>
                      <w:kern w:val="0"/>
                    </w:rPr>
                    <w:t>0.0</w:t>
                  </w:r>
                  <w:r>
                    <w:rPr>
                      <w:rFonts w:hint="default"/>
                      <w:bCs/>
                      <w:color w:val="auto"/>
                      <w:kern w:val="0"/>
                    </w:rPr>
                    <w:t>0</w:t>
                  </w:r>
                  <w:r>
                    <w:rPr>
                      <w:rFonts w:hint="eastAsia"/>
                      <w:bCs/>
                      <w:color w:val="auto"/>
                      <w:kern w:val="0"/>
                      <w:lang w:val="en-US" w:eastAsia="zh-CN"/>
                    </w:rPr>
                    <w:t>02</w:t>
                  </w:r>
                  <w:r>
                    <w:rPr>
                      <w:color w:val="auto"/>
                    </w:rPr>
                    <w:t>kg/h</w:t>
                  </w:r>
                </w:p>
              </w:tc>
              <w:tc>
                <w:tcPr>
                  <w:tcW w:w="528" w:type="pct"/>
                  <w:tcBorders>
                    <w:tl2br w:val="nil"/>
                    <w:tr2bl w:val="nil"/>
                  </w:tcBorders>
                  <w:vAlign w:val="center"/>
                </w:tcPr>
                <w:p w14:paraId="3C3B84B7">
                  <w:pPr>
                    <w:pStyle w:val="169"/>
                    <w:rPr>
                      <w:bCs/>
                      <w:color w:val="auto"/>
                      <w:kern w:val="0"/>
                    </w:rPr>
                  </w:pPr>
                  <w:r>
                    <w:rPr>
                      <w:rFonts w:hint="eastAsia"/>
                      <w:color w:val="auto"/>
                      <w:sz w:val="21"/>
                      <w:szCs w:val="20"/>
                      <w:lang w:val="en-US" w:eastAsia="zh-CN"/>
                    </w:rPr>
                    <w:t>0.21</w:t>
                  </w:r>
                  <w:r>
                    <w:rPr>
                      <w:color w:val="auto"/>
                      <w:sz w:val="21"/>
                      <w:szCs w:val="20"/>
                    </w:rPr>
                    <w:t>mg/m</w:t>
                  </w:r>
                  <w:r>
                    <w:rPr>
                      <w:color w:val="auto"/>
                      <w:sz w:val="21"/>
                      <w:szCs w:val="20"/>
                      <w:vertAlign w:val="superscript"/>
                    </w:rPr>
                    <w:t>3</w:t>
                  </w:r>
                </w:p>
              </w:tc>
            </w:tr>
            <w:tr w14:paraId="3B900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pct"/>
                  <w:tcBorders>
                    <w:tl2br w:val="nil"/>
                    <w:tr2bl w:val="nil"/>
                  </w:tcBorders>
                  <w:vAlign w:val="center"/>
                </w:tcPr>
                <w:p w14:paraId="5F99ECC3">
                  <w:pPr>
                    <w:pStyle w:val="169"/>
                    <w:rPr>
                      <w:color w:val="auto"/>
                    </w:rPr>
                  </w:pPr>
                  <w:r>
                    <w:rPr>
                      <w:color w:val="auto"/>
                    </w:rPr>
                    <w:t>H</w:t>
                  </w:r>
                  <w:r>
                    <w:rPr>
                      <w:color w:val="auto"/>
                      <w:vertAlign w:val="subscript"/>
                    </w:rPr>
                    <w:t>2</w:t>
                  </w:r>
                  <w:r>
                    <w:rPr>
                      <w:color w:val="auto"/>
                    </w:rPr>
                    <w:t>S</w:t>
                  </w:r>
                </w:p>
              </w:tc>
              <w:tc>
                <w:tcPr>
                  <w:tcW w:w="513" w:type="pct"/>
                  <w:tcBorders>
                    <w:tl2br w:val="nil"/>
                    <w:tr2bl w:val="nil"/>
                  </w:tcBorders>
                  <w:vAlign w:val="center"/>
                </w:tcPr>
                <w:p w14:paraId="62A52876">
                  <w:pPr>
                    <w:pStyle w:val="169"/>
                    <w:rPr>
                      <w:color w:val="auto"/>
                    </w:rPr>
                  </w:pPr>
                  <w:r>
                    <w:rPr>
                      <w:rFonts w:hint="eastAsia"/>
                      <w:bCs/>
                      <w:color w:val="auto"/>
                      <w:kern w:val="0"/>
                      <w:lang w:val="en-US" w:eastAsia="zh-CN"/>
                    </w:rPr>
                    <w:t>0.09</w:t>
                  </w:r>
                  <w:r>
                    <w:rPr>
                      <w:rFonts w:hint="default"/>
                      <w:color w:val="auto"/>
                    </w:rPr>
                    <w:t>kg</w:t>
                  </w:r>
                  <w:r>
                    <w:rPr>
                      <w:color w:val="auto"/>
                    </w:rPr>
                    <w:t>/a</w:t>
                  </w:r>
                </w:p>
              </w:tc>
              <w:tc>
                <w:tcPr>
                  <w:tcW w:w="519" w:type="pct"/>
                  <w:tcBorders>
                    <w:tl2br w:val="nil"/>
                    <w:tr2bl w:val="nil"/>
                  </w:tcBorders>
                  <w:vAlign w:val="center"/>
                </w:tcPr>
                <w:p w14:paraId="0F61E19C">
                  <w:pPr>
                    <w:pStyle w:val="169"/>
                    <w:rPr>
                      <w:bCs/>
                      <w:color w:val="auto"/>
                    </w:rPr>
                  </w:pPr>
                  <w:r>
                    <w:rPr>
                      <w:bCs/>
                      <w:color w:val="auto"/>
                      <w:kern w:val="0"/>
                    </w:rPr>
                    <w:t>0.0</w:t>
                  </w:r>
                  <w:r>
                    <w:rPr>
                      <w:rFonts w:hint="default"/>
                      <w:bCs/>
                      <w:color w:val="auto"/>
                      <w:kern w:val="0"/>
                    </w:rPr>
                    <w:t>0</w:t>
                  </w:r>
                  <w:r>
                    <w:rPr>
                      <w:rFonts w:hint="default"/>
                      <w:bCs/>
                      <w:color w:val="auto"/>
                      <w:kern w:val="0"/>
                      <w:lang w:val="en-US" w:eastAsia="zh-CN"/>
                    </w:rPr>
                    <w:t>0</w:t>
                  </w:r>
                  <w:r>
                    <w:rPr>
                      <w:rFonts w:hint="eastAsia"/>
                      <w:bCs/>
                      <w:color w:val="auto"/>
                      <w:kern w:val="0"/>
                      <w:lang w:val="en-US" w:eastAsia="zh-CN"/>
                    </w:rPr>
                    <w:t>045</w:t>
                  </w:r>
                  <w:r>
                    <w:rPr>
                      <w:bCs/>
                      <w:color w:val="auto"/>
                    </w:rPr>
                    <w:t>kg/h</w:t>
                  </w:r>
                </w:p>
              </w:tc>
              <w:tc>
                <w:tcPr>
                  <w:tcW w:w="713" w:type="pct"/>
                  <w:tcBorders>
                    <w:tl2br w:val="nil"/>
                    <w:tr2bl w:val="nil"/>
                  </w:tcBorders>
                </w:tcPr>
                <w:p w14:paraId="425FACFF">
                  <w:pPr>
                    <w:pStyle w:val="169"/>
                    <w:rPr>
                      <w:color w:val="auto"/>
                    </w:rPr>
                  </w:pPr>
                  <w:r>
                    <w:rPr>
                      <w:rFonts w:hint="eastAsia"/>
                      <w:color w:val="auto"/>
                      <w:sz w:val="21"/>
                      <w:szCs w:val="20"/>
                      <w:lang w:val="en-US" w:eastAsia="zh-CN"/>
                    </w:rPr>
                    <w:t>0.045</w:t>
                  </w:r>
                  <w:r>
                    <w:rPr>
                      <w:color w:val="auto"/>
                      <w:sz w:val="21"/>
                      <w:szCs w:val="20"/>
                    </w:rPr>
                    <w:t>mg/m</w:t>
                  </w:r>
                  <w:r>
                    <w:rPr>
                      <w:color w:val="auto"/>
                      <w:sz w:val="21"/>
                      <w:szCs w:val="20"/>
                      <w:vertAlign w:val="superscript"/>
                    </w:rPr>
                    <w:t>3</w:t>
                  </w:r>
                </w:p>
              </w:tc>
              <w:tc>
                <w:tcPr>
                  <w:tcW w:w="959" w:type="pct"/>
                  <w:vMerge w:val="continue"/>
                  <w:tcBorders>
                    <w:tl2br w:val="nil"/>
                    <w:tr2bl w:val="nil"/>
                  </w:tcBorders>
                </w:tcPr>
                <w:p w14:paraId="26FBDCBD">
                  <w:pPr>
                    <w:pStyle w:val="169"/>
                    <w:rPr>
                      <w:color w:val="auto"/>
                    </w:rPr>
                  </w:pPr>
                </w:p>
              </w:tc>
              <w:tc>
                <w:tcPr>
                  <w:tcW w:w="612" w:type="pct"/>
                  <w:tcBorders>
                    <w:tl2br w:val="nil"/>
                    <w:tr2bl w:val="nil"/>
                  </w:tcBorders>
                  <w:vAlign w:val="center"/>
                </w:tcPr>
                <w:p w14:paraId="73101816">
                  <w:pPr>
                    <w:pStyle w:val="169"/>
                    <w:rPr>
                      <w:color w:val="auto"/>
                    </w:rPr>
                  </w:pPr>
                  <w:r>
                    <w:rPr>
                      <w:rFonts w:hint="default"/>
                      <w:bCs/>
                      <w:color w:val="auto"/>
                      <w:kern w:val="0"/>
                      <w:lang w:val="en-US" w:eastAsia="zh-CN"/>
                    </w:rPr>
                    <w:t>0.</w:t>
                  </w:r>
                  <w:r>
                    <w:rPr>
                      <w:rFonts w:hint="eastAsia"/>
                      <w:bCs/>
                      <w:color w:val="auto"/>
                      <w:kern w:val="0"/>
                      <w:lang w:val="en-US" w:eastAsia="zh-CN"/>
                    </w:rPr>
                    <w:t>02</w:t>
                  </w:r>
                  <w:r>
                    <w:rPr>
                      <w:rFonts w:hint="default"/>
                      <w:color w:val="auto"/>
                    </w:rPr>
                    <w:t>kg</w:t>
                  </w:r>
                  <w:r>
                    <w:rPr>
                      <w:color w:val="auto"/>
                    </w:rPr>
                    <w:t>/a</w:t>
                  </w:r>
                </w:p>
              </w:tc>
              <w:tc>
                <w:tcPr>
                  <w:tcW w:w="620" w:type="pct"/>
                  <w:tcBorders>
                    <w:tl2br w:val="nil"/>
                    <w:tr2bl w:val="nil"/>
                  </w:tcBorders>
                  <w:vAlign w:val="center"/>
                </w:tcPr>
                <w:p w14:paraId="7143DCE5">
                  <w:pPr>
                    <w:pStyle w:val="169"/>
                    <w:rPr>
                      <w:color w:val="auto"/>
                    </w:rPr>
                  </w:pPr>
                  <w:r>
                    <w:rPr>
                      <w:bCs/>
                      <w:color w:val="auto"/>
                      <w:kern w:val="0"/>
                    </w:rPr>
                    <w:t>0.000</w:t>
                  </w:r>
                  <w:r>
                    <w:rPr>
                      <w:rFonts w:hint="eastAsia"/>
                      <w:bCs/>
                      <w:color w:val="auto"/>
                      <w:kern w:val="0"/>
                      <w:lang w:val="en-US" w:eastAsia="zh-CN"/>
                    </w:rPr>
                    <w:t>0081</w:t>
                  </w:r>
                  <w:r>
                    <w:rPr>
                      <w:color w:val="auto"/>
                    </w:rPr>
                    <w:t>kg/h</w:t>
                  </w:r>
                </w:p>
              </w:tc>
              <w:tc>
                <w:tcPr>
                  <w:tcW w:w="528" w:type="pct"/>
                  <w:tcBorders>
                    <w:tl2br w:val="nil"/>
                    <w:tr2bl w:val="nil"/>
                  </w:tcBorders>
                  <w:vAlign w:val="center"/>
                </w:tcPr>
                <w:p w14:paraId="7B99A170">
                  <w:pPr>
                    <w:pStyle w:val="169"/>
                    <w:rPr>
                      <w:bCs/>
                      <w:color w:val="auto"/>
                      <w:kern w:val="0"/>
                    </w:rPr>
                  </w:pPr>
                  <w:r>
                    <w:rPr>
                      <w:rFonts w:hint="eastAsia"/>
                      <w:color w:val="auto"/>
                      <w:sz w:val="21"/>
                      <w:szCs w:val="20"/>
                      <w:lang w:val="en-US" w:eastAsia="zh-CN"/>
                    </w:rPr>
                    <w:t>0.008</w:t>
                  </w:r>
                  <w:r>
                    <w:rPr>
                      <w:color w:val="auto"/>
                      <w:sz w:val="21"/>
                      <w:szCs w:val="20"/>
                    </w:rPr>
                    <w:t>mg/m</w:t>
                  </w:r>
                  <w:r>
                    <w:rPr>
                      <w:color w:val="auto"/>
                      <w:sz w:val="21"/>
                      <w:szCs w:val="20"/>
                      <w:vertAlign w:val="superscript"/>
                    </w:rPr>
                    <w:t>3</w:t>
                  </w:r>
                </w:p>
              </w:tc>
            </w:tr>
          </w:tbl>
          <w:p w14:paraId="1CE1A727">
            <w:pPr>
              <w:pStyle w:val="2"/>
              <w:spacing w:after="0" w:line="240" w:lineRule="auto"/>
              <w:ind w:left="0" w:leftChars="0" w:firstLine="0" w:firstLineChars="0"/>
              <w:jc w:val="center"/>
              <w:rPr>
                <w:b/>
                <w:color w:val="auto"/>
                <w:sz w:val="21"/>
                <w:szCs w:val="20"/>
              </w:rPr>
            </w:pPr>
            <w:r>
              <w:rPr>
                <w:b/>
                <w:color w:val="auto"/>
                <w:sz w:val="21"/>
                <w:szCs w:val="20"/>
              </w:rPr>
              <w:t>表</w:t>
            </w:r>
            <w:r>
              <w:rPr>
                <w:rFonts w:hint="eastAsia"/>
                <w:b/>
                <w:color w:val="auto"/>
                <w:sz w:val="21"/>
                <w:szCs w:val="20"/>
              </w:rPr>
              <w:t>4-</w:t>
            </w:r>
            <w:r>
              <w:rPr>
                <w:rFonts w:hint="eastAsia"/>
                <w:b/>
                <w:color w:val="auto"/>
                <w:sz w:val="21"/>
                <w:szCs w:val="20"/>
                <w:lang w:val="en-US" w:eastAsia="zh-CN"/>
              </w:rPr>
              <w:t>5</w:t>
            </w:r>
            <w:r>
              <w:rPr>
                <w:rFonts w:hint="eastAsia"/>
                <w:b/>
                <w:color w:val="auto"/>
                <w:sz w:val="21"/>
                <w:szCs w:val="20"/>
              </w:rPr>
              <w:t xml:space="preserve"> </w:t>
            </w:r>
            <w:r>
              <w:rPr>
                <w:b/>
                <w:color w:val="auto"/>
                <w:sz w:val="21"/>
                <w:szCs w:val="20"/>
              </w:rPr>
              <w:t xml:space="preserve"> 污水处理站无组织废气产排污情况</w:t>
            </w:r>
          </w:p>
          <w:tbl>
            <w:tblPr>
              <w:tblStyle w:val="32"/>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0"/>
              <w:gridCol w:w="1140"/>
              <w:gridCol w:w="1775"/>
              <w:gridCol w:w="1775"/>
              <w:gridCol w:w="1776"/>
            </w:tblGrid>
            <w:tr w14:paraId="75AC1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6" w:type="pct"/>
                  <w:tcBorders>
                    <w:tl2br w:val="nil"/>
                    <w:tr2bl w:val="nil"/>
                  </w:tcBorders>
                  <w:vAlign w:val="center"/>
                </w:tcPr>
                <w:p w14:paraId="02E20048">
                  <w:pPr>
                    <w:pStyle w:val="169"/>
                    <w:rPr>
                      <w:b/>
                      <w:bCs/>
                      <w:color w:val="auto"/>
                    </w:rPr>
                  </w:pPr>
                  <w:r>
                    <w:rPr>
                      <w:b/>
                      <w:bCs/>
                      <w:color w:val="auto"/>
                    </w:rPr>
                    <w:t>产生环节</w:t>
                  </w:r>
                </w:p>
              </w:tc>
              <w:tc>
                <w:tcPr>
                  <w:tcW w:w="709" w:type="pct"/>
                  <w:tcBorders>
                    <w:tl2br w:val="nil"/>
                    <w:tr2bl w:val="nil"/>
                  </w:tcBorders>
                  <w:vAlign w:val="center"/>
                </w:tcPr>
                <w:p w14:paraId="1BA04F9B">
                  <w:pPr>
                    <w:pStyle w:val="169"/>
                    <w:rPr>
                      <w:b/>
                      <w:bCs/>
                      <w:color w:val="auto"/>
                    </w:rPr>
                  </w:pPr>
                  <w:r>
                    <w:rPr>
                      <w:b/>
                      <w:bCs/>
                      <w:color w:val="auto"/>
                    </w:rPr>
                    <w:t>污染物</w:t>
                  </w:r>
                </w:p>
              </w:tc>
              <w:tc>
                <w:tcPr>
                  <w:tcW w:w="1104" w:type="pct"/>
                  <w:tcBorders>
                    <w:tl2br w:val="nil"/>
                    <w:tr2bl w:val="nil"/>
                  </w:tcBorders>
                </w:tcPr>
                <w:p w14:paraId="2746D3B2">
                  <w:pPr>
                    <w:pStyle w:val="169"/>
                    <w:rPr>
                      <w:b/>
                      <w:bCs/>
                      <w:color w:val="auto"/>
                    </w:rPr>
                  </w:pPr>
                  <w:r>
                    <w:rPr>
                      <w:b/>
                      <w:bCs/>
                      <w:color w:val="auto"/>
                    </w:rPr>
                    <w:t>排放量</w:t>
                  </w:r>
                  <w:r>
                    <w:rPr>
                      <w:rFonts w:hint="eastAsia"/>
                      <w:b/>
                      <w:bCs/>
                      <w:color w:val="auto"/>
                      <w:lang w:val="en-US" w:eastAsia="zh-CN"/>
                    </w:rPr>
                    <w:t>kg</w:t>
                  </w:r>
                  <w:r>
                    <w:rPr>
                      <w:b/>
                      <w:bCs/>
                      <w:color w:val="auto"/>
                    </w:rPr>
                    <w:t>/a</w:t>
                  </w:r>
                </w:p>
              </w:tc>
              <w:tc>
                <w:tcPr>
                  <w:tcW w:w="1104" w:type="pct"/>
                  <w:tcBorders>
                    <w:tl2br w:val="nil"/>
                    <w:tr2bl w:val="nil"/>
                  </w:tcBorders>
                </w:tcPr>
                <w:p w14:paraId="328CA1C7">
                  <w:pPr>
                    <w:pStyle w:val="169"/>
                    <w:rPr>
                      <w:rFonts w:hint="eastAsia"/>
                      <w:b/>
                      <w:bCs/>
                      <w:color w:val="auto"/>
                    </w:rPr>
                  </w:pPr>
                  <w:r>
                    <w:rPr>
                      <w:b/>
                      <w:bCs/>
                      <w:color w:val="auto"/>
                    </w:rPr>
                    <w:t>排放速率kg/h</w:t>
                  </w:r>
                </w:p>
              </w:tc>
              <w:tc>
                <w:tcPr>
                  <w:tcW w:w="1104" w:type="pct"/>
                  <w:tcBorders>
                    <w:tl2br w:val="nil"/>
                    <w:tr2bl w:val="nil"/>
                  </w:tcBorders>
                </w:tcPr>
                <w:p w14:paraId="19D1AE72">
                  <w:pPr>
                    <w:pStyle w:val="169"/>
                    <w:rPr>
                      <w:b/>
                      <w:bCs/>
                      <w:color w:val="auto"/>
                    </w:rPr>
                  </w:pPr>
                  <w:r>
                    <w:rPr>
                      <w:rFonts w:hint="eastAsia"/>
                      <w:b/>
                      <w:bCs/>
                      <w:color w:val="auto"/>
                    </w:rPr>
                    <w:t>处理措施</w:t>
                  </w:r>
                </w:p>
              </w:tc>
            </w:tr>
            <w:tr w14:paraId="4E93B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6" w:type="pct"/>
                  <w:vMerge w:val="restart"/>
                  <w:tcBorders>
                    <w:tl2br w:val="nil"/>
                    <w:tr2bl w:val="nil"/>
                  </w:tcBorders>
                  <w:vAlign w:val="center"/>
                </w:tcPr>
                <w:p w14:paraId="2CBC591A">
                  <w:pPr>
                    <w:pStyle w:val="169"/>
                    <w:rPr>
                      <w:color w:val="auto"/>
                    </w:rPr>
                  </w:pPr>
                  <w:r>
                    <w:rPr>
                      <w:color w:val="auto"/>
                    </w:rPr>
                    <w:t>污水处理站</w:t>
                  </w:r>
                </w:p>
              </w:tc>
              <w:tc>
                <w:tcPr>
                  <w:tcW w:w="709" w:type="pct"/>
                  <w:tcBorders>
                    <w:tl2br w:val="nil"/>
                    <w:tr2bl w:val="nil"/>
                  </w:tcBorders>
                  <w:vAlign w:val="center"/>
                </w:tcPr>
                <w:p w14:paraId="684B7B78">
                  <w:pPr>
                    <w:pStyle w:val="169"/>
                    <w:rPr>
                      <w:color w:val="auto"/>
                    </w:rPr>
                  </w:pPr>
                  <w:r>
                    <w:rPr>
                      <w:color w:val="auto"/>
                    </w:rPr>
                    <w:t>NH</w:t>
                  </w:r>
                  <w:r>
                    <w:rPr>
                      <w:color w:val="auto"/>
                      <w:vertAlign w:val="subscript"/>
                    </w:rPr>
                    <w:t>3</w:t>
                  </w:r>
                </w:p>
              </w:tc>
              <w:tc>
                <w:tcPr>
                  <w:tcW w:w="1104" w:type="pct"/>
                  <w:tcBorders>
                    <w:tl2br w:val="nil"/>
                    <w:tr2bl w:val="nil"/>
                  </w:tcBorders>
                  <w:vAlign w:val="center"/>
                </w:tcPr>
                <w:p w14:paraId="2BCBCD68">
                  <w:pPr>
                    <w:pStyle w:val="169"/>
                    <w:rPr>
                      <w:rFonts w:hint="default" w:eastAsia="宋体"/>
                      <w:color w:val="auto"/>
                      <w:lang w:val="en-US" w:eastAsia="zh-CN"/>
                    </w:rPr>
                  </w:pPr>
                  <w:r>
                    <w:rPr>
                      <w:rFonts w:hint="default" w:ascii="Times New Roman" w:hAnsi="Times New Roman" w:eastAsia="宋体" w:cs="Times New Roman"/>
                      <w:bCs/>
                      <w:color w:val="auto"/>
                      <w:kern w:val="0"/>
                      <w:sz w:val="21"/>
                      <w:szCs w:val="21"/>
                    </w:rPr>
                    <w:t>0.</w:t>
                  </w:r>
                  <w:r>
                    <w:rPr>
                      <w:rFonts w:hint="eastAsia" w:cs="Times New Roman"/>
                      <w:bCs/>
                      <w:color w:val="auto"/>
                      <w:kern w:val="0"/>
                      <w:sz w:val="21"/>
                      <w:szCs w:val="21"/>
                      <w:lang w:val="en-US" w:eastAsia="zh-CN"/>
                    </w:rPr>
                    <w:t>24</w:t>
                  </w:r>
                </w:p>
              </w:tc>
              <w:tc>
                <w:tcPr>
                  <w:tcW w:w="1104" w:type="pct"/>
                  <w:tcBorders>
                    <w:tl2br w:val="nil"/>
                    <w:tr2bl w:val="nil"/>
                  </w:tcBorders>
                  <w:vAlign w:val="center"/>
                </w:tcPr>
                <w:p w14:paraId="471BD255">
                  <w:pPr>
                    <w:pStyle w:val="169"/>
                    <w:rPr>
                      <w:color w:val="auto"/>
                    </w:rPr>
                  </w:pPr>
                  <w:r>
                    <w:rPr>
                      <w:rFonts w:hint="eastAsia"/>
                      <w:color w:val="auto"/>
                    </w:rPr>
                    <w:t>0.00012</w:t>
                  </w:r>
                </w:p>
              </w:tc>
              <w:tc>
                <w:tcPr>
                  <w:tcW w:w="1104" w:type="pct"/>
                  <w:vMerge w:val="restart"/>
                  <w:tcBorders>
                    <w:tl2br w:val="nil"/>
                    <w:tr2bl w:val="nil"/>
                  </w:tcBorders>
                  <w:vAlign w:val="center"/>
                </w:tcPr>
                <w:p w14:paraId="4E5FAD24">
                  <w:pPr>
                    <w:pStyle w:val="169"/>
                    <w:rPr>
                      <w:bCs/>
                      <w:color w:val="auto"/>
                      <w:kern w:val="0"/>
                    </w:rPr>
                  </w:pPr>
                  <w:r>
                    <w:rPr>
                      <w:color w:val="auto"/>
                    </w:rPr>
                    <w:t>及时清运，每天喷洒除臭剂</w:t>
                  </w:r>
                </w:p>
              </w:tc>
            </w:tr>
            <w:tr w14:paraId="6FF13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trPr>
              <w:tc>
                <w:tcPr>
                  <w:tcW w:w="976" w:type="pct"/>
                  <w:vMerge w:val="continue"/>
                  <w:tcBorders>
                    <w:tl2br w:val="nil"/>
                    <w:tr2bl w:val="nil"/>
                  </w:tcBorders>
                  <w:vAlign w:val="center"/>
                </w:tcPr>
                <w:p w14:paraId="161D17E9">
                  <w:pPr>
                    <w:pStyle w:val="169"/>
                    <w:rPr>
                      <w:color w:val="auto"/>
                    </w:rPr>
                  </w:pPr>
                </w:p>
              </w:tc>
              <w:tc>
                <w:tcPr>
                  <w:tcW w:w="709" w:type="pct"/>
                  <w:tcBorders>
                    <w:tl2br w:val="nil"/>
                    <w:tr2bl w:val="nil"/>
                  </w:tcBorders>
                  <w:vAlign w:val="center"/>
                </w:tcPr>
                <w:p w14:paraId="2413CBD3">
                  <w:pPr>
                    <w:pStyle w:val="169"/>
                    <w:rPr>
                      <w:color w:val="auto"/>
                    </w:rPr>
                  </w:pPr>
                  <w:r>
                    <w:rPr>
                      <w:color w:val="auto"/>
                    </w:rPr>
                    <w:t>H</w:t>
                  </w:r>
                  <w:r>
                    <w:rPr>
                      <w:color w:val="auto"/>
                      <w:vertAlign w:val="subscript"/>
                    </w:rPr>
                    <w:t>2</w:t>
                  </w:r>
                  <w:r>
                    <w:rPr>
                      <w:color w:val="auto"/>
                    </w:rPr>
                    <w:t>S</w:t>
                  </w:r>
                </w:p>
              </w:tc>
              <w:tc>
                <w:tcPr>
                  <w:tcW w:w="1104" w:type="pct"/>
                  <w:tcBorders>
                    <w:tl2br w:val="nil"/>
                    <w:tr2bl w:val="nil"/>
                  </w:tcBorders>
                  <w:vAlign w:val="center"/>
                </w:tcPr>
                <w:p w14:paraId="3FF698FE">
                  <w:pPr>
                    <w:pStyle w:val="169"/>
                    <w:rPr>
                      <w:rFonts w:hint="default" w:eastAsia="宋体"/>
                      <w:color w:val="auto"/>
                      <w:lang w:val="en-US" w:eastAsia="zh-CN"/>
                    </w:rPr>
                  </w:pPr>
                  <w:r>
                    <w:rPr>
                      <w:rFonts w:hint="default" w:ascii="Times New Roman" w:hAnsi="Times New Roman" w:eastAsia="宋体" w:cs="Times New Roman"/>
                      <w:bCs/>
                      <w:color w:val="auto"/>
                      <w:kern w:val="0"/>
                      <w:sz w:val="21"/>
                      <w:szCs w:val="21"/>
                    </w:rPr>
                    <w:t>0.0</w:t>
                  </w:r>
                  <w:r>
                    <w:rPr>
                      <w:rFonts w:hint="eastAsia" w:cs="Times New Roman"/>
                      <w:bCs/>
                      <w:color w:val="auto"/>
                      <w:kern w:val="0"/>
                      <w:sz w:val="21"/>
                      <w:szCs w:val="21"/>
                      <w:lang w:val="en-US" w:eastAsia="zh-CN"/>
                    </w:rPr>
                    <w:t>09</w:t>
                  </w:r>
                </w:p>
              </w:tc>
              <w:tc>
                <w:tcPr>
                  <w:tcW w:w="1104" w:type="pct"/>
                  <w:tcBorders>
                    <w:tl2br w:val="nil"/>
                    <w:tr2bl w:val="nil"/>
                  </w:tcBorders>
                  <w:vAlign w:val="center"/>
                </w:tcPr>
                <w:p w14:paraId="1BBC5F1F">
                  <w:pPr>
                    <w:pStyle w:val="169"/>
                    <w:rPr>
                      <w:bCs/>
                      <w:color w:val="auto"/>
                      <w:kern w:val="0"/>
                    </w:rPr>
                  </w:pPr>
                  <w:r>
                    <w:rPr>
                      <w:rFonts w:hint="eastAsia"/>
                      <w:bCs/>
                      <w:color w:val="auto"/>
                      <w:kern w:val="0"/>
                      <w:lang w:val="en-US" w:eastAsia="zh-CN"/>
                    </w:rPr>
                    <w:t>0.0000045</w:t>
                  </w:r>
                </w:p>
              </w:tc>
              <w:tc>
                <w:tcPr>
                  <w:tcW w:w="1104" w:type="pct"/>
                  <w:vMerge w:val="continue"/>
                  <w:tcBorders>
                    <w:tl2br w:val="nil"/>
                    <w:tr2bl w:val="nil"/>
                  </w:tcBorders>
                  <w:vAlign w:val="center"/>
                </w:tcPr>
                <w:p w14:paraId="2CF7E2CB">
                  <w:pPr>
                    <w:pStyle w:val="169"/>
                    <w:rPr>
                      <w:bCs/>
                      <w:color w:val="auto"/>
                      <w:kern w:val="0"/>
                    </w:rPr>
                  </w:pPr>
                </w:p>
              </w:tc>
            </w:tr>
          </w:tbl>
          <w:p w14:paraId="63583361">
            <w:pPr>
              <w:pStyle w:val="68"/>
              <w:ind w:firstLine="480"/>
              <w:rPr>
                <w:color w:val="auto"/>
              </w:rPr>
            </w:pPr>
            <w:r>
              <w:rPr>
                <w:rFonts w:hint="eastAsia"/>
                <w:color w:val="auto"/>
              </w:rPr>
              <w:t>（</w:t>
            </w:r>
            <w:r>
              <w:rPr>
                <w:rFonts w:hint="eastAsia"/>
                <w:color w:val="auto"/>
                <w:lang w:val="en-US" w:eastAsia="zh-CN"/>
              </w:rPr>
              <w:t>2</w:t>
            </w:r>
            <w:r>
              <w:rPr>
                <w:rFonts w:hint="eastAsia"/>
                <w:color w:val="auto"/>
              </w:rPr>
              <w:t>）</w:t>
            </w:r>
            <w:r>
              <w:rPr>
                <w:color w:val="auto"/>
              </w:rPr>
              <w:t>污水处理站恶臭</w:t>
            </w:r>
            <w:r>
              <w:rPr>
                <w:rFonts w:hint="eastAsia"/>
                <w:color w:val="auto"/>
                <w:lang w:val="en-US" w:eastAsia="zh-CN"/>
              </w:rPr>
              <w:t>活性炭吸附</w:t>
            </w:r>
            <w:r>
              <w:rPr>
                <w:rFonts w:hint="eastAsia"/>
                <w:color w:val="auto"/>
              </w:rPr>
              <w:t>除臭可行性分析</w:t>
            </w:r>
          </w:p>
          <w:p w14:paraId="2835EEC7">
            <w:pPr>
              <w:pStyle w:val="68"/>
              <w:ind w:firstLine="480"/>
              <w:rPr>
                <w:rFonts w:hint="eastAsia"/>
                <w:color w:val="auto"/>
              </w:rPr>
            </w:pPr>
            <w:r>
              <w:rPr>
                <w:rFonts w:hint="eastAsia"/>
                <w:color w:val="auto"/>
              </w:rPr>
              <w:t>本项目</w:t>
            </w:r>
            <w:r>
              <w:rPr>
                <w:color w:val="auto"/>
              </w:rPr>
              <w:t>污水处理站恶臭</w:t>
            </w:r>
            <w:r>
              <w:rPr>
                <w:rFonts w:hint="eastAsia"/>
                <w:color w:val="auto"/>
                <w:lang w:val="en-US" w:eastAsia="zh-CN"/>
              </w:rPr>
              <w:t>集中收集经活性炭吸附后由15m高排气筒排放，</w:t>
            </w:r>
            <w:r>
              <w:rPr>
                <w:rFonts w:hint="eastAsia"/>
                <w:color w:val="auto"/>
              </w:rPr>
              <w:t>根据《屠宰及肉类加工业污染防治可行技术指南》（HJ1285—2023），该技术用于处理中低浓度的恶臭气体，适用于污水处理单元产生的恶臭处理，属于可行技术。</w:t>
            </w:r>
          </w:p>
          <w:p w14:paraId="11355391">
            <w:pPr>
              <w:pStyle w:val="68"/>
              <w:ind w:firstLine="480"/>
              <w:rPr>
                <w:rFonts w:hint="eastAsia"/>
                <w:color w:val="auto"/>
              </w:rPr>
            </w:pPr>
            <w:r>
              <w:rPr>
                <w:rFonts w:cs="宋体"/>
                <w:color w:val="auto"/>
                <w:kern w:val="0"/>
                <w:sz w:val="24"/>
              </w:rPr>
              <w:t>根据《屠宰及肉类加工业污染防治可行技术指南）（HJ 1285—2023）表3中污染防治可行技术，“</w:t>
            </w:r>
            <w:r>
              <w:rPr>
                <w:rFonts w:hint="eastAsia" w:cs="宋体"/>
                <w:color w:val="auto"/>
                <w:kern w:val="0"/>
                <w:sz w:val="24"/>
                <w:lang w:val="en-US" w:eastAsia="zh-CN"/>
              </w:rPr>
              <w:t>集中收集经活性炭吸附后由15m高排气筒排放</w:t>
            </w:r>
            <w:r>
              <w:rPr>
                <w:rFonts w:cs="宋体"/>
                <w:color w:val="auto"/>
                <w:kern w:val="0"/>
                <w:sz w:val="24"/>
              </w:rPr>
              <w:t>”，属于《排污许可证申请与核发技术规范 农副食品加工工业－屠宰及肉类加工工业》</w:t>
            </w:r>
            <w:r>
              <w:rPr>
                <w:rFonts w:hint="eastAsia"/>
                <w:color w:val="auto"/>
              </w:rPr>
              <w:t>（HJ 860.3—2018）</w:t>
            </w:r>
            <w:r>
              <w:rPr>
                <w:rFonts w:cs="宋体"/>
                <w:color w:val="auto"/>
                <w:kern w:val="0"/>
                <w:sz w:val="24"/>
              </w:rPr>
              <w:t>表3中污染防治可行技术</w:t>
            </w:r>
            <w:r>
              <w:rPr>
                <w:rFonts w:hint="eastAsia" w:cs="宋体"/>
                <w:color w:val="auto"/>
                <w:kern w:val="0"/>
                <w:sz w:val="24"/>
              </w:rPr>
              <w:t>，综上本项目</w:t>
            </w:r>
            <w:r>
              <w:rPr>
                <w:rFonts w:cs="宋体"/>
                <w:color w:val="auto"/>
                <w:kern w:val="0"/>
                <w:sz w:val="24"/>
              </w:rPr>
              <w:t>污水处理站恶臭</w:t>
            </w:r>
            <w:r>
              <w:rPr>
                <w:rFonts w:hint="eastAsia" w:cs="宋体"/>
                <w:color w:val="auto"/>
                <w:kern w:val="0"/>
                <w:sz w:val="24"/>
                <w:lang w:val="en-US" w:eastAsia="zh-CN"/>
              </w:rPr>
              <w:t>活性炭吸附</w:t>
            </w:r>
            <w:r>
              <w:rPr>
                <w:rFonts w:hint="eastAsia" w:cs="宋体"/>
                <w:color w:val="auto"/>
                <w:kern w:val="0"/>
                <w:sz w:val="24"/>
              </w:rPr>
              <w:t>除臭技术可行</w:t>
            </w:r>
            <w:r>
              <w:rPr>
                <w:rFonts w:cs="宋体"/>
                <w:color w:val="auto"/>
                <w:kern w:val="0"/>
                <w:sz w:val="24"/>
              </w:rPr>
              <w:t>。</w:t>
            </w:r>
          </w:p>
          <w:p w14:paraId="61AF2E0F">
            <w:pPr>
              <w:pStyle w:val="68"/>
              <w:ind w:firstLine="482"/>
              <w:rPr>
                <w:color w:val="auto"/>
              </w:rPr>
            </w:pPr>
            <w:r>
              <w:rPr>
                <w:rFonts w:hint="eastAsia"/>
                <w:b/>
                <w:bCs/>
                <w:color w:val="auto"/>
              </w:rPr>
              <w:t>工艺说明：活性炭吸附是该处理工艺的核心环节。活性炭具有巨大的比表面积和丰富的孔隙结构，其比表面积通常可达 500-1500m²/g ，能够有效吸附恶臭气体中的污染物。当恶臭气体进入活性炭吸附</w:t>
            </w:r>
            <w:r>
              <w:rPr>
                <w:rFonts w:hint="eastAsia"/>
                <w:b/>
                <w:bCs/>
                <w:color w:val="auto"/>
                <w:lang w:val="en-US" w:eastAsia="zh-CN"/>
              </w:rPr>
              <w:t>装置</w:t>
            </w:r>
            <w:r>
              <w:rPr>
                <w:rFonts w:hint="eastAsia"/>
                <w:b/>
                <w:bCs/>
                <w:color w:val="auto"/>
              </w:rPr>
              <w:t>后，气体中的硫化氢、氨、甲硫醇、二甲二硫等恶臭物质分子会被吸附在活性炭的孔隙表面。活性炭吸附塔内部采用多层活性炭填充，气体在塔内缓慢流动，增加与活性炭的接触时间，以提高吸附效率。为保证吸附效果，活性炭需要定期进行更换，更换周期根据实际运行情况和活性炭的吸附饱和度确定。</w:t>
            </w:r>
            <w:r>
              <w:rPr>
                <w:rFonts w:hint="eastAsia"/>
                <w:color w:val="auto"/>
              </w:rPr>
              <w:t>恶臭气体经过</w:t>
            </w:r>
            <w:r>
              <w:rPr>
                <w:rFonts w:hint="eastAsia"/>
                <w:color w:val="auto"/>
                <w:lang w:val="en-US" w:eastAsia="zh-CN"/>
              </w:rPr>
              <w:t>集气罩</w:t>
            </w:r>
            <w:r>
              <w:rPr>
                <w:rFonts w:hint="eastAsia"/>
                <w:color w:val="auto"/>
              </w:rPr>
              <w:t>收集后</w:t>
            </w:r>
            <w:r>
              <w:rPr>
                <w:rFonts w:hint="eastAsia"/>
                <w:color w:val="auto"/>
                <w:lang w:val="en-US" w:eastAsia="zh-CN"/>
              </w:rPr>
              <w:t>由活性炭吸附装置处理</w:t>
            </w:r>
            <w:r>
              <w:rPr>
                <w:rFonts w:hint="eastAsia"/>
                <w:color w:val="auto"/>
              </w:rPr>
              <w:t>，净化后的气体由风机通过15m高排气筒排放。</w:t>
            </w:r>
          </w:p>
          <w:p w14:paraId="6EBBFECE">
            <w:pPr>
              <w:pStyle w:val="68"/>
              <w:spacing w:line="240" w:lineRule="auto"/>
              <w:ind w:firstLine="0" w:firstLineChars="0"/>
              <w:jc w:val="center"/>
              <w:rPr>
                <w:b/>
                <w:bCs/>
                <w:color w:val="auto"/>
                <w:sz w:val="21"/>
                <w:szCs w:val="21"/>
              </w:rPr>
            </w:pPr>
            <w:r>
              <w:rPr>
                <w:color w:val="auto"/>
              </w:rPr>
              <w:drawing>
                <wp:inline distT="0" distB="0" distL="114300" distR="114300">
                  <wp:extent cx="2876550" cy="4229100"/>
                  <wp:effectExtent l="0" t="0" r="0" b="0"/>
                  <wp:docPr id="35"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9"/>
                          <pic:cNvPicPr>
                            <a:picLocks noChangeAspect="1"/>
                          </pic:cNvPicPr>
                        </pic:nvPicPr>
                        <pic:blipFill>
                          <a:blip r:embed="rId20"/>
                          <a:stretch>
                            <a:fillRect/>
                          </a:stretch>
                        </pic:blipFill>
                        <pic:spPr>
                          <a:xfrm>
                            <a:off x="0" y="0"/>
                            <a:ext cx="2876550" cy="4229100"/>
                          </a:xfrm>
                          <a:prstGeom prst="rect">
                            <a:avLst/>
                          </a:prstGeom>
                          <a:noFill/>
                          <a:ln>
                            <a:noFill/>
                          </a:ln>
                        </pic:spPr>
                      </pic:pic>
                    </a:graphicData>
                  </a:graphic>
                </wp:inline>
              </w:drawing>
            </w:r>
          </w:p>
          <w:p w14:paraId="776F1511">
            <w:pPr>
              <w:pStyle w:val="68"/>
              <w:spacing w:line="240" w:lineRule="auto"/>
              <w:ind w:firstLine="0" w:firstLineChars="0"/>
              <w:jc w:val="center"/>
              <w:rPr>
                <w:b/>
                <w:bCs/>
                <w:color w:val="auto"/>
                <w:sz w:val="21"/>
                <w:szCs w:val="21"/>
              </w:rPr>
            </w:pPr>
            <w:r>
              <w:rPr>
                <w:rFonts w:hint="eastAsia"/>
                <w:b/>
                <w:bCs/>
                <w:color w:val="auto"/>
                <w:sz w:val="21"/>
                <w:szCs w:val="21"/>
              </w:rPr>
              <w:t>图4</w:t>
            </w:r>
            <w:r>
              <w:rPr>
                <w:b/>
                <w:bCs/>
                <w:color w:val="auto"/>
                <w:sz w:val="21"/>
                <w:szCs w:val="21"/>
              </w:rPr>
              <w:t>-</w:t>
            </w:r>
            <w:r>
              <w:rPr>
                <w:rFonts w:hint="eastAsia"/>
                <w:b/>
                <w:bCs/>
                <w:color w:val="auto"/>
                <w:sz w:val="21"/>
                <w:szCs w:val="21"/>
              </w:rPr>
              <w:t>1</w:t>
            </w:r>
            <w:r>
              <w:rPr>
                <w:b/>
                <w:bCs/>
                <w:color w:val="auto"/>
                <w:sz w:val="21"/>
                <w:szCs w:val="21"/>
              </w:rPr>
              <w:t xml:space="preserve">  </w:t>
            </w:r>
            <w:r>
              <w:rPr>
                <w:rFonts w:hint="eastAsia"/>
                <w:b/>
                <w:bCs/>
                <w:color w:val="auto"/>
                <w:sz w:val="21"/>
                <w:szCs w:val="21"/>
                <w:lang w:val="en-US" w:eastAsia="zh-CN"/>
              </w:rPr>
              <w:t>活性炭吸附</w:t>
            </w:r>
            <w:r>
              <w:rPr>
                <w:rFonts w:hint="eastAsia"/>
                <w:b/>
                <w:bCs/>
                <w:color w:val="auto"/>
                <w:sz w:val="21"/>
                <w:szCs w:val="21"/>
              </w:rPr>
              <w:t>除臭装置示意图</w:t>
            </w:r>
          </w:p>
          <w:p w14:paraId="3504D865">
            <w:pPr>
              <w:spacing w:line="360" w:lineRule="auto"/>
              <w:ind w:firstLine="480" w:firstLineChars="200"/>
              <w:rPr>
                <w:rFonts w:cs="宋体"/>
                <w:color w:val="auto"/>
                <w:kern w:val="0"/>
                <w:sz w:val="24"/>
              </w:rPr>
            </w:pPr>
            <w:r>
              <w:rPr>
                <w:rFonts w:cs="宋体"/>
                <w:color w:val="auto"/>
                <w:kern w:val="0"/>
                <w:sz w:val="24"/>
              </w:rPr>
              <w:t>根据《屠宰及肉类加工业污染防治可行技术指南）（HJ 1285—2023）表3中污染防治可行技术，“</w:t>
            </w:r>
            <w:r>
              <w:rPr>
                <w:rFonts w:hint="eastAsia" w:cs="宋体"/>
                <w:color w:val="auto"/>
                <w:kern w:val="0"/>
                <w:sz w:val="24"/>
                <w:lang w:val="en-US" w:eastAsia="zh-CN"/>
              </w:rPr>
              <w:t>集中收集经活性炭吸附后由15m高排气筒排放</w:t>
            </w:r>
            <w:r>
              <w:rPr>
                <w:rFonts w:cs="宋体"/>
                <w:color w:val="auto"/>
                <w:kern w:val="0"/>
                <w:sz w:val="24"/>
              </w:rPr>
              <w:t>”，属于《排污许可证申请与核发技术规范 农副食品加工工业－屠宰及肉类加工工业》</w:t>
            </w:r>
            <w:r>
              <w:rPr>
                <w:rFonts w:hint="eastAsia" w:cs="宋体"/>
                <w:color w:val="auto"/>
                <w:kern w:val="0"/>
                <w:sz w:val="24"/>
              </w:rPr>
              <w:t>（HJ 860.3—2018）</w:t>
            </w:r>
            <w:r>
              <w:rPr>
                <w:rFonts w:cs="宋体"/>
                <w:color w:val="auto"/>
                <w:kern w:val="0"/>
                <w:sz w:val="24"/>
              </w:rPr>
              <w:t>表3中污染防治可行技术</w:t>
            </w:r>
            <w:r>
              <w:rPr>
                <w:rFonts w:hint="eastAsia" w:cs="宋体"/>
                <w:color w:val="auto"/>
                <w:kern w:val="0"/>
                <w:sz w:val="24"/>
              </w:rPr>
              <w:t>，综上本项目</w:t>
            </w:r>
            <w:r>
              <w:rPr>
                <w:rFonts w:cs="宋体"/>
                <w:color w:val="auto"/>
                <w:kern w:val="0"/>
                <w:sz w:val="24"/>
              </w:rPr>
              <w:t>污水处理站</w:t>
            </w:r>
            <w:r>
              <w:rPr>
                <w:rFonts w:hint="eastAsia" w:cs="宋体"/>
                <w:color w:val="auto"/>
                <w:kern w:val="0"/>
                <w:sz w:val="24"/>
                <w:lang w:val="en-US" w:eastAsia="zh-CN"/>
              </w:rPr>
              <w:t>活性炭吸附物理</w:t>
            </w:r>
            <w:r>
              <w:rPr>
                <w:rFonts w:hint="eastAsia" w:cs="宋体"/>
                <w:color w:val="auto"/>
                <w:kern w:val="0"/>
                <w:sz w:val="24"/>
              </w:rPr>
              <w:t>除臭技术可行</w:t>
            </w:r>
            <w:r>
              <w:rPr>
                <w:rFonts w:cs="宋体"/>
                <w:color w:val="auto"/>
                <w:kern w:val="0"/>
                <w:sz w:val="24"/>
              </w:rPr>
              <w:t>。</w:t>
            </w:r>
          </w:p>
          <w:p w14:paraId="6B3ABF6B">
            <w:pPr>
              <w:pStyle w:val="68"/>
              <w:ind w:firstLine="480"/>
              <w:rPr>
                <w:rFonts w:hint="default" w:eastAsia="宋体"/>
                <w:color w:val="auto"/>
                <w:lang w:val="en-US" w:eastAsia="zh-CN"/>
              </w:rPr>
            </w:pPr>
            <w:r>
              <w:rPr>
                <w:color w:val="auto"/>
              </w:rPr>
              <w:t>（</w:t>
            </w:r>
            <w:r>
              <w:rPr>
                <w:rFonts w:hint="eastAsia"/>
                <w:color w:val="auto"/>
                <w:lang w:val="en-US" w:eastAsia="zh-CN"/>
              </w:rPr>
              <w:t>3</w:t>
            </w:r>
            <w:r>
              <w:rPr>
                <w:color w:val="auto"/>
              </w:rPr>
              <w:t>）</w:t>
            </w:r>
            <w:r>
              <w:rPr>
                <w:rFonts w:hint="eastAsia"/>
                <w:color w:val="auto"/>
                <w:lang w:val="en-US" w:eastAsia="zh-CN"/>
              </w:rPr>
              <w:t>生产过程中的油烟废气</w:t>
            </w:r>
          </w:p>
          <w:p w14:paraId="12D76470">
            <w:pPr>
              <w:pStyle w:val="68"/>
              <w:ind w:firstLine="480"/>
              <w:rPr>
                <w:bCs/>
                <w:color w:val="auto"/>
              </w:rPr>
            </w:pPr>
            <w:r>
              <w:rPr>
                <w:rFonts w:hint="eastAsia"/>
                <w:bCs/>
                <w:color w:val="auto"/>
                <w:lang w:val="en-US" w:eastAsia="zh-CN"/>
              </w:rPr>
              <w:t>本项目生产车间烘烤过程中会产生一定量的油烟，设置集气罩收集（收集效率以</w:t>
            </w:r>
            <w:r>
              <w:rPr>
                <w:rFonts w:hint="default"/>
                <w:bCs/>
                <w:color w:val="auto"/>
                <w:lang w:val="en-US" w:eastAsia="zh-CN"/>
              </w:rPr>
              <w:t>90%</w:t>
            </w:r>
            <w:r>
              <w:rPr>
                <w:rFonts w:hint="eastAsia"/>
                <w:bCs/>
                <w:color w:val="auto"/>
                <w:lang w:val="en-US" w:eastAsia="zh-CN"/>
              </w:rPr>
              <w:t>计），通过静电式油烟净化器处理后（处理效率为</w:t>
            </w:r>
            <w:r>
              <w:rPr>
                <w:rFonts w:hint="default"/>
                <w:bCs/>
                <w:color w:val="auto"/>
                <w:lang w:val="en-US" w:eastAsia="zh-CN"/>
              </w:rPr>
              <w:t>90%</w:t>
            </w:r>
            <w:r>
              <w:rPr>
                <w:rFonts w:hint="eastAsia"/>
                <w:bCs/>
                <w:color w:val="auto"/>
                <w:lang w:val="en-US" w:eastAsia="zh-CN"/>
              </w:rPr>
              <w:t>），经</w:t>
            </w:r>
            <w:r>
              <w:rPr>
                <w:rFonts w:hint="eastAsia" w:cs="Times New Roman"/>
                <w:color w:val="auto"/>
                <w:lang w:val="en-US" w:eastAsia="zh-CN"/>
              </w:rPr>
              <w:t>屋顶排气筒</w:t>
            </w:r>
            <w:r>
              <w:rPr>
                <w:rFonts w:hint="eastAsia"/>
                <w:bCs/>
                <w:color w:val="auto"/>
                <w:lang w:val="en-US" w:eastAsia="zh-CN"/>
              </w:rPr>
              <w:t>排放。</w:t>
            </w:r>
          </w:p>
          <w:p w14:paraId="1F45E873">
            <w:pPr>
              <w:pStyle w:val="68"/>
              <w:ind w:firstLine="480"/>
              <w:rPr>
                <w:rFonts w:hint="eastAsia"/>
                <w:bCs/>
                <w:color w:val="auto"/>
                <w:lang w:eastAsia="zh-CN"/>
              </w:rPr>
            </w:pPr>
            <w:r>
              <w:rPr>
                <w:rFonts w:cs="宋体"/>
                <w:color w:val="auto"/>
                <w:kern w:val="0"/>
                <w:sz w:val="24"/>
              </w:rPr>
              <w:t>根据《屠宰及肉类加工业污染防治可行技术指南）（HJ 1285—2023）表3中污染防治可行技术，“</w:t>
            </w:r>
            <w:r>
              <w:rPr>
                <w:rFonts w:hint="eastAsia" w:cs="宋体"/>
                <w:color w:val="auto"/>
                <w:kern w:val="0"/>
                <w:sz w:val="24"/>
                <w:lang w:val="en-US" w:eastAsia="zh-CN"/>
              </w:rPr>
              <w:t>静电除尘</w:t>
            </w:r>
            <w:r>
              <w:rPr>
                <w:rFonts w:cs="宋体"/>
                <w:color w:val="auto"/>
                <w:kern w:val="0"/>
                <w:sz w:val="24"/>
              </w:rPr>
              <w:t>”，属于《排污许可证申请与核发技术规范 农副食品加工工业－屠宰及肉类加工工业》</w:t>
            </w:r>
            <w:r>
              <w:rPr>
                <w:rFonts w:hint="eastAsia"/>
                <w:color w:val="auto"/>
              </w:rPr>
              <w:t>（HJ 860.3—2018）</w:t>
            </w:r>
            <w:r>
              <w:rPr>
                <w:rFonts w:cs="宋体"/>
                <w:color w:val="auto"/>
                <w:kern w:val="0"/>
                <w:sz w:val="24"/>
              </w:rPr>
              <w:t>表3中污染防治可行技术</w:t>
            </w:r>
            <w:r>
              <w:rPr>
                <w:rFonts w:hint="eastAsia" w:cs="宋体"/>
                <w:color w:val="auto"/>
                <w:kern w:val="0"/>
                <w:sz w:val="24"/>
              </w:rPr>
              <w:t>，综上本项目</w:t>
            </w:r>
            <w:r>
              <w:rPr>
                <w:rFonts w:hint="eastAsia" w:cs="宋体"/>
                <w:color w:val="auto"/>
                <w:kern w:val="0"/>
                <w:sz w:val="24"/>
                <w:lang w:val="en-US" w:eastAsia="zh-CN"/>
              </w:rPr>
              <w:t>生产车间静电油烟处理</w:t>
            </w:r>
            <w:r>
              <w:rPr>
                <w:rFonts w:hint="eastAsia" w:cs="宋体"/>
                <w:color w:val="auto"/>
                <w:kern w:val="0"/>
                <w:sz w:val="24"/>
              </w:rPr>
              <w:t>技术可行</w:t>
            </w:r>
            <w:r>
              <w:rPr>
                <w:rFonts w:cs="宋体"/>
                <w:color w:val="auto"/>
                <w:kern w:val="0"/>
                <w:sz w:val="24"/>
              </w:rPr>
              <w:t>。</w:t>
            </w:r>
          </w:p>
          <w:p w14:paraId="5227C2B2">
            <w:pPr>
              <w:pStyle w:val="68"/>
              <w:ind w:firstLine="480"/>
              <w:rPr>
                <w:rFonts w:hint="default" w:eastAsia="宋体"/>
                <w:bCs/>
                <w:color w:val="auto"/>
                <w:lang w:val="en-US" w:eastAsia="zh-CN"/>
              </w:rPr>
            </w:pPr>
            <w:r>
              <w:rPr>
                <w:rFonts w:hint="eastAsia"/>
                <w:bCs/>
                <w:color w:val="auto"/>
                <w:lang w:eastAsia="zh-CN"/>
              </w:rPr>
              <w:t>（</w:t>
            </w:r>
            <w:r>
              <w:rPr>
                <w:rFonts w:hint="eastAsia"/>
                <w:bCs/>
                <w:color w:val="auto"/>
                <w:lang w:val="en-US" w:eastAsia="zh-CN"/>
              </w:rPr>
              <w:t>4</w:t>
            </w:r>
            <w:r>
              <w:rPr>
                <w:rFonts w:hint="eastAsia"/>
                <w:bCs/>
                <w:color w:val="auto"/>
                <w:lang w:eastAsia="zh-CN"/>
              </w:rPr>
              <w:t>）</w:t>
            </w:r>
            <w:r>
              <w:rPr>
                <w:rFonts w:hint="eastAsia"/>
                <w:bCs/>
                <w:color w:val="auto"/>
                <w:lang w:val="en-US" w:eastAsia="zh-CN"/>
              </w:rPr>
              <w:t>腌制异味（以臭气浓度计）</w:t>
            </w:r>
          </w:p>
          <w:p w14:paraId="093CEEFB">
            <w:pPr>
              <w:pStyle w:val="68"/>
              <w:ind w:firstLine="480"/>
              <w:rPr>
                <w:rFonts w:hint="eastAsia"/>
                <w:bCs/>
                <w:color w:val="auto"/>
                <w:lang w:val="en-US" w:eastAsia="zh-CN"/>
              </w:rPr>
            </w:pPr>
            <w:r>
              <w:rPr>
                <w:rFonts w:hint="eastAsia"/>
                <w:bCs/>
                <w:color w:val="auto"/>
                <w:lang w:val="en-US" w:eastAsia="zh-CN"/>
              </w:rPr>
              <w:t>本项目生产牛羊肉罐头在煮制过程中香辛料等会产生异味，根据类比调查同类型生产企业，产生的总挥发物的浓度在</w:t>
            </w:r>
            <w:r>
              <w:rPr>
                <w:rFonts w:hint="default"/>
                <w:bCs/>
                <w:color w:val="auto"/>
                <w:lang w:val="en-US" w:eastAsia="zh-CN"/>
              </w:rPr>
              <w:t>1</w:t>
            </w:r>
            <w:r>
              <w:rPr>
                <w:rFonts w:hint="eastAsia"/>
                <w:bCs/>
                <w:color w:val="auto"/>
                <w:lang w:val="en-US" w:eastAsia="zh-CN"/>
              </w:rPr>
              <w:t>～</w:t>
            </w:r>
            <w:r>
              <w:rPr>
                <w:rFonts w:hint="default"/>
                <w:bCs/>
                <w:color w:val="auto"/>
                <w:lang w:val="en-US" w:eastAsia="zh-CN"/>
              </w:rPr>
              <w:t>100mg/kg</w:t>
            </w:r>
            <w:r>
              <w:rPr>
                <w:rFonts w:hint="eastAsia"/>
                <w:bCs/>
                <w:color w:val="auto"/>
                <w:lang w:val="en-US" w:eastAsia="zh-CN"/>
              </w:rPr>
              <w:t>，其中单一化合物的浓度在</w:t>
            </w:r>
            <w:r>
              <w:rPr>
                <w:rFonts w:hint="default"/>
                <w:bCs/>
                <w:color w:val="auto"/>
                <w:lang w:val="en-US" w:eastAsia="zh-CN"/>
              </w:rPr>
              <w:t>μg/kg</w:t>
            </w:r>
            <w:r>
              <w:rPr>
                <w:rFonts w:hint="eastAsia"/>
                <w:bCs/>
                <w:color w:val="auto"/>
                <w:lang w:val="en-US" w:eastAsia="zh-CN"/>
              </w:rPr>
              <w:t>或</w:t>
            </w:r>
            <w:r>
              <w:rPr>
                <w:rFonts w:hint="default"/>
                <w:bCs/>
                <w:color w:val="auto"/>
                <w:lang w:val="en-US" w:eastAsia="zh-CN"/>
              </w:rPr>
              <w:t>ng/kg</w:t>
            </w:r>
            <w:r>
              <w:rPr>
                <w:rFonts w:hint="eastAsia"/>
                <w:bCs/>
                <w:color w:val="auto"/>
                <w:lang w:val="en-US" w:eastAsia="zh-CN"/>
              </w:rPr>
              <w:t>级，产品中对应的香气物质含量是原料的</w:t>
            </w:r>
            <w:r>
              <w:rPr>
                <w:rFonts w:hint="default"/>
                <w:bCs/>
                <w:color w:val="auto"/>
                <w:lang w:val="en-US" w:eastAsia="zh-CN"/>
              </w:rPr>
              <w:t>10</w:t>
            </w:r>
            <w:r>
              <w:rPr>
                <w:rFonts w:hint="default"/>
                <w:bCs/>
                <w:color w:val="auto"/>
                <w:vertAlign w:val="superscript"/>
                <w:lang w:val="en-US" w:eastAsia="zh-CN"/>
              </w:rPr>
              <w:t>-6</w:t>
            </w:r>
            <w:r>
              <w:rPr>
                <w:rFonts w:hint="eastAsia"/>
                <w:bCs/>
                <w:color w:val="auto"/>
                <w:lang w:val="en-US" w:eastAsia="zh-CN"/>
              </w:rPr>
              <w:t>～</w:t>
            </w:r>
            <w:r>
              <w:rPr>
                <w:rFonts w:hint="default"/>
                <w:bCs/>
                <w:color w:val="auto"/>
                <w:lang w:val="en-US" w:eastAsia="zh-CN"/>
              </w:rPr>
              <w:t>10</w:t>
            </w:r>
            <w:r>
              <w:rPr>
                <w:rFonts w:hint="default"/>
                <w:bCs/>
                <w:color w:val="auto"/>
                <w:vertAlign w:val="superscript"/>
                <w:lang w:val="en-US" w:eastAsia="zh-CN"/>
              </w:rPr>
              <w:t>-9</w:t>
            </w:r>
            <w:r>
              <w:rPr>
                <w:rFonts w:hint="eastAsia"/>
                <w:bCs/>
                <w:color w:val="auto"/>
                <w:lang w:val="en-US" w:eastAsia="zh-CN"/>
              </w:rPr>
              <w:t>，产生的臭气浓度不大于</w:t>
            </w:r>
            <w:r>
              <w:rPr>
                <w:rFonts w:hint="default"/>
                <w:bCs/>
                <w:color w:val="auto"/>
                <w:lang w:val="en-US" w:eastAsia="zh-CN"/>
              </w:rPr>
              <w:t>20</w:t>
            </w:r>
            <w:r>
              <w:rPr>
                <w:rFonts w:hint="eastAsia"/>
                <w:bCs/>
                <w:color w:val="auto"/>
                <w:lang w:val="en-US" w:eastAsia="zh-CN"/>
              </w:rPr>
              <w:t xml:space="preserve">（无量纲）。经查《排放源统计调查产排污核算方法和系数手册》相关食品行业系数手册等，均无相关生产废气产排系数，其产生量难以计算，且生产中在煮、蒸过程中均加盖操作，异味产生量较小。鉴于该类异味对周边环境的影响主要是引起部分敏感人群感官上的不适，对人体无毒无害，因此，本次评价仅对其进行定性分析。 </w:t>
            </w:r>
          </w:p>
          <w:p w14:paraId="08BBF199">
            <w:pPr>
              <w:pStyle w:val="68"/>
              <w:ind w:firstLine="480"/>
              <w:rPr>
                <w:rFonts w:hint="eastAsia"/>
                <w:bCs/>
                <w:color w:val="auto"/>
                <w:lang w:val="en-US" w:eastAsia="zh-CN"/>
              </w:rPr>
            </w:pPr>
            <w:r>
              <w:rPr>
                <w:rFonts w:hint="eastAsia"/>
                <w:bCs/>
                <w:color w:val="auto"/>
                <w:lang w:val="en-US" w:eastAsia="zh-CN"/>
              </w:rPr>
              <w:t>本项目要求企业车间设置排烟系统，生产过程产生的异味通过车间排烟系统收集后排除车间外，由于项目属于农副产品制造业及食品制造企业，车间设置定期换风系统，异味很快散发于大气中，不会对周围环境造成影响。</w:t>
            </w:r>
          </w:p>
          <w:p w14:paraId="7A9754BE">
            <w:pPr>
              <w:pStyle w:val="68"/>
              <w:ind w:firstLine="480"/>
              <w:rPr>
                <w:rFonts w:hint="eastAsia"/>
                <w:color w:val="auto"/>
              </w:rPr>
            </w:pPr>
            <w:r>
              <w:rPr>
                <w:rFonts w:hint="eastAsia"/>
                <w:color w:val="auto"/>
              </w:rPr>
              <w:t>油烟吸入静电式油烟净化器，部分油烟冷凝成较大的油雾滴、油污颗粒，在达到净化器均流板上由于机械碰撞、阻留而被捕集。当气流进入高压静电场时，在高压电场的作用下，气体电离，烟雾荷电，部分得以降解炭化；部分微小油粒在吸附电场的电场力及气流作用下向电场的正负极板运动被收集在极板上并在自身重力的作用下流到集油槽，经排油通道排出，余下的微米级烟雾被电场降解成二氧化碳和水，最终排出洁净空气；同时在高压发生器的作用下，电场内空气产生臭氧，除去了烟气中大部分的气味。</w:t>
            </w:r>
          </w:p>
          <w:p w14:paraId="7FEF0B20">
            <w:pPr>
              <w:pStyle w:val="68"/>
              <w:ind w:firstLine="480"/>
              <w:rPr>
                <w:rFonts w:hint="default" w:eastAsia="宋体"/>
                <w:color w:val="auto"/>
                <w:lang w:val="en-US" w:eastAsia="zh-CN"/>
              </w:rPr>
            </w:pPr>
            <w:r>
              <w:rPr>
                <w:rFonts w:hint="eastAsia"/>
                <w:b/>
                <w:bCs/>
                <w:color w:val="auto"/>
                <w:lang w:val="en-US" w:eastAsia="zh-CN"/>
              </w:rPr>
              <w:t>静电式油烟净化器可行性分析：</w:t>
            </w:r>
          </w:p>
          <w:p w14:paraId="241EA3D1">
            <w:pPr>
              <w:pStyle w:val="68"/>
              <w:ind w:firstLine="480"/>
              <w:rPr>
                <w:color w:val="auto"/>
              </w:rPr>
            </w:pPr>
            <w:r>
              <w:rPr>
                <w:rFonts w:hint="eastAsia"/>
                <w:color w:val="auto"/>
              </w:rPr>
              <w:t>参考《排污许可证申请与核发技术规范 农副食品加工工业—屠宰及肉类加工工业》（HJ 860.3—2018）废气污染防治可行技术参考表，油烟废气可行技术为“静电油烟处理器、湿法油烟处理器”，本项目油</w:t>
            </w:r>
            <w:r>
              <w:rPr>
                <w:rFonts w:hint="eastAsia"/>
                <w:color w:val="auto"/>
                <w:lang w:val="en-US" w:eastAsia="zh-CN"/>
              </w:rPr>
              <w:t>烟</w:t>
            </w:r>
            <w:r>
              <w:rPr>
                <w:rFonts w:hint="eastAsia"/>
                <w:color w:val="auto"/>
              </w:rPr>
              <w:t>废气采取“静电式油烟净化器”处理设施可行。根据胡继红、崔立杰、杨显平所著的《静电型油烟净化装置净化效率的理论分析》，静电型油烟净化装置对废气处理效率可达95%以上。因此本项目采用静电式油烟净化器处理设施处理效率取90%可行，但企业还应加强废气处理装置日常管理，定期检修设备。</w:t>
            </w:r>
          </w:p>
          <w:p w14:paraId="3F0F397A">
            <w:pPr>
              <w:pStyle w:val="68"/>
              <w:ind w:firstLine="480"/>
              <w:rPr>
                <w:color w:val="auto"/>
              </w:rPr>
            </w:pPr>
            <w:r>
              <w:rPr>
                <w:color w:val="auto"/>
              </w:rPr>
              <w:t>（</w:t>
            </w:r>
            <w:r>
              <w:rPr>
                <w:rFonts w:hint="eastAsia"/>
                <w:color w:val="auto"/>
                <w:lang w:val="en-US" w:eastAsia="zh-CN"/>
              </w:rPr>
              <w:t>5</w:t>
            </w:r>
            <w:r>
              <w:rPr>
                <w:color w:val="auto"/>
              </w:rPr>
              <w:t>）</w:t>
            </w:r>
            <w:r>
              <w:rPr>
                <w:rFonts w:hint="eastAsia"/>
                <w:color w:val="auto"/>
                <w:lang w:val="en-US" w:eastAsia="zh-CN"/>
              </w:rPr>
              <w:t>制冷系统废气</w:t>
            </w:r>
          </w:p>
          <w:p w14:paraId="6A4C3E1F">
            <w:pPr>
              <w:pStyle w:val="68"/>
              <w:ind w:firstLine="480"/>
              <w:rPr>
                <w:rFonts w:hint="default" w:eastAsia="宋体"/>
                <w:color w:val="auto"/>
                <w:lang w:val="en-US" w:eastAsia="zh-CN"/>
              </w:rPr>
            </w:pPr>
            <w:r>
              <w:rPr>
                <w:rFonts w:hint="eastAsia"/>
                <w:color w:val="auto"/>
              </w:rPr>
              <w:t>制冷系统运行时，常用制冷剂的泄漏是废气主要来源。氨作为传统高效制冷剂，泄漏后会形成具有强烈刺激性气味的无色气体，能迅速刺激人体呼吸道黏膜与眼结膜</w:t>
            </w:r>
            <w:r>
              <w:rPr>
                <w:rFonts w:hint="eastAsia"/>
                <w:color w:val="auto"/>
                <w:lang w:eastAsia="zh-CN"/>
              </w:rPr>
              <w:t>，</w:t>
            </w:r>
            <w:r>
              <w:rPr>
                <w:rFonts w:hint="eastAsia"/>
                <w:color w:val="auto"/>
                <w:lang w:val="en-US" w:eastAsia="zh-CN"/>
              </w:rPr>
              <w:t>本项目制冷系统采用符合环保要求的“氨”（R717）作制冷剂，</w:t>
            </w:r>
            <w:r>
              <w:rPr>
                <w:rFonts w:hint="eastAsia"/>
                <w:color w:val="auto"/>
              </w:rPr>
              <w:t>定期对制冷系统密封检查和检测，及时更换老化阀门和管道。参考《排污许可证申请与核发技术规范 农副食品加工工业—屠宰及肉类加工工业》（HJ 860.3—2018）废气污染防治可行技术参考表，</w:t>
            </w:r>
            <w:r>
              <w:rPr>
                <w:rFonts w:hint="eastAsia"/>
                <w:color w:val="auto"/>
                <w:lang w:val="en-US" w:eastAsia="zh-CN"/>
              </w:rPr>
              <w:t>制冷废气的处理方法技术可行。</w:t>
            </w:r>
          </w:p>
          <w:p w14:paraId="2E3E7E63">
            <w:pPr>
              <w:pStyle w:val="68"/>
              <w:ind w:firstLine="480"/>
              <w:rPr>
                <w:bCs/>
                <w:color w:val="auto"/>
              </w:rPr>
            </w:pPr>
            <w:r>
              <w:rPr>
                <w:color w:val="auto"/>
              </w:rPr>
              <w:t>大气污染防治措施</w:t>
            </w:r>
          </w:p>
          <w:p w14:paraId="0C2D57E4">
            <w:pPr>
              <w:pStyle w:val="68"/>
              <w:ind w:firstLine="480"/>
              <w:rPr>
                <w:color w:val="auto"/>
              </w:rPr>
            </w:pPr>
            <w:r>
              <w:rPr>
                <w:color w:val="auto"/>
              </w:rPr>
              <w:t>项目运营后，产生废气主要来源于</w:t>
            </w:r>
            <w:r>
              <w:rPr>
                <w:rFonts w:hint="eastAsia"/>
                <w:color w:val="auto"/>
                <w:lang w:val="en-US" w:eastAsia="zh-CN"/>
              </w:rPr>
              <w:t>污水处理站恶臭、生产车间烘烤等产生的油烟废气、 肉制品腌制及蒸煮废气（以臭气浓度表征）、制冷系统废气。</w:t>
            </w:r>
            <w:r>
              <w:rPr>
                <w:color w:val="auto"/>
              </w:rPr>
              <w:t>为减少</w:t>
            </w:r>
            <w:r>
              <w:rPr>
                <w:rFonts w:hint="eastAsia"/>
                <w:color w:val="auto"/>
                <w:lang w:val="en-US" w:eastAsia="zh-CN"/>
              </w:rPr>
              <w:t>废气</w:t>
            </w:r>
            <w:r>
              <w:rPr>
                <w:color w:val="auto"/>
              </w:rPr>
              <w:t>对工人及</w:t>
            </w:r>
            <w:r>
              <w:rPr>
                <w:rFonts w:hint="eastAsia"/>
                <w:color w:val="auto"/>
                <w:lang w:val="en-US" w:eastAsia="zh-CN"/>
              </w:rPr>
              <w:t>周边环境</w:t>
            </w:r>
            <w:r>
              <w:rPr>
                <w:color w:val="auto"/>
              </w:rPr>
              <w:t>带来的有害影响，建议该项目采取以下措施：</w:t>
            </w:r>
          </w:p>
          <w:p w14:paraId="116D6ADA">
            <w:pPr>
              <w:pStyle w:val="68"/>
              <w:numPr>
                <w:ilvl w:val="0"/>
                <w:numId w:val="0"/>
              </w:numPr>
              <w:ind w:firstLine="480" w:firstLineChars="200"/>
              <w:rPr>
                <w:rFonts w:hint="default" w:cs="宋体"/>
                <w:color w:val="auto"/>
                <w:kern w:val="0"/>
                <w:sz w:val="24"/>
                <w:szCs w:val="24"/>
                <w:lang w:val="en-US" w:eastAsia="zh-CN" w:bidi="ar-SA"/>
              </w:rPr>
            </w:pPr>
            <w:r>
              <w:rPr>
                <w:rFonts w:hint="default" w:ascii="Times New Roman" w:hAnsi="Times New Roman" w:eastAsia="宋体" w:cs="Times New Roman"/>
                <w:color w:val="auto"/>
                <w:kern w:val="0"/>
                <w:sz w:val="24"/>
                <w:szCs w:val="24"/>
                <w:lang w:val="en-US" w:eastAsia="zh-CN" w:bidi="ar-SA"/>
              </w:rPr>
              <w:t>①</w:t>
            </w:r>
            <w:r>
              <w:rPr>
                <w:rFonts w:hint="eastAsia" w:ascii="Times New Roman" w:hAnsi="Times New Roman" w:eastAsia="宋体" w:cs="Times New Roman"/>
                <w:color w:val="auto"/>
                <w:kern w:val="0"/>
                <w:sz w:val="24"/>
                <w:szCs w:val="24"/>
                <w:lang w:val="en-US" w:eastAsia="zh-CN" w:bidi="ar-SA"/>
              </w:rPr>
              <w:t>有组织废气</w:t>
            </w:r>
          </w:p>
          <w:p w14:paraId="2A80C73A">
            <w:pPr>
              <w:pStyle w:val="68"/>
              <w:numPr>
                <w:ilvl w:val="0"/>
                <w:numId w:val="0"/>
              </w:numPr>
              <w:ind w:firstLine="480" w:firstLineChars="200"/>
              <w:rPr>
                <w:rFonts w:hint="eastAsia" w:cs="宋体"/>
                <w:color w:val="auto"/>
                <w:kern w:val="0"/>
                <w:sz w:val="24"/>
                <w:szCs w:val="24"/>
                <w:lang w:val="en-US" w:eastAsia="zh-CN" w:bidi="ar-SA"/>
              </w:rPr>
            </w:pPr>
            <w:r>
              <w:rPr>
                <w:rFonts w:hint="eastAsia" w:cs="宋体"/>
                <w:color w:val="auto"/>
                <w:kern w:val="0"/>
                <w:sz w:val="24"/>
                <w:szCs w:val="24"/>
                <w:lang w:val="en-US" w:eastAsia="zh-CN" w:bidi="ar-SA"/>
              </w:rPr>
              <w:t>1）</w:t>
            </w:r>
            <w:r>
              <w:rPr>
                <w:rFonts w:hint="eastAsia"/>
                <w:color w:val="auto"/>
              </w:rPr>
              <w:t>污水处理站</w:t>
            </w:r>
            <w:r>
              <w:rPr>
                <w:rFonts w:hint="eastAsia"/>
                <w:color w:val="auto"/>
                <w:lang w:val="en-US" w:eastAsia="zh-CN"/>
              </w:rPr>
              <w:t>恶臭经收集后由活性炭吸附装置处理，处理后的气体由15m高排气筒排放。</w:t>
            </w:r>
          </w:p>
          <w:p w14:paraId="05E2ED08">
            <w:pPr>
              <w:pStyle w:val="68"/>
              <w:ind w:firstLine="480"/>
              <w:rPr>
                <w:rFonts w:hint="eastAsia"/>
                <w:bCs/>
                <w:color w:val="auto"/>
                <w:lang w:val="en-US" w:eastAsia="zh-CN"/>
              </w:rPr>
            </w:pPr>
            <w:r>
              <w:rPr>
                <w:rFonts w:hint="eastAsia" w:cs="宋体"/>
                <w:color w:val="auto"/>
                <w:kern w:val="0"/>
                <w:sz w:val="24"/>
                <w:szCs w:val="24"/>
                <w:lang w:val="en-US" w:eastAsia="zh-CN" w:bidi="ar-SA"/>
              </w:rPr>
              <w:t>2）</w:t>
            </w:r>
            <w:r>
              <w:rPr>
                <w:rFonts w:hint="eastAsia"/>
                <w:bCs/>
                <w:color w:val="auto"/>
                <w:lang w:val="en-US" w:eastAsia="zh-CN"/>
              </w:rPr>
              <w:t>车间设置排烟系统，并设置集气罩收集，生产过程产生的异味及油烟通过车间排烟系统收集后，经静电式油烟净化器处理（处理效率为</w:t>
            </w:r>
            <w:r>
              <w:rPr>
                <w:rFonts w:hint="default"/>
                <w:bCs/>
                <w:color w:val="auto"/>
                <w:lang w:val="en-US" w:eastAsia="zh-CN"/>
              </w:rPr>
              <w:t>90%</w:t>
            </w:r>
            <w:r>
              <w:rPr>
                <w:rFonts w:hint="eastAsia"/>
                <w:bCs/>
                <w:color w:val="auto"/>
                <w:lang w:val="en-US" w:eastAsia="zh-CN"/>
              </w:rPr>
              <w:t>）由</w:t>
            </w:r>
            <w:r>
              <w:rPr>
                <w:rFonts w:hint="eastAsia" w:cs="Times New Roman"/>
                <w:color w:val="auto"/>
                <w:lang w:val="en-US" w:eastAsia="zh-CN"/>
              </w:rPr>
              <w:t>屋顶</w:t>
            </w:r>
            <w:r>
              <w:rPr>
                <w:rFonts w:hint="eastAsia"/>
                <w:bCs/>
                <w:color w:val="auto"/>
                <w:lang w:val="en-US" w:eastAsia="zh-CN"/>
              </w:rPr>
              <w:t>排放；</w:t>
            </w:r>
          </w:p>
          <w:p w14:paraId="2988C135">
            <w:pPr>
              <w:pStyle w:val="68"/>
              <w:ind w:firstLine="480"/>
              <w:rPr>
                <w:color w:val="auto"/>
              </w:rPr>
            </w:pPr>
            <w:r>
              <w:rPr>
                <w:rFonts w:hint="eastAsia" w:cs="宋体"/>
                <w:color w:val="auto"/>
                <w:kern w:val="0"/>
                <w:sz w:val="24"/>
                <w:szCs w:val="24"/>
                <w:lang w:val="en-US" w:eastAsia="zh-CN" w:bidi="ar-SA"/>
              </w:rPr>
              <w:t>3）</w:t>
            </w:r>
            <w:r>
              <w:rPr>
                <w:rFonts w:hint="eastAsia"/>
                <w:color w:val="auto"/>
                <w:lang w:val="en-US" w:eastAsia="zh-CN"/>
              </w:rPr>
              <w:t>制冷系统废气</w:t>
            </w:r>
          </w:p>
          <w:p w14:paraId="257B4059">
            <w:pPr>
              <w:pStyle w:val="68"/>
              <w:ind w:firstLine="480"/>
              <w:rPr>
                <w:rFonts w:hint="eastAsia"/>
                <w:color w:val="auto"/>
                <w:lang w:val="en-US" w:eastAsia="zh-CN"/>
              </w:rPr>
            </w:pPr>
            <w:r>
              <w:rPr>
                <w:rFonts w:hint="eastAsia"/>
                <w:color w:val="auto"/>
              </w:rPr>
              <w:t>定期对制冷系统密封检查和检测，及时更换老化阀门和管道。</w:t>
            </w:r>
          </w:p>
          <w:p w14:paraId="2DE5AE92">
            <w:pPr>
              <w:pStyle w:val="68"/>
              <w:ind w:firstLine="480"/>
              <w:rPr>
                <w:rFonts w:hint="eastAsia" w:eastAsia="宋体"/>
                <w:color w:val="auto"/>
                <w:lang w:val="en-US" w:eastAsia="zh-CN"/>
              </w:rPr>
            </w:pPr>
            <w:r>
              <w:rPr>
                <w:rFonts w:hint="default" w:ascii="Times New Roman" w:hAnsi="Times New Roman" w:eastAsia="宋体" w:cs="Times New Roman"/>
                <w:color w:val="auto"/>
              </w:rPr>
              <w:t>②</w:t>
            </w:r>
            <w:r>
              <w:rPr>
                <w:rFonts w:hint="eastAsia" w:ascii="Times New Roman" w:hAnsi="Times New Roman" w:eastAsia="宋体" w:cs="Times New Roman"/>
                <w:color w:val="auto"/>
                <w:lang w:val="en-US" w:eastAsia="zh-CN"/>
              </w:rPr>
              <w:t>无组织废气</w:t>
            </w:r>
          </w:p>
          <w:p w14:paraId="38F3D9E6">
            <w:pPr>
              <w:pStyle w:val="68"/>
              <w:ind w:firstLine="480"/>
              <w:rPr>
                <w:color w:val="auto"/>
              </w:rPr>
            </w:pPr>
            <w:r>
              <w:rPr>
                <w:rFonts w:hint="eastAsia"/>
                <w:color w:val="auto"/>
                <w:lang w:val="en-US" w:eastAsia="zh-CN"/>
              </w:rPr>
              <w:t>本项目无组织废气主要包括肉类制品煮、蒸过程中产生的异味（以臭气浓度表征），污水站产生的恶臭（臭气浓度、氨、硫化氢），以及未被收集的油烟。</w:t>
            </w:r>
          </w:p>
          <w:p w14:paraId="409F9EFF">
            <w:pPr>
              <w:pStyle w:val="68"/>
              <w:ind w:firstLine="480"/>
              <w:rPr>
                <w:color w:val="auto"/>
              </w:rPr>
            </w:pPr>
            <w:r>
              <w:rPr>
                <w:rFonts w:hint="eastAsia"/>
                <w:color w:val="auto"/>
                <w:lang w:val="en-US" w:eastAsia="zh-CN"/>
              </w:rPr>
              <w:t>建设单位无组织排放控制措施包括：</w:t>
            </w:r>
          </w:p>
          <w:p w14:paraId="1A312B60">
            <w:pPr>
              <w:pStyle w:val="68"/>
              <w:ind w:firstLine="480"/>
              <w:rPr>
                <w:color w:val="auto"/>
              </w:rPr>
            </w:pPr>
            <w:r>
              <w:rPr>
                <w:rFonts w:hint="default"/>
                <w:color w:val="auto"/>
                <w:lang w:val="en-US" w:eastAsia="zh-CN"/>
              </w:rPr>
              <w:t>1</w:t>
            </w:r>
            <w:r>
              <w:rPr>
                <w:rFonts w:hint="eastAsia"/>
                <w:color w:val="auto"/>
                <w:lang w:val="en-US" w:eastAsia="zh-CN"/>
              </w:rPr>
              <w:t>）废气收集按照</w:t>
            </w:r>
            <w:r>
              <w:rPr>
                <w:rFonts w:hint="default"/>
                <w:color w:val="auto"/>
                <w:lang w:val="en-US" w:eastAsia="zh-CN"/>
              </w:rPr>
              <w:t>“</w:t>
            </w:r>
            <w:r>
              <w:rPr>
                <w:rFonts w:hint="eastAsia"/>
                <w:color w:val="auto"/>
                <w:lang w:val="en-US" w:eastAsia="zh-CN"/>
              </w:rPr>
              <w:t>应收尽收、分质收集</w:t>
            </w:r>
            <w:r>
              <w:rPr>
                <w:rFonts w:hint="default"/>
                <w:color w:val="auto"/>
                <w:lang w:val="en-US" w:eastAsia="zh-CN"/>
              </w:rPr>
              <w:t>”</w:t>
            </w:r>
            <w:r>
              <w:rPr>
                <w:rFonts w:hint="eastAsia"/>
                <w:color w:val="auto"/>
                <w:lang w:val="en-US" w:eastAsia="zh-CN"/>
              </w:rPr>
              <w:t xml:space="preserve">原则进行设计，委托有资质单位设计，综合考虑气体性质、流量等因素，确保废气收集效果。 </w:t>
            </w:r>
          </w:p>
          <w:p w14:paraId="4C202F54">
            <w:pPr>
              <w:pStyle w:val="68"/>
              <w:ind w:firstLine="480"/>
              <w:rPr>
                <w:color w:val="auto"/>
              </w:rPr>
            </w:pPr>
            <w:r>
              <w:rPr>
                <w:rFonts w:hint="default"/>
                <w:color w:val="auto"/>
                <w:lang w:val="en-US" w:eastAsia="zh-CN"/>
              </w:rPr>
              <w:t>2</w:t>
            </w:r>
            <w:r>
              <w:rPr>
                <w:rFonts w:hint="eastAsia"/>
                <w:color w:val="auto"/>
                <w:lang w:val="en-US" w:eastAsia="zh-CN"/>
              </w:rPr>
              <w:t xml:space="preserve">）采用区域或设备密闭或集气罩收集的污染气体通过管道送至废气处理装置，管道布置结合生产工艺，力求简单、紧凑、管线短、占地空间少。管道布置采用明装，并沿墙或柱集中成行或列，平行敷设，管道与梁、柱、墙、设备及管道之间按相关规范设计间隔距离，满足施工、运行、检修和热胀冷缩的要求。 </w:t>
            </w:r>
          </w:p>
          <w:p w14:paraId="6B84C1B6">
            <w:pPr>
              <w:pStyle w:val="68"/>
              <w:ind w:firstLine="480"/>
              <w:rPr>
                <w:color w:val="auto"/>
              </w:rPr>
            </w:pPr>
            <w:r>
              <w:rPr>
                <w:rFonts w:hint="default"/>
                <w:color w:val="auto"/>
                <w:lang w:val="en-US" w:eastAsia="zh-CN"/>
              </w:rPr>
              <w:t>3</w:t>
            </w:r>
            <w:r>
              <w:rPr>
                <w:rFonts w:hint="eastAsia"/>
                <w:color w:val="auto"/>
                <w:lang w:val="en-US" w:eastAsia="zh-CN"/>
              </w:rPr>
              <w:t xml:space="preserve">）生产时，应加强环保管理，强制通风，确保废气治理措施相关的风机等的正常运行，最大程度减少无组织废气对大气环境的影响。 </w:t>
            </w:r>
          </w:p>
          <w:p w14:paraId="5B2B85E8">
            <w:pPr>
              <w:pStyle w:val="68"/>
              <w:ind w:firstLine="480"/>
              <w:rPr>
                <w:color w:val="auto"/>
              </w:rPr>
            </w:pPr>
            <w:r>
              <w:rPr>
                <w:rFonts w:hint="default"/>
                <w:color w:val="auto"/>
                <w:lang w:val="en-US" w:eastAsia="zh-CN"/>
              </w:rPr>
              <w:t>4</w:t>
            </w:r>
            <w:r>
              <w:rPr>
                <w:rFonts w:hint="eastAsia"/>
                <w:color w:val="auto"/>
                <w:lang w:val="en-US" w:eastAsia="zh-CN"/>
              </w:rPr>
              <w:t xml:space="preserve">）强化生产管理：尽可能进行规模化连续生产，生产设备密封；强化操作管理、提高工人水平、严格控制操作规程等，并及时修理或更换损坏的管道设备，减少和防止跑、冒、滴、漏和事故性排放；加强运行管理和环境管理，提高工人操作水平，通过宣传增强职工环保意识，积极推行清洁生产，节能降耗，多种措施并举，减少污染物排放。 </w:t>
            </w:r>
          </w:p>
          <w:p w14:paraId="3CB8183A">
            <w:pPr>
              <w:pStyle w:val="68"/>
              <w:ind w:firstLine="480"/>
              <w:rPr>
                <w:color w:val="auto"/>
              </w:rPr>
            </w:pPr>
            <w:r>
              <w:rPr>
                <w:rFonts w:hint="default"/>
                <w:color w:val="auto"/>
                <w:lang w:val="en-US" w:eastAsia="zh-CN"/>
              </w:rPr>
              <w:t>5</w:t>
            </w:r>
            <w:r>
              <w:rPr>
                <w:rFonts w:hint="eastAsia"/>
                <w:color w:val="auto"/>
                <w:lang w:val="en-US" w:eastAsia="zh-CN"/>
              </w:rPr>
              <w:t xml:space="preserve">）企业应加强对项目废气治理设施的维修和检查，购置备用设备，确保设备运行过程中能够正常运行，严防事故发生。 </w:t>
            </w:r>
          </w:p>
          <w:p w14:paraId="2AC591F0">
            <w:pPr>
              <w:pStyle w:val="68"/>
              <w:ind w:firstLine="480"/>
              <w:rPr>
                <w:color w:val="auto"/>
              </w:rPr>
            </w:pPr>
            <w:r>
              <w:rPr>
                <w:color w:val="auto"/>
              </w:rPr>
              <w:t>经上述治理措施治理后，污染物排放可以满足</w:t>
            </w:r>
            <w:r>
              <w:rPr>
                <w:rFonts w:hint="eastAsia"/>
                <w:color w:val="auto"/>
              </w:rPr>
              <w:t>《恶臭污染物排放标准》（GB14554-93）表</w:t>
            </w:r>
            <w:r>
              <w:rPr>
                <w:rFonts w:hint="eastAsia"/>
                <w:color w:val="auto"/>
                <w:lang w:val="en-US" w:eastAsia="zh-CN"/>
              </w:rPr>
              <w:t>一表二</w:t>
            </w:r>
            <w:r>
              <w:rPr>
                <w:rFonts w:hint="eastAsia"/>
                <w:color w:val="auto"/>
              </w:rPr>
              <w:t>标准限值</w:t>
            </w:r>
            <w:r>
              <w:rPr>
                <w:rFonts w:hint="eastAsia"/>
                <w:color w:val="auto"/>
                <w:lang w:eastAsia="zh-CN"/>
              </w:rPr>
              <w:t>，</w:t>
            </w:r>
            <w:r>
              <w:rPr>
                <w:rFonts w:hint="eastAsia"/>
                <w:color w:val="auto"/>
                <w:lang w:val="en-US" w:eastAsia="zh-CN"/>
              </w:rPr>
              <w:t>《饮食业油烟排放标准（试行）》（GB18483-2001）中表2标准。</w:t>
            </w:r>
          </w:p>
          <w:p w14:paraId="328F9CE2">
            <w:pPr>
              <w:spacing w:line="360" w:lineRule="auto"/>
              <w:ind w:firstLine="482" w:firstLineChars="200"/>
              <w:rPr>
                <w:b/>
                <w:bCs/>
                <w:color w:val="auto"/>
                <w:sz w:val="24"/>
              </w:rPr>
            </w:pPr>
            <w:r>
              <w:rPr>
                <w:b/>
                <w:bCs/>
                <w:color w:val="auto"/>
                <w:sz w:val="24"/>
              </w:rPr>
              <w:t>2</w:t>
            </w:r>
            <w:r>
              <w:rPr>
                <w:rFonts w:hint="eastAsia"/>
                <w:b/>
                <w:bCs/>
                <w:color w:val="auto"/>
                <w:sz w:val="24"/>
                <w:lang w:eastAsia="zh-CN"/>
              </w:rPr>
              <w:t>、</w:t>
            </w:r>
            <w:r>
              <w:rPr>
                <w:b/>
                <w:bCs/>
                <w:color w:val="auto"/>
                <w:sz w:val="24"/>
              </w:rPr>
              <w:t>废污水</w:t>
            </w:r>
          </w:p>
          <w:p w14:paraId="1BF776AD">
            <w:pPr>
              <w:spacing w:line="360" w:lineRule="auto"/>
              <w:ind w:firstLine="482" w:firstLineChars="200"/>
              <w:rPr>
                <w:b/>
                <w:bCs/>
                <w:color w:val="auto"/>
                <w:sz w:val="24"/>
              </w:rPr>
            </w:pPr>
            <w:r>
              <w:rPr>
                <w:b/>
                <w:bCs/>
                <w:color w:val="auto"/>
                <w:sz w:val="24"/>
              </w:rPr>
              <w:t>2.1</w:t>
            </w:r>
            <w:r>
              <w:rPr>
                <w:rFonts w:hint="eastAsia"/>
                <w:b/>
                <w:bCs/>
                <w:color w:val="auto"/>
                <w:sz w:val="24"/>
                <w:lang w:eastAsia="zh-CN"/>
              </w:rPr>
              <w:t>、</w:t>
            </w:r>
            <w:r>
              <w:rPr>
                <w:b/>
                <w:bCs/>
                <w:color w:val="auto"/>
                <w:sz w:val="24"/>
              </w:rPr>
              <w:t>产排污环节</w:t>
            </w:r>
          </w:p>
          <w:p w14:paraId="3CC177C5">
            <w:pPr>
              <w:pStyle w:val="68"/>
              <w:ind w:firstLine="480"/>
              <w:rPr>
                <w:rFonts w:hint="default" w:eastAsia="宋体"/>
                <w:color w:val="0000FF"/>
                <w:lang w:val="en-US" w:eastAsia="zh-CN"/>
              </w:rPr>
            </w:pPr>
            <w:r>
              <w:rPr>
                <w:color w:val="0000FF"/>
              </w:rPr>
              <w:t>本项目运营期</w:t>
            </w:r>
            <w:r>
              <w:rPr>
                <w:rFonts w:hint="eastAsia"/>
                <w:color w:val="0000FF"/>
              </w:rPr>
              <w:t>废水总量</w:t>
            </w:r>
            <w:r>
              <w:rPr>
                <w:color w:val="0000FF"/>
              </w:rPr>
              <w:t>为</w:t>
            </w:r>
            <w:r>
              <w:rPr>
                <w:rFonts w:hint="eastAsia"/>
                <w:color w:val="0000FF"/>
                <w:lang w:val="en-US" w:eastAsia="zh-CN"/>
              </w:rPr>
              <w:t>1188</w:t>
            </w:r>
            <w:r>
              <w:rPr>
                <w:color w:val="0000FF"/>
              </w:rPr>
              <w:t>m³/</w:t>
            </w:r>
            <w:r>
              <w:rPr>
                <w:rFonts w:hint="eastAsia"/>
                <w:color w:val="0000FF"/>
              </w:rPr>
              <w:t>a</w:t>
            </w:r>
            <w:r>
              <w:rPr>
                <w:rFonts w:hint="eastAsia"/>
                <w:bCs/>
                <w:color w:val="0000FF"/>
                <w:sz w:val="24"/>
                <w:szCs w:val="28"/>
              </w:rPr>
              <w:t>（</w:t>
            </w:r>
            <w:r>
              <w:rPr>
                <w:rFonts w:hint="eastAsia"/>
                <w:bCs/>
                <w:color w:val="0000FF"/>
                <w:sz w:val="24"/>
                <w:szCs w:val="28"/>
                <w:lang w:val="en-US" w:eastAsia="zh-CN"/>
              </w:rPr>
              <w:t>4.6</w:t>
            </w:r>
            <w:r>
              <w:rPr>
                <w:bCs/>
                <w:color w:val="0000FF"/>
                <w:sz w:val="24"/>
                <w:szCs w:val="28"/>
              </w:rPr>
              <w:t>m</w:t>
            </w:r>
            <w:r>
              <w:rPr>
                <w:bCs/>
                <w:color w:val="0000FF"/>
                <w:sz w:val="24"/>
                <w:szCs w:val="28"/>
                <w:vertAlign w:val="superscript"/>
              </w:rPr>
              <w:t>3</w:t>
            </w:r>
            <w:r>
              <w:rPr>
                <w:bCs/>
                <w:color w:val="0000FF"/>
                <w:sz w:val="24"/>
                <w:szCs w:val="28"/>
              </w:rPr>
              <w:t>/d</w:t>
            </w:r>
            <w:r>
              <w:rPr>
                <w:rFonts w:hint="eastAsia"/>
                <w:bCs/>
                <w:color w:val="0000FF"/>
                <w:sz w:val="24"/>
                <w:szCs w:val="28"/>
              </w:rPr>
              <w:t>）</w:t>
            </w:r>
            <w:r>
              <w:rPr>
                <w:rFonts w:hint="eastAsia"/>
                <w:color w:val="0000FF"/>
              </w:rPr>
              <w:t>，</w:t>
            </w:r>
            <w:r>
              <w:rPr>
                <w:color w:val="0000FF"/>
              </w:rPr>
              <w:t>废</w:t>
            </w:r>
            <w:r>
              <w:rPr>
                <w:rFonts w:hint="eastAsia"/>
                <w:color w:val="0000FF"/>
              </w:rPr>
              <w:t>水</w:t>
            </w:r>
            <w:r>
              <w:rPr>
                <w:color w:val="0000FF"/>
              </w:rPr>
              <w:t>主要为生活污水</w:t>
            </w:r>
            <w:r>
              <w:rPr>
                <w:rFonts w:hint="eastAsia"/>
                <w:color w:val="0000FF"/>
              </w:rPr>
              <w:t>和</w:t>
            </w:r>
            <w:r>
              <w:rPr>
                <w:rFonts w:hint="eastAsia"/>
                <w:bCs/>
                <w:color w:val="0000FF"/>
              </w:rPr>
              <w:t>生产</w:t>
            </w:r>
            <w:r>
              <w:rPr>
                <w:bCs/>
                <w:color w:val="0000FF"/>
              </w:rPr>
              <w:t>废水</w:t>
            </w:r>
            <w:r>
              <w:rPr>
                <w:rFonts w:hint="eastAsia"/>
                <w:bCs/>
                <w:color w:val="0000FF"/>
                <w:lang w:eastAsia="zh-CN"/>
              </w:rPr>
              <w:t>，</w:t>
            </w:r>
            <w:r>
              <w:rPr>
                <w:rFonts w:hint="eastAsia"/>
                <w:color w:val="0000FF"/>
                <w:lang w:val="en-US" w:eastAsia="zh-CN"/>
              </w:rPr>
              <w:t>其中</w:t>
            </w:r>
            <w:r>
              <w:rPr>
                <w:rFonts w:hint="eastAsia"/>
                <w:color w:val="0000FF"/>
              </w:rPr>
              <w:t>生产废水</w:t>
            </w:r>
            <w:r>
              <w:rPr>
                <w:bCs/>
                <w:color w:val="0000FF"/>
              </w:rPr>
              <w:t>产生</w:t>
            </w:r>
            <w:r>
              <w:rPr>
                <w:rFonts w:hint="eastAsia"/>
                <w:bCs/>
                <w:color w:val="0000FF"/>
                <w:lang w:val="en-US" w:eastAsia="zh-CN"/>
              </w:rPr>
              <w:t>量</w:t>
            </w:r>
            <w:r>
              <w:rPr>
                <w:bCs/>
                <w:color w:val="0000FF"/>
              </w:rPr>
              <w:t>为</w:t>
            </w:r>
            <w:r>
              <w:rPr>
                <w:rFonts w:hint="eastAsia"/>
                <w:color w:val="0000FF"/>
                <w:szCs w:val="21"/>
                <w:lang w:val="en-US" w:eastAsia="zh-CN"/>
              </w:rPr>
              <w:t>980</w:t>
            </w:r>
            <w:r>
              <w:rPr>
                <w:rFonts w:hint="eastAsia"/>
                <w:color w:val="0000FF"/>
                <w:szCs w:val="21"/>
              </w:rPr>
              <w:t>m</w:t>
            </w:r>
            <w:r>
              <w:rPr>
                <w:rFonts w:hint="eastAsia"/>
                <w:color w:val="0000FF"/>
                <w:szCs w:val="21"/>
                <w:vertAlign w:val="superscript"/>
              </w:rPr>
              <w:t>3</w:t>
            </w:r>
            <w:r>
              <w:rPr>
                <w:rFonts w:hint="eastAsia"/>
                <w:color w:val="0000FF"/>
                <w:szCs w:val="21"/>
              </w:rPr>
              <w:t>/a（</w:t>
            </w:r>
            <w:r>
              <w:rPr>
                <w:rFonts w:hint="eastAsia"/>
                <w:color w:val="0000FF"/>
                <w:szCs w:val="21"/>
                <w:lang w:val="en-US" w:eastAsia="zh-CN"/>
              </w:rPr>
              <w:t>3.8</w:t>
            </w:r>
            <w:r>
              <w:rPr>
                <w:color w:val="0000FF"/>
                <w:szCs w:val="21"/>
                <w:lang w:val="zh-CN"/>
              </w:rPr>
              <w:t>m</w:t>
            </w:r>
            <w:r>
              <w:rPr>
                <w:color w:val="0000FF"/>
                <w:szCs w:val="21"/>
                <w:vertAlign w:val="superscript"/>
                <w:lang w:val="zh-CN"/>
              </w:rPr>
              <w:t>3</w:t>
            </w:r>
            <w:r>
              <w:rPr>
                <w:color w:val="0000FF"/>
                <w:szCs w:val="21"/>
                <w:lang w:val="zh-CN"/>
              </w:rPr>
              <w:t>/</w:t>
            </w:r>
            <w:r>
              <w:rPr>
                <w:rFonts w:hint="eastAsia"/>
                <w:color w:val="0000FF"/>
                <w:szCs w:val="21"/>
              </w:rPr>
              <w:t>d）</w:t>
            </w:r>
            <w:r>
              <w:rPr>
                <w:rFonts w:hint="eastAsia"/>
                <w:color w:val="0000FF"/>
                <w:szCs w:val="21"/>
                <w:lang w:eastAsia="zh-CN"/>
              </w:rPr>
              <w:t>，</w:t>
            </w:r>
            <w:r>
              <w:rPr>
                <w:bCs/>
                <w:color w:val="0000FF"/>
              </w:rPr>
              <w:t>生活污水产生为0.</w:t>
            </w:r>
            <w:r>
              <w:rPr>
                <w:rFonts w:hint="eastAsia"/>
                <w:bCs/>
                <w:color w:val="0000FF"/>
              </w:rPr>
              <w:t>8</w:t>
            </w:r>
            <w:r>
              <w:rPr>
                <w:bCs/>
                <w:color w:val="0000FF"/>
              </w:rPr>
              <w:t>m³/d（</w:t>
            </w:r>
            <w:r>
              <w:rPr>
                <w:rFonts w:hint="eastAsia"/>
                <w:color w:val="0000FF"/>
                <w:lang w:bidi="ar"/>
              </w:rPr>
              <w:t>2</w:t>
            </w:r>
            <w:r>
              <w:rPr>
                <w:rFonts w:hint="eastAsia"/>
                <w:color w:val="0000FF"/>
                <w:lang w:val="en-US" w:eastAsia="zh-CN" w:bidi="ar"/>
              </w:rPr>
              <w:t>0</w:t>
            </w:r>
            <w:r>
              <w:rPr>
                <w:rFonts w:hint="eastAsia"/>
                <w:color w:val="0000FF"/>
                <w:lang w:bidi="ar"/>
              </w:rPr>
              <w:t>8</w:t>
            </w:r>
            <w:r>
              <w:rPr>
                <w:bCs/>
                <w:color w:val="0000FF"/>
              </w:rPr>
              <w:t>m³/a）</w:t>
            </w:r>
            <w:r>
              <w:rPr>
                <w:rFonts w:hint="eastAsia"/>
                <w:color w:val="0000FF"/>
              </w:rPr>
              <w:t>。</w:t>
            </w:r>
            <w:r>
              <w:rPr>
                <w:rFonts w:hint="eastAsia"/>
                <w:color w:val="0000FF"/>
                <w:lang w:val="en-US" w:eastAsia="zh-CN"/>
              </w:rPr>
              <w:t>废水主要产污环节见表4-6。</w:t>
            </w:r>
            <w:r>
              <w:rPr>
                <w:color w:val="0000FF"/>
              </w:rPr>
              <w:commentReference w:id="0"/>
            </w:r>
          </w:p>
          <w:p w14:paraId="7A9FDD52">
            <w:pPr>
              <w:pStyle w:val="68"/>
              <w:ind w:left="0" w:leftChars="0" w:firstLine="0" w:firstLineChars="0"/>
              <w:jc w:val="center"/>
              <w:rPr>
                <w:rFonts w:hint="default" w:eastAsia="宋体" w:cs="Times New Roman"/>
                <w:b/>
                <w:bCs/>
                <w:color w:val="auto"/>
                <w:lang w:val="en-US" w:eastAsia="zh-CN"/>
              </w:rPr>
            </w:pPr>
            <w:r>
              <w:rPr>
                <w:rFonts w:hint="eastAsia" w:cs="Times New Roman"/>
                <w:b/>
                <w:bCs/>
                <w:color w:val="auto"/>
                <w:sz w:val="21"/>
                <w:szCs w:val="21"/>
                <w:lang w:val="en-US" w:eastAsia="zh-CN"/>
              </w:rPr>
              <w:t>表4-6  废水主要产污环节一览表</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3"/>
              <w:gridCol w:w="1384"/>
              <w:gridCol w:w="2780"/>
              <w:gridCol w:w="3058"/>
            </w:tblGrid>
            <w:tr w14:paraId="502BA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6" w:type="pct"/>
                  <w:vAlign w:val="center"/>
                </w:tcPr>
                <w:p w14:paraId="579B3172">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项目</w:t>
                  </w:r>
                </w:p>
              </w:tc>
              <w:tc>
                <w:tcPr>
                  <w:tcW w:w="861" w:type="pct"/>
                  <w:vAlign w:val="center"/>
                </w:tcPr>
                <w:p w14:paraId="2CED8E7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产</w:t>
                  </w:r>
                  <w:r>
                    <w:rPr>
                      <w:rFonts w:hint="eastAsia" w:ascii="Times New Roman" w:hAnsi="Times New Roman" w:cs="Times New Roman"/>
                      <w:b/>
                      <w:bCs/>
                      <w:color w:val="auto"/>
                      <w:sz w:val="21"/>
                      <w:szCs w:val="21"/>
                      <w:vertAlign w:val="baseline"/>
                      <w:lang w:val="en-US" w:eastAsia="zh-CN"/>
                    </w:rPr>
                    <w:t>污</w:t>
                  </w:r>
                  <w:r>
                    <w:rPr>
                      <w:rFonts w:hint="default" w:ascii="Times New Roman" w:hAnsi="Times New Roman" w:cs="Times New Roman"/>
                      <w:b/>
                      <w:bCs/>
                      <w:color w:val="auto"/>
                      <w:sz w:val="21"/>
                      <w:szCs w:val="21"/>
                      <w:vertAlign w:val="baseline"/>
                      <w:lang w:val="en-US" w:eastAsia="zh-CN"/>
                    </w:rPr>
                    <w:t>工序</w:t>
                  </w:r>
                </w:p>
              </w:tc>
              <w:tc>
                <w:tcPr>
                  <w:tcW w:w="1729" w:type="pct"/>
                  <w:vAlign w:val="center"/>
                </w:tcPr>
                <w:p w14:paraId="7F6D8E1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主要污染物</w:t>
                  </w:r>
                </w:p>
              </w:tc>
              <w:tc>
                <w:tcPr>
                  <w:tcW w:w="1902" w:type="pct"/>
                  <w:vAlign w:val="center"/>
                </w:tcPr>
                <w:p w14:paraId="47B715F2">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治理措施及去向</w:t>
                  </w:r>
                </w:p>
              </w:tc>
            </w:tr>
            <w:tr w14:paraId="05868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6" w:type="pct"/>
                  <w:vMerge w:val="restart"/>
                  <w:vAlign w:val="center"/>
                </w:tcPr>
                <w:p w14:paraId="1422FAEB">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bCs/>
                      <w:color w:val="auto"/>
                      <w:sz w:val="21"/>
                      <w:szCs w:val="21"/>
                      <w:vertAlign w:val="baseline"/>
                      <w:lang w:val="en-US" w:eastAsia="zh-CN"/>
                    </w:rPr>
                  </w:pPr>
                  <w:r>
                    <w:rPr>
                      <w:rFonts w:hint="eastAsia" w:ascii="Times New Roman" w:hAnsi="Times New Roman" w:cs="Times New Roman"/>
                      <w:b/>
                      <w:bCs/>
                      <w:color w:val="auto"/>
                      <w:sz w:val="21"/>
                      <w:szCs w:val="21"/>
                      <w:vertAlign w:val="baseline"/>
                      <w:lang w:val="en-US" w:eastAsia="zh-CN"/>
                    </w:rPr>
                    <w:t>废水</w:t>
                  </w:r>
                </w:p>
              </w:tc>
              <w:tc>
                <w:tcPr>
                  <w:tcW w:w="861" w:type="pct"/>
                  <w:vAlign w:val="center"/>
                </w:tcPr>
                <w:p w14:paraId="2ED8A16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生活污水</w:t>
                  </w:r>
                </w:p>
              </w:tc>
              <w:tc>
                <w:tcPr>
                  <w:tcW w:w="1729" w:type="pct"/>
                  <w:vAlign w:val="center"/>
                </w:tcPr>
                <w:p w14:paraId="74E879C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COD、SS、NH</w:t>
                  </w:r>
                  <w:r>
                    <w:rPr>
                      <w:rFonts w:hint="eastAsia" w:ascii="Times New Roman" w:hAnsi="Times New Roman" w:eastAsia="宋体" w:cs="Times New Roman"/>
                      <w:b w:val="0"/>
                      <w:bCs w:val="0"/>
                      <w:color w:val="auto"/>
                      <w:sz w:val="21"/>
                      <w:szCs w:val="21"/>
                      <w:vertAlign w:val="subscript"/>
                      <w:lang w:val="en-US" w:eastAsia="zh-CN"/>
                    </w:rPr>
                    <w:t>3</w:t>
                  </w:r>
                  <w:r>
                    <w:rPr>
                      <w:rFonts w:hint="eastAsia" w:ascii="Times New Roman" w:hAnsi="Times New Roman" w:eastAsia="宋体" w:cs="Times New Roman"/>
                      <w:b w:val="0"/>
                      <w:bCs w:val="0"/>
                      <w:color w:val="auto"/>
                      <w:sz w:val="21"/>
                      <w:szCs w:val="21"/>
                      <w:vertAlign w:val="baseline"/>
                      <w:lang w:val="en-US" w:eastAsia="zh-CN"/>
                    </w:rPr>
                    <w:t>-N、TP、TN</w:t>
                  </w:r>
                </w:p>
              </w:tc>
              <w:tc>
                <w:tcPr>
                  <w:tcW w:w="1902" w:type="pct"/>
                  <w:vAlign w:val="center"/>
                </w:tcPr>
                <w:p w14:paraId="300F463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化粪池＋市政污水管网</w:t>
                  </w:r>
                </w:p>
              </w:tc>
            </w:tr>
            <w:tr w14:paraId="793FF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6" w:type="pct"/>
                  <w:vMerge w:val="continue"/>
                  <w:vAlign w:val="center"/>
                </w:tcPr>
                <w:p w14:paraId="45F19485">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861" w:type="pct"/>
                  <w:vAlign w:val="center"/>
                </w:tcPr>
                <w:p w14:paraId="1B03340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生产废水</w:t>
                  </w:r>
                </w:p>
              </w:tc>
              <w:tc>
                <w:tcPr>
                  <w:tcW w:w="1729" w:type="pct"/>
                  <w:vAlign w:val="center"/>
                </w:tcPr>
                <w:p w14:paraId="4A345625">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量、pH值、化学需氧量、氨氮、总氮、总磷、悬浮物、五日生化需氧量、动植物油、大肠菌群数、</w:t>
                  </w:r>
                </w:p>
              </w:tc>
              <w:tc>
                <w:tcPr>
                  <w:tcW w:w="1902" w:type="pct"/>
                  <w:shd w:val="clear" w:color="auto" w:fill="auto"/>
                  <w:vAlign w:val="center"/>
                </w:tcPr>
                <w:p w14:paraId="4B26313D">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both"/>
                    <w:textAlignment w:val="auto"/>
                    <w:rPr>
                      <w:rFonts w:hint="default" w:ascii="Times New Roman" w:hAnsi="Times New Roman" w:eastAsia="宋体" w:cs="Times New Roman"/>
                      <w:b w:val="0"/>
                      <w:bCs w:val="0"/>
                      <w:color w:val="auto"/>
                      <w:kern w:val="0"/>
                      <w:sz w:val="21"/>
                      <w:szCs w:val="21"/>
                      <w:vertAlign w:val="baseline"/>
                      <w:lang w:val="en-US" w:eastAsia="zh-CN" w:bidi="ar-SA"/>
                    </w:rPr>
                  </w:pPr>
                  <w:r>
                    <w:rPr>
                      <w:rFonts w:hint="eastAsia" w:ascii="Times New Roman" w:hAnsi="Times New Roman" w:cs="Times New Roman"/>
                      <w:b w:val="0"/>
                      <w:bCs w:val="0"/>
                      <w:color w:val="auto"/>
                      <w:sz w:val="21"/>
                      <w:szCs w:val="21"/>
                      <w:vertAlign w:val="baseline"/>
                      <w:lang w:val="en-US" w:eastAsia="zh-CN"/>
                    </w:rPr>
                    <w:t>格栅→收集池→气浮机→厌氧池→缺氧池→好氧池→二沉池→消毒池＋市政污水管网</w:t>
                  </w:r>
                </w:p>
              </w:tc>
            </w:tr>
          </w:tbl>
          <w:p w14:paraId="09044951">
            <w:pPr>
              <w:spacing w:line="360" w:lineRule="auto"/>
              <w:ind w:firstLine="482" w:firstLineChars="200"/>
              <w:rPr>
                <w:b/>
                <w:bCs/>
                <w:color w:val="auto"/>
                <w:sz w:val="24"/>
              </w:rPr>
            </w:pPr>
            <w:r>
              <w:rPr>
                <w:b/>
                <w:bCs/>
                <w:color w:val="auto"/>
                <w:sz w:val="24"/>
              </w:rPr>
              <w:t>2.2</w:t>
            </w:r>
            <w:r>
              <w:rPr>
                <w:rFonts w:hint="eastAsia"/>
                <w:b/>
                <w:bCs/>
                <w:color w:val="auto"/>
                <w:sz w:val="24"/>
                <w:lang w:eastAsia="zh-CN"/>
              </w:rPr>
              <w:t>、</w:t>
            </w:r>
            <w:r>
              <w:rPr>
                <w:b/>
                <w:bCs/>
                <w:color w:val="auto"/>
                <w:sz w:val="24"/>
              </w:rPr>
              <w:t>废水产排及治理措施情况</w:t>
            </w:r>
          </w:p>
          <w:p w14:paraId="3158D5F8">
            <w:pPr>
              <w:pStyle w:val="156"/>
              <w:numPr>
                <w:ilvl w:val="0"/>
                <w:numId w:val="5"/>
              </w:numPr>
              <w:ind w:left="0" w:firstLine="480"/>
              <w:rPr>
                <w:color w:val="auto"/>
              </w:rPr>
            </w:pPr>
            <w:r>
              <w:rPr>
                <w:color w:val="auto"/>
              </w:rPr>
              <w:t>生活污水</w:t>
            </w:r>
          </w:p>
          <w:p w14:paraId="3AB61341">
            <w:pPr>
              <w:pStyle w:val="156"/>
              <w:ind w:firstLine="480"/>
              <w:rPr>
                <w:rFonts w:hint="eastAsia"/>
                <w:color w:val="auto"/>
              </w:rPr>
            </w:pPr>
            <w:r>
              <w:rPr>
                <w:color w:val="auto"/>
              </w:rPr>
              <w:t>本项目</w:t>
            </w:r>
            <w:r>
              <w:rPr>
                <w:bCs/>
                <w:color w:val="auto"/>
              </w:rPr>
              <w:t>生活污水</w:t>
            </w:r>
            <w:r>
              <w:rPr>
                <w:rFonts w:hint="eastAsia"/>
                <w:color w:val="auto"/>
              </w:rPr>
              <w:t>经防渗化粪池沉淀、腐化处理后，</w:t>
            </w:r>
            <w:r>
              <w:rPr>
                <w:rFonts w:hint="eastAsia"/>
                <w:color w:val="auto"/>
                <w:lang w:val="en-US" w:eastAsia="zh-CN"/>
              </w:rPr>
              <w:t>排</w:t>
            </w:r>
            <w:r>
              <w:rPr>
                <w:rFonts w:hint="eastAsia"/>
                <w:color w:val="auto"/>
              </w:rPr>
              <w:t>入</w:t>
            </w:r>
            <w:r>
              <w:rPr>
                <w:rFonts w:hint="eastAsia"/>
                <w:bCs/>
                <w:color w:val="auto"/>
                <w:sz w:val="24"/>
                <w:lang w:val="en-US" w:eastAsia="zh-CN"/>
              </w:rPr>
              <w:t>市政</w:t>
            </w:r>
            <w:r>
              <w:rPr>
                <w:rFonts w:hint="eastAsia"/>
                <w:color w:val="auto"/>
              </w:rPr>
              <w:t>污水管网。</w:t>
            </w:r>
          </w:p>
          <w:p w14:paraId="0512299B">
            <w:pPr>
              <w:pStyle w:val="156"/>
              <w:numPr>
                <w:ilvl w:val="0"/>
                <w:numId w:val="5"/>
              </w:numPr>
              <w:ind w:left="0" w:firstLine="480"/>
              <w:rPr>
                <w:color w:val="auto"/>
              </w:rPr>
            </w:pPr>
            <w:r>
              <w:rPr>
                <w:rFonts w:hint="eastAsia"/>
                <w:color w:val="auto"/>
              </w:rPr>
              <w:t>生产废水</w:t>
            </w:r>
          </w:p>
          <w:p w14:paraId="32444DC1">
            <w:pPr>
              <w:pStyle w:val="156"/>
              <w:ind w:firstLine="480"/>
              <w:rPr>
                <w:color w:val="auto"/>
              </w:rPr>
            </w:pPr>
            <w:r>
              <w:rPr>
                <w:rFonts w:hint="eastAsia"/>
                <w:color w:val="auto"/>
              </w:rPr>
              <w:t>本项目生产废水</w:t>
            </w:r>
            <w:r>
              <w:rPr>
                <w:rFonts w:hint="eastAsia"/>
                <w:bCs/>
                <w:color w:val="auto"/>
              </w:rPr>
              <w:t>主要为</w:t>
            </w:r>
            <w:r>
              <w:rPr>
                <w:rFonts w:hint="eastAsia"/>
                <w:color w:val="auto"/>
                <w:lang w:val="en-US" w:eastAsia="zh-CN"/>
              </w:rPr>
              <w:t>风干肉制品</w:t>
            </w:r>
            <w:r>
              <w:rPr>
                <w:rFonts w:hint="eastAsia"/>
                <w:color w:val="auto"/>
              </w:rPr>
              <w:t>废水和</w:t>
            </w:r>
            <w:r>
              <w:rPr>
                <w:rFonts w:hint="eastAsia"/>
                <w:color w:val="auto"/>
                <w:szCs w:val="21"/>
                <w:lang w:val="en-US" w:eastAsia="zh-CN"/>
              </w:rPr>
              <w:t>肉类罐头废水</w:t>
            </w:r>
            <w:r>
              <w:rPr>
                <w:rFonts w:hint="eastAsia"/>
                <w:color w:val="auto"/>
              </w:rPr>
              <w:t>。</w:t>
            </w:r>
            <w:r>
              <w:rPr>
                <w:rFonts w:hint="eastAsia"/>
                <w:color w:val="auto"/>
                <w:lang w:val="en-US" w:eastAsia="zh-CN"/>
              </w:rPr>
              <w:t>其中风干肉制品</w:t>
            </w:r>
            <w:r>
              <w:rPr>
                <w:rFonts w:hint="eastAsia"/>
                <w:color w:val="auto"/>
              </w:rPr>
              <w:t>废水</w:t>
            </w:r>
            <w:r>
              <w:rPr>
                <w:color w:val="auto"/>
              </w:rPr>
              <w:t>产生量为</w:t>
            </w:r>
            <w:r>
              <w:rPr>
                <w:rFonts w:hint="eastAsia"/>
                <w:color w:val="auto"/>
                <w:lang w:val="en-US" w:eastAsia="zh-CN"/>
              </w:rPr>
              <w:t>80</w:t>
            </w:r>
            <w:r>
              <w:rPr>
                <w:color w:val="auto"/>
              </w:rPr>
              <w:t>m</w:t>
            </w:r>
            <w:r>
              <w:rPr>
                <w:color w:val="auto"/>
                <w:vertAlign w:val="superscript"/>
              </w:rPr>
              <w:t>3</w:t>
            </w:r>
            <w:r>
              <w:rPr>
                <w:color w:val="auto"/>
              </w:rPr>
              <w:t>/a</w:t>
            </w:r>
            <w:r>
              <w:rPr>
                <w:rFonts w:hint="eastAsia"/>
                <w:color w:val="auto"/>
                <w:lang w:eastAsia="zh-CN"/>
              </w:rPr>
              <w:t>（</w:t>
            </w:r>
            <w:r>
              <w:rPr>
                <w:rFonts w:hint="eastAsia"/>
                <w:color w:val="auto"/>
                <w:kern w:val="0"/>
                <w:szCs w:val="21"/>
                <w:lang w:val="en-US" w:eastAsia="zh-CN" w:bidi="ar"/>
              </w:rPr>
              <w:t>0.3</w:t>
            </w:r>
            <w:r>
              <w:rPr>
                <w:color w:val="auto"/>
                <w:szCs w:val="21"/>
                <w:lang w:val="zh-CN"/>
              </w:rPr>
              <w:t>m</w:t>
            </w:r>
            <w:r>
              <w:rPr>
                <w:color w:val="auto"/>
                <w:szCs w:val="21"/>
                <w:vertAlign w:val="superscript"/>
                <w:lang w:val="zh-CN"/>
              </w:rPr>
              <w:t>3</w:t>
            </w:r>
            <w:r>
              <w:rPr>
                <w:color w:val="auto"/>
                <w:szCs w:val="21"/>
                <w:lang w:val="zh-CN"/>
              </w:rPr>
              <w:t>/</w:t>
            </w:r>
            <w:r>
              <w:rPr>
                <w:rFonts w:hint="eastAsia"/>
                <w:color w:val="auto"/>
                <w:szCs w:val="21"/>
              </w:rPr>
              <w:t>d</w:t>
            </w:r>
            <w:r>
              <w:rPr>
                <w:rFonts w:hint="eastAsia"/>
                <w:color w:val="auto"/>
                <w:lang w:eastAsia="zh-CN"/>
              </w:rPr>
              <w:t>），</w:t>
            </w:r>
            <w:r>
              <w:rPr>
                <w:rFonts w:hint="eastAsia"/>
                <w:color w:val="auto"/>
                <w:szCs w:val="21"/>
                <w:lang w:val="en-US" w:eastAsia="zh-CN"/>
              </w:rPr>
              <w:t>肉类罐头废水</w:t>
            </w:r>
            <w:r>
              <w:rPr>
                <w:color w:val="auto"/>
              </w:rPr>
              <w:t>为</w:t>
            </w:r>
            <w:r>
              <w:rPr>
                <w:rFonts w:hint="eastAsia"/>
                <w:color w:val="auto"/>
                <w:lang w:val="en-US" w:eastAsia="zh-CN"/>
              </w:rPr>
              <w:t>900</w:t>
            </w:r>
            <w:r>
              <w:rPr>
                <w:color w:val="auto"/>
              </w:rPr>
              <w:t>m</w:t>
            </w:r>
            <w:r>
              <w:rPr>
                <w:color w:val="auto"/>
                <w:vertAlign w:val="superscript"/>
              </w:rPr>
              <w:t>3</w:t>
            </w:r>
            <w:r>
              <w:rPr>
                <w:color w:val="auto"/>
              </w:rPr>
              <w:t>/a</w:t>
            </w:r>
            <w:r>
              <w:rPr>
                <w:rFonts w:hint="eastAsia"/>
                <w:color w:val="auto"/>
                <w:lang w:eastAsia="zh-CN"/>
              </w:rPr>
              <w:t>（</w:t>
            </w:r>
            <w:r>
              <w:rPr>
                <w:rFonts w:hint="eastAsia"/>
                <w:color w:val="auto"/>
                <w:kern w:val="0"/>
                <w:szCs w:val="21"/>
                <w:lang w:val="en-US" w:eastAsia="zh-CN" w:bidi="ar"/>
              </w:rPr>
              <w:t>3.5</w:t>
            </w:r>
            <w:r>
              <w:rPr>
                <w:color w:val="auto"/>
                <w:szCs w:val="21"/>
                <w:lang w:val="zh-CN"/>
              </w:rPr>
              <w:t>m</w:t>
            </w:r>
            <w:r>
              <w:rPr>
                <w:color w:val="auto"/>
                <w:szCs w:val="21"/>
                <w:vertAlign w:val="superscript"/>
                <w:lang w:val="zh-CN"/>
              </w:rPr>
              <w:t>3</w:t>
            </w:r>
            <w:r>
              <w:rPr>
                <w:color w:val="auto"/>
                <w:szCs w:val="21"/>
                <w:lang w:val="zh-CN"/>
              </w:rPr>
              <w:t>/</w:t>
            </w:r>
            <w:r>
              <w:rPr>
                <w:rFonts w:hint="eastAsia"/>
                <w:color w:val="auto"/>
                <w:szCs w:val="21"/>
              </w:rPr>
              <w:t>d</w:t>
            </w:r>
            <w:r>
              <w:rPr>
                <w:rFonts w:hint="eastAsia"/>
                <w:color w:val="auto"/>
                <w:lang w:eastAsia="zh-CN"/>
              </w:rPr>
              <w:t>），</w:t>
            </w:r>
            <w:r>
              <w:rPr>
                <w:rFonts w:hint="eastAsia"/>
                <w:color w:val="auto"/>
                <w:lang w:val="en-US" w:eastAsia="zh-CN"/>
              </w:rPr>
              <w:t>则</w:t>
            </w:r>
            <w:r>
              <w:rPr>
                <w:rFonts w:hint="eastAsia"/>
                <w:color w:val="auto"/>
              </w:rPr>
              <w:t>本项目生产废水</w:t>
            </w:r>
            <w:r>
              <w:rPr>
                <w:bCs/>
                <w:color w:val="auto"/>
              </w:rPr>
              <w:t>产生</w:t>
            </w:r>
            <w:r>
              <w:rPr>
                <w:rFonts w:hint="eastAsia"/>
                <w:bCs/>
                <w:color w:val="auto"/>
                <w:lang w:val="en-US" w:eastAsia="zh-CN"/>
              </w:rPr>
              <w:t>量</w:t>
            </w:r>
            <w:r>
              <w:rPr>
                <w:bCs/>
                <w:color w:val="auto"/>
              </w:rPr>
              <w:t>为</w:t>
            </w:r>
            <w:r>
              <w:rPr>
                <w:rFonts w:hint="eastAsia"/>
                <w:color w:val="auto"/>
                <w:szCs w:val="21"/>
                <w:lang w:val="en-US" w:eastAsia="zh-CN"/>
              </w:rPr>
              <w:t>980</w:t>
            </w:r>
            <w:r>
              <w:rPr>
                <w:rFonts w:hint="eastAsia"/>
                <w:color w:val="auto"/>
                <w:szCs w:val="21"/>
              </w:rPr>
              <w:t>m</w:t>
            </w:r>
            <w:r>
              <w:rPr>
                <w:rFonts w:hint="eastAsia"/>
                <w:color w:val="auto"/>
                <w:szCs w:val="21"/>
                <w:vertAlign w:val="superscript"/>
              </w:rPr>
              <w:t>3</w:t>
            </w:r>
            <w:r>
              <w:rPr>
                <w:rFonts w:hint="eastAsia"/>
                <w:color w:val="auto"/>
                <w:szCs w:val="21"/>
              </w:rPr>
              <w:t>/a（</w:t>
            </w:r>
            <w:r>
              <w:rPr>
                <w:rFonts w:hint="eastAsia"/>
                <w:color w:val="auto"/>
                <w:szCs w:val="21"/>
                <w:lang w:val="en-US" w:eastAsia="zh-CN"/>
              </w:rPr>
              <w:t>3.8</w:t>
            </w:r>
            <w:r>
              <w:rPr>
                <w:color w:val="auto"/>
                <w:szCs w:val="21"/>
                <w:lang w:val="zh-CN"/>
              </w:rPr>
              <w:t>m</w:t>
            </w:r>
            <w:r>
              <w:rPr>
                <w:color w:val="auto"/>
                <w:szCs w:val="21"/>
                <w:vertAlign w:val="superscript"/>
                <w:lang w:val="zh-CN"/>
              </w:rPr>
              <w:t>3</w:t>
            </w:r>
            <w:r>
              <w:rPr>
                <w:color w:val="auto"/>
                <w:szCs w:val="21"/>
                <w:lang w:val="zh-CN"/>
              </w:rPr>
              <w:t>/</w:t>
            </w:r>
            <w:r>
              <w:rPr>
                <w:rFonts w:hint="eastAsia"/>
                <w:color w:val="auto"/>
                <w:szCs w:val="21"/>
              </w:rPr>
              <w:t>d）</w:t>
            </w:r>
            <w:r>
              <w:rPr>
                <w:color w:val="auto"/>
              </w:rPr>
              <w:t>。</w:t>
            </w:r>
            <w:r>
              <w:rPr>
                <w:rFonts w:hint="eastAsia"/>
                <w:color w:val="auto"/>
                <w:lang w:val="en-US" w:eastAsia="zh-CN"/>
              </w:rPr>
              <w:t>生产废水经</w:t>
            </w:r>
            <w:r>
              <w:rPr>
                <w:rFonts w:hint="eastAsia"/>
                <w:color w:val="auto"/>
              </w:rPr>
              <w:t>厂区内污水处理站</w:t>
            </w:r>
            <w:r>
              <w:rPr>
                <w:rFonts w:hint="eastAsia"/>
                <w:color w:val="auto"/>
                <w:lang w:val="en-US" w:eastAsia="zh-CN"/>
              </w:rPr>
              <w:t>处理后</w:t>
            </w:r>
            <w:r>
              <w:rPr>
                <w:rFonts w:hint="eastAsia"/>
                <w:color w:val="auto"/>
              </w:rPr>
              <w:t>，</w:t>
            </w:r>
            <w:r>
              <w:rPr>
                <w:rFonts w:hint="eastAsia"/>
                <w:color w:val="auto"/>
                <w:lang w:val="en-US" w:eastAsia="zh-CN"/>
              </w:rPr>
              <w:t>排</w:t>
            </w:r>
            <w:r>
              <w:rPr>
                <w:rFonts w:hint="eastAsia"/>
                <w:color w:val="auto"/>
              </w:rPr>
              <w:t>入</w:t>
            </w:r>
            <w:r>
              <w:rPr>
                <w:rFonts w:hint="eastAsia"/>
                <w:color w:val="auto"/>
                <w:lang w:val="en-US" w:eastAsia="zh-CN"/>
              </w:rPr>
              <w:t>市政</w:t>
            </w:r>
            <w:r>
              <w:rPr>
                <w:rFonts w:hint="eastAsia"/>
                <w:color w:val="auto"/>
              </w:rPr>
              <w:t>污水管网。</w:t>
            </w:r>
          </w:p>
          <w:p w14:paraId="3567B197">
            <w:pPr>
              <w:spacing w:line="360" w:lineRule="auto"/>
              <w:ind w:firstLine="482" w:firstLineChars="200"/>
              <w:rPr>
                <w:b/>
                <w:bCs/>
                <w:color w:val="auto"/>
                <w:sz w:val="24"/>
              </w:rPr>
            </w:pPr>
            <w:r>
              <w:rPr>
                <w:b/>
                <w:bCs/>
                <w:color w:val="auto"/>
                <w:sz w:val="24"/>
              </w:rPr>
              <w:t>2.3</w:t>
            </w:r>
            <w:r>
              <w:rPr>
                <w:rFonts w:hint="eastAsia"/>
                <w:b/>
                <w:bCs/>
                <w:color w:val="auto"/>
                <w:sz w:val="24"/>
                <w:lang w:eastAsia="zh-CN"/>
              </w:rPr>
              <w:t>、</w:t>
            </w:r>
            <w:r>
              <w:rPr>
                <w:rFonts w:hint="eastAsia"/>
                <w:b/>
                <w:bCs/>
                <w:color w:val="auto"/>
                <w:sz w:val="24"/>
              </w:rPr>
              <w:t>污水处理站</w:t>
            </w:r>
            <w:r>
              <w:rPr>
                <w:b/>
                <w:bCs/>
                <w:color w:val="auto"/>
                <w:sz w:val="24"/>
              </w:rPr>
              <w:t>可行性分析</w:t>
            </w:r>
          </w:p>
          <w:p w14:paraId="723A94A3">
            <w:pPr>
              <w:pStyle w:val="11"/>
              <w:spacing w:before="0" w:after="0" w:line="360" w:lineRule="auto"/>
              <w:ind w:right="0" w:firstLine="482" w:firstLineChars="200"/>
              <w:rPr>
                <w:bCs/>
                <w:color w:val="auto"/>
                <w:sz w:val="24"/>
                <w:szCs w:val="28"/>
              </w:rPr>
            </w:pPr>
            <w:r>
              <w:rPr>
                <w:rFonts w:hint="eastAsia"/>
                <w:b/>
                <w:bCs/>
                <w:color w:val="auto"/>
                <w:sz w:val="24"/>
                <w:szCs w:val="24"/>
              </w:rPr>
              <w:t>（</w:t>
            </w:r>
            <w:r>
              <w:rPr>
                <w:rFonts w:hint="eastAsia"/>
                <w:b/>
                <w:bCs/>
                <w:color w:val="auto"/>
                <w:sz w:val="24"/>
                <w:szCs w:val="28"/>
              </w:rPr>
              <w:t>1）污水处理站工艺</w:t>
            </w:r>
            <w:r>
              <w:rPr>
                <w:b/>
                <w:bCs/>
                <w:color w:val="auto"/>
                <w:sz w:val="24"/>
                <w:szCs w:val="28"/>
              </w:rPr>
              <w:t>可行性分析</w:t>
            </w:r>
          </w:p>
          <w:p w14:paraId="5502D1C5">
            <w:pPr>
              <w:pStyle w:val="11"/>
              <w:spacing w:before="0" w:after="0" w:line="360" w:lineRule="auto"/>
              <w:ind w:right="0" w:firstLine="480" w:firstLineChars="200"/>
              <w:rPr>
                <w:rFonts w:hint="eastAsia"/>
                <w:bCs/>
                <w:color w:val="auto"/>
                <w:sz w:val="24"/>
                <w:szCs w:val="28"/>
                <w:lang w:val="en-US" w:eastAsia="zh-CN"/>
              </w:rPr>
            </w:pPr>
            <w:r>
              <w:rPr>
                <w:rFonts w:hint="eastAsia"/>
                <w:bCs/>
                <w:color w:val="auto"/>
                <w:sz w:val="24"/>
                <w:szCs w:val="28"/>
              </w:rPr>
              <w:t>根据《屠宰及肉类加工业污染防治可行技术指南）（HJ 1285—2023）表</w:t>
            </w:r>
            <w:r>
              <w:rPr>
                <w:rFonts w:hint="eastAsia"/>
                <w:bCs/>
                <w:color w:val="auto"/>
                <w:sz w:val="24"/>
                <w:szCs w:val="28"/>
                <w:lang w:val="en-US" w:eastAsia="zh-CN"/>
              </w:rPr>
              <w:t>2</w:t>
            </w:r>
            <w:r>
              <w:rPr>
                <w:rFonts w:hint="eastAsia"/>
                <w:bCs/>
                <w:color w:val="auto"/>
                <w:sz w:val="24"/>
                <w:szCs w:val="28"/>
              </w:rPr>
              <w:t>肉制品及副产品加工废水污染防治可行技术</w:t>
            </w:r>
            <w:r>
              <w:rPr>
                <w:rFonts w:hint="eastAsia"/>
                <w:bCs/>
                <w:color w:val="auto"/>
                <w:sz w:val="24"/>
                <w:szCs w:val="28"/>
                <w:lang w:val="en-US" w:eastAsia="zh-CN"/>
              </w:rPr>
              <w:t>、《排污许可证申请与核发技术规范 农副食品加工工业—屠宰及肉类加工工业》（HJ 860.3—2018）表2废水污染防治可行技术参考表和</w:t>
            </w:r>
            <w:r>
              <w:rPr>
                <w:bCs/>
                <w:color w:val="auto"/>
                <w:sz w:val="24"/>
                <w:szCs w:val="28"/>
              </w:rPr>
              <w:t>《屠宰与肉类加工废水治理工程技术规范》（HJ 2004-2010），6.1.4中提出：“屠宰与肉类加工废水处理应采用生化处理为主、物化处理为辅的组合处理工艺，并按照国家相关政策要求，因地制宜考虑废水深度处理及再用”。</w:t>
            </w:r>
          </w:p>
          <w:p w14:paraId="4C7896F2">
            <w:pPr>
              <w:pStyle w:val="11"/>
              <w:spacing w:before="0" w:after="0" w:line="360" w:lineRule="auto"/>
              <w:ind w:right="0" w:firstLine="480" w:firstLineChars="200"/>
              <w:rPr>
                <w:bCs/>
                <w:color w:val="auto"/>
                <w:sz w:val="24"/>
                <w:szCs w:val="28"/>
              </w:rPr>
            </w:pPr>
            <w:r>
              <w:rPr>
                <w:rFonts w:hint="eastAsia"/>
                <w:bCs/>
                <w:color w:val="auto"/>
                <w:sz w:val="24"/>
                <w:szCs w:val="28"/>
                <w:lang w:val="en-US" w:eastAsia="zh-CN"/>
              </w:rPr>
              <w:t>肉类加工</w:t>
            </w:r>
            <w:r>
              <w:rPr>
                <w:bCs/>
                <w:color w:val="auto"/>
                <w:sz w:val="24"/>
                <w:szCs w:val="28"/>
              </w:rPr>
              <w:t>废水推荐处理及可选工艺见图</w:t>
            </w:r>
            <w:r>
              <w:rPr>
                <w:rFonts w:hint="eastAsia"/>
                <w:bCs/>
                <w:color w:val="auto"/>
                <w:sz w:val="24"/>
                <w:szCs w:val="28"/>
              </w:rPr>
              <w:t>4-2</w:t>
            </w:r>
            <w:r>
              <w:rPr>
                <w:rFonts w:hint="eastAsia"/>
                <w:bCs/>
                <w:color w:val="auto"/>
                <w:sz w:val="24"/>
                <w:szCs w:val="28"/>
                <w:lang w:val="en-US" w:eastAsia="zh-CN"/>
              </w:rPr>
              <w:t>~4-4</w:t>
            </w:r>
            <w:r>
              <w:rPr>
                <w:bCs/>
                <w:color w:val="auto"/>
                <w:sz w:val="24"/>
                <w:szCs w:val="28"/>
              </w:rPr>
              <w:t>。</w:t>
            </w:r>
          </w:p>
          <w:p w14:paraId="3F88F782">
            <w:pPr>
              <w:pStyle w:val="11"/>
              <w:spacing w:before="0" w:after="0" w:line="240" w:lineRule="auto"/>
              <w:ind w:right="0"/>
              <w:jc w:val="center"/>
              <w:rPr>
                <w:color w:val="auto"/>
                <w:sz w:val="20"/>
              </w:rPr>
            </w:pPr>
            <w:r>
              <w:rPr>
                <w:color w:val="auto"/>
              </w:rPr>
              <w:drawing>
                <wp:inline distT="0" distB="0" distL="114300" distR="114300">
                  <wp:extent cx="5052060" cy="2790825"/>
                  <wp:effectExtent l="0" t="0" r="15240" b="9525"/>
                  <wp:docPr id="4"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0"/>
                          <pic:cNvPicPr>
                            <a:picLocks noChangeAspect="1"/>
                          </pic:cNvPicPr>
                        </pic:nvPicPr>
                        <pic:blipFill>
                          <a:blip r:embed="rId21"/>
                          <a:stretch>
                            <a:fillRect/>
                          </a:stretch>
                        </pic:blipFill>
                        <pic:spPr>
                          <a:xfrm>
                            <a:off x="0" y="0"/>
                            <a:ext cx="5052060" cy="2790825"/>
                          </a:xfrm>
                          <a:prstGeom prst="rect">
                            <a:avLst/>
                          </a:prstGeom>
                          <a:noFill/>
                          <a:ln>
                            <a:noFill/>
                          </a:ln>
                        </pic:spPr>
                      </pic:pic>
                    </a:graphicData>
                  </a:graphic>
                </wp:inline>
              </w:drawing>
            </w:r>
          </w:p>
          <w:p w14:paraId="3B81D210">
            <w:pPr>
              <w:pStyle w:val="7"/>
              <w:tabs>
                <w:tab w:val="left" w:pos="0"/>
              </w:tabs>
              <w:spacing w:after="120" w:afterLines="50" w:line="240" w:lineRule="auto"/>
              <w:ind w:firstLine="0" w:firstLineChars="0"/>
              <w:jc w:val="center"/>
              <w:rPr>
                <w:rFonts w:ascii="Times New Roman" w:hAnsi="Times New Roman"/>
                <w:b/>
                <w:bCs/>
                <w:color w:val="auto"/>
                <w:sz w:val="21"/>
                <w:szCs w:val="21"/>
              </w:rPr>
            </w:pPr>
            <w:r>
              <w:rPr>
                <w:rFonts w:ascii="Times New Roman" w:hAnsi="Times New Roman"/>
                <w:b/>
                <w:bCs/>
                <w:color w:val="auto"/>
                <w:sz w:val="21"/>
                <w:szCs w:val="21"/>
              </w:rPr>
              <w:t>图</w:t>
            </w:r>
            <w:r>
              <w:rPr>
                <w:rFonts w:hint="eastAsia" w:ascii="Times New Roman" w:hAnsi="Times New Roman"/>
                <w:b/>
                <w:bCs/>
                <w:color w:val="auto"/>
                <w:sz w:val="21"/>
                <w:szCs w:val="21"/>
              </w:rPr>
              <w:t xml:space="preserve">4-2  </w:t>
            </w:r>
            <w:r>
              <w:rPr>
                <w:rFonts w:hint="eastAsia" w:ascii="Times New Roman"/>
                <w:b/>
                <w:bCs/>
                <w:color w:val="auto"/>
                <w:sz w:val="21"/>
                <w:szCs w:val="21"/>
              </w:rPr>
              <w:t>《</w:t>
            </w:r>
            <w:r>
              <w:rPr>
                <w:rFonts w:ascii="Times New Roman" w:hAnsi="Times New Roman"/>
                <w:b/>
                <w:bCs/>
                <w:color w:val="auto"/>
                <w:sz w:val="21"/>
                <w:szCs w:val="21"/>
              </w:rPr>
              <w:t>屠宰与肉类加工废水治理工程技术规范</w:t>
            </w:r>
            <w:r>
              <w:rPr>
                <w:rFonts w:hint="eastAsia" w:ascii="Times New Roman"/>
                <w:b/>
                <w:bCs/>
                <w:color w:val="auto"/>
                <w:sz w:val="21"/>
                <w:szCs w:val="21"/>
              </w:rPr>
              <w:t>》</w:t>
            </w:r>
            <w:r>
              <w:rPr>
                <w:rFonts w:ascii="Times New Roman" w:hAnsi="Times New Roman"/>
                <w:b/>
                <w:bCs/>
                <w:color w:val="auto"/>
                <w:sz w:val="21"/>
                <w:szCs w:val="21"/>
              </w:rPr>
              <w:t>推荐及可选处理工艺</w:t>
            </w:r>
          </w:p>
          <w:p w14:paraId="40317799">
            <w:pPr>
              <w:pStyle w:val="11"/>
              <w:spacing w:before="0" w:after="0" w:line="360" w:lineRule="auto"/>
              <w:ind w:right="0"/>
              <w:jc w:val="center"/>
              <w:rPr>
                <w:bCs/>
                <w:color w:val="auto"/>
                <w:sz w:val="24"/>
                <w:szCs w:val="28"/>
              </w:rPr>
            </w:pPr>
            <w:r>
              <w:rPr>
                <w:color w:val="auto"/>
              </w:rPr>
              <w:drawing>
                <wp:inline distT="0" distB="0" distL="114300" distR="114300">
                  <wp:extent cx="4944110" cy="2504440"/>
                  <wp:effectExtent l="0" t="0" r="8890" b="1016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spect="1"/>
                          </pic:cNvPicPr>
                        </pic:nvPicPr>
                        <pic:blipFill>
                          <a:blip r:embed="rId22"/>
                          <a:stretch>
                            <a:fillRect/>
                          </a:stretch>
                        </pic:blipFill>
                        <pic:spPr>
                          <a:xfrm>
                            <a:off x="0" y="0"/>
                            <a:ext cx="4944110" cy="2504440"/>
                          </a:xfrm>
                          <a:prstGeom prst="rect">
                            <a:avLst/>
                          </a:prstGeom>
                          <a:noFill/>
                          <a:ln>
                            <a:noFill/>
                          </a:ln>
                        </pic:spPr>
                      </pic:pic>
                    </a:graphicData>
                  </a:graphic>
                </wp:inline>
              </w:drawing>
            </w:r>
          </w:p>
          <w:p w14:paraId="7D1E53F0">
            <w:pPr>
              <w:pStyle w:val="11"/>
              <w:spacing w:before="0" w:after="0" w:line="360" w:lineRule="auto"/>
              <w:ind w:right="0"/>
              <w:jc w:val="center"/>
              <w:rPr>
                <w:rFonts w:hint="eastAsia" w:eastAsia="宋体"/>
                <w:bCs/>
                <w:color w:val="auto"/>
                <w:sz w:val="24"/>
                <w:szCs w:val="28"/>
                <w:lang w:eastAsia="zh-CN"/>
              </w:rPr>
            </w:pPr>
            <w:r>
              <w:rPr>
                <w:rFonts w:ascii="Times New Roman" w:hAnsi="Times New Roman"/>
                <w:b/>
                <w:bCs/>
                <w:color w:val="auto"/>
                <w:sz w:val="21"/>
                <w:szCs w:val="21"/>
              </w:rPr>
              <w:t>图</w:t>
            </w:r>
            <w:r>
              <w:rPr>
                <w:rFonts w:hint="eastAsia" w:ascii="Times New Roman" w:hAnsi="Times New Roman"/>
                <w:b/>
                <w:bCs/>
                <w:color w:val="auto"/>
                <w:sz w:val="21"/>
                <w:szCs w:val="21"/>
              </w:rPr>
              <w:t>4-</w:t>
            </w:r>
            <w:r>
              <w:rPr>
                <w:rFonts w:hint="eastAsia"/>
                <w:b/>
                <w:bCs/>
                <w:color w:val="auto"/>
                <w:sz w:val="21"/>
                <w:szCs w:val="21"/>
                <w:lang w:val="en-US" w:eastAsia="zh-CN"/>
              </w:rPr>
              <w:t>3</w:t>
            </w:r>
            <w:r>
              <w:rPr>
                <w:rFonts w:hint="eastAsia" w:ascii="Times New Roman" w:hAnsi="Times New Roman"/>
                <w:b/>
                <w:bCs/>
                <w:color w:val="auto"/>
                <w:sz w:val="21"/>
                <w:szCs w:val="21"/>
              </w:rPr>
              <w:t xml:space="preserve">  </w:t>
            </w:r>
            <w:r>
              <w:rPr>
                <w:rFonts w:hint="eastAsia" w:ascii="Times New Roman"/>
                <w:b/>
                <w:bCs/>
                <w:color w:val="auto"/>
                <w:sz w:val="21"/>
                <w:szCs w:val="21"/>
              </w:rPr>
              <w:t>《</w:t>
            </w:r>
            <w:r>
              <w:rPr>
                <w:rFonts w:hint="eastAsia" w:ascii="Times New Roman" w:hAnsi="Times New Roman"/>
                <w:b/>
                <w:bCs/>
                <w:color w:val="auto"/>
                <w:sz w:val="21"/>
                <w:szCs w:val="21"/>
              </w:rPr>
              <w:t>屠宰及肉类加工业污染防治可行技术指南</w:t>
            </w:r>
            <w:r>
              <w:rPr>
                <w:rFonts w:hint="eastAsia" w:ascii="Times New Roman"/>
                <w:b/>
                <w:bCs/>
                <w:color w:val="auto"/>
                <w:sz w:val="21"/>
                <w:szCs w:val="21"/>
              </w:rPr>
              <w:t>》</w:t>
            </w:r>
            <w:r>
              <w:rPr>
                <w:rFonts w:hint="eastAsia"/>
                <w:b/>
                <w:bCs/>
                <w:color w:val="auto"/>
                <w:sz w:val="21"/>
                <w:szCs w:val="21"/>
                <w:lang w:val="en-US" w:eastAsia="zh-CN"/>
              </w:rPr>
              <w:t>污染防治</w:t>
            </w:r>
          </w:p>
          <w:p w14:paraId="1EACDA1F">
            <w:pPr>
              <w:pStyle w:val="11"/>
              <w:spacing w:before="0" w:after="0" w:line="360" w:lineRule="auto"/>
              <w:ind w:right="0"/>
              <w:jc w:val="center"/>
              <w:rPr>
                <w:bCs/>
                <w:color w:val="auto"/>
                <w:sz w:val="24"/>
                <w:szCs w:val="28"/>
              </w:rPr>
            </w:pPr>
            <w:r>
              <w:rPr>
                <w:color w:val="auto"/>
              </w:rPr>
              <w:drawing>
                <wp:inline distT="0" distB="0" distL="114300" distR="114300">
                  <wp:extent cx="4905375" cy="2790825"/>
                  <wp:effectExtent l="0" t="0" r="9525" b="9525"/>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23"/>
                          <a:stretch>
                            <a:fillRect/>
                          </a:stretch>
                        </pic:blipFill>
                        <pic:spPr>
                          <a:xfrm>
                            <a:off x="0" y="0"/>
                            <a:ext cx="4905375" cy="2790825"/>
                          </a:xfrm>
                          <a:prstGeom prst="rect">
                            <a:avLst/>
                          </a:prstGeom>
                          <a:noFill/>
                          <a:ln>
                            <a:noFill/>
                          </a:ln>
                        </pic:spPr>
                      </pic:pic>
                    </a:graphicData>
                  </a:graphic>
                </wp:inline>
              </w:drawing>
            </w:r>
            <w:r>
              <w:rPr>
                <w:color w:val="auto"/>
              </w:rPr>
              <w:drawing>
                <wp:inline distT="0" distB="0" distL="114300" distR="114300">
                  <wp:extent cx="4907280" cy="3287395"/>
                  <wp:effectExtent l="0" t="0" r="7620" b="8255"/>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spect="1"/>
                          </pic:cNvPicPr>
                        </pic:nvPicPr>
                        <pic:blipFill>
                          <a:blip r:embed="rId24"/>
                          <a:stretch>
                            <a:fillRect/>
                          </a:stretch>
                        </pic:blipFill>
                        <pic:spPr>
                          <a:xfrm>
                            <a:off x="0" y="0"/>
                            <a:ext cx="4907280" cy="3287395"/>
                          </a:xfrm>
                          <a:prstGeom prst="rect">
                            <a:avLst/>
                          </a:prstGeom>
                          <a:noFill/>
                          <a:ln>
                            <a:noFill/>
                          </a:ln>
                        </pic:spPr>
                      </pic:pic>
                    </a:graphicData>
                  </a:graphic>
                </wp:inline>
              </w:drawing>
            </w:r>
          </w:p>
          <w:p w14:paraId="4FD07FC7">
            <w:pPr>
              <w:pStyle w:val="11"/>
              <w:spacing w:before="0" w:after="0" w:line="360" w:lineRule="auto"/>
              <w:ind w:right="0"/>
              <w:rPr>
                <w:bCs/>
                <w:color w:val="auto"/>
                <w:sz w:val="24"/>
                <w:szCs w:val="28"/>
              </w:rPr>
            </w:pPr>
            <w:r>
              <w:rPr>
                <w:rFonts w:ascii="Times New Roman" w:hAnsi="Times New Roman"/>
                <w:b/>
                <w:bCs/>
                <w:color w:val="auto"/>
                <w:sz w:val="21"/>
                <w:szCs w:val="21"/>
              </w:rPr>
              <w:t>图</w:t>
            </w:r>
            <w:r>
              <w:rPr>
                <w:rFonts w:hint="eastAsia" w:ascii="Times New Roman" w:hAnsi="Times New Roman"/>
                <w:b/>
                <w:bCs/>
                <w:color w:val="auto"/>
                <w:sz w:val="21"/>
                <w:szCs w:val="21"/>
              </w:rPr>
              <w:t>4-</w:t>
            </w:r>
            <w:r>
              <w:rPr>
                <w:rFonts w:hint="eastAsia"/>
                <w:b/>
                <w:bCs/>
                <w:color w:val="auto"/>
                <w:sz w:val="21"/>
                <w:szCs w:val="21"/>
                <w:lang w:val="en-US" w:eastAsia="zh-CN"/>
              </w:rPr>
              <w:t>4</w:t>
            </w:r>
            <w:r>
              <w:rPr>
                <w:rFonts w:hint="eastAsia" w:ascii="Times New Roman" w:hAnsi="Times New Roman"/>
                <w:b/>
                <w:bCs/>
                <w:color w:val="auto"/>
                <w:sz w:val="21"/>
                <w:szCs w:val="21"/>
              </w:rPr>
              <w:t xml:space="preserve">  </w:t>
            </w:r>
            <w:r>
              <w:rPr>
                <w:rFonts w:hint="eastAsia" w:ascii="Times New Roman"/>
                <w:b/>
                <w:bCs/>
                <w:color w:val="auto"/>
                <w:sz w:val="21"/>
                <w:szCs w:val="21"/>
              </w:rPr>
              <w:t>《</w:t>
            </w:r>
            <w:r>
              <w:rPr>
                <w:rFonts w:hint="eastAsia" w:ascii="Times New Roman" w:hAnsi="Times New Roman"/>
                <w:b/>
                <w:bCs/>
                <w:color w:val="auto"/>
                <w:sz w:val="21"/>
                <w:szCs w:val="21"/>
                <w:lang w:val="en-US" w:eastAsia="zh-CN"/>
              </w:rPr>
              <w:t>排污许可证申请与核发技术规范 农副食品加工工业—屠宰及肉类加工工业</w:t>
            </w:r>
            <w:r>
              <w:rPr>
                <w:rFonts w:hint="eastAsia" w:ascii="Times New Roman"/>
                <w:b/>
                <w:bCs/>
                <w:color w:val="auto"/>
                <w:sz w:val="21"/>
                <w:szCs w:val="21"/>
              </w:rPr>
              <w:t>》</w:t>
            </w:r>
            <w:r>
              <w:rPr>
                <w:rFonts w:hint="eastAsia"/>
                <w:b/>
                <w:bCs/>
                <w:color w:val="auto"/>
                <w:sz w:val="21"/>
                <w:szCs w:val="21"/>
                <w:lang w:val="en-US" w:eastAsia="zh-CN"/>
              </w:rPr>
              <w:t>污染防治</w:t>
            </w:r>
          </w:p>
          <w:p w14:paraId="78E9473D">
            <w:pPr>
              <w:pStyle w:val="11"/>
              <w:spacing w:before="0" w:after="0" w:line="360" w:lineRule="auto"/>
              <w:ind w:right="0" w:firstLine="480" w:firstLineChars="200"/>
              <w:rPr>
                <w:bCs/>
                <w:color w:val="auto"/>
                <w:sz w:val="24"/>
                <w:szCs w:val="28"/>
              </w:rPr>
            </w:pPr>
            <w:r>
              <w:rPr>
                <w:bCs/>
                <w:color w:val="auto"/>
                <w:sz w:val="24"/>
                <w:szCs w:val="28"/>
              </w:rPr>
              <w:t>本项目污水处理站处理规模为</w:t>
            </w:r>
            <w:r>
              <w:rPr>
                <w:rFonts w:hint="eastAsia"/>
                <w:bCs/>
                <w:color w:val="auto"/>
                <w:sz w:val="24"/>
                <w:szCs w:val="28"/>
                <w:lang w:val="en-US" w:eastAsia="zh-CN"/>
              </w:rPr>
              <w:t>7</w:t>
            </w:r>
            <w:r>
              <w:rPr>
                <w:bCs/>
                <w:color w:val="auto"/>
                <w:sz w:val="24"/>
                <w:szCs w:val="28"/>
              </w:rPr>
              <w:t>m</w:t>
            </w:r>
            <w:r>
              <w:rPr>
                <w:bCs/>
                <w:color w:val="auto"/>
                <w:sz w:val="24"/>
                <w:szCs w:val="28"/>
                <w:vertAlign w:val="superscript"/>
              </w:rPr>
              <w:t>3</w:t>
            </w:r>
            <w:r>
              <w:rPr>
                <w:bCs/>
                <w:color w:val="auto"/>
                <w:sz w:val="24"/>
                <w:szCs w:val="28"/>
              </w:rPr>
              <w:t>/d。废水采用“</w:t>
            </w:r>
            <w:r>
              <w:rPr>
                <w:rFonts w:hint="eastAsia"/>
                <w:bCs/>
                <w:color w:val="auto"/>
                <w:sz w:val="24"/>
                <w:szCs w:val="28"/>
                <w:lang w:val="en-US" w:eastAsia="zh-CN"/>
              </w:rPr>
              <w:t>格栅→收集池→气浮机→厌氧池→缺氧池→好氧池→二沉池→消毒池</w:t>
            </w:r>
            <w:r>
              <w:rPr>
                <w:bCs/>
                <w:color w:val="auto"/>
                <w:sz w:val="24"/>
                <w:szCs w:val="28"/>
              </w:rPr>
              <w:t>”污水处理工艺</w:t>
            </w:r>
            <w:r>
              <w:rPr>
                <w:rFonts w:hint="eastAsia"/>
                <w:bCs/>
                <w:color w:val="auto"/>
                <w:sz w:val="24"/>
                <w:szCs w:val="28"/>
              </w:rPr>
              <w:t>，属于</w:t>
            </w:r>
            <w:r>
              <w:rPr>
                <w:rFonts w:hint="eastAsia"/>
                <w:bCs/>
                <w:color w:val="auto"/>
                <w:sz w:val="24"/>
                <w:szCs w:val="28"/>
                <w:lang w:val="en-US" w:eastAsia="zh-CN"/>
              </w:rPr>
              <w:t>《排污许可证申请与核发技术规范 农副食品加工工业—屠宰及肉类加工工业》（HJ 860.3—2018）</w:t>
            </w:r>
            <w:r>
              <w:rPr>
                <w:bCs/>
                <w:color w:val="auto"/>
                <w:sz w:val="24"/>
                <w:szCs w:val="28"/>
              </w:rPr>
              <w:t>推荐及可选处理工艺</w:t>
            </w:r>
            <w:r>
              <w:rPr>
                <w:rFonts w:hint="eastAsia"/>
                <w:bCs/>
                <w:color w:val="auto"/>
                <w:sz w:val="24"/>
                <w:szCs w:val="28"/>
              </w:rPr>
              <w:t>，</w:t>
            </w:r>
            <w:r>
              <w:rPr>
                <w:bCs/>
                <w:color w:val="auto"/>
                <w:sz w:val="24"/>
                <w:szCs w:val="28"/>
              </w:rPr>
              <w:t>处理工艺见图</w:t>
            </w:r>
            <w:r>
              <w:rPr>
                <w:rFonts w:hint="eastAsia"/>
                <w:bCs/>
                <w:color w:val="auto"/>
                <w:sz w:val="24"/>
                <w:szCs w:val="28"/>
              </w:rPr>
              <w:t>4-</w:t>
            </w:r>
            <w:r>
              <w:rPr>
                <w:rFonts w:hint="eastAsia"/>
                <w:bCs/>
                <w:color w:val="auto"/>
                <w:sz w:val="24"/>
                <w:szCs w:val="28"/>
                <w:lang w:val="en-US" w:eastAsia="zh-CN"/>
              </w:rPr>
              <w:t>5</w:t>
            </w:r>
            <w:r>
              <w:rPr>
                <w:rFonts w:hint="eastAsia"/>
                <w:bCs/>
                <w:color w:val="auto"/>
                <w:sz w:val="24"/>
                <w:szCs w:val="28"/>
              </w:rPr>
              <w:t>。</w:t>
            </w:r>
          </w:p>
          <w:p w14:paraId="0CF6A61F">
            <w:pPr>
              <w:pStyle w:val="11"/>
              <w:jc w:val="center"/>
              <w:rPr>
                <w:color w:val="auto"/>
              </w:rPr>
            </w:pPr>
            <w:r>
              <w:rPr>
                <w:color w:val="auto"/>
              </w:rPr>
              <w:drawing>
                <wp:inline distT="0" distB="0" distL="114300" distR="114300">
                  <wp:extent cx="5053965" cy="2994660"/>
                  <wp:effectExtent l="0" t="0" r="13335" b="15240"/>
                  <wp:docPr id="5"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1"/>
                          <pic:cNvPicPr>
                            <a:picLocks noChangeAspect="1"/>
                          </pic:cNvPicPr>
                        </pic:nvPicPr>
                        <pic:blipFill>
                          <a:blip r:embed="rId25"/>
                          <a:stretch>
                            <a:fillRect/>
                          </a:stretch>
                        </pic:blipFill>
                        <pic:spPr>
                          <a:xfrm>
                            <a:off x="0" y="0"/>
                            <a:ext cx="5053965" cy="2994660"/>
                          </a:xfrm>
                          <a:prstGeom prst="rect">
                            <a:avLst/>
                          </a:prstGeom>
                          <a:noFill/>
                          <a:ln>
                            <a:noFill/>
                          </a:ln>
                        </pic:spPr>
                      </pic:pic>
                    </a:graphicData>
                  </a:graphic>
                </wp:inline>
              </w:drawing>
            </w:r>
          </w:p>
          <w:p w14:paraId="5DBCD79F">
            <w:pPr>
              <w:pStyle w:val="11"/>
              <w:jc w:val="center"/>
              <w:rPr>
                <w:b/>
                <w:bCs/>
                <w:color w:val="auto"/>
                <w:sz w:val="21"/>
                <w:szCs w:val="22"/>
              </w:rPr>
            </w:pPr>
            <w:r>
              <w:rPr>
                <w:b/>
                <w:bCs/>
                <w:color w:val="auto"/>
                <w:sz w:val="21"/>
                <w:szCs w:val="22"/>
              </w:rPr>
              <w:t>图4-</w:t>
            </w:r>
            <w:r>
              <w:rPr>
                <w:rFonts w:hint="eastAsia"/>
                <w:b/>
                <w:bCs/>
                <w:color w:val="auto"/>
                <w:sz w:val="21"/>
                <w:szCs w:val="22"/>
                <w:lang w:val="en-US" w:eastAsia="zh-CN"/>
              </w:rPr>
              <w:t>5</w:t>
            </w:r>
            <w:r>
              <w:rPr>
                <w:b/>
                <w:bCs/>
                <w:color w:val="auto"/>
                <w:sz w:val="21"/>
                <w:szCs w:val="22"/>
              </w:rPr>
              <w:t xml:space="preserve">    污水处理站工艺流程</w:t>
            </w:r>
          </w:p>
          <w:p w14:paraId="23102D51">
            <w:pPr>
              <w:pStyle w:val="11"/>
              <w:spacing w:before="0" w:after="0" w:line="360" w:lineRule="auto"/>
              <w:ind w:right="0" w:firstLine="482" w:firstLineChars="200"/>
              <w:rPr>
                <w:color w:val="auto"/>
                <w:sz w:val="24"/>
                <w:szCs w:val="24"/>
              </w:rPr>
            </w:pPr>
            <w:r>
              <w:rPr>
                <w:rFonts w:hint="eastAsia"/>
                <w:b/>
                <w:bCs/>
                <w:color w:val="auto"/>
                <w:sz w:val="24"/>
                <w:szCs w:val="24"/>
                <w:lang w:eastAsia="zh-CN"/>
              </w:rPr>
              <w:t>（</w:t>
            </w:r>
            <w:r>
              <w:rPr>
                <w:rFonts w:hint="eastAsia"/>
                <w:b/>
                <w:bCs/>
                <w:color w:val="auto"/>
                <w:sz w:val="24"/>
                <w:szCs w:val="24"/>
                <w:lang w:val="en-US" w:eastAsia="zh-CN"/>
              </w:rPr>
              <w:t>2</w:t>
            </w:r>
            <w:r>
              <w:rPr>
                <w:rFonts w:hint="eastAsia"/>
                <w:b/>
                <w:bCs/>
                <w:color w:val="auto"/>
                <w:sz w:val="24"/>
                <w:szCs w:val="24"/>
                <w:lang w:eastAsia="zh-CN"/>
              </w:rPr>
              <w:t>）</w:t>
            </w:r>
            <w:r>
              <w:rPr>
                <w:rFonts w:hint="eastAsia"/>
                <w:b/>
                <w:bCs/>
                <w:color w:val="auto"/>
                <w:sz w:val="24"/>
                <w:szCs w:val="24"/>
              </w:rPr>
              <w:t>污水处理站工作原理</w:t>
            </w:r>
          </w:p>
          <w:p w14:paraId="04BC3FD9">
            <w:pPr>
              <w:pStyle w:val="11"/>
              <w:spacing w:before="0" w:after="0" w:line="360" w:lineRule="auto"/>
              <w:ind w:right="0" w:firstLine="480" w:firstLineChars="200"/>
              <w:rPr>
                <w:rFonts w:hint="eastAsia"/>
                <w:color w:val="auto"/>
                <w:sz w:val="24"/>
                <w:szCs w:val="24"/>
              </w:rPr>
            </w:pPr>
            <w:r>
              <w:rPr>
                <w:rFonts w:hint="eastAsia"/>
                <w:color w:val="auto"/>
                <w:sz w:val="24"/>
                <w:szCs w:val="24"/>
              </w:rPr>
              <w:t>污水由排水系统收集后，进入污水处理站的格栅井，去除颗粒杂物后，进入调节池，进行均质均量，调节池中设置液位控制器，再经液位控制仪传递信号，由提升泵送至气浮机然后进入A级生物氧化池，进行酸化水解和硝化反硝化，降低有机物浓度，去除部分氨氮，然后入流O级生物接触氧化池进行好氧生化反应，在此绝大部分有机污染物通过生物氧化、吸附得以降解，出水自流至二沉池进行固液分离后，沉淀池上清液流入清水池后经二氧化氯投加器消毒后排放。</w:t>
            </w:r>
          </w:p>
          <w:p w14:paraId="3B21D120">
            <w:pPr>
              <w:pStyle w:val="11"/>
              <w:spacing w:before="0" w:after="0" w:line="360" w:lineRule="auto"/>
              <w:ind w:right="0" w:firstLine="480" w:firstLineChars="200"/>
              <w:rPr>
                <w:color w:val="auto"/>
                <w:sz w:val="24"/>
                <w:szCs w:val="24"/>
              </w:rPr>
            </w:pPr>
            <w:r>
              <w:rPr>
                <w:rFonts w:hint="eastAsia"/>
                <w:color w:val="auto"/>
                <w:sz w:val="24"/>
                <w:szCs w:val="24"/>
              </w:rPr>
              <w:t>由格栅截留下的杂物定期装入小车倾倒至垃圾场，二沉池中的污泥部分回流至A级生物处理池，另一部分污泥至污泥池进行污泥消化后定期抽吸外运，污泥池上清液回流至调节池再处理。</w:t>
            </w:r>
          </w:p>
          <w:p w14:paraId="30A06EB8">
            <w:pPr>
              <w:pStyle w:val="11"/>
              <w:spacing w:before="0" w:after="0" w:line="360" w:lineRule="auto"/>
              <w:ind w:right="0" w:firstLine="480" w:firstLineChars="200"/>
              <w:rPr>
                <w:rFonts w:hint="eastAsia"/>
                <w:color w:val="auto"/>
                <w:sz w:val="24"/>
                <w:szCs w:val="24"/>
              </w:rPr>
            </w:pPr>
            <w:r>
              <w:rPr>
                <w:rFonts w:hint="default" w:ascii="Times New Roman" w:hAnsi="Times New Roman" w:eastAsia="宋体" w:cs="Times New Roman"/>
                <w:color w:val="auto"/>
                <w:sz w:val="24"/>
                <w:szCs w:val="24"/>
              </w:rPr>
              <w:t>①</w:t>
            </w:r>
            <w:r>
              <w:rPr>
                <w:rFonts w:hint="eastAsia"/>
                <w:color w:val="auto"/>
                <w:sz w:val="24"/>
                <w:szCs w:val="24"/>
              </w:rPr>
              <w:t>A级生物处理池（厌氧池）</w:t>
            </w:r>
          </w:p>
          <w:p w14:paraId="57A93247">
            <w:pPr>
              <w:pStyle w:val="11"/>
              <w:spacing w:before="0" w:after="0" w:line="360" w:lineRule="auto"/>
              <w:ind w:right="0" w:firstLine="480" w:firstLineChars="200"/>
              <w:rPr>
                <w:rFonts w:hint="eastAsia"/>
                <w:color w:val="auto"/>
                <w:sz w:val="24"/>
                <w:szCs w:val="24"/>
              </w:rPr>
            </w:pPr>
            <w:r>
              <w:rPr>
                <w:rFonts w:hint="eastAsia"/>
                <w:color w:val="auto"/>
                <w:sz w:val="24"/>
                <w:szCs w:val="24"/>
              </w:rPr>
              <w:t>设置目的：将污水进一步混合，充分利用池内高效生物弹性填料作为细菌载体，靠兼氧微生物将污水中难溶解有机物转化为可溶解性有机物，将大分子有机物水解成小分子有机物，以利于后道O级生物处理池进一步氧化分解，同时通过回流的硝炭氮在硝化菌的作用下，可进行部分硝化和反硝化，去除氨氮。</w:t>
            </w:r>
          </w:p>
          <w:p w14:paraId="127EADD0">
            <w:pPr>
              <w:pStyle w:val="11"/>
              <w:spacing w:before="0" w:after="0" w:line="360" w:lineRule="auto"/>
              <w:ind w:right="0" w:firstLine="480" w:firstLineChars="200"/>
              <w:rPr>
                <w:rFonts w:hint="eastAsia"/>
                <w:color w:val="auto"/>
                <w:sz w:val="24"/>
                <w:szCs w:val="24"/>
              </w:rPr>
            </w:pPr>
            <w:r>
              <w:rPr>
                <w:rFonts w:hint="eastAsia"/>
                <w:color w:val="auto"/>
                <w:sz w:val="24"/>
                <w:szCs w:val="24"/>
              </w:rPr>
              <w:t>设计特点：内置高效生物弹性填料，又具有水解酸化功能，同时可调节成为O 级生物氧化池，以增加生化停留时间</w:t>
            </w:r>
            <w:r>
              <w:rPr>
                <w:rFonts w:hint="eastAsia"/>
                <w:color w:val="auto"/>
                <w:sz w:val="24"/>
                <w:szCs w:val="24"/>
                <w:lang w:eastAsia="zh-CN"/>
              </w:rPr>
              <w:t>，</w:t>
            </w:r>
            <w:r>
              <w:rPr>
                <w:rFonts w:hint="eastAsia"/>
                <w:color w:val="auto"/>
                <w:sz w:val="24"/>
                <w:szCs w:val="24"/>
              </w:rPr>
              <w:t>提高处理效率。</w:t>
            </w:r>
          </w:p>
          <w:p w14:paraId="22B41D7F">
            <w:pPr>
              <w:pStyle w:val="11"/>
              <w:spacing w:before="0" w:after="0" w:line="360" w:lineRule="auto"/>
              <w:ind w:right="0" w:firstLine="480" w:firstLineChars="200"/>
              <w:rPr>
                <w:rFonts w:hint="eastAsia"/>
                <w:color w:val="auto"/>
                <w:sz w:val="24"/>
                <w:szCs w:val="24"/>
              </w:rPr>
            </w:pPr>
            <w:r>
              <w:rPr>
                <w:rFonts w:hint="default" w:ascii="Times New Roman" w:hAnsi="Times New Roman" w:eastAsia="宋体" w:cs="Times New Roman"/>
                <w:color w:val="auto"/>
                <w:sz w:val="24"/>
                <w:szCs w:val="24"/>
              </w:rPr>
              <w:t>②</w:t>
            </w:r>
            <w:r>
              <w:rPr>
                <w:rFonts w:hint="eastAsia"/>
                <w:color w:val="auto"/>
                <w:sz w:val="24"/>
                <w:szCs w:val="24"/>
              </w:rPr>
              <w:t>O级生物处理池（生物接触氧化池）</w:t>
            </w:r>
          </w:p>
          <w:p w14:paraId="71553AA3">
            <w:pPr>
              <w:pStyle w:val="11"/>
              <w:spacing w:before="0" w:after="0" w:line="360" w:lineRule="auto"/>
              <w:ind w:right="0" w:firstLine="480" w:firstLineChars="200"/>
              <w:rPr>
                <w:rFonts w:hint="eastAsia"/>
                <w:color w:val="auto"/>
                <w:sz w:val="24"/>
                <w:szCs w:val="24"/>
              </w:rPr>
            </w:pPr>
            <w:r>
              <w:rPr>
                <w:rFonts w:hint="eastAsia"/>
                <w:color w:val="auto"/>
                <w:sz w:val="24"/>
                <w:szCs w:val="24"/>
              </w:rPr>
              <w:t>设置目的：该池为本污水处理的核心部分，分二段，前一段在较高的 有机负荷下，通过附着于填料上的大量不同种属的微生物群落共同参与下的生化降解和吸附作用，去除污水中的各种有机物质，使污水中的有机物含量大幅度降低。后段在有机负荷较低的情况下，通过硝化菌的作用，在氧量充足的条件下降解污水中的氨氮，同时也使污水中的COD值降低到更低的水平，使污水得以净化。</w:t>
            </w:r>
          </w:p>
          <w:p w14:paraId="5F60B5F3">
            <w:pPr>
              <w:pStyle w:val="11"/>
              <w:spacing w:before="0" w:after="0" w:line="360" w:lineRule="auto"/>
              <w:ind w:right="0" w:firstLine="480" w:firstLineChars="200"/>
              <w:rPr>
                <w:rFonts w:hint="eastAsia"/>
                <w:color w:val="auto"/>
                <w:sz w:val="24"/>
                <w:szCs w:val="24"/>
              </w:rPr>
            </w:pPr>
            <w:r>
              <w:rPr>
                <w:rFonts w:hint="eastAsia"/>
                <w:color w:val="auto"/>
                <w:sz w:val="24"/>
                <w:szCs w:val="24"/>
              </w:rPr>
              <w:t>设计特点：该池由池体、填料、布水装置和充氧曝气系统等部分组成。以生物膜法为主，兼有活性污泥法的特点。</w:t>
            </w:r>
          </w:p>
          <w:p w14:paraId="72674009">
            <w:pPr>
              <w:pStyle w:val="11"/>
              <w:spacing w:before="0" w:after="0" w:line="360" w:lineRule="auto"/>
              <w:ind w:right="0" w:firstLine="480" w:firstLineChars="200"/>
              <w:rPr>
                <w:rFonts w:hint="eastAsia"/>
                <w:color w:val="auto"/>
                <w:sz w:val="24"/>
                <w:szCs w:val="24"/>
              </w:rPr>
            </w:pPr>
            <w:r>
              <w:rPr>
                <w:rFonts w:hint="default" w:ascii="Times New Roman" w:hAnsi="Times New Roman" w:eastAsia="宋体" w:cs="Times New Roman"/>
                <w:color w:val="auto"/>
                <w:sz w:val="24"/>
                <w:szCs w:val="24"/>
              </w:rPr>
              <w:t>③</w:t>
            </w:r>
            <w:r>
              <w:rPr>
                <w:rFonts w:hint="eastAsia"/>
                <w:color w:val="auto"/>
                <w:sz w:val="24"/>
                <w:szCs w:val="24"/>
              </w:rPr>
              <w:t>沉淀池</w:t>
            </w:r>
          </w:p>
          <w:p w14:paraId="470AEDCB">
            <w:pPr>
              <w:pStyle w:val="11"/>
              <w:spacing w:before="0" w:after="0" w:line="360" w:lineRule="auto"/>
              <w:ind w:right="0" w:firstLine="480" w:firstLineChars="200"/>
              <w:rPr>
                <w:rFonts w:hint="eastAsia"/>
                <w:color w:val="auto"/>
                <w:sz w:val="24"/>
                <w:szCs w:val="24"/>
              </w:rPr>
            </w:pPr>
            <w:r>
              <w:rPr>
                <w:rFonts w:hint="eastAsia"/>
                <w:color w:val="auto"/>
                <w:sz w:val="24"/>
                <w:szCs w:val="24"/>
              </w:rPr>
              <w:t>设置目的：进行固液分离去除生化池中剥落下来的生物膜和悬浮污泥，使污水真正净化。</w:t>
            </w:r>
          </w:p>
          <w:p w14:paraId="057EAD67">
            <w:pPr>
              <w:pStyle w:val="11"/>
              <w:spacing w:before="0" w:after="0" w:line="360" w:lineRule="auto"/>
              <w:ind w:right="0" w:firstLine="480" w:firstLineChars="200"/>
              <w:rPr>
                <w:rFonts w:hint="eastAsia"/>
                <w:color w:val="auto"/>
                <w:sz w:val="24"/>
                <w:szCs w:val="24"/>
              </w:rPr>
            </w:pPr>
            <w:r>
              <w:rPr>
                <w:rFonts w:hint="eastAsia"/>
                <w:color w:val="auto"/>
                <w:sz w:val="24"/>
                <w:szCs w:val="24"/>
              </w:rPr>
              <w:t>设计特点：设计为竖流式沉淀池，其污泥降解效果好。采用三角堰出水，使出水效果稳定。污泥采用气提法定时排泥至污泥池，并设污泥气提回流装置，部分污泥回流至A级生物处理池进行硝化和反硝化，也减少了污泥的生成，也利于污水中氨氮的去除。</w:t>
            </w:r>
          </w:p>
          <w:p w14:paraId="0228B2EA">
            <w:pPr>
              <w:pStyle w:val="11"/>
              <w:spacing w:before="0" w:after="0" w:line="360" w:lineRule="auto"/>
              <w:ind w:right="0" w:firstLine="480" w:firstLineChars="200"/>
              <w:rPr>
                <w:rFonts w:hint="eastAsia"/>
                <w:color w:val="auto"/>
                <w:sz w:val="24"/>
                <w:szCs w:val="24"/>
              </w:rPr>
            </w:pPr>
            <w:r>
              <w:rPr>
                <w:rFonts w:hint="default" w:ascii="Times New Roman" w:hAnsi="Times New Roman" w:eastAsia="宋体" w:cs="Times New Roman"/>
                <w:color w:val="auto"/>
                <w:sz w:val="24"/>
                <w:szCs w:val="24"/>
              </w:rPr>
              <w:t>④</w:t>
            </w:r>
            <w:r>
              <w:rPr>
                <w:rFonts w:hint="eastAsia"/>
                <w:color w:val="auto"/>
                <w:sz w:val="24"/>
                <w:szCs w:val="24"/>
              </w:rPr>
              <w:t>清水池（消毒池）</w:t>
            </w:r>
          </w:p>
          <w:p w14:paraId="43B19FEB">
            <w:pPr>
              <w:pStyle w:val="11"/>
              <w:spacing w:before="0" w:after="0" w:line="360" w:lineRule="auto"/>
              <w:ind w:right="0" w:firstLine="480" w:firstLineChars="200"/>
              <w:rPr>
                <w:rFonts w:hint="eastAsia"/>
                <w:color w:val="auto"/>
                <w:sz w:val="24"/>
                <w:szCs w:val="24"/>
              </w:rPr>
            </w:pPr>
            <w:r>
              <w:rPr>
                <w:rFonts w:hint="eastAsia"/>
                <w:color w:val="auto"/>
                <w:sz w:val="24"/>
                <w:szCs w:val="24"/>
              </w:rPr>
              <w:t>设置目的：清水池即消毒池。该池按消毒池设计，内设消毒装置，导流板。二沉池出水流入消毒池进行消毒，经消毒后的水再进行过滤。</w:t>
            </w:r>
          </w:p>
          <w:p w14:paraId="09C1B760">
            <w:pPr>
              <w:pStyle w:val="11"/>
              <w:spacing w:before="0" w:after="0" w:line="360" w:lineRule="auto"/>
              <w:ind w:right="0" w:firstLine="480" w:firstLineChars="200"/>
              <w:rPr>
                <w:rFonts w:hint="eastAsia"/>
                <w:color w:val="auto"/>
                <w:sz w:val="24"/>
                <w:szCs w:val="24"/>
              </w:rPr>
            </w:pPr>
            <w:r>
              <w:rPr>
                <w:rFonts w:hint="default" w:ascii="Times New Roman" w:hAnsi="Times New Roman" w:eastAsia="宋体" w:cs="Times New Roman"/>
                <w:color w:val="auto"/>
                <w:sz w:val="24"/>
                <w:szCs w:val="24"/>
              </w:rPr>
              <w:t>⑤</w:t>
            </w:r>
            <w:r>
              <w:rPr>
                <w:rFonts w:hint="eastAsia"/>
                <w:color w:val="auto"/>
                <w:sz w:val="24"/>
                <w:szCs w:val="24"/>
              </w:rPr>
              <w:t>风机</w:t>
            </w:r>
          </w:p>
          <w:p w14:paraId="4B078DED">
            <w:pPr>
              <w:pStyle w:val="11"/>
              <w:spacing w:before="0" w:after="0" w:line="360" w:lineRule="auto"/>
              <w:ind w:right="0" w:firstLine="480" w:firstLineChars="200"/>
              <w:rPr>
                <w:rFonts w:hint="eastAsia"/>
                <w:color w:val="auto"/>
                <w:sz w:val="24"/>
                <w:szCs w:val="24"/>
              </w:rPr>
            </w:pPr>
            <w:r>
              <w:rPr>
                <w:rFonts w:hint="eastAsia"/>
                <w:color w:val="auto"/>
                <w:sz w:val="24"/>
                <w:szCs w:val="24"/>
              </w:rPr>
              <w:t>设置目的：供O级生化池、调节池中充氧曝气，搅拌、污泥提升、污泥消化。</w:t>
            </w:r>
          </w:p>
          <w:p w14:paraId="0F6E5631">
            <w:pPr>
              <w:pStyle w:val="11"/>
              <w:spacing w:before="0" w:after="0" w:line="360" w:lineRule="auto"/>
              <w:ind w:right="0" w:firstLine="480" w:firstLineChars="200"/>
              <w:rPr>
                <w:rFonts w:hint="eastAsia"/>
                <w:color w:val="auto"/>
                <w:sz w:val="24"/>
                <w:szCs w:val="24"/>
              </w:rPr>
            </w:pPr>
            <w:r>
              <w:rPr>
                <w:rFonts w:hint="eastAsia"/>
                <w:color w:val="auto"/>
                <w:sz w:val="24"/>
                <w:szCs w:val="24"/>
              </w:rPr>
              <w:t>设计特点：设置一台，风机具有体积小，噪声低，风量足，性能稳定可靠等特点。</w:t>
            </w:r>
          </w:p>
          <w:p w14:paraId="16624E85">
            <w:pPr>
              <w:pStyle w:val="11"/>
              <w:spacing w:before="0" w:after="0" w:line="360" w:lineRule="auto"/>
              <w:ind w:right="0" w:firstLine="480" w:firstLineChars="200"/>
              <w:rPr>
                <w:rFonts w:hint="eastAsia"/>
                <w:color w:val="auto"/>
                <w:sz w:val="24"/>
                <w:szCs w:val="24"/>
              </w:rPr>
            </w:pPr>
            <w:r>
              <w:rPr>
                <w:rFonts w:hint="default" w:ascii="Times New Roman" w:hAnsi="Times New Roman" w:eastAsia="宋体" w:cs="Times New Roman"/>
                <w:color w:val="auto"/>
                <w:sz w:val="24"/>
                <w:szCs w:val="24"/>
              </w:rPr>
              <w:t>⑥</w:t>
            </w:r>
            <w:r>
              <w:rPr>
                <w:rFonts w:hint="eastAsia"/>
                <w:color w:val="auto"/>
                <w:sz w:val="24"/>
                <w:szCs w:val="24"/>
              </w:rPr>
              <w:t>自动控制柜：进行全自动程序控制运行。</w:t>
            </w:r>
          </w:p>
          <w:p w14:paraId="02A6BFB8">
            <w:pPr>
              <w:pStyle w:val="11"/>
              <w:spacing w:before="0" w:after="0" w:line="360" w:lineRule="auto"/>
              <w:ind w:right="0" w:firstLine="480" w:firstLineChars="200"/>
              <w:rPr>
                <w:color w:val="auto"/>
                <w:sz w:val="24"/>
                <w:szCs w:val="40"/>
              </w:rPr>
            </w:pPr>
            <w:r>
              <w:rPr>
                <w:rFonts w:hint="eastAsia"/>
                <w:color w:val="auto"/>
                <w:sz w:val="24"/>
                <w:szCs w:val="40"/>
              </w:rPr>
              <w:t>综上所述，本项目</w:t>
            </w:r>
            <w:r>
              <w:rPr>
                <w:rFonts w:hint="eastAsia"/>
                <w:bCs/>
                <w:color w:val="auto"/>
                <w:sz w:val="24"/>
                <w:szCs w:val="28"/>
              </w:rPr>
              <w:t>污水处理站工艺</w:t>
            </w:r>
            <w:r>
              <w:rPr>
                <w:bCs/>
                <w:color w:val="auto"/>
                <w:sz w:val="24"/>
                <w:szCs w:val="28"/>
              </w:rPr>
              <w:t>可行</w:t>
            </w:r>
            <w:r>
              <w:rPr>
                <w:rFonts w:hint="eastAsia"/>
                <w:color w:val="auto"/>
                <w:sz w:val="24"/>
                <w:szCs w:val="40"/>
              </w:rPr>
              <w:t>。</w:t>
            </w:r>
          </w:p>
          <w:p w14:paraId="617BE5FB">
            <w:pPr>
              <w:pStyle w:val="11"/>
              <w:spacing w:before="0" w:after="0" w:line="360" w:lineRule="auto"/>
              <w:ind w:right="0" w:firstLine="482" w:firstLineChars="200"/>
              <w:rPr>
                <w:bCs/>
                <w:color w:val="auto"/>
                <w:sz w:val="24"/>
                <w:szCs w:val="28"/>
              </w:rPr>
            </w:pPr>
            <w:r>
              <w:rPr>
                <w:rFonts w:hint="eastAsia"/>
                <w:b/>
                <w:bCs/>
                <w:color w:val="auto"/>
                <w:sz w:val="24"/>
                <w:szCs w:val="24"/>
              </w:rPr>
              <w:t>（</w:t>
            </w:r>
            <w:r>
              <w:rPr>
                <w:rFonts w:hint="eastAsia"/>
                <w:b/>
                <w:bCs/>
                <w:color w:val="auto"/>
                <w:sz w:val="24"/>
                <w:szCs w:val="28"/>
                <w:lang w:val="en-US" w:eastAsia="zh-CN"/>
              </w:rPr>
              <w:t>3</w:t>
            </w:r>
            <w:r>
              <w:rPr>
                <w:rFonts w:hint="eastAsia"/>
                <w:b/>
                <w:bCs/>
                <w:color w:val="auto"/>
                <w:sz w:val="24"/>
                <w:szCs w:val="28"/>
              </w:rPr>
              <w:t>）污水处理站水质</w:t>
            </w:r>
            <w:r>
              <w:rPr>
                <w:b/>
                <w:bCs/>
                <w:color w:val="auto"/>
                <w:sz w:val="24"/>
                <w:szCs w:val="28"/>
              </w:rPr>
              <w:t>可行性分析</w:t>
            </w:r>
          </w:p>
          <w:p w14:paraId="18068344">
            <w:pPr>
              <w:pStyle w:val="11"/>
              <w:spacing w:before="0" w:after="0" w:line="360" w:lineRule="auto"/>
              <w:ind w:right="0" w:firstLine="480" w:firstLineChars="200"/>
              <w:rPr>
                <w:rFonts w:hint="default"/>
                <w:bCs/>
                <w:color w:val="auto"/>
                <w:sz w:val="24"/>
                <w:szCs w:val="28"/>
                <w:lang w:val="en-US" w:eastAsia="zh-CN"/>
              </w:rPr>
            </w:pPr>
            <w:r>
              <w:rPr>
                <w:rFonts w:hint="eastAsia"/>
                <w:bCs/>
                <w:color w:val="auto"/>
                <w:sz w:val="24"/>
                <w:szCs w:val="28"/>
                <w:lang w:val="en-US" w:eastAsia="zh-CN"/>
              </w:rPr>
              <w:t>根据《屠宰与肉类加工废水治理工程技术规范》HJ2004-2010表4可知，肉类加工废水水质设计取值COD800-2000、BOD</w:t>
            </w:r>
            <w:r>
              <w:rPr>
                <w:rFonts w:hint="eastAsia"/>
                <w:bCs/>
                <w:color w:val="auto"/>
                <w:sz w:val="24"/>
                <w:szCs w:val="28"/>
                <w:vertAlign w:val="subscript"/>
                <w:lang w:val="en-US" w:eastAsia="zh-CN"/>
              </w:rPr>
              <w:t>5</w:t>
            </w:r>
            <w:r>
              <w:rPr>
                <w:rFonts w:hint="eastAsia"/>
                <w:bCs/>
                <w:color w:val="auto"/>
                <w:sz w:val="24"/>
                <w:szCs w:val="28"/>
                <w:lang w:val="en-US" w:eastAsia="zh-CN"/>
              </w:rPr>
              <w:t>500-1000、SS500-1000、氨氮25-70、动植物油30-100、pH6.5-7.5，本项目保守取COD 2000、BOD</w:t>
            </w:r>
            <w:r>
              <w:rPr>
                <w:rFonts w:hint="eastAsia"/>
                <w:bCs/>
                <w:color w:val="auto"/>
                <w:sz w:val="24"/>
                <w:szCs w:val="28"/>
                <w:vertAlign w:val="subscript"/>
                <w:lang w:val="en-US" w:eastAsia="zh-CN"/>
              </w:rPr>
              <w:t>5</w:t>
            </w:r>
            <w:r>
              <w:rPr>
                <w:rFonts w:hint="eastAsia"/>
                <w:bCs/>
                <w:color w:val="auto"/>
                <w:sz w:val="24"/>
                <w:szCs w:val="28"/>
                <w:vertAlign w:val="baseline"/>
                <w:lang w:val="en-US" w:eastAsia="zh-CN"/>
              </w:rPr>
              <w:t>-</w:t>
            </w:r>
            <w:r>
              <w:rPr>
                <w:rFonts w:hint="eastAsia"/>
                <w:bCs/>
                <w:color w:val="auto"/>
                <w:sz w:val="24"/>
                <w:szCs w:val="28"/>
                <w:lang w:val="en-US" w:eastAsia="zh-CN"/>
              </w:rPr>
              <w:t>1000、SS-1000、氨氮-70、动植物油-100。</w:t>
            </w:r>
          </w:p>
          <w:p w14:paraId="0E1240E2">
            <w:pPr>
              <w:pStyle w:val="11"/>
              <w:spacing w:before="0" w:after="0" w:line="360" w:lineRule="auto"/>
              <w:ind w:right="0" w:firstLine="480" w:firstLineChars="200"/>
              <w:rPr>
                <w:rFonts w:hint="eastAsia"/>
                <w:bCs/>
                <w:color w:val="auto"/>
                <w:sz w:val="24"/>
                <w:szCs w:val="28"/>
              </w:rPr>
            </w:pPr>
            <w:r>
              <w:rPr>
                <w:rFonts w:hint="eastAsia"/>
                <w:bCs/>
                <w:color w:val="auto"/>
                <w:sz w:val="24"/>
                <w:szCs w:val="28"/>
                <w:lang w:val="en-US" w:eastAsia="zh-CN"/>
              </w:rPr>
              <w:t>根据《厌氧-缺氧-好氧活性污泥法污水处理工程技术规范》（HJ576—2010），AAO污水处理工艺的污染物去除率（工业废水）分别为COD 70-90%、BOD</w:t>
            </w:r>
            <w:r>
              <w:rPr>
                <w:rFonts w:hint="eastAsia"/>
                <w:bCs/>
                <w:color w:val="auto"/>
                <w:sz w:val="24"/>
                <w:szCs w:val="28"/>
                <w:vertAlign w:val="subscript"/>
                <w:lang w:val="en-US" w:eastAsia="zh-CN"/>
              </w:rPr>
              <w:t>5</w:t>
            </w:r>
            <w:r>
              <w:rPr>
                <w:rFonts w:hint="eastAsia"/>
                <w:bCs/>
                <w:color w:val="auto"/>
                <w:sz w:val="24"/>
                <w:szCs w:val="28"/>
                <w:lang w:val="en-US" w:eastAsia="zh-CN"/>
              </w:rPr>
              <w:t>70-90%、SS70-90%、氨氮80-90%，本项目保守取COD80%、BOD</w:t>
            </w:r>
            <w:r>
              <w:rPr>
                <w:rFonts w:hint="eastAsia"/>
                <w:bCs/>
                <w:color w:val="auto"/>
                <w:sz w:val="24"/>
                <w:szCs w:val="28"/>
                <w:vertAlign w:val="subscript"/>
                <w:lang w:val="en-US" w:eastAsia="zh-CN"/>
              </w:rPr>
              <w:t>5</w:t>
            </w:r>
            <w:r>
              <w:rPr>
                <w:rFonts w:hint="eastAsia"/>
                <w:bCs/>
                <w:color w:val="auto"/>
                <w:sz w:val="24"/>
                <w:szCs w:val="28"/>
                <w:lang w:val="en-US" w:eastAsia="zh-CN"/>
              </w:rPr>
              <w:t>80%、SS80%、氨氮80%，考虑本项目隔油池去除率，动植物油为90%。</w:t>
            </w:r>
          </w:p>
          <w:p w14:paraId="0378E822">
            <w:pPr>
              <w:pStyle w:val="11"/>
              <w:spacing w:before="0" w:after="0" w:line="360" w:lineRule="auto"/>
              <w:ind w:right="0" w:firstLine="480" w:firstLineChars="200"/>
              <w:rPr>
                <w:bCs/>
                <w:color w:val="0000FF"/>
                <w:sz w:val="24"/>
                <w:szCs w:val="28"/>
              </w:rPr>
            </w:pPr>
            <w:r>
              <w:rPr>
                <w:rFonts w:hint="eastAsia"/>
                <w:bCs/>
                <w:color w:val="0000FF"/>
                <w:sz w:val="24"/>
                <w:szCs w:val="28"/>
                <w:lang w:val="en-US" w:eastAsia="zh-CN"/>
              </w:rPr>
              <w:t>本项目</w:t>
            </w:r>
            <w:r>
              <w:commentReference w:id="1"/>
            </w:r>
            <w:r>
              <w:rPr>
                <w:rFonts w:hint="eastAsia"/>
                <w:bCs/>
                <w:color w:val="0000FF"/>
                <w:sz w:val="24"/>
                <w:szCs w:val="28"/>
                <w:lang w:val="en-US" w:eastAsia="zh-CN"/>
              </w:rPr>
              <w:t>生产废水排放量为980t/a，</w:t>
            </w:r>
            <w:r>
              <w:rPr>
                <w:rFonts w:hint="eastAsia"/>
                <w:bCs/>
                <w:color w:val="0000FF"/>
                <w:sz w:val="24"/>
                <w:szCs w:val="28"/>
              </w:rPr>
              <w:t>项目</w:t>
            </w:r>
            <w:r>
              <w:rPr>
                <w:rFonts w:hint="eastAsia"/>
                <w:bCs/>
                <w:color w:val="0000FF"/>
                <w:sz w:val="24"/>
                <w:szCs w:val="28"/>
                <w:lang w:val="en-US" w:eastAsia="zh-CN"/>
              </w:rPr>
              <w:t>生产</w:t>
            </w:r>
            <w:r>
              <w:rPr>
                <w:rFonts w:hint="eastAsia"/>
                <w:bCs/>
                <w:color w:val="0000FF"/>
                <w:sz w:val="24"/>
                <w:szCs w:val="28"/>
              </w:rPr>
              <w:t>废水处理前后水质情况见下表。</w:t>
            </w:r>
          </w:p>
          <w:p w14:paraId="72F621B0">
            <w:pPr>
              <w:pStyle w:val="79"/>
              <w:spacing w:before="120"/>
              <w:rPr>
                <w:color w:val="auto"/>
              </w:rPr>
            </w:pPr>
            <w:r>
              <w:rPr>
                <w:color w:val="auto"/>
              </w:rPr>
              <w:t>表4-</w:t>
            </w:r>
            <w:r>
              <w:rPr>
                <w:rFonts w:hint="eastAsia"/>
                <w:color w:val="auto"/>
                <w:lang w:val="en-US" w:eastAsia="zh-CN"/>
              </w:rPr>
              <w:t>7</w:t>
            </w:r>
            <w:r>
              <w:rPr>
                <w:rFonts w:hint="eastAsia"/>
                <w:color w:val="auto"/>
              </w:rPr>
              <w:t xml:space="preserve"> </w:t>
            </w:r>
            <w:r>
              <w:rPr>
                <w:color w:val="auto"/>
              </w:rPr>
              <w:t xml:space="preserve"> </w:t>
            </w:r>
            <w:r>
              <w:rPr>
                <w:rFonts w:hint="eastAsia"/>
                <w:color w:val="auto"/>
              </w:rPr>
              <w:t>废水处理前后水质情况表</w:t>
            </w:r>
          </w:p>
          <w:tbl>
            <w:tblPr>
              <w:tblStyle w:val="31"/>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6"/>
              <w:gridCol w:w="1034"/>
              <w:gridCol w:w="1257"/>
              <w:gridCol w:w="913"/>
              <w:gridCol w:w="1135"/>
              <w:gridCol w:w="1034"/>
              <w:gridCol w:w="1135"/>
              <w:gridCol w:w="579"/>
            </w:tblGrid>
            <w:tr w14:paraId="14B56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589" w:type="pct"/>
                  <w:vMerge w:val="restart"/>
                  <w:tcBorders>
                    <w:tl2br w:val="nil"/>
                    <w:tr2bl w:val="nil"/>
                  </w:tcBorders>
                  <w:vAlign w:val="center"/>
                </w:tcPr>
                <w:p w14:paraId="1426E56E">
                  <w:pPr>
                    <w:widowControl/>
                    <w:jc w:val="center"/>
                    <w:rPr>
                      <w:b/>
                      <w:bCs/>
                      <w:color w:val="auto"/>
                      <w:szCs w:val="21"/>
                    </w:rPr>
                  </w:pPr>
                  <w:r>
                    <w:rPr>
                      <w:b/>
                      <w:color w:val="auto"/>
                      <w:szCs w:val="21"/>
                    </w:rPr>
                    <w:t>项目</w:t>
                  </w:r>
                </w:p>
              </w:tc>
              <w:tc>
                <w:tcPr>
                  <w:tcW w:w="1425" w:type="pct"/>
                  <w:gridSpan w:val="2"/>
                  <w:tcBorders>
                    <w:tl2br w:val="nil"/>
                    <w:tr2bl w:val="nil"/>
                  </w:tcBorders>
                  <w:vAlign w:val="center"/>
                </w:tcPr>
                <w:p w14:paraId="695B4731">
                  <w:pPr>
                    <w:jc w:val="center"/>
                    <w:rPr>
                      <w:b/>
                      <w:color w:val="auto"/>
                      <w:szCs w:val="21"/>
                    </w:rPr>
                  </w:pPr>
                  <w:r>
                    <w:rPr>
                      <w:b/>
                      <w:color w:val="auto"/>
                      <w:szCs w:val="21"/>
                    </w:rPr>
                    <w:t>进水水质</w:t>
                  </w:r>
                </w:p>
              </w:tc>
              <w:tc>
                <w:tcPr>
                  <w:tcW w:w="1274" w:type="pct"/>
                  <w:gridSpan w:val="2"/>
                  <w:tcBorders>
                    <w:tl2br w:val="nil"/>
                    <w:tr2bl w:val="nil"/>
                  </w:tcBorders>
                  <w:vAlign w:val="center"/>
                </w:tcPr>
                <w:p w14:paraId="1D0A2F80">
                  <w:pPr>
                    <w:widowControl/>
                    <w:jc w:val="center"/>
                    <w:rPr>
                      <w:b/>
                      <w:color w:val="auto"/>
                      <w:szCs w:val="21"/>
                    </w:rPr>
                  </w:pPr>
                  <w:r>
                    <w:rPr>
                      <w:b/>
                      <w:color w:val="auto"/>
                      <w:szCs w:val="21"/>
                    </w:rPr>
                    <w:t>出水水质</w:t>
                  </w:r>
                </w:p>
              </w:tc>
              <w:tc>
                <w:tcPr>
                  <w:tcW w:w="643" w:type="pct"/>
                  <w:vMerge w:val="restart"/>
                  <w:tcBorders>
                    <w:tl2br w:val="nil"/>
                    <w:tr2bl w:val="nil"/>
                  </w:tcBorders>
                  <w:vAlign w:val="center"/>
                </w:tcPr>
                <w:p w14:paraId="752F716A">
                  <w:pPr>
                    <w:widowControl/>
                    <w:jc w:val="center"/>
                    <w:rPr>
                      <w:b/>
                      <w:bCs/>
                      <w:color w:val="auto"/>
                      <w:szCs w:val="21"/>
                    </w:rPr>
                  </w:pPr>
                  <w:r>
                    <w:rPr>
                      <w:rFonts w:hint="eastAsia"/>
                      <w:b/>
                      <w:bCs/>
                      <w:color w:val="auto"/>
                      <w:szCs w:val="21"/>
                    </w:rPr>
                    <w:t>去除量</w:t>
                  </w:r>
                </w:p>
              </w:tc>
              <w:tc>
                <w:tcPr>
                  <w:tcW w:w="706" w:type="pct"/>
                  <w:vMerge w:val="restart"/>
                  <w:tcBorders>
                    <w:tl2br w:val="nil"/>
                    <w:tr2bl w:val="nil"/>
                  </w:tcBorders>
                  <w:vAlign w:val="center"/>
                </w:tcPr>
                <w:p w14:paraId="3AC6CBF6">
                  <w:pPr>
                    <w:jc w:val="center"/>
                    <w:rPr>
                      <w:rFonts w:hint="eastAsia"/>
                      <w:b/>
                      <w:bCs/>
                      <w:color w:val="auto"/>
                      <w:szCs w:val="21"/>
                    </w:rPr>
                  </w:pPr>
                  <w:r>
                    <w:rPr>
                      <w:rFonts w:hint="eastAsia"/>
                      <w:b/>
                      <w:bCs/>
                      <w:color w:val="auto"/>
                      <w:szCs w:val="21"/>
                    </w:rPr>
                    <w:t>执行标准</w:t>
                  </w:r>
                </w:p>
              </w:tc>
              <w:tc>
                <w:tcPr>
                  <w:tcW w:w="360" w:type="pct"/>
                  <w:vMerge w:val="restart"/>
                  <w:tcBorders>
                    <w:tl2br w:val="nil"/>
                    <w:tr2bl w:val="nil"/>
                  </w:tcBorders>
                  <w:vAlign w:val="center"/>
                </w:tcPr>
                <w:p w14:paraId="3E6DF185">
                  <w:pPr>
                    <w:jc w:val="center"/>
                    <w:rPr>
                      <w:b/>
                      <w:color w:val="auto"/>
                      <w:szCs w:val="21"/>
                    </w:rPr>
                  </w:pPr>
                  <w:r>
                    <w:rPr>
                      <w:b/>
                      <w:color w:val="auto"/>
                      <w:szCs w:val="21"/>
                    </w:rPr>
                    <w:t>达标</w:t>
                  </w:r>
                </w:p>
                <w:p w14:paraId="44C1A976">
                  <w:pPr>
                    <w:jc w:val="center"/>
                    <w:rPr>
                      <w:b/>
                      <w:color w:val="auto"/>
                      <w:szCs w:val="21"/>
                    </w:rPr>
                  </w:pPr>
                  <w:r>
                    <w:rPr>
                      <w:b/>
                      <w:color w:val="auto"/>
                      <w:szCs w:val="21"/>
                    </w:rPr>
                    <w:t>情况</w:t>
                  </w:r>
                </w:p>
              </w:tc>
            </w:tr>
            <w:tr w14:paraId="44083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589" w:type="pct"/>
                  <w:vMerge w:val="continue"/>
                  <w:tcBorders>
                    <w:tl2br w:val="nil"/>
                    <w:tr2bl w:val="nil"/>
                  </w:tcBorders>
                  <w:vAlign w:val="center"/>
                </w:tcPr>
                <w:p w14:paraId="2E7E66B3">
                  <w:pPr>
                    <w:widowControl/>
                    <w:jc w:val="center"/>
                    <w:rPr>
                      <w:color w:val="auto"/>
                      <w:szCs w:val="21"/>
                    </w:rPr>
                  </w:pPr>
                </w:p>
              </w:tc>
              <w:tc>
                <w:tcPr>
                  <w:tcW w:w="643" w:type="pct"/>
                  <w:tcBorders>
                    <w:tl2br w:val="nil"/>
                    <w:tr2bl w:val="nil"/>
                  </w:tcBorders>
                  <w:vAlign w:val="center"/>
                </w:tcPr>
                <w:p w14:paraId="4CFEC089">
                  <w:pPr>
                    <w:widowControl/>
                    <w:jc w:val="center"/>
                    <w:rPr>
                      <w:b/>
                      <w:color w:val="auto"/>
                      <w:szCs w:val="21"/>
                    </w:rPr>
                  </w:pPr>
                  <w:r>
                    <w:rPr>
                      <w:rFonts w:hint="eastAsia"/>
                      <w:b/>
                      <w:color w:val="auto"/>
                      <w:szCs w:val="21"/>
                    </w:rPr>
                    <w:t>产生量</w:t>
                  </w:r>
                </w:p>
              </w:tc>
              <w:tc>
                <w:tcPr>
                  <w:tcW w:w="782" w:type="pct"/>
                  <w:tcBorders>
                    <w:tl2br w:val="nil"/>
                    <w:tr2bl w:val="nil"/>
                  </w:tcBorders>
                  <w:vAlign w:val="center"/>
                </w:tcPr>
                <w:p w14:paraId="0169A7C2">
                  <w:pPr>
                    <w:widowControl/>
                    <w:jc w:val="center"/>
                    <w:rPr>
                      <w:b/>
                      <w:color w:val="auto"/>
                      <w:szCs w:val="21"/>
                    </w:rPr>
                  </w:pPr>
                  <w:r>
                    <w:rPr>
                      <w:rFonts w:hint="eastAsia"/>
                      <w:b/>
                      <w:color w:val="auto"/>
                      <w:szCs w:val="21"/>
                    </w:rPr>
                    <w:t>产生浓度</w:t>
                  </w:r>
                </w:p>
              </w:tc>
              <w:tc>
                <w:tcPr>
                  <w:tcW w:w="568" w:type="pct"/>
                  <w:tcBorders>
                    <w:tl2br w:val="nil"/>
                    <w:tr2bl w:val="nil"/>
                  </w:tcBorders>
                  <w:vAlign w:val="center"/>
                </w:tcPr>
                <w:p w14:paraId="6A413335">
                  <w:pPr>
                    <w:widowControl/>
                    <w:jc w:val="center"/>
                    <w:rPr>
                      <w:b/>
                      <w:color w:val="auto"/>
                      <w:szCs w:val="21"/>
                    </w:rPr>
                  </w:pPr>
                  <w:r>
                    <w:rPr>
                      <w:rFonts w:hint="eastAsia"/>
                      <w:b/>
                      <w:color w:val="auto"/>
                      <w:szCs w:val="21"/>
                    </w:rPr>
                    <w:t>排放量</w:t>
                  </w:r>
                </w:p>
              </w:tc>
              <w:tc>
                <w:tcPr>
                  <w:tcW w:w="706" w:type="pct"/>
                  <w:tcBorders>
                    <w:tl2br w:val="nil"/>
                    <w:tr2bl w:val="nil"/>
                  </w:tcBorders>
                  <w:vAlign w:val="center"/>
                </w:tcPr>
                <w:p w14:paraId="18436491">
                  <w:pPr>
                    <w:widowControl/>
                    <w:jc w:val="center"/>
                    <w:rPr>
                      <w:b/>
                      <w:color w:val="auto"/>
                      <w:szCs w:val="21"/>
                    </w:rPr>
                  </w:pPr>
                  <w:r>
                    <w:rPr>
                      <w:rFonts w:hint="eastAsia"/>
                      <w:b/>
                      <w:color w:val="auto"/>
                      <w:szCs w:val="21"/>
                    </w:rPr>
                    <w:t>排放浓度</w:t>
                  </w:r>
                </w:p>
              </w:tc>
              <w:tc>
                <w:tcPr>
                  <w:tcW w:w="643" w:type="pct"/>
                  <w:vMerge w:val="continue"/>
                  <w:tcBorders>
                    <w:tl2br w:val="nil"/>
                    <w:tr2bl w:val="nil"/>
                  </w:tcBorders>
                  <w:vAlign w:val="center"/>
                </w:tcPr>
                <w:p w14:paraId="65DF1625">
                  <w:pPr>
                    <w:widowControl/>
                    <w:jc w:val="center"/>
                    <w:rPr>
                      <w:b/>
                      <w:color w:val="auto"/>
                      <w:szCs w:val="21"/>
                    </w:rPr>
                  </w:pPr>
                </w:p>
              </w:tc>
              <w:tc>
                <w:tcPr>
                  <w:tcW w:w="706" w:type="pct"/>
                  <w:vMerge w:val="continue"/>
                  <w:tcBorders>
                    <w:tl2br w:val="nil"/>
                    <w:tr2bl w:val="nil"/>
                  </w:tcBorders>
                  <w:vAlign w:val="center"/>
                </w:tcPr>
                <w:p w14:paraId="435321F0">
                  <w:pPr>
                    <w:widowControl/>
                    <w:jc w:val="center"/>
                    <w:rPr>
                      <w:b/>
                      <w:color w:val="auto"/>
                      <w:szCs w:val="21"/>
                    </w:rPr>
                  </w:pPr>
                </w:p>
              </w:tc>
              <w:tc>
                <w:tcPr>
                  <w:tcW w:w="360" w:type="pct"/>
                  <w:vMerge w:val="continue"/>
                  <w:tcBorders>
                    <w:tl2br w:val="nil"/>
                    <w:tr2bl w:val="nil"/>
                  </w:tcBorders>
                  <w:vAlign w:val="center"/>
                </w:tcPr>
                <w:p w14:paraId="16A72C21">
                  <w:pPr>
                    <w:widowControl/>
                    <w:jc w:val="center"/>
                    <w:rPr>
                      <w:b/>
                      <w:color w:val="auto"/>
                      <w:szCs w:val="21"/>
                    </w:rPr>
                  </w:pPr>
                </w:p>
              </w:tc>
            </w:tr>
            <w:tr w14:paraId="3A53B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589" w:type="pct"/>
                  <w:tcBorders>
                    <w:tl2br w:val="nil"/>
                    <w:tr2bl w:val="nil"/>
                  </w:tcBorders>
                  <w:vAlign w:val="center"/>
                </w:tcPr>
                <w:p w14:paraId="4A9686C1">
                  <w:pPr>
                    <w:widowControl/>
                    <w:jc w:val="center"/>
                    <w:textAlignment w:val="center"/>
                    <w:rPr>
                      <w:color w:val="auto"/>
                      <w:szCs w:val="21"/>
                    </w:rPr>
                  </w:pPr>
                  <w:r>
                    <w:rPr>
                      <w:rFonts w:hint="eastAsia"/>
                      <w:bCs/>
                      <w:color w:val="auto"/>
                      <w:kern w:val="0"/>
                      <w:szCs w:val="21"/>
                    </w:rPr>
                    <w:t>p</w:t>
                  </w:r>
                  <w:r>
                    <w:rPr>
                      <w:bCs/>
                      <w:color w:val="auto"/>
                      <w:kern w:val="0"/>
                      <w:szCs w:val="21"/>
                    </w:rPr>
                    <w:t>H</w:t>
                  </w:r>
                </w:p>
              </w:tc>
              <w:tc>
                <w:tcPr>
                  <w:tcW w:w="643" w:type="pct"/>
                  <w:tcBorders>
                    <w:tl2br w:val="nil"/>
                    <w:tr2bl w:val="nil"/>
                  </w:tcBorders>
                  <w:vAlign w:val="center"/>
                </w:tcPr>
                <w:p w14:paraId="5A247F14">
                  <w:pPr>
                    <w:widowControl/>
                    <w:jc w:val="center"/>
                    <w:textAlignment w:val="center"/>
                    <w:rPr>
                      <w:color w:val="auto"/>
                      <w:szCs w:val="21"/>
                    </w:rPr>
                  </w:pPr>
                  <w:r>
                    <w:rPr>
                      <w:color w:val="auto"/>
                      <w:kern w:val="0"/>
                      <w:szCs w:val="21"/>
                      <w:lang w:bidi="ar"/>
                    </w:rPr>
                    <w:t>/</w:t>
                  </w:r>
                </w:p>
              </w:tc>
              <w:tc>
                <w:tcPr>
                  <w:tcW w:w="782" w:type="pct"/>
                  <w:tcBorders>
                    <w:tl2br w:val="nil"/>
                    <w:tr2bl w:val="nil"/>
                  </w:tcBorders>
                  <w:vAlign w:val="center"/>
                </w:tcPr>
                <w:p w14:paraId="4D59DCC1">
                  <w:pPr>
                    <w:widowControl/>
                    <w:jc w:val="center"/>
                    <w:textAlignment w:val="center"/>
                    <w:rPr>
                      <w:color w:val="auto"/>
                      <w:szCs w:val="21"/>
                    </w:rPr>
                  </w:pPr>
                  <w:r>
                    <w:rPr>
                      <w:color w:val="auto"/>
                      <w:kern w:val="0"/>
                      <w:szCs w:val="21"/>
                      <w:lang w:bidi="ar"/>
                    </w:rPr>
                    <w:t>6.5-7.5</w:t>
                  </w:r>
                </w:p>
              </w:tc>
              <w:tc>
                <w:tcPr>
                  <w:tcW w:w="568" w:type="pct"/>
                  <w:tcBorders>
                    <w:tl2br w:val="nil"/>
                    <w:tr2bl w:val="nil"/>
                  </w:tcBorders>
                  <w:vAlign w:val="center"/>
                </w:tcPr>
                <w:p w14:paraId="7942153F">
                  <w:pPr>
                    <w:widowControl/>
                    <w:jc w:val="center"/>
                    <w:textAlignment w:val="center"/>
                    <w:rPr>
                      <w:color w:val="auto"/>
                      <w:szCs w:val="21"/>
                    </w:rPr>
                  </w:pPr>
                  <w:r>
                    <w:rPr>
                      <w:color w:val="auto"/>
                      <w:kern w:val="0"/>
                      <w:szCs w:val="21"/>
                      <w:lang w:bidi="ar"/>
                    </w:rPr>
                    <w:t>/</w:t>
                  </w:r>
                </w:p>
              </w:tc>
              <w:tc>
                <w:tcPr>
                  <w:tcW w:w="706" w:type="pct"/>
                  <w:tcBorders>
                    <w:tl2br w:val="nil"/>
                    <w:tr2bl w:val="nil"/>
                  </w:tcBorders>
                  <w:vAlign w:val="center"/>
                </w:tcPr>
                <w:p w14:paraId="4290AD5D">
                  <w:pPr>
                    <w:widowControl/>
                    <w:jc w:val="center"/>
                    <w:textAlignment w:val="center"/>
                    <w:rPr>
                      <w:color w:val="auto"/>
                      <w:szCs w:val="21"/>
                    </w:rPr>
                  </w:pPr>
                  <w:r>
                    <w:rPr>
                      <w:color w:val="auto"/>
                      <w:kern w:val="0"/>
                      <w:szCs w:val="21"/>
                      <w:lang w:bidi="ar"/>
                    </w:rPr>
                    <w:t>6-8.5</w:t>
                  </w:r>
                </w:p>
              </w:tc>
              <w:tc>
                <w:tcPr>
                  <w:tcW w:w="643" w:type="pct"/>
                  <w:tcBorders>
                    <w:tl2br w:val="nil"/>
                    <w:tr2bl w:val="nil"/>
                  </w:tcBorders>
                  <w:vAlign w:val="center"/>
                </w:tcPr>
                <w:p w14:paraId="39C26157">
                  <w:pPr>
                    <w:jc w:val="center"/>
                    <w:rPr>
                      <w:color w:val="auto"/>
                      <w:szCs w:val="21"/>
                    </w:rPr>
                  </w:pPr>
                  <w:r>
                    <w:rPr>
                      <w:rFonts w:hint="eastAsia"/>
                      <w:color w:val="auto"/>
                      <w:szCs w:val="21"/>
                    </w:rPr>
                    <w:t>/</w:t>
                  </w:r>
                </w:p>
              </w:tc>
              <w:tc>
                <w:tcPr>
                  <w:tcW w:w="706" w:type="pct"/>
                  <w:tcBorders>
                    <w:tl2br w:val="nil"/>
                    <w:tr2bl w:val="nil"/>
                  </w:tcBorders>
                  <w:vAlign w:val="center"/>
                </w:tcPr>
                <w:p w14:paraId="47B981B5">
                  <w:pPr>
                    <w:widowControl/>
                    <w:jc w:val="center"/>
                    <w:rPr>
                      <w:rFonts w:ascii="Times New Roman" w:hAnsi="Times New Roman" w:eastAsia="宋体" w:cs="Times New Roman"/>
                      <w:b/>
                      <w:bCs/>
                      <w:color w:val="auto"/>
                      <w:kern w:val="2"/>
                      <w:sz w:val="21"/>
                      <w:szCs w:val="21"/>
                      <w:lang w:val="en-US" w:eastAsia="zh-CN" w:bidi="ar-SA"/>
                    </w:rPr>
                  </w:pPr>
                  <w:r>
                    <w:rPr>
                      <w:bCs/>
                      <w:color w:val="auto"/>
                      <w:kern w:val="0"/>
                      <w:szCs w:val="21"/>
                    </w:rPr>
                    <w:t>6-8.5</w:t>
                  </w:r>
                </w:p>
              </w:tc>
              <w:tc>
                <w:tcPr>
                  <w:tcW w:w="360" w:type="pct"/>
                  <w:tcBorders>
                    <w:tl2br w:val="nil"/>
                    <w:tr2bl w:val="nil"/>
                  </w:tcBorders>
                  <w:vAlign w:val="center"/>
                </w:tcPr>
                <w:p w14:paraId="3C47AB5C">
                  <w:pPr>
                    <w:jc w:val="center"/>
                    <w:rPr>
                      <w:bCs/>
                      <w:color w:val="auto"/>
                      <w:szCs w:val="21"/>
                    </w:rPr>
                  </w:pPr>
                  <w:r>
                    <w:rPr>
                      <w:bCs/>
                      <w:color w:val="auto"/>
                      <w:szCs w:val="21"/>
                    </w:rPr>
                    <w:t>达标</w:t>
                  </w:r>
                </w:p>
              </w:tc>
            </w:tr>
            <w:tr w14:paraId="20D14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589" w:type="pct"/>
                  <w:tcBorders>
                    <w:tl2br w:val="nil"/>
                    <w:tr2bl w:val="nil"/>
                  </w:tcBorders>
                  <w:vAlign w:val="center"/>
                </w:tcPr>
                <w:p w14:paraId="1D2E0E46">
                  <w:pPr>
                    <w:widowControl/>
                    <w:jc w:val="center"/>
                    <w:textAlignment w:val="center"/>
                    <w:rPr>
                      <w:color w:val="auto"/>
                      <w:szCs w:val="21"/>
                    </w:rPr>
                  </w:pPr>
                  <w:r>
                    <w:rPr>
                      <w:bCs/>
                      <w:color w:val="auto"/>
                      <w:kern w:val="0"/>
                      <w:szCs w:val="21"/>
                    </w:rPr>
                    <w:t>CODcr</w:t>
                  </w:r>
                </w:p>
              </w:tc>
              <w:tc>
                <w:tcPr>
                  <w:tcW w:w="1039" w:type="dxa"/>
                  <w:tcBorders>
                    <w:tl2br w:val="nil"/>
                    <w:tr2bl w:val="nil"/>
                  </w:tcBorders>
                  <w:vAlign w:val="center"/>
                </w:tcPr>
                <w:p w14:paraId="28B9F6AF">
                  <w:pPr>
                    <w:widowControl/>
                    <w:jc w:val="center"/>
                    <w:textAlignment w:val="center"/>
                    <w:rPr>
                      <w:rFonts w:hint="default" w:eastAsia="宋体"/>
                      <w:color w:val="auto"/>
                      <w:kern w:val="0"/>
                      <w:szCs w:val="21"/>
                      <w:lang w:val="en-US" w:eastAsia="zh-CN" w:bidi="ar"/>
                    </w:rPr>
                  </w:pPr>
                  <w:r>
                    <w:rPr>
                      <w:rFonts w:hint="eastAsia" w:eastAsia="宋体"/>
                      <w:color w:val="auto"/>
                      <w:kern w:val="0"/>
                      <w:szCs w:val="21"/>
                      <w:lang w:val="en-US" w:eastAsia="zh-CN" w:bidi="ar"/>
                    </w:rPr>
                    <w:t>1.96</w:t>
                  </w:r>
                  <w:r>
                    <w:rPr>
                      <w:rFonts w:hint="eastAsia"/>
                      <w:bCs/>
                      <w:color w:val="auto"/>
                      <w:szCs w:val="21"/>
                    </w:rPr>
                    <w:t>t/a</w:t>
                  </w:r>
                </w:p>
              </w:tc>
              <w:tc>
                <w:tcPr>
                  <w:tcW w:w="782" w:type="pct"/>
                  <w:tcBorders>
                    <w:tl2br w:val="nil"/>
                    <w:tr2bl w:val="nil"/>
                  </w:tcBorders>
                  <w:vAlign w:val="center"/>
                </w:tcPr>
                <w:p w14:paraId="400151E4">
                  <w:pPr>
                    <w:widowControl/>
                    <w:jc w:val="center"/>
                    <w:textAlignment w:val="center"/>
                    <w:rPr>
                      <w:color w:val="auto"/>
                      <w:szCs w:val="21"/>
                    </w:rPr>
                  </w:pPr>
                  <w:r>
                    <w:rPr>
                      <w:color w:val="auto"/>
                      <w:kern w:val="0"/>
                      <w:szCs w:val="21"/>
                      <w:lang w:bidi="ar"/>
                    </w:rPr>
                    <w:t>2000</w:t>
                  </w:r>
                  <w:r>
                    <w:rPr>
                      <w:rFonts w:hint="eastAsia"/>
                      <w:bCs/>
                      <w:color w:val="auto"/>
                      <w:szCs w:val="21"/>
                    </w:rPr>
                    <w:t>mg/L</w:t>
                  </w:r>
                </w:p>
              </w:tc>
              <w:tc>
                <w:tcPr>
                  <w:tcW w:w="568" w:type="pct"/>
                  <w:tcBorders>
                    <w:tl2br w:val="nil"/>
                    <w:tr2bl w:val="nil"/>
                  </w:tcBorders>
                  <w:vAlign w:val="center"/>
                </w:tcPr>
                <w:p w14:paraId="59A245C2">
                  <w:pPr>
                    <w:widowControl/>
                    <w:jc w:val="center"/>
                    <w:textAlignment w:val="center"/>
                    <w:rPr>
                      <w:color w:val="auto"/>
                      <w:szCs w:val="21"/>
                    </w:rPr>
                  </w:pPr>
                  <w:r>
                    <w:rPr>
                      <w:rFonts w:hint="eastAsia"/>
                      <w:color w:val="auto"/>
                      <w:kern w:val="0"/>
                      <w:szCs w:val="21"/>
                      <w:lang w:val="en-US" w:eastAsia="zh-CN" w:bidi="ar"/>
                    </w:rPr>
                    <w:t>0.39</w:t>
                  </w:r>
                  <w:r>
                    <w:rPr>
                      <w:rFonts w:hint="eastAsia"/>
                      <w:bCs/>
                      <w:color w:val="auto"/>
                      <w:szCs w:val="21"/>
                    </w:rPr>
                    <w:t>t/a</w:t>
                  </w:r>
                </w:p>
              </w:tc>
              <w:tc>
                <w:tcPr>
                  <w:tcW w:w="706" w:type="pct"/>
                  <w:tcBorders>
                    <w:tl2br w:val="nil"/>
                    <w:tr2bl w:val="nil"/>
                  </w:tcBorders>
                  <w:vAlign w:val="center"/>
                </w:tcPr>
                <w:p w14:paraId="558E6FC6">
                  <w:pPr>
                    <w:widowControl/>
                    <w:jc w:val="center"/>
                    <w:textAlignment w:val="center"/>
                    <w:rPr>
                      <w:color w:val="auto"/>
                      <w:szCs w:val="21"/>
                    </w:rPr>
                  </w:pPr>
                  <w:r>
                    <w:rPr>
                      <w:rFonts w:hint="eastAsia"/>
                      <w:color w:val="auto"/>
                      <w:kern w:val="0"/>
                      <w:szCs w:val="21"/>
                      <w:lang w:val="en-US" w:eastAsia="zh-CN" w:bidi="ar"/>
                    </w:rPr>
                    <w:t>400</w:t>
                  </w:r>
                  <w:r>
                    <w:rPr>
                      <w:rFonts w:hint="eastAsia"/>
                      <w:bCs/>
                      <w:color w:val="auto"/>
                      <w:szCs w:val="21"/>
                    </w:rPr>
                    <w:t>mg/L</w:t>
                  </w:r>
                </w:p>
              </w:tc>
              <w:tc>
                <w:tcPr>
                  <w:tcW w:w="643" w:type="pct"/>
                  <w:tcBorders>
                    <w:tl2br w:val="nil"/>
                    <w:tr2bl w:val="nil"/>
                  </w:tcBorders>
                  <w:vAlign w:val="center"/>
                </w:tcPr>
                <w:p w14:paraId="05FEF1C4">
                  <w:pPr>
                    <w:widowControl/>
                    <w:jc w:val="center"/>
                    <w:textAlignment w:val="center"/>
                    <w:rPr>
                      <w:color w:val="auto"/>
                      <w:kern w:val="0"/>
                      <w:szCs w:val="21"/>
                      <w:lang w:bidi="ar"/>
                    </w:rPr>
                  </w:pPr>
                  <w:r>
                    <w:rPr>
                      <w:rFonts w:hint="eastAsia"/>
                      <w:color w:val="auto"/>
                      <w:kern w:val="0"/>
                      <w:szCs w:val="21"/>
                      <w:lang w:val="en-US" w:eastAsia="zh-CN" w:bidi="ar"/>
                    </w:rPr>
                    <w:t>1.57</w:t>
                  </w:r>
                  <w:r>
                    <w:rPr>
                      <w:rFonts w:hint="eastAsia"/>
                      <w:bCs/>
                      <w:color w:val="auto"/>
                      <w:szCs w:val="21"/>
                    </w:rPr>
                    <w:t>t/a</w:t>
                  </w:r>
                </w:p>
              </w:tc>
              <w:tc>
                <w:tcPr>
                  <w:tcW w:w="706" w:type="pct"/>
                  <w:tcBorders>
                    <w:tl2br w:val="nil"/>
                    <w:tr2bl w:val="nil"/>
                  </w:tcBorders>
                  <w:vAlign w:val="center"/>
                </w:tcPr>
                <w:p w14:paraId="597342AA">
                  <w:pPr>
                    <w:jc w:val="center"/>
                    <w:rPr>
                      <w:rFonts w:ascii="Times New Roman" w:hAnsi="Times New Roman" w:eastAsia="宋体" w:cs="Times New Roman"/>
                      <w:color w:val="auto"/>
                      <w:kern w:val="2"/>
                      <w:sz w:val="21"/>
                      <w:szCs w:val="21"/>
                      <w:lang w:val="en-US" w:eastAsia="zh-CN" w:bidi="ar-SA"/>
                    </w:rPr>
                  </w:pPr>
                  <w:r>
                    <w:rPr>
                      <w:color w:val="auto"/>
                      <w:szCs w:val="21"/>
                    </w:rPr>
                    <w:t>500</w:t>
                  </w:r>
                  <w:r>
                    <w:rPr>
                      <w:rFonts w:hint="eastAsia"/>
                      <w:bCs/>
                      <w:color w:val="auto"/>
                      <w:szCs w:val="21"/>
                    </w:rPr>
                    <w:t>mg/L</w:t>
                  </w:r>
                </w:p>
              </w:tc>
              <w:tc>
                <w:tcPr>
                  <w:tcW w:w="360" w:type="pct"/>
                  <w:tcBorders>
                    <w:tl2br w:val="nil"/>
                    <w:tr2bl w:val="nil"/>
                  </w:tcBorders>
                  <w:vAlign w:val="center"/>
                </w:tcPr>
                <w:p w14:paraId="0A3C4D5B">
                  <w:pPr>
                    <w:jc w:val="center"/>
                    <w:rPr>
                      <w:bCs/>
                      <w:color w:val="auto"/>
                      <w:szCs w:val="21"/>
                    </w:rPr>
                  </w:pPr>
                  <w:r>
                    <w:rPr>
                      <w:bCs/>
                      <w:color w:val="auto"/>
                      <w:szCs w:val="21"/>
                    </w:rPr>
                    <w:t>达标</w:t>
                  </w:r>
                </w:p>
              </w:tc>
            </w:tr>
            <w:tr w14:paraId="07EBC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589" w:type="pct"/>
                  <w:tcBorders>
                    <w:tl2br w:val="nil"/>
                    <w:tr2bl w:val="nil"/>
                  </w:tcBorders>
                  <w:vAlign w:val="center"/>
                </w:tcPr>
                <w:p w14:paraId="7571EC1A">
                  <w:pPr>
                    <w:widowControl/>
                    <w:jc w:val="center"/>
                    <w:textAlignment w:val="center"/>
                    <w:rPr>
                      <w:color w:val="auto"/>
                      <w:szCs w:val="21"/>
                    </w:rPr>
                  </w:pPr>
                  <w:r>
                    <w:rPr>
                      <w:rStyle w:val="145"/>
                      <w:bCs/>
                      <w:color w:val="auto"/>
                      <w:vertAlign w:val="baseline"/>
                    </w:rPr>
                    <w:t>BOD</w:t>
                  </w:r>
                  <w:r>
                    <w:rPr>
                      <w:rStyle w:val="142"/>
                      <w:bCs/>
                      <w:color w:val="auto"/>
                      <w:vertAlign w:val="subscript"/>
                    </w:rPr>
                    <w:t>5</w:t>
                  </w:r>
                </w:p>
              </w:tc>
              <w:tc>
                <w:tcPr>
                  <w:tcW w:w="1039" w:type="dxa"/>
                  <w:tcBorders>
                    <w:tl2br w:val="nil"/>
                    <w:tr2bl w:val="nil"/>
                  </w:tcBorders>
                  <w:vAlign w:val="center"/>
                </w:tcPr>
                <w:p w14:paraId="73E0742F">
                  <w:pPr>
                    <w:widowControl/>
                    <w:jc w:val="center"/>
                    <w:textAlignment w:val="center"/>
                    <w:rPr>
                      <w:rFonts w:hint="default" w:eastAsia="宋体"/>
                      <w:color w:val="auto"/>
                      <w:kern w:val="0"/>
                      <w:szCs w:val="21"/>
                      <w:lang w:val="en-US" w:eastAsia="zh-CN" w:bidi="ar"/>
                    </w:rPr>
                  </w:pPr>
                  <w:r>
                    <w:rPr>
                      <w:rFonts w:hint="eastAsia" w:eastAsia="宋体"/>
                      <w:color w:val="auto"/>
                      <w:kern w:val="0"/>
                      <w:szCs w:val="21"/>
                      <w:lang w:val="en-US" w:eastAsia="zh-CN" w:bidi="ar"/>
                    </w:rPr>
                    <w:t>0.98</w:t>
                  </w:r>
                  <w:r>
                    <w:rPr>
                      <w:rFonts w:hint="eastAsia"/>
                      <w:bCs/>
                      <w:color w:val="auto"/>
                      <w:szCs w:val="21"/>
                    </w:rPr>
                    <w:t>t/a</w:t>
                  </w:r>
                </w:p>
              </w:tc>
              <w:tc>
                <w:tcPr>
                  <w:tcW w:w="782" w:type="pct"/>
                  <w:tcBorders>
                    <w:tl2br w:val="nil"/>
                    <w:tr2bl w:val="nil"/>
                  </w:tcBorders>
                  <w:vAlign w:val="center"/>
                </w:tcPr>
                <w:p w14:paraId="3EB9B26B">
                  <w:pPr>
                    <w:widowControl/>
                    <w:jc w:val="center"/>
                    <w:textAlignment w:val="center"/>
                    <w:rPr>
                      <w:color w:val="auto"/>
                      <w:szCs w:val="21"/>
                    </w:rPr>
                  </w:pPr>
                  <w:r>
                    <w:rPr>
                      <w:color w:val="auto"/>
                      <w:kern w:val="0"/>
                      <w:szCs w:val="21"/>
                      <w:lang w:bidi="ar"/>
                    </w:rPr>
                    <w:t>1000</w:t>
                  </w:r>
                  <w:r>
                    <w:rPr>
                      <w:rFonts w:hint="eastAsia"/>
                      <w:bCs/>
                      <w:color w:val="auto"/>
                      <w:szCs w:val="21"/>
                    </w:rPr>
                    <w:t>mg/L</w:t>
                  </w:r>
                </w:p>
              </w:tc>
              <w:tc>
                <w:tcPr>
                  <w:tcW w:w="568" w:type="pct"/>
                  <w:tcBorders>
                    <w:tl2br w:val="nil"/>
                    <w:tr2bl w:val="nil"/>
                  </w:tcBorders>
                  <w:vAlign w:val="center"/>
                </w:tcPr>
                <w:p w14:paraId="0A314999">
                  <w:pPr>
                    <w:widowControl/>
                    <w:jc w:val="center"/>
                    <w:textAlignment w:val="center"/>
                    <w:rPr>
                      <w:color w:val="auto"/>
                      <w:szCs w:val="21"/>
                    </w:rPr>
                  </w:pPr>
                  <w:r>
                    <w:rPr>
                      <w:rFonts w:hint="eastAsia"/>
                      <w:color w:val="auto"/>
                      <w:kern w:val="0"/>
                      <w:szCs w:val="21"/>
                      <w:lang w:val="en-US" w:eastAsia="zh-CN" w:bidi="ar"/>
                    </w:rPr>
                    <w:t>0.20</w:t>
                  </w:r>
                  <w:r>
                    <w:rPr>
                      <w:rFonts w:hint="eastAsia"/>
                      <w:bCs/>
                      <w:color w:val="auto"/>
                      <w:szCs w:val="21"/>
                    </w:rPr>
                    <w:t>t/a</w:t>
                  </w:r>
                </w:p>
              </w:tc>
              <w:tc>
                <w:tcPr>
                  <w:tcW w:w="706" w:type="pct"/>
                  <w:tcBorders>
                    <w:tl2br w:val="nil"/>
                    <w:tr2bl w:val="nil"/>
                  </w:tcBorders>
                  <w:vAlign w:val="center"/>
                </w:tcPr>
                <w:p w14:paraId="7C479A88">
                  <w:pPr>
                    <w:widowControl/>
                    <w:jc w:val="center"/>
                    <w:textAlignment w:val="center"/>
                    <w:rPr>
                      <w:color w:val="auto"/>
                      <w:szCs w:val="21"/>
                    </w:rPr>
                  </w:pPr>
                  <w:r>
                    <w:rPr>
                      <w:rFonts w:hint="eastAsia"/>
                      <w:color w:val="auto"/>
                      <w:kern w:val="0"/>
                      <w:szCs w:val="21"/>
                      <w:lang w:val="en-US" w:eastAsia="zh-CN" w:bidi="ar"/>
                    </w:rPr>
                    <w:t>200</w:t>
                  </w:r>
                  <w:r>
                    <w:rPr>
                      <w:rFonts w:hint="eastAsia"/>
                      <w:bCs/>
                      <w:color w:val="auto"/>
                      <w:szCs w:val="21"/>
                    </w:rPr>
                    <w:t>mg/L</w:t>
                  </w:r>
                </w:p>
              </w:tc>
              <w:tc>
                <w:tcPr>
                  <w:tcW w:w="643" w:type="pct"/>
                  <w:tcBorders>
                    <w:tl2br w:val="nil"/>
                    <w:tr2bl w:val="nil"/>
                  </w:tcBorders>
                  <w:vAlign w:val="center"/>
                </w:tcPr>
                <w:p w14:paraId="44D8314E">
                  <w:pPr>
                    <w:widowControl/>
                    <w:jc w:val="center"/>
                    <w:textAlignment w:val="center"/>
                    <w:rPr>
                      <w:color w:val="auto"/>
                      <w:kern w:val="0"/>
                      <w:szCs w:val="21"/>
                      <w:lang w:bidi="ar"/>
                    </w:rPr>
                  </w:pPr>
                  <w:r>
                    <w:rPr>
                      <w:rFonts w:hint="eastAsia"/>
                      <w:color w:val="auto"/>
                      <w:kern w:val="0"/>
                      <w:szCs w:val="21"/>
                      <w:lang w:val="en-US" w:eastAsia="zh-CN" w:bidi="ar"/>
                    </w:rPr>
                    <w:t>0.78</w:t>
                  </w:r>
                  <w:r>
                    <w:rPr>
                      <w:rFonts w:hint="eastAsia"/>
                      <w:bCs/>
                      <w:color w:val="auto"/>
                      <w:szCs w:val="21"/>
                    </w:rPr>
                    <w:t>t/a</w:t>
                  </w:r>
                </w:p>
              </w:tc>
              <w:tc>
                <w:tcPr>
                  <w:tcW w:w="706" w:type="pct"/>
                  <w:tcBorders>
                    <w:tl2br w:val="nil"/>
                    <w:tr2bl w:val="nil"/>
                  </w:tcBorders>
                  <w:vAlign w:val="center"/>
                </w:tcPr>
                <w:p w14:paraId="7C1A36AE">
                  <w:pPr>
                    <w:jc w:val="center"/>
                    <w:rPr>
                      <w:rFonts w:ascii="Times New Roman" w:hAnsi="Times New Roman" w:eastAsia="宋体" w:cs="Times New Roman"/>
                      <w:color w:val="auto"/>
                      <w:kern w:val="2"/>
                      <w:sz w:val="21"/>
                      <w:szCs w:val="21"/>
                      <w:lang w:val="en-US" w:eastAsia="zh-CN" w:bidi="ar-SA"/>
                    </w:rPr>
                  </w:pPr>
                  <w:r>
                    <w:rPr>
                      <w:color w:val="auto"/>
                      <w:szCs w:val="21"/>
                    </w:rPr>
                    <w:t>300</w:t>
                  </w:r>
                  <w:r>
                    <w:rPr>
                      <w:rFonts w:hint="eastAsia"/>
                      <w:bCs/>
                      <w:color w:val="auto"/>
                      <w:szCs w:val="21"/>
                    </w:rPr>
                    <w:t>mg/L</w:t>
                  </w:r>
                </w:p>
              </w:tc>
              <w:tc>
                <w:tcPr>
                  <w:tcW w:w="360" w:type="pct"/>
                  <w:tcBorders>
                    <w:tl2br w:val="nil"/>
                    <w:tr2bl w:val="nil"/>
                  </w:tcBorders>
                  <w:vAlign w:val="center"/>
                </w:tcPr>
                <w:p w14:paraId="3E481922">
                  <w:pPr>
                    <w:jc w:val="center"/>
                    <w:rPr>
                      <w:bCs/>
                      <w:color w:val="auto"/>
                      <w:szCs w:val="21"/>
                    </w:rPr>
                  </w:pPr>
                  <w:r>
                    <w:rPr>
                      <w:bCs/>
                      <w:color w:val="auto"/>
                      <w:szCs w:val="21"/>
                    </w:rPr>
                    <w:t>达标</w:t>
                  </w:r>
                </w:p>
              </w:tc>
            </w:tr>
            <w:tr w14:paraId="48221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589" w:type="pct"/>
                  <w:tcBorders>
                    <w:tl2br w:val="nil"/>
                    <w:tr2bl w:val="nil"/>
                  </w:tcBorders>
                  <w:vAlign w:val="center"/>
                </w:tcPr>
                <w:p w14:paraId="025DE53A">
                  <w:pPr>
                    <w:widowControl/>
                    <w:jc w:val="center"/>
                    <w:textAlignment w:val="center"/>
                    <w:rPr>
                      <w:color w:val="auto"/>
                      <w:szCs w:val="21"/>
                    </w:rPr>
                  </w:pPr>
                  <w:r>
                    <w:rPr>
                      <w:bCs/>
                      <w:color w:val="auto"/>
                      <w:kern w:val="0"/>
                      <w:szCs w:val="21"/>
                    </w:rPr>
                    <w:t>SS</w:t>
                  </w:r>
                </w:p>
              </w:tc>
              <w:tc>
                <w:tcPr>
                  <w:tcW w:w="1039" w:type="dxa"/>
                  <w:tcBorders>
                    <w:tl2br w:val="nil"/>
                    <w:tr2bl w:val="nil"/>
                  </w:tcBorders>
                  <w:vAlign w:val="center"/>
                </w:tcPr>
                <w:p w14:paraId="36D3CEEA">
                  <w:pPr>
                    <w:widowControl/>
                    <w:jc w:val="center"/>
                    <w:textAlignment w:val="center"/>
                    <w:rPr>
                      <w:rFonts w:hint="default" w:eastAsia="宋体"/>
                      <w:color w:val="auto"/>
                      <w:kern w:val="0"/>
                      <w:szCs w:val="21"/>
                      <w:lang w:val="en-US" w:eastAsia="zh-CN" w:bidi="ar"/>
                    </w:rPr>
                  </w:pPr>
                  <w:r>
                    <w:rPr>
                      <w:rFonts w:hint="eastAsia" w:eastAsia="宋体"/>
                      <w:color w:val="auto"/>
                      <w:kern w:val="0"/>
                      <w:szCs w:val="21"/>
                      <w:lang w:val="en-US" w:eastAsia="zh-CN" w:bidi="ar"/>
                    </w:rPr>
                    <w:t>0.98</w:t>
                  </w:r>
                  <w:r>
                    <w:rPr>
                      <w:rFonts w:hint="eastAsia"/>
                      <w:bCs/>
                      <w:color w:val="auto"/>
                      <w:szCs w:val="21"/>
                    </w:rPr>
                    <w:t>t/a</w:t>
                  </w:r>
                </w:p>
              </w:tc>
              <w:tc>
                <w:tcPr>
                  <w:tcW w:w="782" w:type="pct"/>
                  <w:tcBorders>
                    <w:tl2br w:val="nil"/>
                    <w:tr2bl w:val="nil"/>
                  </w:tcBorders>
                  <w:vAlign w:val="center"/>
                </w:tcPr>
                <w:p w14:paraId="483C84B1">
                  <w:pPr>
                    <w:widowControl/>
                    <w:jc w:val="center"/>
                    <w:textAlignment w:val="center"/>
                    <w:rPr>
                      <w:color w:val="auto"/>
                      <w:szCs w:val="21"/>
                    </w:rPr>
                  </w:pPr>
                  <w:r>
                    <w:rPr>
                      <w:color w:val="auto"/>
                      <w:kern w:val="0"/>
                      <w:szCs w:val="21"/>
                      <w:lang w:bidi="ar"/>
                    </w:rPr>
                    <w:t>1000</w:t>
                  </w:r>
                  <w:r>
                    <w:rPr>
                      <w:rFonts w:hint="eastAsia"/>
                      <w:bCs/>
                      <w:color w:val="auto"/>
                      <w:szCs w:val="21"/>
                    </w:rPr>
                    <w:t>mg/L</w:t>
                  </w:r>
                </w:p>
              </w:tc>
              <w:tc>
                <w:tcPr>
                  <w:tcW w:w="568" w:type="pct"/>
                  <w:tcBorders>
                    <w:tl2br w:val="nil"/>
                    <w:tr2bl w:val="nil"/>
                  </w:tcBorders>
                  <w:vAlign w:val="center"/>
                </w:tcPr>
                <w:p w14:paraId="66D2566D">
                  <w:pPr>
                    <w:widowControl/>
                    <w:jc w:val="center"/>
                    <w:textAlignment w:val="center"/>
                    <w:rPr>
                      <w:color w:val="auto"/>
                      <w:szCs w:val="21"/>
                    </w:rPr>
                  </w:pPr>
                  <w:r>
                    <w:rPr>
                      <w:rFonts w:hint="eastAsia"/>
                      <w:color w:val="auto"/>
                      <w:kern w:val="0"/>
                      <w:szCs w:val="21"/>
                      <w:lang w:val="en-US" w:eastAsia="zh-CN" w:bidi="ar"/>
                    </w:rPr>
                    <w:t>0.20</w:t>
                  </w:r>
                  <w:r>
                    <w:rPr>
                      <w:rFonts w:hint="eastAsia"/>
                      <w:bCs/>
                      <w:color w:val="auto"/>
                      <w:szCs w:val="21"/>
                    </w:rPr>
                    <w:t>t/a</w:t>
                  </w:r>
                </w:p>
              </w:tc>
              <w:tc>
                <w:tcPr>
                  <w:tcW w:w="706" w:type="pct"/>
                  <w:tcBorders>
                    <w:tl2br w:val="nil"/>
                    <w:tr2bl w:val="nil"/>
                  </w:tcBorders>
                  <w:vAlign w:val="center"/>
                </w:tcPr>
                <w:p w14:paraId="1982315B">
                  <w:pPr>
                    <w:widowControl/>
                    <w:jc w:val="center"/>
                    <w:textAlignment w:val="center"/>
                    <w:rPr>
                      <w:color w:val="auto"/>
                      <w:szCs w:val="21"/>
                    </w:rPr>
                  </w:pPr>
                  <w:r>
                    <w:rPr>
                      <w:rFonts w:hint="eastAsia"/>
                      <w:color w:val="auto"/>
                      <w:kern w:val="0"/>
                      <w:szCs w:val="21"/>
                      <w:lang w:val="en-US" w:eastAsia="zh-CN" w:bidi="ar"/>
                    </w:rPr>
                    <w:t>200</w:t>
                  </w:r>
                  <w:r>
                    <w:rPr>
                      <w:rFonts w:hint="eastAsia"/>
                      <w:bCs/>
                      <w:color w:val="auto"/>
                      <w:szCs w:val="21"/>
                    </w:rPr>
                    <w:t>mg/L</w:t>
                  </w:r>
                </w:p>
              </w:tc>
              <w:tc>
                <w:tcPr>
                  <w:tcW w:w="643" w:type="pct"/>
                  <w:tcBorders>
                    <w:tl2br w:val="nil"/>
                    <w:tr2bl w:val="nil"/>
                  </w:tcBorders>
                  <w:vAlign w:val="center"/>
                </w:tcPr>
                <w:p w14:paraId="324671BC">
                  <w:pPr>
                    <w:widowControl/>
                    <w:jc w:val="center"/>
                    <w:textAlignment w:val="center"/>
                    <w:rPr>
                      <w:color w:val="auto"/>
                      <w:kern w:val="0"/>
                      <w:szCs w:val="21"/>
                      <w:lang w:bidi="ar"/>
                    </w:rPr>
                  </w:pPr>
                  <w:r>
                    <w:rPr>
                      <w:rFonts w:hint="eastAsia"/>
                      <w:color w:val="auto"/>
                      <w:kern w:val="0"/>
                      <w:szCs w:val="21"/>
                      <w:lang w:val="en-US" w:eastAsia="zh-CN" w:bidi="ar"/>
                    </w:rPr>
                    <w:t>0.78</w:t>
                  </w:r>
                  <w:r>
                    <w:rPr>
                      <w:rFonts w:hint="eastAsia"/>
                      <w:bCs/>
                      <w:color w:val="auto"/>
                      <w:szCs w:val="21"/>
                    </w:rPr>
                    <w:t>t/a</w:t>
                  </w:r>
                </w:p>
              </w:tc>
              <w:tc>
                <w:tcPr>
                  <w:tcW w:w="706" w:type="pct"/>
                  <w:tcBorders>
                    <w:tl2br w:val="nil"/>
                    <w:tr2bl w:val="nil"/>
                  </w:tcBorders>
                  <w:vAlign w:val="center"/>
                </w:tcPr>
                <w:p w14:paraId="5FFF9A2C">
                  <w:pPr>
                    <w:jc w:val="center"/>
                    <w:rPr>
                      <w:rFonts w:ascii="Times New Roman" w:hAnsi="Times New Roman" w:eastAsia="宋体" w:cs="Times New Roman"/>
                      <w:color w:val="auto"/>
                      <w:kern w:val="2"/>
                      <w:sz w:val="21"/>
                      <w:szCs w:val="21"/>
                      <w:lang w:val="en-US" w:eastAsia="zh-CN" w:bidi="ar-SA"/>
                    </w:rPr>
                  </w:pPr>
                  <w:r>
                    <w:rPr>
                      <w:rFonts w:hint="eastAsia"/>
                      <w:color w:val="auto"/>
                      <w:szCs w:val="21"/>
                      <w:lang w:val="en-US" w:eastAsia="zh-CN"/>
                    </w:rPr>
                    <w:t>35</w:t>
                  </w:r>
                  <w:r>
                    <w:rPr>
                      <w:color w:val="auto"/>
                      <w:szCs w:val="21"/>
                    </w:rPr>
                    <w:t>0</w:t>
                  </w:r>
                  <w:r>
                    <w:rPr>
                      <w:rFonts w:hint="eastAsia"/>
                      <w:bCs/>
                      <w:color w:val="auto"/>
                      <w:szCs w:val="21"/>
                    </w:rPr>
                    <w:t>mg/L</w:t>
                  </w:r>
                </w:p>
              </w:tc>
              <w:tc>
                <w:tcPr>
                  <w:tcW w:w="360" w:type="pct"/>
                  <w:tcBorders>
                    <w:tl2br w:val="nil"/>
                    <w:tr2bl w:val="nil"/>
                  </w:tcBorders>
                  <w:vAlign w:val="center"/>
                </w:tcPr>
                <w:p w14:paraId="70347253">
                  <w:pPr>
                    <w:jc w:val="center"/>
                    <w:rPr>
                      <w:bCs/>
                      <w:color w:val="auto"/>
                      <w:szCs w:val="21"/>
                    </w:rPr>
                  </w:pPr>
                  <w:r>
                    <w:rPr>
                      <w:bCs/>
                      <w:color w:val="auto"/>
                      <w:szCs w:val="21"/>
                    </w:rPr>
                    <w:t>达标</w:t>
                  </w:r>
                </w:p>
              </w:tc>
            </w:tr>
            <w:tr w14:paraId="51DED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589" w:type="pct"/>
                  <w:vAlign w:val="center"/>
                </w:tcPr>
                <w:p w14:paraId="2D212DD2">
                  <w:pPr>
                    <w:widowControl/>
                    <w:jc w:val="center"/>
                    <w:textAlignment w:val="center"/>
                    <w:rPr>
                      <w:color w:val="auto"/>
                      <w:szCs w:val="21"/>
                    </w:rPr>
                  </w:pPr>
                  <w:r>
                    <w:rPr>
                      <w:bCs/>
                      <w:color w:val="auto"/>
                      <w:kern w:val="0"/>
                      <w:szCs w:val="21"/>
                    </w:rPr>
                    <w:t>氨氮</w:t>
                  </w:r>
                </w:p>
              </w:tc>
              <w:tc>
                <w:tcPr>
                  <w:tcW w:w="1039" w:type="dxa"/>
                  <w:vAlign w:val="center"/>
                </w:tcPr>
                <w:p w14:paraId="734290EA">
                  <w:pPr>
                    <w:widowControl/>
                    <w:jc w:val="center"/>
                    <w:textAlignment w:val="center"/>
                    <w:rPr>
                      <w:rFonts w:hint="default" w:eastAsia="宋体"/>
                      <w:color w:val="auto"/>
                      <w:kern w:val="0"/>
                      <w:szCs w:val="21"/>
                      <w:lang w:val="en-US" w:eastAsia="zh-CN" w:bidi="ar"/>
                    </w:rPr>
                  </w:pPr>
                  <w:r>
                    <w:rPr>
                      <w:rFonts w:hint="eastAsia" w:eastAsia="宋体"/>
                      <w:color w:val="auto"/>
                      <w:kern w:val="0"/>
                      <w:szCs w:val="21"/>
                      <w:lang w:val="en-US" w:eastAsia="zh-CN" w:bidi="ar"/>
                    </w:rPr>
                    <w:t>0.07</w:t>
                  </w:r>
                  <w:r>
                    <w:rPr>
                      <w:rFonts w:hint="eastAsia"/>
                      <w:bCs/>
                      <w:color w:val="auto"/>
                      <w:szCs w:val="21"/>
                    </w:rPr>
                    <w:t>t/a</w:t>
                  </w:r>
                </w:p>
              </w:tc>
              <w:tc>
                <w:tcPr>
                  <w:tcW w:w="782" w:type="pct"/>
                  <w:vAlign w:val="center"/>
                </w:tcPr>
                <w:p w14:paraId="7BBEB531">
                  <w:pPr>
                    <w:widowControl/>
                    <w:jc w:val="center"/>
                    <w:textAlignment w:val="center"/>
                    <w:rPr>
                      <w:color w:val="auto"/>
                      <w:szCs w:val="21"/>
                    </w:rPr>
                  </w:pPr>
                  <w:r>
                    <w:rPr>
                      <w:rFonts w:hint="eastAsia"/>
                      <w:color w:val="auto"/>
                      <w:kern w:val="0"/>
                      <w:szCs w:val="21"/>
                      <w:lang w:val="en-US" w:eastAsia="zh-CN" w:bidi="ar"/>
                    </w:rPr>
                    <w:t>70</w:t>
                  </w:r>
                  <w:r>
                    <w:rPr>
                      <w:rFonts w:hint="eastAsia"/>
                      <w:bCs/>
                      <w:color w:val="auto"/>
                      <w:szCs w:val="21"/>
                    </w:rPr>
                    <w:t>mg/L</w:t>
                  </w:r>
                </w:p>
              </w:tc>
              <w:tc>
                <w:tcPr>
                  <w:tcW w:w="568" w:type="pct"/>
                  <w:vAlign w:val="center"/>
                </w:tcPr>
                <w:p w14:paraId="2C821E15">
                  <w:pPr>
                    <w:widowControl/>
                    <w:jc w:val="center"/>
                    <w:textAlignment w:val="center"/>
                    <w:rPr>
                      <w:color w:val="auto"/>
                      <w:szCs w:val="21"/>
                    </w:rPr>
                  </w:pPr>
                  <w:r>
                    <w:rPr>
                      <w:color w:val="auto"/>
                      <w:kern w:val="0"/>
                      <w:szCs w:val="21"/>
                      <w:lang w:bidi="ar"/>
                    </w:rPr>
                    <w:t>0.</w:t>
                  </w:r>
                  <w:r>
                    <w:rPr>
                      <w:rFonts w:hint="eastAsia"/>
                      <w:color w:val="auto"/>
                      <w:kern w:val="0"/>
                      <w:szCs w:val="21"/>
                      <w:lang w:val="en-US" w:eastAsia="zh-CN" w:bidi="ar"/>
                    </w:rPr>
                    <w:t>01</w:t>
                  </w:r>
                  <w:r>
                    <w:rPr>
                      <w:rFonts w:hint="eastAsia"/>
                      <w:bCs/>
                      <w:color w:val="auto"/>
                      <w:szCs w:val="21"/>
                    </w:rPr>
                    <w:t>t/a</w:t>
                  </w:r>
                </w:p>
              </w:tc>
              <w:tc>
                <w:tcPr>
                  <w:tcW w:w="706" w:type="pct"/>
                  <w:vAlign w:val="center"/>
                </w:tcPr>
                <w:p w14:paraId="06BC4AD9">
                  <w:pPr>
                    <w:widowControl/>
                    <w:jc w:val="center"/>
                    <w:textAlignment w:val="center"/>
                    <w:rPr>
                      <w:color w:val="auto"/>
                      <w:szCs w:val="21"/>
                    </w:rPr>
                  </w:pPr>
                  <w:r>
                    <w:rPr>
                      <w:rFonts w:hint="eastAsia"/>
                      <w:color w:val="auto"/>
                      <w:kern w:val="0"/>
                      <w:szCs w:val="21"/>
                      <w:lang w:val="en-US" w:eastAsia="zh-CN" w:bidi="ar"/>
                    </w:rPr>
                    <w:t>14</w:t>
                  </w:r>
                  <w:r>
                    <w:rPr>
                      <w:rFonts w:hint="eastAsia"/>
                      <w:bCs/>
                      <w:color w:val="auto"/>
                      <w:szCs w:val="21"/>
                    </w:rPr>
                    <w:t>mg/L</w:t>
                  </w:r>
                </w:p>
              </w:tc>
              <w:tc>
                <w:tcPr>
                  <w:tcW w:w="643" w:type="pct"/>
                  <w:vAlign w:val="center"/>
                </w:tcPr>
                <w:p w14:paraId="34DC9661">
                  <w:pPr>
                    <w:widowControl/>
                    <w:jc w:val="center"/>
                    <w:textAlignment w:val="center"/>
                    <w:rPr>
                      <w:color w:val="auto"/>
                      <w:kern w:val="0"/>
                      <w:szCs w:val="21"/>
                      <w:lang w:bidi="ar"/>
                    </w:rPr>
                  </w:pPr>
                  <w:r>
                    <w:rPr>
                      <w:rFonts w:hint="eastAsia"/>
                      <w:color w:val="auto"/>
                      <w:kern w:val="0"/>
                      <w:szCs w:val="21"/>
                      <w:lang w:val="en-US" w:eastAsia="zh-CN" w:bidi="ar"/>
                    </w:rPr>
                    <w:t>0.06</w:t>
                  </w:r>
                  <w:r>
                    <w:rPr>
                      <w:rFonts w:hint="eastAsia"/>
                      <w:bCs/>
                      <w:color w:val="auto"/>
                      <w:szCs w:val="21"/>
                    </w:rPr>
                    <w:t>t/a</w:t>
                  </w:r>
                </w:p>
              </w:tc>
              <w:tc>
                <w:tcPr>
                  <w:tcW w:w="706" w:type="pct"/>
                  <w:vAlign w:val="center"/>
                </w:tcPr>
                <w:p w14:paraId="53145CB4">
                  <w:pPr>
                    <w:jc w:val="center"/>
                    <w:rPr>
                      <w:rFonts w:ascii="Times New Roman" w:hAnsi="Times New Roman" w:eastAsia="宋体" w:cs="Times New Roman"/>
                      <w:color w:val="auto"/>
                      <w:kern w:val="2"/>
                      <w:sz w:val="21"/>
                      <w:szCs w:val="21"/>
                      <w:lang w:val="en-US" w:eastAsia="zh-CN" w:bidi="ar-SA"/>
                    </w:rPr>
                  </w:pPr>
                  <w:r>
                    <w:rPr>
                      <w:color w:val="auto"/>
                      <w:szCs w:val="21"/>
                    </w:rPr>
                    <w:t>——</w:t>
                  </w:r>
                </w:p>
              </w:tc>
              <w:tc>
                <w:tcPr>
                  <w:tcW w:w="360" w:type="pct"/>
                  <w:vAlign w:val="center"/>
                </w:tcPr>
                <w:p w14:paraId="28E1E5B5">
                  <w:pPr>
                    <w:jc w:val="center"/>
                    <w:rPr>
                      <w:bCs/>
                      <w:color w:val="auto"/>
                      <w:szCs w:val="21"/>
                    </w:rPr>
                  </w:pPr>
                  <w:r>
                    <w:rPr>
                      <w:bCs/>
                      <w:color w:val="auto"/>
                      <w:szCs w:val="21"/>
                    </w:rPr>
                    <w:t>达标</w:t>
                  </w:r>
                </w:p>
              </w:tc>
            </w:tr>
            <w:tr w14:paraId="4FCE8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589" w:type="pct"/>
                  <w:vAlign w:val="center"/>
                </w:tcPr>
                <w:p w14:paraId="75110B5F">
                  <w:pPr>
                    <w:widowControl/>
                    <w:jc w:val="center"/>
                    <w:textAlignment w:val="center"/>
                    <w:rPr>
                      <w:color w:val="auto"/>
                      <w:szCs w:val="21"/>
                    </w:rPr>
                  </w:pPr>
                  <w:r>
                    <w:rPr>
                      <w:bCs/>
                      <w:color w:val="auto"/>
                      <w:kern w:val="0"/>
                      <w:szCs w:val="21"/>
                    </w:rPr>
                    <w:t>动植物油</w:t>
                  </w:r>
                </w:p>
              </w:tc>
              <w:tc>
                <w:tcPr>
                  <w:tcW w:w="1039" w:type="dxa"/>
                  <w:vAlign w:val="center"/>
                </w:tcPr>
                <w:p w14:paraId="0AD758E6">
                  <w:pPr>
                    <w:widowControl/>
                    <w:jc w:val="center"/>
                    <w:textAlignment w:val="center"/>
                    <w:rPr>
                      <w:rFonts w:hint="default" w:eastAsia="宋体"/>
                      <w:color w:val="auto"/>
                      <w:kern w:val="0"/>
                      <w:szCs w:val="21"/>
                      <w:lang w:val="en-US" w:eastAsia="zh-CN" w:bidi="ar"/>
                    </w:rPr>
                  </w:pPr>
                  <w:r>
                    <w:rPr>
                      <w:rFonts w:hint="eastAsia" w:eastAsia="宋体"/>
                      <w:color w:val="auto"/>
                      <w:kern w:val="0"/>
                      <w:szCs w:val="21"/>
                      <w:lang w:val="en-US" w:eastAsia="zh-CN" w:bidi="ar"/>
                    </w:rPr>
                    <w:t>0.10</w:t>
                  </w:r>
                  <w:r>
                    <w:rPr>
                      <w:rFonts w:hint="eastAsia"/>
                      <w:bCs/>
                      <w:color w:val="auto"/>
                      <w:szCs w:val="21"/>
                    </w:rPr>
                    <w:t>t/a</w:t>
                  </w:r>
                </w:p>
              </w:tc>
              <w:tc>
                <w:tcPr>
                  <w:tcW w:w="782" w:type="pct"/>
                  <w:vAlign w:val="center"/>
                </w:tcPr>
                <w:p w14:paraId="4F4F01ED">
                  <w:pPr>
                    <w:widowControl/>
                    <w:jc w:val="center"/>
                    <w:textAlignment w:val="center"/>
                    <w:rPr>
                      <w:color w:val="auto"/>
                      <w:szCs w:val="21"/>
                    </w:rPr>
                  </w:pPr>
                  <w:r>
                    <w:rPr>
                      <w:rFonts w:hint="eastAsia"/>
                      <w:color w:val="auto"/>
                      <w:kern w:val="0"/>
                      <w:szCs w:val="21"/>
                      <w:lang w:val="en-US" w:eastAsia="zh-CN" w:bidi="ar"/>
                    </w:rPr>
                    <w:t>1</w:t>
                  </w:r>
                  <w:r>
                    <w:rPr>
                      <w:color w:val="auto"/>
                      <w:kern w:val="0"/>
                      <w:szCs w:val="21"/>
                      <w:lang w:bidi="ar"/>
                    </w:rPr>
                    <w:t>00</w:t>
                  </w:r>
                  <w:r>
                    <w:rPr>
                      <w:rFonts w:hint="eastAsia"/>
                      <w:bCs/>
                      <w:color w:val="auto"/>
                      <w:szCs w:val="21"/>
                    </w:rPr>
                    <w:t>mg/L</w:t>
                  </w:r>
                </w:p>
              </w:tc>
              <w:tc>
                <w:tcPr>
                  <w:tcW w:w="568" w:type="pct"/>
                  <w:vAlign w:val="center"/>
                </w:tcPr>
                <w:p w14:paraId="5BF2E573">
                  <w:pPr>
                    <w:widowControl/>
                    <w:jc w:val="center"/>
                    <w:textAlignment w:val="center"/>
                    <w:rPr>
                      <w:color w:val="auto"/>
                      <w:szCs w:val="21"/>
                    </w:rPr>
                  </w:pPr>
                  <w:r>
                    <w:rPr>
                      <w:color w:val="auto"/>
                      <w:kern w:val="0"/>
                      <w:szCs w:val="21"/>
                      <w:lang w:bidi="ar"/>
                    </w:rPr>
                    <w:t>0.</w:t>
                  </w:r>
                  <w:r>
                    <w:rPr>
                      <w:rFonts w:hint="eastAsia"/>
                      <w:color w:val="auto"/>
                      <w:kern w:val="0"/>
                      <w:szCs w:val="21"/>
                      <w:lang w:val="en-US" w:eastAsia="zh-CN" w:bidi="ar"/>
                    </w:rPr>
                    <w:t>01</w:t>
                  </w:r>
                  <w:r>
                    <w:rPr>
                      <w:rFonts w:hint="eastAsia"/>
                      <w:bCs/>
                      <w:color w:val="auto"/>
                      <w:szCs w:val="21"/>
                    </w:rPr>
                    <w:t>t/a</w:t>
                  </w:r>
                </w:p>
              </w:tc>
              <w:tc>
                <w:tcPr>
                  <w:tcW w:w="706" w:type="pct"/>
                  <w:vAlign w:val="center"/>
                </w:tcPr>
                <w:p w14:paraId="7DF80FB8">
                  <w:pPr>
                    <w:widowControl/>
                    <w:jc w:val="center"/>
                    <w:textAlignment w:val="center"/>
                    <w:rPr>
                      <w:color w:val="auto"/>
                      <w:szCs w:val="21"/>
                    </w:rPr>
                  </w:pPr>
                  <w:r>
                    <w:rPr>
                      <w:color w:val="auto"/>
                      <w:kern w:val="0"/>
                      <w:szCs w:val="21"/>
                      <w:lang w:bidi="ar"/>
                    </w:rPr>
                    <w:t>1</w:t>
                  </w:r>
                  <w:r>
                    <w:rPr>
                      <w:rFonts w:hint="eastAsia"/>
                      <w:color w:val="auto"/>
                      <w:kern w:val="0"/>
                      <w:szCs w:val="21"/>
                      <w:lang w:val="en-US" w:eastAsia="zh-CN" w:bidi="ar"/>
                    </w:rPr>
                    <w:t>0</w:t>
                  </w:r>
                  <w:r>
                    <w:rPr>
                      <w:rFonts w:hint="eastAsia"/>
                      <w:bCs/>
                      <w:color w:val="auto"/>
                      <w:szCs w:val="21"/>
                    </w:rPr>
                    <w:t>mg/L</w:t>
                  </w:r>
                </w:p>
              </w:tc>
              <w:tc>
                <w:tcPr>
                  <w:tcW w:w="643" w:type="pct"/>
                  <w:vAlign w:val="center"/>
                </w:tcPr>
                <w:p w14:paraId="3BEA0E2C">
                  <w:pPr>
                    <w:widowControl/>
                    <w:jc w:val="center"/>
                    <w:textAlignment w:val="center"/>
                    <w:rPr>
                      <w:color w:val="auto"/>
                      <w:kern w:val="0"/>
                      <w:szCs w:val="21"/>
                      <w:lang w:bidi="ar"/>
                    </w:rPr>
                  </w:pPr>
                  <w:r>
                    <w:rPr>
                      <w:rFonts w:hint="eastAsia"/>
                      <w:color w:val="auto"/>
                      <w:kern w:val="0"/>
                      <w:szCs w:val="21"/>
                      <w:lang w:val="en-US" w:eastAsia="zh-CN" w:bidi="ar"/>
                    </w:rPr>
                    <w:t>0.09</w:t>
                  </w:r>
                  <w:r>
                    <w:rPr>
                      <w:rFonts w:hint="eastAsia"/>
                      <w:bCs/>
                      <w:color w:val="auto"/>
                      <w:szCs w:val="21"/>
                    </w:rPr>
                    <w:t>t/a</w:t>
                  </w:r>
                </w:p>
              </w:tc>
              <w:tc>
                <w:tcPr>
                  <w:tcW w:w="706" w:type="pct"/>
                  <w:vAlign w:val="center"/>
                </w:tcPr>
                <w:p w14:paraId="7F4094E7">
                  <w:pPr>
                    <w:jc w:val="center"/>
                    <w:rPr>
                      <w:rFonts w:ascii="Times New Roman" w:hAnsi="Times New Roman" w:eastAsia="宋体" w:cs="Times New Roman"/>
                      <w:color w:val="auto"/>
                      <w:kern w:val="2"/>
                      <w:sz w:val="21"/>
                      <w:szCs w:val="21"/>
                      <w:lang w:val="en-US" w:eastAsia="zh-CN" w:bidi="ar-SA"/>
                    </w:rPr>
                  </w:pPr>
                  <w:r>
                    <w:rPr>
                      <w:color w:val="auto"/>
                      <w:szCs w:val="21"/>
                    </w:rPr>
                    <w:t>60</w:t>
                  </w:r>
                  <w:r>
                    <w:rPr>
                      <w:rFonts w:hint="eastAsia"/>
                      <w:bCs/>
                      <w:color w:val="auto"/>
                      <w:szCs w:val="21"/>
                    </w:rPr>
                    <w:t>mg/L</w:t>
                  </w:r>
                </w:p>
              </w:tc>
              <w:tc>
                <w:tcPr>
                  <w:tcW w:w="360" w:type="pct"/>
                  <w:vAlign w:val="center"/>
                </w:tcPr>
                <w:p w14:paraId="13C52FF9">
                  <w:pPr>
                    <w:jc w:val="center"/>
                    <w:rPr>
                      <w:bCs/>
                      <w:color w:val="auto"/>
                      <w:szCs w:val="21"/>
                    </w:rPr>
                  </w:pPr>
                  <w:r>
                    <w:rPr>
                      <w:bCs/>
                      <w:color w:val="auto"/>
                      <w:szCs w:val="21"/>
                    </w:rPr>
                    <w:t>达标</w:t>
                  </w:r>
                </w:p>
              </w:tc>
            </w:tr>
          </w:tbl>
          <w:p w14:paraId="76AA4C8A">
            <w:pPr>
              <w:pStyle w:val="11"/>
              <w:spacing w:before="0" w:after="0" w:line="360" w:lineRule="auto"/>
              <w:ind w:right="0" w:firstLine="480" w:firstLineChars="200"/>
              <w:rPr>
                <w:rFonts w:hint="eastAsia"/>
                <w:color w:val="auto"/>
                <w:sz w:val="24"/>
                <w:szCs w:val="40"/>
              </w:rPr>
            </w:pPr>
            <w:r>
              <w:rPr>
                <w:rFonts w:hint="eastAsia"/>
                <w:color w:val="auto"/>
                <w:sz w:val="24"/>
                <w:szCs w:val="40"/>
              </w:rPr>
              <w:t>本项目产生的</w:t>
            </w:r>
            <w:r>
              <w:rPr>
                <w:rFonts w:hint="eastAsia"/>
                <w:color w:val="auto"/>
                <w:sz w:val="24"/>
                <w:szCs w:val="40"/>
                <w:lang w:val="en-US" w:eastAsia="zh-CN"/>
              </w:rPr>
              <w:t>生产</w:t>
            </w:r>
            <w:r>
              <w:rPr>
                <w:rFonts w:hint="eastAsia"/>
                <w:color w:val="auto"/>
                <w:sz w:val="24"/>
                <w:szCs w:val="40"/>
              </w:rPr>
              <w:t>废水经污水处理站处理后，废水中污染物浓度达到《肉类加工工业水污染物排放标准》（ GB13457-92）三级标准。</w:t>
            </w:r>
          </w:p>
          <w:p w14:paraId="6105F32B">
            <w:pPr>
              <w:spacing w:line="360" w:lineRule="auto"/>
              <w:ind w:firstLine="482" w:firstLineChars="200"/>
              <w:rPr>
                <w:rFonts w:hint="default" w:eastAsia="宋体"/>
                <w:b/>
                <w:bCs/>
                <w:color w:val="auto"/>
                <w:sz w:val="24"/>
                <w:lang w:val="en-US" w:eastAsia="zh-CN"/>
              </w:rPr>
            </w:pPr>
            <w:r>
              <w:rPr>
                <w:rFonts w:hint="eastAsia"/>
                <w:b/>
                <w:bCs/>
                <w:color w:val="auto"/>
                <w:sz w:val="24"/>
                <w:lang w:eastAsia="zh-CN"/>
              </w:rPr>
              <w:t>（</w:t>
            </w:r>
            <w:r>
              <w:rPr>
                <w:rFonts w:hint="eastAsia"/>
                <w:b/>
                <w:bCs/>
                <w:color w:val="auto"/>
                <w:sz w:val="24"/>
                <w:lang w:val="en-US" w:eastAsia="zh-CN"/>
              </w:rPr>
              <w:t>4</w:t>
            </w:r>
            <w:r>
              <w:rPr>
                <w:rFonts w:hint="eastAsia"/>
                <w:b/>
                <w:bCs/>
                <w:color w:val="auto"/>
                <w:sz w:val="24"/>
                <w:lang w:eastAsia="zh-CN"/>
              </w:rPr>
              <w:t>）</w:t>
            </w:r>
            <w:r>
              <w:rPr>
                <w:rFonts w:hint="eastAsia"/>
                <w:b/>
                <w:bCs/>
                <w:color w:val="auto"/>
                <w:sz w:val="24"/>
                <w:lang w:val="en-US" w:eastAsia="zh-CN"/>
              </w:rPr>
              <w:t>生活污水源强核算</w:t>
            </w:r>
          </w:p>
          <w:p w14:paraId="45B2E0C0">
            <w:pPr>
              <w:spacing w:line="360" w:lineRule="auto"/>
              <w:ind w:firstLine="480" w:firstLineChars="200"/>
              <w:rPr>
                <w:b/>
                <w:bCs/>
                <w:color w:val="auto"/>
                <w:sz w:val="24"/>
              </w:rPr>
            </w:pPr>
            <w:r>
              <w:rPr>
                <w:rFonts w:hint="eastAsia"/>
                <w:b w:val="0"/>
                <w:bCs w:val="0"/>
                <w:color w:val="auto"/>
                <w:sz w:val="24"/>
                <w:lang w:val="en-US" w:eastAsia="zh-CN"/>
              </w:rPr>
              <w:t>运营</w:t>
            </w:r>
            <w:r>
              <w:rPr>
                <w:b w:val="0"/>
                <w:bCs w:val="0"/>
                <w:color w:val="auto"/>
                <w:sz w:val="24"/>
              </w:rPr>
              <w:t>期生活污水根据《社会区域类环境影响评价》（原国家环境保护总局职业资格培训管理办公室编制的培训教材）推荐的生活污水水质参数并结合项目特点，项目生活污水COD、BOD</w:t>
            </w:r>
            <w:r>
              <w:rPr>
                <w:b w:val="0"/>
                <w:bCs w:val="0"/>
                <w:color w:val="auto"/>
                <w:sz w:val="24"/>
                <w:vertAlign w:val="subscript"/>
              </w:rPr>
              <w:t>5</w:t>
            </w:r>
            <w:r>
              <w:rPr>
                <w:b w:val="0"/>
                <w:bCs w:val="0"/>
                <w:color w:val="auto"/>
                <w:sz w:val="24"/>
              </w:rPr>
              <w:t>、SS、NH</w:t>
            </w:r>
            <w:r>
              <w:rPr>
                <w:b w:val="0"/>
                <w:bCs w:val="0"/>
                <w:color w:val="auto"/>
                <w:sz w:val="24"/>
                <w:vertAlign w:val="subscript"/>
              </w:rPr>
              <w:t>3</w:t>
            </w:r>
            <w:r>
              <w:rPr>
                <w:b w:val="0"/>
                <w:bCs w:val="0"/>
                <w:color w:val="auto"/>
                <w:sz w:val="24"/>
              </w:rPr>
              <w:t>-N的产生浓度分</w:t>
            </w:r>
            <w:r>
              <w:rPr>
                <w:rFonts w:hint="eastAsia"/>
                <w:b w:val="0"/>
                <w:bCs w:val="0"/>
                <w:color w:val="auto"/>
                <w:sz w:val="24"/>
                <w:lang w:eastAsia="zh-CN"/>
              </w:rPr>
              <w:t>别为</w:t>
            </w:r>
            <w:r>
              <w:rPr>
                <w:b w:val="0"/>
                <w:bCs w:val="0"/>
                <w:color w:val="auto"/>
                <w:sz w:val="24"/>
              </w:rPr>
              <w:t>350mg/L、200mg/L、300mg/L、30mg/L。</w:t>
            </w:r>
            <w:r>
              <w:rPr>
                <w:rFonts w:hint="eastAsia"/>
                <w:b w:val="0"/>
                <w:bCs w:val="0"/>
                <w:color w:val="auto"/>
                <w:sz w:val="24"/>
                <w:lang w:val="en-US" w:eastAsia="zh-CN"/>
              </w:rPr>
              <w:t>本项目生活污水排放量为208m</w:t>
            </w:r>
            <w:r>
              <w:rPr>
                <w:rFonts w:hint="eastAsia"/>
                <w:b w:val="0"/>
                <w:bCs w:val="0"/>
                <w:color w:val="auto"/>
                <w:sz w:val="24"/>
                <w:vertAlign w:val="superscript"/>
                <w:lang w:val="en-US" w:eastAsia="zh-CN"/>
              </w:rPr>
              <w:t>3</w:t>
            </w:r>
            <w:r>
              <w:rPr>
                <w:rFonts w:hint="eastAsia"/>
                <w:b w:val="0"/>
                <w:bCs w:val="0"/>
                <w:color w:val="auto"/>
                <w:sz w:val="24"/>
                <w:lang w:val="en-US" w:eastAsia="zh-CN"/>
              </w:rPr>
              <w:t>/a，</w:t>
            </w:r>
            <w:r>
              <w:rPr>
                <w:rFonts w:hint="eastAsia"/>
                <w:bCs/>
                <w:color w:val="auto"/>
                <w:sz w:val="24"/>
                <w:szCs w:val="28"/>
                <w:lang w:val="en-US" w:eastAsia="zh-CN"/>
              </w:rPr>
              <w:t>生活污水</w:t>
            </w:r>
            <w:r>
              <w:rPr>
                <w:rFonts w:hint="eastAsia"/>
                <w:bCs/>
                <w:color w:val="auto"/>
                <w:sz w:val="24"/>
                <w:szCs w:val="28"/>
              </w:rPr>
              <w:t>处理前后水质情况见下表。</w:t>
            </w:r>
          </w:p>
          <w:p w14:paraId="0E4F816A">
            <w:pPr>
              <w:pStyle w:val="79"/>
              <w:spacing w:before="120"/>
              <w:rPr>
                <w:color w:val="auto"/>
              </w:rPr>
            </w:pPr>
            <w:r>
              <w:rPr>
                <w:color w:val="auto"/>
              </w:rPr>
              <w:t>表4-</w:t>
            </w:r>
            <w:r>
              <w:rPr>
                <w:rFonts w:hint="eastAsia"/>
                <w:color w:val="auto"/>
                <w:lang w:val="en-US" w:eastAsia="zh-CN"/>
              </w:rPr>
              <w:t>8</w:t>
            </w:r>
            <w:r>
              <w:rPr>
                <w:rFonts w:hint="eastAsia"/>
                <w:color w:val="auto"/>
              </w:rPr>
              <w:t xml:space="preserve"> </w:t>
            </w:r>
            <w:r>
              <w:rPr>
                <w:color w:val="auto"/>
              </w:rPr>
              <w:t xml:space="preserve"> </w:t>
            </w:r>
            <w:r>
              <w:rPr>
                <w:rFonts w:hint="eastAsia"/>
                <w:color w:val="auto"/>
              </w:rPr>
              <w:t>废水处理前后水质情况表</w:t>
            </w:r>
          </w:p>
          <w:tbl>
            <w:tblPr>
              <w:tblStyle w:val="3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7"/>
              <w:gridCol w:w="1186"/>
              <w:gridCol w:w="1340"/>
              <w:gridCol w:w="1152"/>
              <w:gridCol w:w="1302"/>
              <w:gridCol w:w="1302"/>
              <w:gridCol w:w="666"/>
            </w:tblGrid>
            <w:tr w14:paraId="6CF41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76" w:type="pct"/>
                  <w:vMerge w:val="restart"/>
                  <w:tcBorders>
                    <w:tl2br w:val="nil"/>
                    <w:tr2bl w:val="nil"/>
                  </w:tcBorders>
                  <w:vAlign w:val="center"/>
                </w:tcPr>
                <w:p w14:paraId="7C8C8974">
                  <w:pPr>
                    <w:widowControl/>
                    <w:jc w:val="center"/>
                    <w:rPr>
                      <w:b/>
                      <w:bCs/>
                      <w:color w:val="auto"/>
                      <w:szCs w:val="21"/>
                    </w:rPr>
                  </w:pPr>
                  <w:r>
                    <w:rPr>
                      <w:b/>
                      <w:color w:val="auto"/>
                      <w:szCs w:val="21"/>
                    </w:rPr>
                    <w:t>项目</w:t>
                  </w:r>
                </w:p>
              </w:tc>
              <w:tc>
                <w:tcPr>
                  <w:tcW w:w="1571" w:type="pct"/>
                  <w:gridSpan w:val="2"/>
                  <w:tcBorders>
                    <w:tl2br w:val="nil"/>
                    <w:tr2bl w:val="nil"/>
                  </w:tcBorders>
                  <w:vAlign w:val="center"/>
                </w:tcPr>
                <w:p w14:paraId="2278F440">
                  <w:pPr>
                    <w:jc w:val="center"/>
                    <w:rPr>
                      <w:b/>
                      <w:color w:val="auto"/>
                      <w:szCs w:val="21"/>
                    </w:rPr>
                  </w:pPr>
                  <w:r>
                    <w:rPr>
                      <w:b/>
                      <w:color w:val="auto"/>
                      <w:szCs w:val="21"/>
                    </w:rPr>
                    <w:t>进水水质</w:t>
                  </w:r>
                </w:p>
              </w:tc>
              <w:tc>
                <w:tcPr>
                  <w:tcW w:w="1527" w:type="pct"/>
                  <w:gridSpan w:val="2"/>
                  <w:tcBorders>
                    <w:tl2br w:val="nil"/>
                    <w:tr2bl w:val="nil"/>
                  </w:tcBorders>
                  <w:vAlign w:val="center"/>
                </w:tcPr>
                <w:p w14:paraId="2AF7A5A7">
                  <w:pPr>
                    <w:widowControl/>
                    <w:jc w:val="center"/>
                    <w:rPr>
                      <w:b/>
                      <w:color w:val="auto"/>
                      <w:szCs w:val="21"/>
                    </w:rPr>
                  </w:pPr>
                  <w:r>
                    <w:rPr>
                      <w:b/>
                      <w:color w:val="auto"/>
                      <w:szCs w:val="21"/>
                    </w:rPr>
                    <w:t>出水水质</w:t>
                  </w:r>
                </w:p>
              </w:tc>
              <w:tc>
                <w:tcPr>
                  <w:tcW w:w="810" w:type="pct"/>
                  <w:vMerge w:val="restart"/>
                  <w:tcBorders>
                    <w:tl2br w:val="nil"/>
                    <w:tr2bl w:val="nil"/>
                  </w:tcBorders>
                  <w:vAlign w:val="center"/>
                </w:tcPr>
                <w:p w14:paraId="6F86A14D">
                  <w:pPr>
                    <w:jc w:val="center"/>
                    <w:rPr>
                      <w:rFonts w:hint="eastAsia"/>
                      <w:b/>
                      <w:bCs/>
                      <w:color w:val="auto"/>
                      <w:szCs w:val="21"/>
                    </w:rPr>
                  </w:pPr>
                  <w:r>
                    <w:rPr>
                      <w:rFonts w:hint="eastAsia"/>
                      <w:b/>
                      <w:bCs/>
                      <w:color w:val="auto"/>
                      <w:szCs w:val="21"/>
                    </w:rPr>
                    <w:t>执行标准</w:t>
                  </w:r>
                </w:p>
              </w:tc>
              <w:tc>
                <w:tcPr>
                  <w:tcW w:w="414" w:type="pct"/>
                  <w:vMerge w:val="restart"/>
                  <w:tcBorders>
                    <w:tl2br w:val="nil"/>
                    <w:tr2bl w:val="nil"/>
                  </w:tcBorders>
                  <w:vAlign w:val="center"/>
                </w:tcPr>
                <w:p w14:paraId="736DAF81">
                  <w:pPr>
                    <w:jc w:val="center"/>
                    <w:rPr>
                      <w:b/>
                      <w:color w:val="auto"/>
                      <w:szCs w:val="21"/>
                    </w:rPr>
                  </w:pPr>
                  <w:r>
                    <w:rPr>
                      <w:b/>
                      <w:color w:val="auto"/>
                      <w:szCs w:val="21"/>
                    </w:rPr>
                    <w:t>达标</w:t>
                  </w:r>
                </w:p>
                <w:p w14:paraId="4ED1EA65">
                  <w:pPr>
                    <w:jc w:val="center"/>
                    <w:rPr>
                      <w:b/>
                      <w:color w:val="auto"/>
                      <w:szCs w:val="21"/>
                    </w:rPr>
                  </w:pPr>
                  <w:r>
                    <w:rPr>
                      <w:b/>
                      <w:color w:val="auto"/>
                      <w:szCs w:val="21"/>
                    </w:rPr>
                    <w:t>情况</w:t>
                  </w:r>
                </w:p>
              </w:tc>
            </w:tr>
            <w:tr w14:paraId="53807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76" w:type="pct"/>
                  <w:vMerge w:val="continue"/>
                  <w:tcBorders>
                    <w:tl2br w:val="nil"/>
                    <w:tr2bl w:val="nil"/>
                  </w:tcBorders>
                  <w:vAlign w:val="center"/>
                </w:tcPr>
                <w:p w14:paraId="666ED419">
                  <w:pPr>
                    <w:widowControl/>
                    <w:jc w:val="center"/>
                    <w:rPr>
                      <w:color w:val="auto"/>
                      <w:szCs w:val="21"/>
                    </w:rPr>
                  </w:pPr>
                </w:p>
              </w:tc>
              <w:tc>
                <w:tcPr>
                  <w:tcW w:w="738" w:type="pct"/>
                  <w:tcBorders>
                    <w:tl2br w:val="nil"/>
                    <w:tr2bl w:val="nil"/>
                  </w:tcBorders>
                  <w:vAlign w:val="center"/>
                </w:tcPr>
                <w:p w14:paraId="19687288">
                  <w:pPr>
                    <w:widowControl/>
                    <w:jc w:val="center"/>
                    <w:rPr>
                      <w:b/>
                      <w:color w:val="auto"/>
                      <w:szCs w:val="21"/>
                    </w:rPr>
                  </w:pPr>
                  <w:r>
                    <w:rPr>
                      <w:rFonts w:hint="eastAsia"/>
                      <w:b/>
                      <w:color w:val="auto"/>
                      <w:szCs w:val="21"/>
                    </w:rPr>
                    <w:t>产生量</w:t>
                  </w:r>
                </w:p>
              </w:tc>
              <w:tc>
                <w:tcPr>
                  <w:tcW w:w="833" w:type="pct"/>
                  <w:tcBorders>
                    <w:tl2br w:val="nil"/>
                    <w:tr2bl w:val="nil"/>
                  </w:tcBorders>
                  <w:vAlign w:val="center"/>
                </w:tcPr>
                <w:p w14:paraId="7391A405">
                  <w:pPr>
                    <w:widowControl/>
                    <w:jc w:val="center"/>
                    <w:rPr>
                      <w:b/>
                      <w:color w:val="auto"/>
                      <w:szCs w:val="21"/>
                    </w:rPr>
                  </w:pPr>
                  <w:r>
                    <w:rPr>
                      <w:rFonts w:hint="eastAsia"/>
                      <w:b/>
                      <w:color w:val="auto"/>
                      <w:szCs w:val="21"/>
                    </w:rPr>
                    <w:t>产生浓度</w:t>
                  </w:r>
                </w:p>
              </w:tc>
              <w:tc>
                <w:tcPr>
                  <w:tcW w:w="716" w:type="pct"/>
                  <w:tcBorders>
                    <w:tl2br w:val="nil"/>
                    <w:tr2bl w:val="nil"/>
                  </w:tcBorders>
                  <w:vAlign w:val="center"/>
                </w:tcPr>
                <w:p w14:paraId="7BB02281">
                  <w:pPr>
                    <w:widowControl/>
                    <w:jc w:val="center"/>
                    <w:rPr>
                      <w:b/>
                      <w:color w:val="auto"/>
                      <w:szCs w:val="21"/>
                    </w:rPr>
                  </w:pPr>
                  <w:r>
                    <w:rPr>
                      <w:rFonts w:hint="eastAsia"/>
                      <w:b/>
                      <w:color w:val="auto"/>
                      <w:szCs w:val="21"/>
                    </w:rPr>
                    <w:t>排放量</w:t>
                  </w:r>
                </w:p>
              </w:tc>
              <w:tc>
                <w:tcPr>
                  <w:tcW w:w="810" w:type="pct"/>
                  <w:tcBorders>
                    <w:tl2br w:val="nil"/>
                    <w:tr2bl w:val="nil"/>
                  </w:tcBorders>
                  <w:vAlign w:val="center"/>
                </w:tcPr>
                <w:p w14:paraId="283174DF">
                  <w:pPr>
                    <w:widowControl/>
                    <w:jc w:val="center"/>
                    <w:rPr>
                      <w:b/>
                      <w:color w:val="auto"/>
                      <w:szCs w:val="21"/>
                    </w:rPr>
                  </w:pPr>
                  <w:r>
                    <w:rPr>
                      <w:rFonts w:hint="eastAsia"/>
                      <w:b/>
                      <w:color w:val="auto"/>
                      <w:szCs w:val="21"/>
                    </w:rPr>
                    <w:t>排放浓度</w:t>
                  </w:r>
                </w:p>
              </w:tc>
              <w:tc>
                <w:tcPr>
                  <w:tcW w:w="810" w:type="pct"/>
                  <w:vMerge w:val="continue"/>
                  <w:tcBorders>
                    <w:tl2br w:val="nil"/>
                    <w:tr2bl w:val="nil"/>
                  </w:tcBorders>
                  <w:vAlign w:val="center"/>
                </w:tcPr>
                <w:p w14:paraId="0E1D79AE">
                  <w:pPr>
                    <w:widowControl/>
                    <w:jc w:val="center"/>
                    <w:rPr>
                      <w:b/>
                      <w:color w:val="auto"/>
                      <w:szCs w:val="21"/>
                    </w:rPr>
                  </w:pPr>
                </w:p>
              </w:tc>
              <w:tc>
                <w:tcPr>
                  <w:tcW w:w="414" w:type="pct"/>
                  <w:vMerge w:val="continue"/>
                  <w:tcBorders>
                    <w:tl2br w:val="nil"/>
                    <w:tr2bl w:val="nil"/>
                  </w:tcBorders>
                  <w:vAlign w:val="center"/>
                </w:tcPr>
                <w:p w14:paraId="4419F732">
                  <w:pPr>
                    <w:widowControl/>
                    <w:jc w:val="center"/>
                    <w:rPr>
                      <w:b/>
                      <w:color w:val="auto"/>
                      <w:szCs w:val="21"/>
                    </w:rPr>
                  </w:pPr>
                </w:p>
              </w:tc>
            </w:tr>
            <w:tr w14:paraId="43DF2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76" w:type="pct"/>
                  <w:tcBorders>
                    <w:tl2br w:val="nil"/>
                    <w:tr2bl w:val="nil"/>
                  </w:tcBorders>
                  <w:vAlign w:val="center"/>
                </w:tcPr>
                <w:p w14:paraId="07C5F6C1">
                  <w:pPr>
                    <w:widowControl/>
                    <w:jc w:val="center"/>
                    <w:textAlignment w:val="center"/>
                    <w:rPr>
                      <w:color w:val="auto"/>
                      <w:szCs w:val="21"/>
                    </w:rPr>
                  </w:pPr>
                  <w:r>
                    <w:rPr>
                      <w:bCs/>
                      <w:color w:val="auto"/>
                      <w:kern w:val="0"/>
                      <w:szCs w:val="21"/>
                    </w:rPr>
                    <w:t>CODcr</w:t>
                  </w:r>
                </w:p>
              </w:tc>
              <w:tc>
                <w:tcPr>
                  <w:tcW w:w="738" w:type="pct"/>
                  <w:tcBorders>
                    <w:tl2br w:val="nil"/>
                    <w:tr2bl w:val="nil"/>
                  </w:tcBorders>
                  <w:vAlign w:val="center"/>
                </w:tcPr>
                <w:p w14:paraId="15937618">
                  <w:pPr>
                    <w:widowControl/>
                    <w:jc w:val="center"/>
                    <w:textAlignment w:val="center"/>
                    <w:rPr>
                      <w:rFonts w:hint="default" w:ascii="Times New Roman" w:hAnsi="Times New Roman" w:cs="Times New Roman"/>
                      <w:color w:val="auto"/>
                      <w:sz w:val="21"/>
                      <w:szCs w:val="21"/>
                    </w:rPr>
                  </w:pPr>
                  <w:r>
                    <w:rPr>
                      <w:rFonts w:hint="eastAsia"/>
                      <w:color w:val="auto"/>
                      <w:kern w:val="0"/>
                      <w:szCs w:val="21"/>
                      <w:lang w:val="en-US" w:eastAsia="zh-CN" w:bidi="ar"/>
                    </w:rPr>
                    <w:t>0.0728</w:t>
                  </w:r>
                  <w:r>
                    <w:rPr>
                      <w:rFonts w:hint="eastAsia"/>
                      <w:bCs/>
                      <w:color w:val="auto"/>
                      <w:szCs w:val="21"/>
                    </w:rPr>
                    <w:t>t/a</w:t>
                  </w:r>
                </w:p>
              </w:tc>
              <w:tc>
                <w:tcPr>
                  <w:tcW w:w="833" w:type="pct"/>
                  <w:tcBorders>
                    <w:tl2br w:val="nil"/>
                    <w:tr2bl w:val="nil"/>
                  </w:tcBorders>
                  <w:vAlign w:val="center"/>
                </w:tcPr>
                <w:p w14:paraId="6428F0A2">
                  <w:pPr>
                    <w:widowControl/>
                    <w:jc w:val="center"/>
                    <w:textAlignment w:val="center"/>
                    <w:rPr>
                      <w:color w:val="auto"/>
                      <w:szCs w:val="21"/>
                    </w:rPr>
                  </w:pPr>
                  <w:r>
                    <w:rPr>
                      <w:rFonts w:hint="eastAsia"/>
                      <w:color w:val="auto"/>
                      <w:kern w:val="0"/>
                      <w:szCs w:val="21"/>
                      <w:lang w:val="en-US" w:eastAsia="zh-CN" w:bidi="ar"/>
                    </w:rPr>
                    <w:t>350</w:t>
                  </w:r>
                  <w:r>
                    <w:rPr>
                      <w:rFonts w:hint="eastAsia"/>
                      <w:bCs/>
                      <w:color w:val="auto"/>
                      <w:szCs w:val="21"/>
                    </w:rPr>
                    <w:t>mg/L</w:t>
                  </w:r>
                </w:p>
              </w:tc>
              <w:tc>
                <w:tcPr>
                  <w:tcW w:w="716" w:type="pct"/>
                  <w:tcBorders>
                    <w:tl2br w:val="nil"/>
                    <w:tr2bl w:val="nil"/>
                  </w:tcBorders>
                  <w:vAlign w:val="center"/>
                </w:tcPr>
                <w:p w14:paraId="5692369D">
                  <w:pPr>
                    <w:widowControl/>
                    <w:jc w:val="center"/>
                    <w:textAlignment w:val="center"/>
                    <w:rPr>
                      <w:color w:val="auto"/>
                      <w:szCs w:val="21"/>
                    </w:rPr>
                  </w:pPr>
                  <w:r>
                    <w:rPr>
                      <w:rFonts w:hint="eastAsia"/>
                      <w:color w:val="auto"/>
                      <w:kern w:val="0"/>
                      <w:szCs w:val="21"/>
                      <w:lang w:val="en-US" w:eastAsia="zh-CN" w:bidi="ar"/>
                    </w:rPr>
                    <w:t>0.0728</w:t>
                  </w:r>
                  <w:r>
                    <w:rPr>
                      <w:rFonts w:hint="eastAsia"/>
                      <w:bCs/>
                      <w:color w:val="auto"/>
                      <w:szCs w:val="21"/>
                    </w:rPr>
                    <w:t>t/a</w:t>
                  </w:r>
                </w:p>
              </w:tc>
              <w:tc>
                <w:tcPr>
                  <w:tcW w:w="810" w:type="pct"/>
                  <w:tcBorders>
                    <w:tl2br w:val="nil"/>
                    <w:tr2bl w:val="nil"/>
                  </w:tcBorders>
                  <w:vAlign w:val="center"/>
                </w:tcPr>
                <w:p w14:paraId="3412FD8F">
                  <w:pPr>
                    <w:widowControl/>
                    <w:jc w:val="center"/>
                    <w:textAlignment w:val="center"/>
                    <w:rPr>
                      <w:color w:val="auto"/>
                      <w:szCs w:val="21"/>
                    </w:rPr>
                  </w:pPr>
                  <w:r>
                    <w:rPr>
                      <w:rFonts w:hint="eastAsia"/>
                      <w:color w:val="auto"/>
                      <w:kern w:val="0"/>
                      <w:szCs w:val="21"/>
                      <w:lang w:val="en-US" w:eastAsia="zh-CN" w:bidi="ar"/>
                    </w:rPr>
                    <w:t>350</w:t>
                  </w:r>
                  <w:r>
                    <w:rPr>
                      <w:rFonts w:hint="eastAsia"/>
                      <w:bCs/>
                      <w:color w:val="auto"/>
                      <w:szCs w:val="21"/>
                    </w:rPr>
                    <w:t>mg/L</w:t>
                  </w:r>
                </w:p>
              </w:tc>
              <w:tc>
                <w:tcPr>
                  <w:tcW w:w="810" w:type="pct"/>
                  <w:tcBorders>
                    <w:tl2br w:val="nil"/>
                    <w:tr2bl w:val="nil"/>
                  </w:tcBorders>
                  <w:vAlign w:val="center"/>
                </w:tcPr>
                <w:p w14:paraId="52C3EE5D">
                  <w:pPr>
                    <w:jc w:val="center"/>
                    <w:rPr>
                      <w:rFonts w:ascii="Times New Roman" w:hAnsi="Times New Roman" w:eastAsia="宋体" w:cs="Times New Roman"/>
                      <w:color w:val="auto"/>
                      <w:kern w:val="2"/>
                      <w:sz w:val="21"/>
                      <w:szCs w:val="21"/>
                      <w:lang w:val="en-US" w:eastAsia="zh-CN" w:bidi="ar-SA"/>
                    </w:rPr>
                  </w:pPr>
                  <w:r>
                    <w:rPr>
                      <w:color w:val="auto"/>
                      <w:szCs w:val="21"/>
                    </w:rPr>
                    <w:t>500</w:t>
                  </w:r>
                  <w:r>
                    <w:rPr>
                      <w:rFonts w:hint="eastAsia"/>
                      <w:bCs/>
                      <w:color w:val="auto"/>
                      <w:szCs w:val="21"/>
                    </w:rPr>
                    <w:t>mg/L</w:t>
                  </w:r>
                </w:p>
              </w:tc>
              <w:tc>
                <w:tcPr>
                  <w:tcW w:w="414" w:type="pct"/>
                  <w:tcBorders>
                    <w:tl2br w:val="nil"/>
                    <w:tr2bl w:val="nil"/>
                  </w:tcBorders>
                  <w:vAlign w:val="center"/>
                </w:tcPr>
                <w:p w14:paraId="50EF2BA8">
                  <w:pPr>
                    <w:jc w:val="center"/>
                    <w:rPr>
                      <w:bCs/>
                      <w:color w:val="auto"/>
                      <w:szCs w:val="21"/>
                    </w:rPr>
                  </w:pPr>
                  <w:r>
                    <w:rPr>
                      <w:bCs/>
                      <w:color w:val="auto"/>
                      <w:szCs w:val="21"/>
                    </w:rPr>
                    <w:t>达标</w:t>
                  </w:r>
                </w:p>
              </w:tc>
            </w:tr>
            <w:tr w14:paraId="61341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76" w:type="pct"/>
                  <w:tcBorders>
                    <w:tl2br w:val="nil"/>
                    <w:tr2bl w:val="nil"/>
                  </w:tcBorders>
                  <w:vAlign w:val="center"/>
                </w:tcPr>
                <w:p w14:paraId="5A77A516">
                  <w:pPr>
                    <w:widowControl/>
                    <w:jc w:val="center"/>
                    <w:textAlignment w:val="center"/>
                    <w:rPr>
                      <w:color w:val="auto"/>
                      <w:szCs w:val="21"/>
                    </w:rPr>
                  </w:pPr>
                  <w:r>
                    <w:rPr>
                      <w:rStyle w:val="145"/>
                      <w:bCs/>
                      <w:color w:val="auto"/>
                      <w:vertAlign w:val="baseline"/>
                    </w:rPr>
                    <w:t>BOD</w:t>
                  </w:r>
                  <w:r>
                    <w:rPr>
                      <w:rStyle w:val="142"/>
                      <w:bCs/>
                      <w:color w:val="auto"/>
                      <w:vertAlign w:val="subscript"/>
                    </w:rPr>
                    <w:t>5</w:t>
                  </w:r>
                </w:p>
              </w:tc>
              <w:tc>
                <w:tcPr>
                  <w:tcW w:w="738" w:type="pct"/>
                  <w:tcBorders>
                    <w:tl2br w:val="nil"/>
                    <w:tr2bl w:val="nil"/>
                  </w:tcBorders>
                  <w:vAlign w:val="center"/>
                </w:tcPr>
                <w:p w14:paraId="2EF646EE">
                  <w:pPr>
                    <w:widowControl/>
                    <w:jc w:val="center"/>
                    <w:textAlignment w:val="center"/>
                    <w:rPr>
                      <w:rFonts w:hint="default" w:ascii="Times New Roman" w:hAnsi="Times New Roman" w:cs="Times New Roman"/>
                      <w:color w:val="auto"/>
                      <w:sz w:val="21"/>
                      <w:szCs w:val="21"/>
                    </w:rPr>
                  </w:pPr>
                  <w:r>
                    <w:rPr>
                      <w:rFonts w:hint="eastAsia"/>
                      <w:color w:val="auto"/>
                      <w:kern w:val="0"/>
                      <w:szCs w:val="21"/>
                      <w:lang w:val="en-US" w:eastAsia="zh-CN" w:bidi="ar"/>
                    </w:rPr>
                    <w:t>0.0416</w:t>
                  </w:r>
                  <w:r>
                    <w:rPr>
                      <w:rFonts w:hint="eastAsia"/>
                      <w:bCs/>
                      <w:color w:val="auto"/>
                      <w:szCs w:val="21"/>
                    </w:rPr>
                    <w:t>t/a</w:t>
                  </w:r>
                </w:p>
              </w:tc>
              <w:tc>
                <w:tcPr>
                  <w:tcW w:w="833" w:type="pct"/>
                  <w:tcBorders>
                    <w:tl2br w:val="nil"/>
                    <w:tr2bl w:val="nil"/>
                  </w:tcBorders>
                  <w:vAlign w:val="center"/>
                </w:tcPr>
                <w:p w14:paraId="67308BE8">
                  <w:pPr>
                    <w:widowControl/>
                    <w:jc w:val="center"/>
                    <w:textAlignment w:val="center"/>
                    <w:rPr>
                      <w:color w:val="auto"/>
                      <w:szCs w:val="21"/>
                    </w:rPr>
                  </w:pPr>
                  <w:r>
                    <w:rPr>
                      <w:rFonts w:hint="eastAsia"/>
                      <w:color w:val="auto"/>
                      <w:kern w:val="0"/>
                      <w:szCs w:val="21"/>
                      <w:lang w:val="en-US" w:eastAsia="zh-CN" w:bidi="ar"/>
                    </w:rPr>
                    <w:t>200</w:t>
                  </w:r>
                  <w:r>
                    <w:rPr>
                      <w:rFonts w:hint="eastAsia"/>
                      <w:bCs/>
                      <w:color w:val="auto"/>
                      <w:szCs w:val="21"/>
                    </w:rPr>
                    <w:t>mg/L</w:t>
                  </w:r>
                </w:p>
              </w:tc>
              <w:tc>
                <w:tcPr>
                  <w:tcW w:w="716" w:type="pct"/>
                  <w:tcBorders>
                    <w:tl2br w:val="nil"/>
                    <w:tr2bl w:val="nil"/>
                  </w:tcBorders>
                  <w:vAlign w:val="center"/>
                </w:tcPr>
                <w:p w14:paraId="30B384EB">
                  <w:pPr>
                    <w:widowControl/>
                    <w:jc w:val="center"/>
                    <w:textAlignment w:val="center"/>
                    <w:rPr>
                      <w:color w:val="auto"/>
                      <w:szCs w:val="21"/>
                    </w:rPr>
                  </w:pPr>
                  <w:r>
                    <w:rPr>
                      <w:rFonts w:hint="eastAsia"/>
                      <w:color w:val="auto"/>
                      <w:kern w:val="0"/>
                      <w:szCs w:val="21"/>
                      <w:lang w:val="en-US" w:eastAsia="zh-CN" w:bidi="ar"/>
                    </w:rPr>
                    <w:t>0.0416</w:t>
                  </w:r>
                  <w:r>
                    <w:rPr>
                      <w:rFonts w:hint="eastAsia"/>
                      <w:bCs/>
                      <w:color w:val="auto"/>
                      <w:szCs w:val="21"/>
                    </w:rPr>
                    <w:t>t/a</w:t>
                  </w:r>
                </w:p>
              </w:tc>
              <w:tc>
                <w:tcPr>
                  <w:tcW w:w="810" w:type="pct"/>
                  <w:tcBorders>
                    <w:tl2br w:val="nil"/>
                    <w:tr2bl w:val="nil"/>
                  </w:tcBorders>
                  <w:vAlign w:val="center"/>
                </w:tcPr>
                <w:p w14:paraId="43827004">
                  <w:pPr>
                    <w:widowControl/>
                    <w:jc w:val="center"/>
                    <w:textAlignment w:val="center"/>
                    <w:rPr>
                      <w:color w:val="auto"/>
                      <w:szCs w:val="21"/>
                    </w:rPr>
                  </w:pPr>
                  <w:r>
                    <w:rPr>
                      <w:rFonts w:hint="eastAsia"/>
                      <w:color w:val="auto"/>
                      <w:kern w:val="0"/>
                      <w:szCs w:val="21"/>
                      <w:lang w:val="en-US" w:eastAsia="zh-CN" w:bidi="ar"/>
                    </w:rPr>
                    <w:t>200</w:t>
                  </w:r>
                  <w:r>
                    <w:rPr>
                      <w:rFonts w:hint="eastAsia"/>
                      <w:bCs/>
                      <w:color w:val="auto"/>
                      <w:szCs w:val="21"/>
                    </w:rPr>
                    <w:t>mg/L</w:t>
                  </w:r>
                </w:p>
              </w:tc>
              <w:tc>
                <w:tcPr>
                  <w:tcW w:w="810" w:type="pct"/>
                  <w:tcBorders>
                    <w:tl2br w:val="nil"/>
                    <w:tr2bl w:val="nil"/>
                  </w:tcBorders>
                  <w:vAlign w:val="center"/>
                </w:tcPr>
                <w:p w14:paraId="09B68963">
                  <w:pPr>
                    <w:jc w:val="center"/>
                    <w:rPr>
                      <w:rFonts w:ascii="Times New Roman" w:hAnsi="Times New Roman" w:eastAsia="宋体" w:cs="Times New Roman"/>
                      <w:color w:val="auto"/>
                      <w:kern w:val="2"/>
                      <w:sz w:val="21"/>
                      <w:szCs w:val="21"/>
                      <w:lang w:val="en-US" w:eastAsia="zh-CN" w:bidi="ar-SA"/>
                    </w:rPr>
                  </w:pPr>
                  <w:r>
                    <w:rPr>
                      <w:color w:val="auto"/>
                      <w:szCs w:val="21"/>
                    </w:rPr>
                    <w:t>300</w:t>
                  </w:r>
                  <w:r>
                    <w:rPr>
                      <w:rFonts w:hint="eastAsia"/>
                      <w:bCs/>
                      <w:color w:val="auto"/>
                      <w:szCs w:val="21"/>
                    </w:rPr>
                    <w:t>mg/L</w:t>
                  </w:r>
                </w:p>
              </w:tc>
              <w:tc>
                <w:tcPr>
                  <w:tcW w:w="414" w:type="pct"/>
                  <w:tcBorders>
                    <w:tl2br w:val="nil"/>
                    <w:tr2bl w:val="nil"/>
                  </w:tcBorders>
                  <w:vAlign w:val="center"/>
                </w:tcPr>
                <w:p w14:paraId="6D272D9D">
                  <w:pPr>
                    <w:jc w:val="center"/>
                    <w:rPr>
                      <w:bCs/>
                      <w:color w:val="auto"/>
                      <w:szCs w:val="21"/>
                    </w:rPr>
                  </w:pPr>
                  <w:r>
                    <w:rPr>
                      <w:bCs/>
                      <w:color w:val="auto"/>
                      <w:szCs w:val="21"/>
                    </w:rPr>
                    <w:t>达标</w:t>
                  </w:r>
                </w:p>
              </w:tc>
            </w:tr>
            <w:tr w14:paraId="2AF3F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76" w:type="pct"/>
                  <w:tcBorders>
                    <w:tl2br w:val="nil"/>
                    <w:tr2bl w:val="nil"/>
                  </w:tcBorders>
                  <w:vAlign w:val="center"/>
                </w:tcPr>
                <w:p w14:paraId="534CD2D4">
                  <w:pPr>
                    <w:widowControl/>
                    <w:jc w:val="center"/>
                    <w:textAlignment w:val="center"/>
                    <w:rPr>
                      <w:color w:val="auto"/>
                      <w:szCs w:val="21"/>
                    </w:rPr>
                  </w:pPr>
                  <w:r>
                    <w:rPr>
                      <w:bCs/>
                      <w:color w:val="auto"/>
                      <w:kern w:val="0"/>
                      <w:szCs w:val="21"/>
                    </w:rPr>
                    <w:t>SS</w:t>
                  </w:r>
                </w:p>
              </w:tc>
              <w:tc>
                <w:tcPr>
                  <w:tcW w:w="738" w:type="pct"/>
                  <w:tcBorders>
                    <w:tl2br w:val="nil"/>
                    <w:tr2bl w:val="nil"/>
                  </w:tcBorders>
                  <w:vAlign w:val="center"/>
                </w:tcPr>
                <w:p w14:paraId="0EED50C8">
                  <w:pPr>
                    <w:widowControl/>
                    <w:jc w:val="center"/>
                    <w:textAlignment w:val="center"/>
                    <w:rPr>
                      <w:rFonts w:hint="default" w:ascii="Times New Roman" w:hAnsi="Times New Roman" w:cs="Times New Roman"/>
                      <w:color w:val="auto"/>
                      <w:sz w:val="21"/>
                      <w:szCs w:val="21"/>
                    </w:rPr>
                  </w:pPr>
                  <w:r>
                    <w:rPr>
                      <w:rFonts w:hint="eastAsia"/>
                      <w:color w:val="auto"/>
                      <w:kern w:val="0"/>
                      <w:szCs w:val="21"/>
                      <w:lang w:val="en-US" w:eastAsia="zh-CN" w:bidi="ar"/>
                    </w:rPr>
                    <w:t>0.0624</w:t>
                  </w:r>
                  <w:r>
                    <w:rPr>
                      <w:rFonts w:hint="eastAsia"/>
                      <w:bCs/>
                      <w:color w:val="auto"/>
                      <w:szCs w:val="21"/>
                    </w:rPr>
                    <w:t>t/a</w:t>
                  </w:r>
                </w:p>
              </w:tc>
              <w:tc>
                <w:tcPr>
                  <w:tcW w:w="833" w:type="pct"/>
                  <w:tcBorders>
                    <w:tl2br w:val="nil"/>
                    <w:tr2bl w:val="nil"/>
                  </w:tcBorders>
                  <w:vAlign w:val="center"/>
                </w:tcPr>
                <w:p w14:paraId="065DEF83">
                  <w:pPr>
                    <w:widowControl/>
                    <w:jc w:val="center"/>
                    <w:textAlignment w:val="center"/>
                    <w:rPr>
                      <w:color w:val="auto"/>
                      <w:szCs w:val="21"/>
                    </w:rPr>
                  </w:pPr>
                  <w:r>
                    <w:rPr>
                      <w:rFonts w:hint="eastAsia"/>
                      <w:color w:val="auto"/>
                      <w:kern w:val="0"/>
                      <w:szCs w:val="21"/>
                      <w:lang w:val="en-US" w:eastAsia="zh-CN" w:bidi="ar"/>
                    </w:rPr>
                    <w:t>3</w:t>
                  </w:r>
                  <w:r>
                    <w:rPr>
                      <w:color w:val="auto"/>
                      <w:kern w:val="0"/>
                      <w:szCs w:val="21"/>
                      <w:lang w:bidi="ar"/>
                    </w:rPr>
                    <w:t>00</w:t>
                  </w:r>
                  <w:r>
                    <w:rPr>
                      <w:rFonts w:hint="eastAsia"/>
                      <w:bCs/>
                      <w:color w:val="auto"/>
                      <w:szCs w:val="21"/>
                    </w:rPr>
                    <w:t>mg/L</w:t>
                  </w:r>
                </w:p>
              </w:tc>
              <w:tc>
                <w:tcPr>
                  <w:tcW w:w="716" w:type="pct"/>
                  <w:tcBorders>
                    <w:tl2br w:val="nil"/>
                    <w:tr2bl w:val="nil"/>
                  </w:tcBorders>
                  <w:vAlign w:val="center"/>
                </w:tcPr>
                <w:p w14:paraId="35CE16EB">
                  <w:pPr>
                    <w:widowControl/>
                    <w:jc w:val="center"/>
                    <w:textAlignment w:val="center"/>
                    <w:rPr>
                      <w:color w:val="auto"/>
                      <w:szCs w:val="21"/>
                    </w:rPr>
                  </w:pPr>
                  <w:r>
                    <w:rPr>
                      <w:rFonts w:hint="eastAsia"/>
                      <w:color w:val="auto"/>
                      <w:kern w:val="0"/>
                      <w:szCs w:val="21"/>
                      <w:lang w:val="en-US" w:eastAsia="zh-CN" w:bidi="ar"/>
                    </w:rPr>
                    <w:t>0.0624</w:t>
                  </w:r>
                  <w:r>
                    <w:rPr>
                      <w:rFonts w:hint="eastAsia"/>
                      <w:bCs/>
                      <w:color w:val="auto"/>
                      <w:szCs w:val="21"/>
                    </w:rPr>
                    <w:t>t/a</w:t>
                  </w:r>
                </w:p>
              </w:tc>
              <w:tc>
                <w:tcPr>
                  <w:tcW w:w="810" w:type="pct"/>
                  <w:tcBorders>
                    <w:tl2br w:val="nil"/>
                    <w:tr2bl w:val="nil"/>
                  </w:tcBorders>
                  <w:vAlign w:val="center"/>
                </w:tcPr>
                <w:p w14:paraId="06354184">
                  <w:pPr>
                    <w:widowControl/>
                    <w:jc w:val="center"/>
                    <w:textAlignment w:val="center"/>
                    <w:rPr>
                      <w:color w:val="auto"/>
                      <w:szCs w:val="21"/>
                    </w:rPr>
                  </w:pPr>
                  <w:r>
                    <w:rPr>
                      <w:rFonts w:hint="eastAsia"/>
                      <w:color w:val="auto"/>
                      <w:kern w:val="0"/>
                      <w:szCs w:val="21"/>
                      <w:lang w:val="en-US" w:eastAsia="zh-CN" w:bidi="ar"/>
                    </w:rPr>
                    <w:t>3</w:t>
                  </w:r>
                  <w:r>
                    <w:rPr>
                      <w:color w:val="auto"/>
                      <w:kern w:val="0"/>
                      <w:szCs w:val="21"/>
                      <w:lang w:bidi="ar"/>
                    </w:rPr>
                    <w:t>00</w:t>
                  </w:r>
                  <w:r>
                    <w:rPr>
                      <w:rFonts w:hint="eastAsia"/>
                      <w:bCs/>
                      <w:color w:val="auto"/>
                      <w:szCs w:val="21"/>
                    </w:rPr>
                    <w:t>mg/L</w:t>
                  </w:r>
                </w:p>
              </w:tc>
              <w:tc>
                <w:tcPr>
                  <w:tcW w:w="810" w:type="pct"/>
                  <w:tcBorders>
                    <w:tl2br w:val="nil"/>
                    <w:tr2bl w:val="nil"/>
                  </w:tcBorders>
                  <w:vAlign w:val="center"/>
                </w:tcPr>
                <w:p w14:paraId="19684E0E">
                  <w:pPr>
                    <w:jc w:val="center"/>
                    <w:rPr>
                      <w:rFonts w:ascii="Times New Roman" w:hAnsi="Times New Roman" w:eastAsia="宋体" w:cs="Times New Roman"/>
                      <w:color w:val="auto"/>
                      <w:kern w:val="2"/>
                      <w:sz w:val="21"/>
                      <w:szCs w:val="21"/>
                      <w:lang w:val="en-US" w:eastAsia="zh-CN" w:bidi="ar-SA"/>
                    </w:rPr>
                  </w:pPr>
                  <w:r>
                    <w:rPr>
                      <w:rFonts w:hint="eastAsia"/>
                      <w:color w:val="auto"/>
                      <w:szCs w:val="21"/>
                      <w:lang w:val="en-US" w:eastAsia="zh-CN"/>
                    </w:rPr>
                    <w:t>400</w:t>
                  </w:r>
                  <w:r>
                    <w:rPr>
                      <w:rFonts w:hint="eastAsia"/>
                      <w:bCs/>
                      <w:color w:val="auto"/>
                      <w:szCs w:val="21"/>
                    </w:rPr>
                    <w:t>mg/L</w:t>
                  </w:r>
                </w:p>
              </w:tc>
              <w:tc>
                <w:tcPr>
                  <w:tcW w:w="414" w:type="pct"/>
                  <w:tcBorders>
                    <w:tl2br w:val="nil"/>
                    <w:tr2bl w:val="nil"/>
                  </w:tcBorders>
                  <w:vAlign w:val="center"/>
                </w:tcPr>
                <w:p w14:paraId="6C4E8D0E">
                  <w:pPr>
                    <w:jc w:val="center"/>
                    <w:rPr>
                      <w:bCs/>
                      <w:color w:val="auto"/>
                      <w:szCs w:val="21"/>
                    </w:rPr>
                  </w:pPr>
                  <w:r>
                    <w:rPr>
                      <w:bCs/>
                      <w:color w:val="auto"/>
                      <w:szCs w:val="21"/>
                    </w:rPr>
                    <w:t>达标</w:t>
                  </w:r>
                </w:p>
              </w:tc>
            </w:tr>
            <w:tr w14:paraId="0B8A6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76" w:type="pct"/>
                  <w:vAlign w:val="center"/>
                </w:tcPr>
                <w:p w14:paraId="3BF0EF5A">
                  <w:pPr>
                    <w:widowControl/>
                    <w:jc w:val="center"/>
                    <w:textAlignment w:val="center"/>
                    <w:rPr>
                      <w:color w:val="auto"/>
                      <w:szCs w:val="21"/>
                    </w:rPr>
                  </w:pPr>
                  <w:r>
                    <w:rPr>
                      <w:bCs/>
                      <w:color w:val="auto"/>
                      <w:kern w:val="0"/>
                      <w:szCs w:val="21"/>
                    </w:rPr>
                    <w:t>氨氮</w:t>
                  </w:r>
                </w:p>
              </w:tc>
              <w:tc>
                <w:tcPr>
                  <w:tcW w:w="738" w:type="pct"/>
                  <w:vAlign w:val="center"/>
                </w:tcPr>
                <w:p w14:paraId="43CB0FA0">
                  <w:pPr>
                    <w:widowControl/>
                    <w:jc w:val="center"/>
                    <w:textAlignment w:val="center"/>
                    <w:rPr>
                      <w:rFonts w:hint="default" w:ascii="Times New Roman" w:hAnsi="Times New Roman" w:cs="Times New Roman"/>
                      <w:color w:val="auto"/>
                      <w:sz w:val="21"/>
                      <w:szCs w:val="21"/>
                    </w:rPr>
                  </w:pPr>
                  <w:r>
                    <w:rPr>
                      <w:rFonts w:hint="eastAsia"/>
                      <w:color w:val="auto"/>
                      <w:kern w:val="0"/>
                      <w:szCs w:val="21"/>
                      <w:lang w:val="en-US" w:eastAsia="zh-CN" w:bidi="ar"/>
                    </w:rPr>
                    <w:t>0.00624</w:t>
                  </w:r>
                  <w:r>
                    <w:rPr>
                      <w:rFonts w:hint="eastAsia"/>
                      <w:bCs/>
                      <w:color w:val="auto"/>
                      <w:szCs w:val="21"/>
                    </w:rPr>
                    <w:t>t/a</w:t>
                  </w:r>
                </w:p>
              </w:tc>
              <w:tc>
                <w:tcPr>
                  <w:tcW w:w="833" w:type="pct"/>
                  <w:vAlign w:val="center"/>
                </w:tcPr>
                <w:p w14:paraId="2760EC2D">
                  <w:pPr>
                    <w:widowControl/>
                    <w:jc w:val="center"/>
                    <w:textAlignment w:val="center"/>
                    <w:rPr>
                      <w:color w:val="auto"/>
                      <w:szCs w:val="21"/>
                    </w:rPr>
                  </w:pPr>
                  <w:r>
                    <w:rPr>
                      <w:rFonts w:hint="eastAsia"/>
                      <w:color w:val="auto"/>
                      <w:kern w:val="0"/>
                      <w:szCs w:val="21"/>
                      <w:lang w:val="en-US" w:eastAsia="zh-CN" w:bidi="ar"/>
                    </w:rPr>
                    <w:t>30</w:t>
                  </w:r>
                  <w:r>
                    <w:rPr>
                      <w:rFonts w:hint="eastAsia"/>
                      <w:bCs/>
                      <w:color w:val="auto"/>
                      <w:szCs w:val="21"/>
                    </w:rPr>
                    <w:t>mg/L</w:t>
                  </w:r>
                </w:p>
              </w:tc>
              <w:tc>
                <w:tcPr>
                  <w:tcW w:w="716" w:type="pct"/>
                  <w:vAlign w:val="center"/>
                </w:tcPr>
                <w:p w14:paraId="4068D14D">
                  <w:pPr>
                    <w:widowControl/>
                    <w:jc w:val="center"/>
                    <w:textAlignment w:val="center"/>
                    <w:rPr>
                      <w:color w:val="auto"/>
                      <w:szCs w:val="21"/>
                    </w:rPr>
                  </w:pPr>
                  <w:r>
                    <w:rPr>
                      <w:rFonts w:hint="eastAsia"/>
                      <w:color w:val="auto"/>
                      <w:kern w:val="0"/>
                      <w:szCs w:val="21"/>
                      <w:lang w:val="en-US" w:eastAsia="zh-CN" w:bidi="ar"/>
                    </w:rPr>
                    <w:t>0.00624</w:t>
                  </w:r>
                  <w:r>
                    <w:rPr>
                      <w:rFonts w:hint="eastAsia"/>
                      <w:bCs/>
                      <w:color w:val="auto"/>
                      <w:szCs w:val="21"/>
                    </w:rPr>
                    <w:t>t/a</w:t>
                  </w:r>
                </w:p>
              </w:tc>
              <w:tc>
                <w:tcPr>
                  <w:tcW w:w="810" w:type="pct"/>
                  <w:vAlign w:val="center"/>
                </w:tcPr>
                <w:p w14:paraId="26D425DE">
                  <w:pPr>
                    <w:widowControl/>
                    <w:jc w:val="center"/>
                    <w:textAlignment w:val="center"/>
                    <w:rPr>
                      <w:color w:val="auto"/>
                      <w:szCs w:val="21"/>
                    </w:rPr>
                  </w:pPr>
                  <w:r>
                    <w:rPr>
                      <w:rFonts w:hint="eastAsia"/>
                      <w:color w:val="auto"/>
                      <w:kern w:val="0"/>
                      <w:szCs w:val="21"/>
                      <w:lang w:val="en-US" w:eastAsia="zh-CN" w:bidi="ar"/>
                    </w:rPr>
                    <w:t>30</w:t>
                  </w:r>
                  <w:r>
                    <w:rPr>
                      <w:rFonts w:hint="eastAsia"/>
                      <w:bCs/>
                      <w:color w:val="auto"/>
                      <w:szCs w:val="21"/>
                    </w:rPr>
                    <w:t>mg/L</w:t>
                  </w:r>
                </w:p>
              </w:tc>
              <w:tc>
                <w:tcPr>
                  <w:tcW w:w="810" w:type="pct"/>
                  <w:vAlign w:val="center"/>
                </w:tcPr>
                <w:p w14:paraId="366C2A5F">
                  <w:pPr>
                    <w:jc w:val="center"/>
                    <w:rPr>
                      <w:rFonts w:ascii="Times New Roman" w:hAnsi="Times New Roman" w:eastAsia="宋体" w:cs="Times New Roman"/>
                      <w:color w:val="auto"/>
                      <w:kern w:val="2"/>
                      <w:sz w:val="21"/>
                      <w:szCs w:val="21"/>
                      <w:lang w:val="en-US" w:eastAsia="zh-CN" w:bidi="ar-SA"/>
                    </w:rPr>
                  </w:pPr>
                  <w:r>
                    <w:rPr>
                      <w:color w:val="auto"/>
                      <w:szCs w:val="21"/>
                    </w:rPr>
                    <w:t>——</w:t>
                  </w:r>
                </w:p>
              </w:tc>
              <w:tc>
                <w:tcPr>
                  <w:tcW w:w="414" w:type="pct"/>
                  <w:vAlign w:val="center"/>
                </w:tcPr>
                <w:p w14:paraId="5B31F625">
                  <w:pPr>
                    <w:jc w:val="center"/>
                    <w:rPr>
                      <w:bCs/>
                      <w:color w:val="auto"/>
                      <w:szCs w:val="21"/>
                    </w:rPr>
                  </w:pPr>
                  <w:r>
                    <w:rPr>
                      <w:bCs/>
                      <w:color w:val="auto"/>
                      <w:szCs w:val="21"/>
                    </w:rPr>
                    <w:t>达标</w:t>
                  </w:r>
                </w:p>
              </w:tc>
            </w:tr>
          </w:tbl>
          <w:p w14:paraId="6D059AC5">
            <w:pPr>
              <w:spacing w:line="360" w:lineRule="auto"/>
              <w:ind w:firstLine="480" w:firstLineChars="200"/>
              <w:rPr>
                <w:rFonts w:hint="eastAsia"/>
                <w:color w:val="auto"/>
                <w:sz w:val="24"/>
                <w:szCs w:val="40"/>
              </w:rPr>
            </w:pPr>
            <w:r>
              <w:rPr>
                <w:rFonts w:hint="eastAsia"/>
                <w:color w:val="auto"/>
                <w:sz w:val="24"/>
                <w:szCs w:val="40"/>
              </w:rPr>
              <w:t>本项目产生的</w:t>
            </w:r>
            <w:r>
              <w:rPr>
                <w:rFonts w:hint="eastAsia"/>
                <w:color w:val="auto"/>
                <w:sz w:val="24"/>
                <w:szCs w:val="40"/>
                <w:lang w:val="en-US" w:eastAsia="zh-CN"/>
              </w:rPr>
              <w:t>生活污水</w:t>
            </w:r>
            <w:r>
              <w:rPr>
                <w:rFonts w:hint="eastAsia"/>
                <w:color w:val="auto"/>
                <w:sz w:val="24"/>
                <w:szCs w:val="40"/>
              </w:rPr>
              <w:t>中污染物浓度达到</w:t>
            </w:r>
            <w:r>
              <w:rPr>
                <w:rFonts w:hint="eastAsia"/>
                <w:color w:val="auto"/>
                <w:sz w:val="24"/>
                <w:szCs w:val="40"/>
                <w:lang w:val="en-US" w:eastAsia="zh-CN"/>
              </w:rPr>
              <w:t>《污水综合排放标准》（GB8978-1996）三级标准</w:t>
            </w:r>
            <w:r>
              <w:rPr>
                <w:rFonts w:hint="eastAsia"/>
                <w:color w:val="auto"/>
                <w:sz w:val="24"/>
                <w:szCs w:val="40"/>
              </w:rPr>
              <w:t>。</w:t>
            </w:r>
          </w:p>
          <w:p w14:paraId="5C7CA60A">
            <w:pPr>
              <w:spacing w:line="360" w:lineRule="auto"/>
              <w:ind w:firstLine="482" w:firstLineChars="200"/>
              <w:rPr>
                <w:b/>
                <w:bCs/>
                <w:color w:val="auto"/>
                <w:sz w:val="24"/>
              </w:rPr>
            </w:pPr>
            <w:r>
              <w:rPr>
                <w:b/>
                <w:bCs/>
                <w:color w:val="auto"/>
                <w:sz w:val="24"/>
              </w:rPr>
              <w:t>2.</w:t>
            </w:r>
            <w:r>
              <w:rPr>
                <w:rFonts w:hint="eastAsia"/>
                <w:b/>
                <w:bCs/>
                <w:color w:val="auto"/>
                <w:sz w:val="24"/>
              </w:rPr>
              <w:t>4</w:t>
            </w:r>
            <w:r>
              <w:rPr>
                <w:rFonts w:hint="eastAsia"/>
                <w:b/>
                <w:bCs/>
                <w:color w:val="auto"/>
                <w:sz w:val="24"/>
                <w:lang w:val="en-US" w:eastAsia="zh-CN"/>
              </w:rPr>
              <w:t>镶黄旗新宝拉格镇</w:t>
            </w:r>
            <w:r>
              <w:rPr>
                <w:rFonts w:hint="eastAsia"/>
                <w:b/>
                <w:bCs/>
                <w:color w:val="auto"/>
                <w:sz w:val="24"/>
              </w:rPr>
              <w:t>污水处理厂接纳废水可行性分析</w:t>
            </w:r>
          </w:p>
          <w:p w14:paraId="2549811A">
            <w:pPr>
              <w:spacing w:line="360" w:lineRule="auto"/>
              <w:ind w:firstLine="482" w:firstLineChars="200"/>
              <w:rPr>
                <w:rFonts w:hint="eastAsia" w:cs="Times New Roman"/>
                <w:color w:val="auto"/>
                <w:kern w:val="0"/>
                <w:sz w:val="24"/>
                <w:szCs w:val="40"/>
                <w:lang w:val="en-US" w:eastAsia="zh-CN" w:bidi="ar-SA"/>
              </w:rPr>
            </w:pPr>
            <w:r>
              <w:rPr>
                <w:rFonts w:hint="eastAsia" w:cs="Times New Roman"/>
                <w:b/>
                <w:bCs/>
                <w:color w:val="auto"/>
                <w:kern w:val="0"/>
                <w:sz w:val="24"/>
                <w:szCs w:val="40"/>
                <w:lang w:val="en-US" w:eastAsia="zh-CN" w:bidi="ar-SA"/>
              </w:rPr>
              <w:t>运行情况：</w:t>
            </w:r>
          </w:p>
          <w:p w14:paraId="7C655D2F">
            <w:pPr>
              <w:spacing w:line="360" w:lineRule="auto"/>
              <w:ind w:firstLine="480" w:firstLineChars="200"/>
              <w:rPr>
                <w:rFonts w:hint="eastAsia" w:cs="Times New Roman"/>
                <w:color w:val="auto"/>
                <w:kern w:val="0"/>
                <w:sz w:val="24"/>
                <w:szCs w:val="40"/>
                <w:lang w:val="en-US" w:eastAsia="zh-CN" w:bidi="ar-SA"/>
              </w:rPr>
            </w:pPr>
            <w:r>
              <w:rPr>
                <w:rFonts w:hint="eastAsia" w:cs="Times New Roman"/>
                <w:color w:val="auto"/>
                <w:kern w:val="0"/>
                <w:sz w:val="24"/>
                <w:szCs w:val="40"/>
                <w:lang w:val="en-US" w:eastAsia="zh-CN" w:bidi="ar-SA"/>
              </w:rPr>
              <w:t>处理能力与负荷：该厂设计日处理污水0.45万吨，2021年共处理污水125万立方米，运行负荷率76.13%。2024年，年处理污水134.1万立方米。</w:t>
            </w:r>
          </w:p>
          <w:p w14:paraId="0508E71F">
            <w:pPr>
              <w:spacing w:line="360" w:lineRule="auto"/>
              <w:ind w:firstLine="480" w:firstLineChars="200"/>
              <w:rPr>
                <w:rFonts w:hint="eastAsia" w:cs="Times New Roman"/>
                <w:color w:val="auto"/>
                <w:kern w:val="0"/>
                <w:sz w:val="24"/>
                <w:szCs w:val="40"/>
                <w:lang w:val="en-US" w:eastAsia="zh-CN" w:bidi="ar-SA"/>
              </w:rPr>
            </w:pPr>
            <w:r>
              <w:rPr>
                <w:rFonts w:hint="eastAsia" w:cs="Times New Roman"/>
                <w:color w:val="auto"/>
                <w:kern w:val="0"/>
                <w:sz w:val="24"/>
                <w:szCs w:val="40"/>
                <w:lang w:val="en-US" w:eastAsia="zh-CN" w:bidi="ar-SA"/>
              </w:rPr>
              <w:t>处理工艺：原采用SBR-CAST工艺，后改造为A</w:t>
            </w:r>
            <w:r>
              <w:rPr>
                <w:rFonts w:hint="eastAsia" w:cs="Times New Roman"/>
                <w:color w:val="auto"/>
                <w:kern w:val="0"/>
                <w:sz w:val="24"/>
                <w:szCs w:val="40"/>
                <w:vertAlign w:val="subscript"/>
                <w:lang w:val="en-US" w:eastAsia="zh-CN" w:bidi="ar-SA"/>
              </w:rPr>
              <w:t>2</w:t>
            </w:r>
            <w:r>
              <w:rPr>
                <w:rFonts w:hint="eastAsia" w:cs="Times New Roman"/>
                <w:color w:val="auto"/>
                <w:kern w:val="0"/>
                <w:sz w:val="24"/>
                <w:szCs w:val="40"/>
                <w:lang w:val="en-US" w:eastAsia="zh-CN" w:bidi="ar-SA"/>
              </w:rPr>
              <w:t>O－MBBR工艺，新建二沉池及二沉池车间，增设污泥回流管路和出水管路，增加生物填料，更换空压机并添加变频设备等。</w:t>
            </w:r>
          </w:p>
          <w:p w14:paraId="05E235FF">
            <w:pPr>
              <w:spacing w:line="360" w:lineRule="auto"/>
              <w:ind w:firstLine="480" w:firstLineChars="200"/>
              <w:rPr>
                <w:rFonts w:hint="eastAsia" w:cs="Times New Roman"/>
                <w:color w:val="auto"/>
                <w:kern w:val="0"/>
                <w:sz w:val="24"/>
                <w:szCs w:val="40"/>
                <w:lang w:val="en-US" w:eastAsia="zh-CN" w:bidi="ar-SA"/>
              </w:rPr>
            </w:pPr>
            <w:r>
              <w:rPr>
                <w:rFonts w:hint="eastAsia" w:cs="Times New Roman"/>
                <w:color w:val="auto"/>
                <w:kern w:val="0"/>
                <w:sz w:val="24"/>
                <w:szCs w:val="40"/>
                <w:lang w:val="en-US" w:eastAsia="zh-CN" w:bidi="ar-SA"/>
              </w:rPr>
              <w:t>污水收集与利用：2021年污水收集率71.65%。污水处理厂尾水通过沟渠流出进入占地19万平方米的尾水人工湿地，经湿地深度处理后，外排水达到《地表水环境质量标准(GB3838-2002)》</w:t>
            </w:r>
            <w:r>
              <w:rPr>
                <w:rFonts w:hint="default" w:ascii="Times New Roman" w:hAnsi="Times New Roman" w:eastAsia="微软雅黑" w:cs="Times New Roman"/>
                <w:color w:val="auto"/>
                <w:kern w:val="0"/>
                <w:sz w:val="24"/>
                <w:szCs w:val="40"/>
                <w:lang w:val="en-US" w:eastAsia="zh-CN" w:bidi="ar-SA"/>
              </w:rPr>
              <w:t>Ⅴ</w:t>
            </w:r>
            <w:r>
              <w:rPr>
                <w:rFonts w:hint="eastAsia" w:cs="Times New Roman"/>
                <w:color w:val="auto"/>
                <w:kern w:val="0"/>
                <w:sz w:val="24"/>
                <w:szCs w:val="40"/>
                <w:lang w:val="en-US" w:eastAsia="zh-CN" w:bidi="ar-SA"/>
              </w:rPr>
              <w:t>类标准，中水主要用于工业聚集区企业生产和热电联产冬季供热运行。</w:t>
            </w:r>
          </w:p>
          <w:p w14:paraId="48D89F51">
            <w:pPr>
              <w:spacing w:line="360" w:lineRule="auto"/>
              <w:ind w:firstLine="482" w:firstLineChars="200"/>
              <w:rPr>
                <w:rFonts w:hint="eastAsia" w:cs="Times New Roman"/>
                <w:color w:val="auto"/>
                <w:kern w:val="0"/>
                <w:sz w:val="24"/>
                <w:szCs w:val="40"/>
                <w:lang w:val="en-US" w:eastAsia="zh-CN" w:bidi="ar-SA"/>
              </w:rPr>
            </w:pPr>
            <w:r>
              <w:rPr>
                <w:rFonts w:hint="eastAsia" w:cs="Times New Roman"/>
                <w:b/>
                <w:bCs/>
                <w:color w:val="auto"/>
                <w:kern w:val="0"/>
                <w:sz w:val="24"/>
                <w:szCs w:val="40"/>
                <w:lang w:val="en-US" w:eastAsia="zh-CN" w:bidi="ar-SA"/>
              </w:rPr>
              <w:t>稳定达标情况：</w:t>
            </w:r>
          </w:p>
          <w:p w14:paraId="328C95B9">
            <w:pPr>
              <w:spacing w:line="360" w:lineRule="auto"/>
              <w:ind w:firstLine="480" w:firstLineChars="200"/>
              <w:rPr>
                <w:rFonts w:hint="eastAsia" w:cs="Times New Roman"/>
                <w:color w:val="auto"/>
                <w:kern w:val="0"/>
                <w:sz w:val="24"/>
                <w:szCs w:val="40"/>
                <w:lang w:val="en-US" w:eastAsia="zh-CN" w:bidi="ar-SA"/>
              </w:rPr>
            </w:pPr>
            <w:r>
              <w:rPr>
                <w:rFonts w:hint="eastAsia" w:cs="Times New Roman"/>
                <w:color w:val="auto"/>
                <w:kern w:val="0"/>
                <w:sz w:val="24"/>
                <w:szCs w:val="40"/>
                <w:lang w:val="en-US" w:eastAsia="zh-CN" w:bidi="ar-SA"/>
              </w:rPr>
              <w:t>厂内建设2条2250m³/d的处理线，采用一用一备的交替运行方式，既降低了能源消耗，又确保水质稳定达标，同时还起到了备用池的安全保障作用。2024年，其尾水人工湿地已完成表流人工湿地、水平潜流湿地、垂直潜流湿地和稳定塘及配套等建设，进一步保障了出水水质，经人工湿地处理后的尾水可达到地表水环境质量标准</w:t>
            </w:r>
            <w:r>
              <w:rPr>
                <w:rFonts w:hint="default" w:ascii="Times New Roman" w:hAnsi="Times New Roman" w:eastAsia="微软雅黑" w:cs="Times New Roman"/>
                <w:color w:val="auto"/>
                <w:kern w:val="0"/>
                <w:sz w:val="24"/>
                <w:szCs w:val="40"/>
                <w:lang w:val="en-US" w:eastAsia="zh-CN" w:bidi="ar-SA"/>
              </w:rPr>
              <w:t>Ⅴ</w:t>
            </w:r>
            <w:r>
              <w:rPr>
                <w:rFonts w:hint="eastAsia" w:cs="Times New Roman"/>
                <w:color w:val="auto"/>
                <w:kern w:val="0"/>
                <w:sz w:val="24"/>
                <w:szCs w:val="40"/>
                <w:lang w:val="en-US" w:eastAsia="zh-CN" w:bidi="ar-SA"/>
              </w:rPr>
              <w:t>类标准，能有效减少污染物排放，提升水生态系统品质。</w:t>
            </w:r>
          </w:p>
          <w:p w14:paraId="4461EA2C">
            <w:pPr>
              <w:spacing w:line="360" w:lineRule="auto"/>
              <w:ind w:firstLine="480" w:firstLineChars="200"/>
              <w:rPr>
                <w:rFonts w:hint="eastAsia" w:cs="Times New Roman"/>
                <w:color w:val="auto"/>
                <w:kern w:val="0"/>
                <w:sz w:val="24"/>
                <w:szCs w:val="40"/>
                <w:lang w:val="en-US" w:eastAsia="zh-CN" w:bidi="ar-SA"/>
              </w:rPr>
            </w:pPr>
            <w:r>
              <w:rPr>
                <w:rFonts w:hint="eastAsia" w:cs="Times New Roman"/>
                <w:color w:val="auto"/>
                <w:kern w:val="0"/>
                <w:sz w:val="24"/>
                <w:szCs w:val="40"/>
                <w:lang w:val="en-US" w:eastAsia="zh-CN" w:bidi="ar-SA"/>
              </w:rPr>
              <w:t>本</w:t>
            </w:r>
            <w:r>
              <w:rPr>
                <w:rFonts w:hint="eastAsia" w:ascii="Times New Roman" w:hAnsi="Times New Roman" w:eastAsia="宋体" w:cs="Times New Roman"/>
                <w:color w:val="auto"/>
                <w:kern w:val="0"/>
                <w:sz w:val="24"/>
                <w:szCs w:val="40"/>
                <w:lang w:val="en-US" w:eastAsia="zh-CN" w:bidi="ar-SA"/>
              </w:rPr>
              <w:t>项目废水由车间排水设施收集至厂内污水处理站，废水经处理后达标排放，排入</w:t>
            </w:r>
            <w:bookmarkStart w:id="18" w:name="OLE_LINK11"/>
            <w:r>
              <w:rPr>
                <w:rFonts w:hint="eastAsia" w:ascii="Times New Roman" w:hAnsi="Times New Roman" w:eastAsia="宋体" w:cs="Times New Roman"/>
                <w:color w:val="auto"/>
                <w:kern w:val="0"/>
                <w:sz w:val="24"/>
                <w:szCs w:val="40"/>
                <w:lang w:val="en-US" w:eastAsia="zh-CN" w:bidi="ar-SA"/>
              </w:rPr>
              <w:t>镶黄旗新宝拉格镇污水处理厂</w:t>
            </w:r>
            <w:bookmarkEnd w:id="18"/>
            <w:r>
              <w:rPr>
                <w:rFonts w:hint="eastAsia" w:ascii="Times New Roman" w:hAnsi="Times New Roman" w:eastAsia="宋体" w:cs="Times New Roman"/>
                <w:color w:val="auto"/>
                <w:kern w:val="0"/>
                <w:sz w:val="24"/>
                <w:szCs w:val="40"/>
                <w:lang w:val="en-US" w:eastAsia="zh-CN" w:bidi="ar-SA"/>
              </w:rPr>
              <w:t>。镶黄旗新宝拉格镇污水处理厂，位于内蒙古自治区锡林郭勒盟镶黄旗新宝拉格镇西北距镇区2.5公里，</w:t>
            </w:r>
            <w:r>
              <w:rPr>
                <w:rFonts w:hint="eastAsia" w:cs="Times New Roman"/>
                <w:color w:val="auto"/>
                <w:kern w:val="0"/>
                <w:sz w:val="24"/>
                <w:szCs w:val="40"/>
                <w:lang w:val="en-US" w:eastAsia="zh-CN" w:bidi="ar-SA"/>
              </w:rPr>
              <w:t>占地面积</w:t>
            </w:r>
            <w:r>
              <w:rPr>
                <w:rFonts w:hint="eastAsia" w:ascii="Times New Roman" w:hAnsi="Times New Roman" w:eastAsia="宋体" w:cs="Times New Roman"/>
                <w:color w:val="auto"/>
                <w:kern w:val="0"/>
                <w:sz w:val="24"/>
                <w:szCs w:val="40"/>
                <w:lang w:val="en-US" w:eastAsia="zh-CN" w:bidi="ar-SA"/>
              </w:rPr>
              <w:t>约为</w:t>
            </w:r>
            <w:r>
              <w:rPr>
                <w:rFonts w:hint="eastAsia" w:cs="Times New Roman"/>
                <w:color w:val="auto"/>
                <w:kern w:val="0"/>
                <w:sz w:val="24"/>
                <w:szCs w:val="40"/>
                <w:lang w:val="en-US" w:eastAsia="zh-CN" w:bidi="ar-SA"/>
              </w:rPr>
              <w:t>76</w:t>
            </w:r>
            <w:r>
              <w:rPr>
                <w:rFonts w:hint="eastAsia" w:ascii="Times New Roman" w:hAnsi="Times New Roman" w:eastAsia="宋体" w:cs="Times New Roman"/>
                <w:color w:val="auto"/>
                <w:kern w:val="0"/>
                <w:sz w:val="24"/>
                <w:szCs w:val="40"/>
                <w:lang w:val="en-US" w:eastAsia="zh-CN" w:bidi="ar-SA"/>
              </w:rPr>
              <w:t>亩。</w:t>
            </w:r>
            <w:r>
              <w:rPr>
                <w:rFonts w:hint="eastAsia" w:cs="Times New Roman"/>
                <w:color w:val="auto"/>
                <w:kern w:val="0"/>
                <w:sz w:val="24"/>
                <w:szCs w:val="40"/>
                <w:lang w:val="en-US" w:eastAsia="zh-CN" w:bidi="ar-SA"/>
              </w:rPr>
              <w:t>生产工艺见下图：</w:t>
            </w:r>
          </w:p>
          <w:p w14:paraId="1896E757">
            <w:pPr>
              <w:spacing w:line="360" w:lineRule="auto"/>
              <w:ind w:firstLine="420" w:firstLineChars="200"/>
              <w:rPr>
                <w:rFonts w:hint="eastAsia" w:cs="Times New Roman"/>
                <w:color w:val="auto"/>
                <w:kern w:val="0"/>
                <w:sz w:val="24"/>
                <w:szCs w:val="40"/>
                <w:lang w:val="en-US" w:eastAsia="zh-CN" w:bidi="ar-SA"/>
              </w:rPr>
            </w:pPr>
            <w:r>
              <w:rPr>
                <w:color w:val="auto"/>
              </w:rPr>
              <w:drawing>
                <wp:inline distT="0" distB="0" distL="114300" distR="114300">
                  <wp:extent cx="4343400" cy="2552700"/>
                  <wp:effectExtent l="0" t="0" r="0" b="0"/>
                  <wp:docPr id="16"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7"/>
                          <pic:cNvPicPr>
                            <a:picLocks noChangeAspect="1"/>
                          </pic:cNvPicPr>
                        </pic:nvPicPr>
                        <pic:blipFill>
                          <a:blip r:embed="rId26"/>
                          <a:stretch>
                            <a:fillRect/>
                          </a:stretch>
                        </pic:blipFill>
                        <pic:spPr>
                          <a:xfrm>
                            <a:off x="0" y="0"/>
                            <a:ext cx="4343400" cy="2552700"/>
                          </a:xfrm>
                          <a:prstGeom prst="rect">
                            <a:avLst/>
                          </a:prstGeom>
                          <a:noFill/>
                          <a:ln>
                            <a:noFill/>
                          </a:ln>
                        </pic:spPr>
                      </pic:pic>
                    </a:graphicData>
                  </a:graphic>
                </wp:inline>
              </w:drawing>
            </w:r>
          </w:p>
          <w:p w14:paraId="3988467D">
            <w:pPr>
              <w:spacing w:line="360" w:lineRule="auto"/>
              <w:ind w:firstLine="1687" w:firstLineChars="800"/>
              <w:rPr>
                <w:rFonts w:hint="default" w:ascii="Times New Roman" w:hAnsi="Times New Roman" w:eastAsia="宋体" w:cs="Times New Roman"/>
                <w:color w:val="auto"/>
                <w:kern w:val="0"/>
                <w:sz w:val="24"/>
                <w:szCs w:val="40"/>
                <w:lang w:val="en-US" w:eastAsia="zh-CN" w:bidi="ar-SA"/>
              </w:rPr>
            </w:pPr>
            <w:r>
              <w:rPr>
                <w:b/>
                <w:bCs/>
                <w:color w:val="auto"/>
                <w:sz w:val="21"/>
                <w:szCs w:val="22"/>
              </w:rPr>
              <w:t>图4-</w:t>
            </w:r>
            <w:r>
              <w:rPr>
                <w:rFonts w:hint="eastAsia"/>
                <w:b/>
                <w:bCs/>
                <w:color w:val="auto"/>
                <w:sz w:val="21"/>
                <w:szCs w:val="22"/>
                <w:lang w:val="en-US" w:eastAsia="zh-CN"/>
              </w:rPr>
              <w:t>6</w:t>
            </w:r>
            <w:r>
              <w:rPr>
                <w:b/>
                <w:bCs/>
                <w:color w:val="auto"/>
                <w:sz w:val="21"/>
                <w:szCs w:val="22"/>
              </w:rPr>
              <w:t xml:space="preserve">    </w:t>
            </w:r>
            <w:r>
              <w:rPr>
                <w:rFonts w:hint="eastAsia"/>
                <w:b/>
                <w:bCs/>
                <w:color w:val="auto"/>
                <w:sz w:val="21"/>
                <w:szCs w:val="22"/>
                <w:lang w:val="en-US" w:eastAsia="zh-CN"/>
              </w:rPr>
              <w:t>镶黄旗</w:t>
            </w:r>
            <w:r>
              <w:rPr>
                <w:b/>
                <w:bCs/>
                <w:color w:val="auto"/>
                <w:sz w:val="21"/>
                <w:szCs w:val="22"/>
              </w:rPr>
              <w:t>污水处理</w:t>
            </w:r>
            <w:r>
              <w:rPr>
                <w:rFonts w:hint="eastAsia"/>
                <w:b/>
                <w:bCs/>
                <w:color w:val="auto"/>
                <w:sz w:val="21"/>
                <w:szCs w:val="22"/>
                <w:lang w:val="en-US" w:eastAsia="zh-CN"/>
              </w:rPr>
              <w:t>厂</w:t>
            </w:r>
            <w:r>
              <w:rPr>
                <w:b/>
                <w:bCs/>
                <w:color w:val="auto"/>
                <w:sz w:val="21"/>
                <w:szCs w:val="22"/>
              </w:rPr>
              <w:t>工艺</w:t>
            </w:r>
          </w:p>
          <w:p w14:paraId="27BE31CD">
            <w:pPr>
              <w:spacing w:line="360" w:lineRule="auto"/>
              <w:ind w:firstLine="480" w:firstLineChars="200"/>
              <w:rPr>
                <w:rFonts w:hint="default" w:ascii="Times New Roman" w:hAnsi="Times New Roman" w:eastAsia="宋体" w:cs="Times New Roman"/>
                <w:color w:val="auto"/>
                <w:kern w:val="0"/>
                <w:sz w:val="24"/>
                <w:szCs w:val="40"/>
                <w:lang w:val="en-US" w:eastAsia="zh-CN" w:bidi="ar-SA"/>
              </w:rPr>
            </w:pPr>
            <w:r>
              <w:rPr>
                <w:rFonts w:hint="default" w:ascii="Times New Roman" w:hAnsi="Times New Roman" w:eastAsia="宋体" w:cs="Times New Roman"/>
                <w:color w:val="auto"/>
                <w:kern w:val="0"/>
                <w:sz w:val="24"/>
                <w:szCs w:val="40"/>
                <w:lang w:val="en-US" w:eastAsia="zh-CN" w:bidi="ar-SA"/>
              </w:rPr>
              <w:t>根据镶黄旗新宝拉格镇污水处理厂</w:t>
            </w:r>
            <w:r>
              <w:rPr>
                <w:rFonts w:hint="eastAsia" w:cs="Times New Roman"/>
                <w:color w:val="auto"/>
                <w:kern w:val="0"/>
                <w:sz w:val="24"/>
                <w:szCs w:val="40"/>
                <w:lang w:val="en-US" w:eastAsia="zh-CN" w:bidi="ar-SA"/>
              </w:rPr>
              <w:t>排污许可证</w:t>
            </w:r>
            <w:r>
              <w:rPr>
                <w:rFonts w:hint="default" w:ascii="Times New Roman" w:hAnsi="Times New Roman" w:eastAsia="宋体" w:cs="Times New Roman"/>
                <w:color w:val="auto"/>
                <w:kern w:val="0"/>
                <w:sz w:val="24"/>
                <w:szCs w:val="40"/>
                <w:lang w:val="en-US" w:eastAsia="zh-CN" w:bidi="ar-SA"/>
              </w:rPr>
              <w:t>可知，镶黄旗新宝拉格镇污水处理厂</w:t>
            </w:r>
            <w:r>
              <w:rPr>
                <w:rFonts w:hint="eastAsia" w:cs="Times New Roman"/>
                <w:color w:val="auto"/>
                <w:kern w:val="0"/>
                <w:sz w:val="24"/>
                <w:szCs w:val="40"/>
                <w:lang w:val="en-US" w:eastAsia="zh-CN" w:bidi="ar-SA"/>
              </w:rPr>
              <w:t>处理规模</w:t>
            </w:r>
            <w:r>
              <w:rPr>
                <w:rFonts w:hint="default" w:ascii="Times New Roman" w:hAnsi="Times New Roman" w:eastAsia="宋体" w:cs="Times New Roman"/>
                <w:color w:val="auto"/>
                <w:kern w:val="0"/>
                <w:sz w:val="24"/>
                <w:szCs w:val="40"/>
                <w:lang w:val="en-US" w:eastAsia="zh-CN" w:bidi="ar-SA"/>
              </w:rPr>
              <w:t>为</w:t>
            </w:r>
            <w:r>
              <w:rPr>
                <w:rFonts w:hint="eastAsia" w:cs="Times New Roman"/>
                <w:color w:val="auto"/>
                <w:kern w:val="0"/>
                <w:sz w:val="24"/>
                <w:szCs w:val="40"/>
                <w:lang w:val="en-US" w:eastAsia="zh-CN" w:bidi="ar-SA"/>
              </w:rPr>
              <w:t>4500</w:t>
            </w:r>
            <w:r>
              <w:rPr>
                <w:rFonts w:hint="default" w:ascii="Times New Roman" w:hAnsi="Times New Roman" w:eastAsia="宋体" w:cs="Times New Roman"/>
                <w:color w:val="auto"/>
                <w:kern w:val="0"/>
                <w:sz w:val="24"/>
                <w:szCs w:val="40"/>
                <w:lang w:val="en-US" w:eastAsia="zh-CN" w:bidi="ar-SA"/>
              </w:rPr>
              <w:t>m</w:t>
            </w:r>
            <w:r>
              <w:rPr>
                <w:rFonts w:hint="default" w:ascii="Times New Roman" w:hAnsi="Times New Roman" w:eastAsia="宋体" w:cs="Times New Roman"/>
                <w:color w:val="auto"/>
                <w:kern w:val="0"/>
                <w:sz w:val="24"/>
                <w:szCs w:val="40"/>
                <w:vertAlign w:val="superscript"/>
                <w:lang w:val="en-US" w:eastAsia="zh-CN" w:bidi="ar-SA"/>
              </w:rPr>
              <w:t>3</w:t>
            </w:r>
            <w:r>
              <w:rPr>
                <w:rFonts w:hint="default" w:ascii="Times New Roman" w:hAnsi="Times New Roman" w:eastAsia="宋体" w:cs="Times New Roman"/>
                <w:color w:val="auto"/>
                <w:kern w:val="0"/>
                <w:sz w:val="24"/>
                <w:szCs w:val="40"/>
                <w:lang w:val="en-US" w:eastAsia="zh-CN" w:bidi="ar-SA"/>
              </w:rPr>
              <w:t>/d，</w:t>
            </w:r>
            <w:r>
              <w:rPr>
                <w:rFonts w:hint="eastAsia" w:cs="Times New Roman"/>
                <w:color w:val="auto"/>
                <w:kern w:val="0"/>
                <w:sz w:val="24"/>
                <w:szCs w:val="40"/>
                <w:lang w:val="en-US" w:eastAsia="zh-CN" w:bidi="ar-SA"/>
              </w:rPr>
              <w:t>现有接收污水处理为3500</w:t>
            </w:r>
            <w:r>
              <w:rPr>
                <w:rFonts w:hint="default" w:ascii="Times New Roman" w:hAnsi="Times New Roman" w:eastAsia="宋体" w:cs="Times New Roman"/>
                <w:color w:val="auto"/>
                <w:kern w:val="0"/>
                <w:sz w:val="24"/>
                <w:szCs w:val="40"/>
                <w:lang w:val="en-US" w:eastAsia="zh-CN" w:bidi="ar-SA"/>
              </w:rPr>
              <w:t>m</w:t>
            </w:r>
            <w:r>
              <w:rPr>
                <w:rFonts w:hint="default" w:ascii="Times New Roman" w:hAnsi="Times New Roman" w:eastAsia="宋体" w:cs="Times New Roman"/>
                <w:color w:val="auto"/>
                <w:kern w:val="0"/>
                <w:sz w:val="24"/>
                <w:szCs w:val="40"/>
                <w:vertAlign w:val="superscript"/>
                <w:lang w:val="en-US" w:eastAsia="zh-CN" w:bidi="ar-SA"/>
              </w:rPr>
              <w:t>3</w:t>
            </w:r>
            <w:r>
              <w:rPr>
                <w:rFonts w:hint="default" w:ascii="Times New Roman" w:hAnsi="Times New Roman" w:eastAsia="宋体" w:cs="Times New Roman"/>
                <w:color w:val="auto"/>
                <w:kern w:val="0"/>
                <w:sz w:val="24"/>
                <w:szCs w:val="40"/>
                <w:lang w:val="en-US" w:eastAsia="zh-CN" w:bidi="ar-SA"/>
              </w:rPr>
              <w:t>/d，</w:t>
            </w:r>
            <w:r>
              <w:rPr>
                <w:rFonts w:hint="eastAsia" w:ascii="Times New Roman" w:hAnsi="Times New Roman" w:eastAsia="宋体" w:cs="Times New Roman"/>
                <w:color w:val="auto"/>
                <w:kern w:val="0"/>
                <w:sz w:val="24"/>
                <w:szCs w:val="40"/>
                <w:lang w:val="en-US" w:eastAsia="zh-CN" w:bidi="ar-SA"/>
              </w:rPr>
              <w:t>本项目污水日排放量</w:t>
            </w:r>
            <w:r>
              <w:rPr>
                <w:rFonts w:hint="eastAsia" w:cs="Times New Roman"/>
                <w:color w:val="auto"/>
                <w:kern w:val="0"/>
                <w:sz w:val="24"/>
                <w:szCs w:val="40"/>
                <w:lang w:val="en-US" w:eastAsia="zh-CN" w:bidi="ar-SA"/>
              </w:rPr>
              <w:t>4.6</w:t>
            </w:r>
            <w:r>
              <w:rPr>
                <w:rFonts w:hint="eastAsia" w:ascii="Times New Roman" w:hAnsi="Times New Roman" w:eastAsia="宋体" w:cs="Times New Roman"/>
                <w:color w:val="auto"/>
                <w:kern w:val="0"/>
                <w:sz w:val="24"/>
                <w:szCs w:val="40"/>
                <w:lang w:val="en-US" w:eastAsia="zh-CN" w:bidi="ar-SA"/>
              </w:rPr>
              <w:t>m</w:t>
            </w:r>
            <w:r>
              <w:rPr>
                <w:rFonts w:hint="default" w:ascii="Times New Roman" w:hAnsi="Times New Roman" w:eastAsia="宋体" w:cs="Times New Roman"/>
                <w:color w:val="auto"/>
                <w:kern w:val="0"/>
                <w:sz w:val="24"/>
                <w:szCs w:val="40"/>
                <w:vertAlign w:val="superscript"/>
                <w:lang w:val="en-US" w:eastAsia="zh-CN" w:bidi="ar-SA"/>
              </w:rPr>
              <w:t>3</w:t>
            </w:r>
            <w:r>
              <w:rPr>
                <w:rFonts w:hint="eastAsia" w:ascii="Times New Roman" w:hAnsi="Times New Roman" w:eastAsia="宋体" w:cs="Times New Roman"/>
                <w:color w:val="auto"/>
                <w:kern w:val="0"/>
                <w:sz w:val="24"/>
                <w:szCs w:val="40"/>
                <w:lang w:val="en-US" w:eastAsia="zh-CN" w:bidi="ar-SA"/>
              </w:rPr>
              <w:t>/d，</w:t>
            </w:r>
            <w:r>
              <w:rPr>
                <w:rFonts w:hint="default" w:ascii="Times New Roman" w:hAnsi="Times New Roman" w:eastAsia="宋体" w:cs="Times New Roman"/>
                <w:color w:val="auto"/>
                <w:kern w:val="0"/>
                <w:sz w:val="24"/>
                <w:szCs w:val="40"/>
                <w:lang w:val="en-US" w:eastAsia="zh-CN" w:bidi="ar-SA"/>
              </w:rPr>
              <w:t>镶黄旗新宝拉格镇污水处理厂处理水量可接纳本项目污水</w:t>
            </w:r>
            <w:r>
              <w:rPr>
                <w:rFonts w:hint="eastAsia" w:cs="Times New Roman"/>
                <w:color w:val="auto"/>
                <w:kern w:val="0"/>
                <w:sz w:val="24"/>
                <w:szCs w:val="40"/>
                <w:lang w:val="en-US" w:eastAsia="zh-CN" w:bidi="ar-SA"/>
              </w:rPr>
              <w:t>量</w:t>
            </w:r>
            <w:r>
              <w:rPr>
                <w:rFonts w:hint="default" w:ascii="Times New Roman" w:hAnsi="Times New Roman" w:eastAsia="宋体" w:cs="Times New Roman"/>
                <w:color w:val="auto"/>
                <w:kern w:val="0"/>
                <w:sz w:val="24"/>
                <w:szCs w:val="40"/>
                <w:lang w:val="en-US" w:eastAsia="zh-CN" w:bidi="ar-SA"/>
              </w:rPr>
              <w:t>。</w:t>
            </w:r>
          </w:p>
          <w:p w14:paraId="3FD9F6A5">
            <w:pPr>
              <w:pStyle w:val="11"/>
              <w:spacing w:before="0" w:after="0" w:line="360" w:lineRule="auto"/>
              <w:ind w:right="0" w:firstLine="480" w:firstLineChars="200"/>
              <w:rPr>
                <w:rFonts w:hint="eastAsia"/>
                <w:color w:val="auto"/>
                <w:sz w:val="24"/>
                <w:szCs w:val="40"/>
              </w:rPr>
            </w:pPr>
            <w:r>
              <w:rPr>
                <w:rFonts w:hint="default" w:ascii="Times New Roman" w:hAnsi="Times New Roman" w:eastAsia="宋体" w:cs="Times New Roman"/>
                <w:color w:val="auto"/>
                <w:kern w:val="0"/>
                <w:sz w:val="24"/>
                <w:szCs w:val="40"/>
                <w:lang w:val="en-US" w:eastAsia="zh-CN" w:bidi="ar-SA"/>
              </w:rPr>
              <w:t>镶黄旗新宝拉格镇污水处理厂</w:t>
            </w:r>
            <w:r>
              <w:rPr>
                <w:rFonts w:hint="eastAsia"/>
                <w:color w:val="auto"/>
                <w:sz w:val="24"/>
                <w:szCs w:val="40"/>
              </w:rPr>
              <w:t>出水水质执行《城镇污水处理厂污染物排放标准》（GB18918-2002）及其修改单表1中一级A标准</w:t>
            </w:r>
            <w:r>
              <w:rPr>
                <w:rFonts w:hint="eastAsia"/>
                <w:color w:val="auto"/>
                <w:sz w:val="24"/>
                <w:szCs w:val="40"/>
                <w:lang w:eastAsia="zh-CN"/>
              </w:rPr>
              <w:t>，</w:t>
            </w:r>
            <w:r>
              <w:rPr>
                <w:rFonts w:hint="eastAsia"/>
                <w:color w:val="auto"/>
                <w:sz w:val="24"/>
                <w:szCs w:val="40"/>
              </w:rPr>
              <w:t>本项目产生的废水经污水处理站处理后，废水中污染物浓度达到《肉类加工工业水污染物排放标准》（GB13457-92）三级标准，故</w:t>
            </w:r>
            <w:r>
              <w:rPr>
                <w:rFonts w:hint="default" w:ascii="Times New Roman" w:hAnsi="Times New Roman" w:eastAsia="宋体" w:cs="Times New Roman"/>
                <w:color w:val="auto"/>
                <w:kern w:val="0"/>
                <w:sz w:val="24"/>
                <w:szCs w:val="40"/>
                <w:lang w:val="en-US" w:eastAsia="zh-CN" w:bidi="ar-SA"/>
              </w:rPr>
              <w:t>镶黄旗新宝拉格镇污水处理</w:t>
            </w:r>
            <w:r>
              <w:rPr>
                <w:rFonts w:hint="eastAsia" w:cs="Times New Roman"/>
                <w:color w:val="auto"/>
                <w:kern w:val="0"/>
                <w:sz w:val="24"/>
                <w:szCs w:val="40"/>
                <w:lang w:val="en-US" w:eastAsia="zh-CN" w:bidi="ar-SA"/>
              </w:rPr>
              <w:t>厂</w:t>
            </w:r>
            <w:r>
              <w:rPr>
                <w:rFonts w:hint="eastAsia"/>
                <w:color w:val="auto"/>
                <w:sz w:val="24"/>
                <w:szCs w:val="40"/>
              </w:rPr>
              <w:t>接纳本项目废水</w:t>
            </w:r>
            <w:r>
              <w:rPr>
                <w:rFonts w:hint="eastAsia"/>
                <w:color w:val="auto"/>
                <w:sz w:val="24"/>
                <w:szCs w:val="40"/>
                <w:lang w:val="en-US" w:eastAsia="zh-CN"/>
              </w:rPr>
              <w:t>水质</w:t>
            </w:r>
            <w:r>
              <w:rPr>
                <w:rFonts w:hint="eastAsia"/>
                <w:color w:val="auto"/>
                <w:sz w:val="24"/>
                <w:szCs w:val="40"/>
              </w:rPr>
              <w:t>可行。</w:t>
            </w:r>
          </w:p>
          <w:p w14:paraId="32B80B02">
            <w:pPr>
              <w:pStyle w:val="11"/>
              <w:spacing w:before="0" w:after="0" w:line="360" w:lineRule="auto"/>
              <w:ind w:right="0" w:firstLine="482" w:firstLineChars="200"/>
              <w:rPr>
                <w:b/>
                <w:bCs/>
                <w:color w:val="auto"/>
                <w:kern w:val="2"/>
                <w:sz w:val="24"/>
                <w:szCs w:val="24"/>
              </w:rPr>
            </w:pPr>
            <w:r>
              <w:rPr>
                <w:rFonts w:hint="eastAsia"/>
                <w:b/>
                <w:bCs/>
                <w:color w:val="auto"/>
                <w:kern w:val="2"/>
                <w:sz w:val="24"/>
                <w:szCs w:val="24"/>
              </w:rPr>
              <w:t>2.5地下水环境影响分析</w:t>
            </w:r>
          </w:p>
          <w:p w14:paraId="5697A382">
            <w:pPr>
              <w:pStyle w:val="11"/>
              <w:spacing w:before="0" w:after="0" w:line="360" w:lineRule="auto"/>
              <w:ind w:right="0" w:firstLine="480" w:firstLineChars="200"/>
              <w:rPr>
                <w:rFonts w:hint="eastAsia"/>
                <w:color w:val="auto"/>
                <w:sz w:val="24"/>
                <w:szCs w:val="40"/>
              </w:rPr>
            </w:pPr>
            <w:r>
              <w:rPr>
                <w:rFonts w:hint="eastAsia"/>
                <w:color w:val="auto"/>
                <w:sz w:val="24"/>
                <w:szCs w:val="40"/>
              </w:rPr>
              <w:t>生</w:t>
            </w:r>
            <w:r>
              <w:rPr>
                <w:rFonts w:hint="eastAsia"/>
                <w:color w:val="auto"/>
                <w:sz w:val="24"/>
                <w:szCs w:val="40"/>
                <w:lang w:val="en-US" w:eastAsia="zh-CN"/>
              </w:rPr>
              <w:t>活</w:t>
            </w:r>
            <w:r>
              <w:rPr>
                <w:rFonts w:hint="eastAsia"/>
                <w:color w:val="auto"/>
                <w:sz w:val="24"/>
                <w:szCs w:val="40"/>
              </w:rPr>
              <w:t>废水经防渗化粪池沉淀、腐化处理后，</w:t>
            </w:r>
            <w:r>
              <w:rPr>
                <w:rFonts w:hint="eastAsia"/>
                <w:color w:val="auto"/>
                <w:sz w:val="24"/>
                <w:szCs w:val="40"/>
                <w:lang w:val="en-US" w:eastAsia="zh-CN"/>
              </w:rPr>
              <w:t>排</w:t>
            </w:r>
            <w:r>
              <w:rPr>
                <w:rFonts w:hint="eastAsia"/>
                <w:color w:val="auto"/>
                <w:sz w:val="24"/>
                <w:szCs w:val="40"/>
              </w:rPr>
              <w:t>入</w:t>
            </w:r>
            <w:r>
              <w:rPr>
                <w:rFonts w:hint="eastAsia"/>
                <w:bCs/>
                <w:color w:val="auto"/>
                <w:sz w:val="24"/>
                <w:lang w:val="en-US" w:eastAsia="zh-CN"/>
              </w:rPr>
              <w:t>市政</w:t>
            </w:r>
            <w:r>
              <w:rPr>
                <w:rFonts w:hint="eastAsia"/>
                <w:color w:val="auto"/>
                <w:sz w:val="24"/>
                <w:szCs w:val="40"/>
              </w:rPr>
              <w:t>污水管网。生产废水主要为</w:t>
            </w:r>
            <w:r>
              <w:rPr>
                <w:rFonts w:hint="eastAsia"/>
                <w:color w:val="auto"/>
                <w:sz w:val="24"/>
                <w:szCs w:val="40"/>
                <w:lang w:val="en-US" w:eastAsia="zh-CN"/>
              </w:rPr>
              <w:t>清洗、分割、搅拌、蒸煮、沥水甩干、滚揉腌制过程产生</w:t>
            </w:r>
            <w:r>
              <w:rPr>
                <w:rFonts w:hint="eastAsia"/>
                <w:color w:val="auto"/>
                <w:sz w:val="24"/>
                <w:szCs w:val="40"/>
              </w:rPr>
              <w:t>，</w:t>
            </w:r>
            <w:r>
              <w:rPr>
                <w:rFonts w:hint="eastAsia"/>
                <w:color w:val="auto"/>
                <w:sz w:val="24"/>
                <w:szCs w:val="40"/>
                <w:lang w:val="en-US" w:eastAsia="zh-CN"/>
              </w:rPr>
              <w:t>经过</w:t>
            </w:r>
            <w:r>
              <w:rPr>
                <w:rFonts w:hint="eastAsia"/>
                <w:color w:val="auto"/>
                <w:sz w:val="24"/>
                <w:szCs w:val="40"/>
              </w:rPr>
              <w:t>厂区内污水处理站</w:t>
            </w:r>
            <w:r>
              <w:rPr>
                <w:rFonts w:hint="eastAsia"/>
                <w:color w:val="auto"/>
                <w:sz w:val="24"/>
                <w:szCs w:val="40"/>
                <w:lang w:val="en-US" w:eastAsia="zh-CN"/>
              </w:rPr>
              <w:t>处理后</w:t>
            </w:r>
            <w:r>
              <w:rPr>
                <w:rFonts w:hint="eastAsia"/>
                <w:color w:val="auto"/>
                <w:sz w:val="24"/>
                <w:szCs w:val="40"/>
              </w:rPr>
              <w:t>，</w:t>
            </w:r>
            <w:r>
              <w:rPr>
                <w:rFonts w:hint="eastAsia"/>
                <w:color w:val="auto"/>
                <w:sz w:val="24"/>
                <w:szCs w:val="40"/>
                <w:lang w:val="en-US" w:eastAsia="zh-CN"/>
              </w:rPr>
              <w:t>排</w:t>
            </w:r>
            <w:r>
              <w:rPr>
                <w:rFonts w:hint="eastAsia"/>
                <w:color w:val="auto"/>
                <w:sz w:val="24"/>
                <w:szCs w:val="40"/>
              </w:rPr>
              <w:t>入</w:t>
            </w:r>
            <w:r>
              <w:rPr>
                <w:rFonts w:hint="eastAsia"/>
                <w:bCs/>
                <w:color w:val="auto"/>
                <w:sz w:val="24"/>
                <w:lang w:val="en-US" w:eastAsia="zh-CN"/>
              </w:rPr>
              <w:t>市政</w:t>
            </w:r>
            <w:r>
              <w:rPr>
                <w:rFonts w:hint="eastAsia"/>
                <w:color w:val="auto"/>
                <w:sz w:val="24"/>
                <w:szCs w:val="40"/>
              </w:rPr>
              <w:t>污水管网。</w:t>
            </w:r>
          </w:p>
          <w:p w14:paraId="39138DBE">
            <w:pPr>
              <w:pStyle w:val="11"/>
              <w:spacing w:before="0" w:after="0" w:line="360" w:lineRule="auto"/>
              <w:ind w:right="0" w:firstLine="480" w:firstLineChars="200"/>
              <w:rPr>
                <w:color w:val="auto"/>
                <w:sz w:val="24"/>
                <w:szCs w:val="40"/>
              </w:rPr>
            </w:pPr>
            <w:r>
              <w:rPr>
                <w:rFonts w:hint="eastAsia"/>
                <w:color w:val="auto"/>
                <w:sz w:val="24"/>
                <w:szCs w:val="40"/>
              </w:rPr>
              <w:t>项目废水若不进行有效收集处理，将会导致废水下渗污染地下水。因此项目建设过程需对地下水进行保护。厂区对地下水的污染主要</w:t>
            </w:r>
            <w:r>
              <w:rPr>
                <w:rFonts w:hint="eastAsia"/>
                <w:color w:val="auto"/>
                <w:sz w:val="24"/>
                <w:szCs w:val="40"/>
                <w:lang w:eastAsia="zh-CN"/>
              </w:rPr>
              <w:t>来自</w:t>
            </w:r>
            <w:r>
              <w:rPr>
                <w:rFonts w:hint="eastAsia"/>
                <w:color w:val="auto"/>
                <w:sz w:val="24"/>
                <w:szCs w:val="40"/>
              </w:rPr>
              <w:t>：厂区污废水对地下水的影响。因此本项目需采取有效的防渗措施。对生产废水和生活污水应进行收集，管网和装置区地面应采取防渗处理，</w:t>
            </w:r>
            <w:r>
              <w:rPr>
                <w:rFonts w:hint="eastAsia"/>
                <w:color w:val="auto"/>
                <w:sz w:val="24"/>
                <w:szCs w:val="40"/>
                <w:lang w:val="en-US" w:eastAsia="zh-CN"/>
              </w:rPr>
              <w:t>生产车间</w:t>
            </w:r>
            <w:r>
              <w:rPr>
                <w:rFonts w:hint="eastAsia"/>
                <w:color w:val="auto"/>
                <w:sz w:val="24"/>
                <w:szCs w:val="40"/>
              </w:rPr>
              <w:t>、污水处理站、化粪池等均应进行防渗设施。厂区地面均铺设水泥隔水层，可有效避免污染地下水。</w:t>
            </w:r>
          </w:p>
          <w:p w14:paraId="62E8D5BF">
            <w:pPr>
              <w:pStyle w:val="11"/>
              <w:spacing w:before="0" w:after="0" w:line="360" w:lineRule="auto"/>
              <w:ind w:right="0" w:firstLine="480" w:firstLineChars="200"/>
              <w:rPr>
                <w:color w:val="auto"/>
                <w:sz w:val="24"/>
                <w:szCs w:val="40"/>
              </w:rPr>
            </w:pPr>
            <w:r>
              <w:rPr>
                <w:rFonts w:hint="eastAsia"/>
                <w:color w:val="auto"/>
                <w:sz w:val="24"/>
                <w:szCs w:val="40"/>
              </w:rPr>
              <w:t>本项目地下水防治措施：</w:t>
            </w:r>
          </w:p>
          <w:p w14:paraId="45927205">
            <w:pPr>
              <w:pStyle w:val="11"/>
              <w:spacing w:before="0" w:after="0" w:line="360" w:lineRule="auto"/>
              <w:ind w:right="0" w:firstLine="480" w:firstLineChars="200"/>
              <w:rPr>
                <w:color w:val="auto"/>
                <w:sz w:val="24"/>
                <w:szCs w:val="40"/>
              </w:rPr>
            </w:pPr>
            <w:r>
              <w:rPr>
                <w:rFonts w:hint="eastAsia"/>
                <w:color w:val="auto"/>
                <w:sz w:val="24"/>
                <w:szCs w:val="40"/>
              </w:rPr>
              <w:t>依据原料、辅助原料、产品的生产、输送、储存、污水处理等环节分为一般防渗区和简单防渗区。</w:t>
            </w:r>
          </w:p>
          <w:p w14:paraId="4C49F22B">
            <w:pPr>
              <w:pStyle w:val="11"/>
              <w:spacing w:before="0" w:after="0" w:line="360" w:lineRule="auto"/>
              <w:ind w:right="0" w:firstLine="480" w:firstLineChars="200"/>
              <w:rPr>
                <w:color w:val="0000FF"/>
                <w:sz w:val="24"/>
                <w:szCs w:val="40"/>
              </w:rPr>
            </w:pPr>
            <w:r>
              <w:rPr>
                <w:rFonts w:hint="eastAsia"/>
                <w:color w:val="0000FF"/>
                <w:sz w:val="24"/>
                <w:szCs w:val="40"/>
              </w:rPr>
              <w:t>（</w:t>
            </w:r>
            <w:r>
              <w:rPr>
                <w:rFonts w:hint="eastAsia"/>
                <w:color w:val="0000FF"/>
                <w:sz w:val="24"/>
                <w:szCs w:val="40"/>
                <w:lang w:val="en-US" w:eastAsia="zh-CN"/>
              </w:rPr>
              <w:t>1</w:t>
            </w:r>
            <w:r>
              <w:rPr>
                <w:rFonts w:hint="eastAsia"/>
                <w:color w:val="0000FF"/>
                <w:sz w:val="24"/>
                <w:szCs w:val="40"/>
              </w:rPr>
              <w:t>）一般防渗区</w:t>
            </w:r>
            <w:r>
              <w:commentReference w:id="2"/>
            </w:r>
          </w:p>
          <w:p w14:paraId="28103955">
            <w:pPr>
              <w:pStyle w:val="11"/>
              <w:spacing w:before="0" w:after="0" w:line="360" w:lineRule="auto"/>
              <w:ind w:right="0" w:firstLine="480" w:firstLineChars="200"/>
              <w:rPr>
                <w:rFonts w:hint="default" w:ascii="Times New Roman" w:hAnsi="Times New Roman" w:eastAsia="宋体" w:cs="Times New Roman"/>
                <w:color w:val="0000FF"/>
                <w:sz w:val="24"/>
                <w:szCs w:val="40"/>
              </w:rPr>
            </w:pPr>
            <w:r>
              <w:rPr>
                <w:rFonts w:hint="eastAsia"/>
                <w:color w:val="0000FF"/>
                <w:sz w:val="24"/>
                <w:szCs w:val="40"/>
              </w:rPr>
              <w:t>项目厂区内一般防渗区包括生产车间、污水处理站、</w:t>
            </w:r>
            <w:r>
              <w:rPr>
                <w:rFonts w:hint="eastAsia"/>
                <w:color w:val="0000FF"/>
                <w:sz w:val="24"/>
                <w:szCs w:val="40"/>
                <w:lang w:val="en-US" w:eastAsia="zh-CN"/>
              </w:rPr>
              <w:t>化粪池、</w:t>
            </w:r>
            <w:r>
              <w:rPr>
                <w:rFonts w:hint="eastAsia"/>
                <w:color w:val="0000FF"/>
                <w:sz w:val="24"/>
                <w:szCs w:val="40"/>
              </w:rPr>
              <w:t>一般固废暂存间等区域等，项目采用人工防渗材料和水泥硬化对一般防渗区进行防渗，满足一般防渗区防渗要求，等效黏土防渗层Mb≥1.5m，K≤1.0×10</w:t>
            </w:r>
            <w:r>
              <w:rPr>
                <w:rFonts w:hint="eastAsia"/>
                <w:color w:val="0000FF"/>
                <w:sz w:val="24"/>
                <w:szCs w:val="40"/>
                <w:vertAlign w:val="superscript"/>
              </w:rPr>
              <w:t>-7</w:t>
            </w:r>
            <w:r>
              <w:rPr>
                <w:rFonts w:hint="eastAsia"/>
                <w:color w:val="0000FF"/>
                <w:sz w:val="24"/>
                <w:szCs w:val="40"/>
              </w:rPr>
              <w:t>cm/s</w:t>
            </w:r>
            <w:r>
              <w:rPr>
                <w:rFonts w:hint="default" w:ascii="Times New Roman" w:hAnsi="Times New Roman" w:eastAsia="宋体" w:cs="Times New Roman"/>
                <w:color w:val="0000FF"/>
                <w:sz w:val="24"/>
                <w:szCs w:val="40"/>
              </w:rPr>
              <w:t>。</w:t>
            </w:r>
          </w:p>
          <w:p w14:paraId="481D9AFC">
            <w:pPr>
              <w:pStyle w:val="11"/>
              <w:spacing w:before="0" w:after="0" w:line="360" w:lineRule="auto"/>
              <w:ind w:right="0" w:firstLine="480" w:firstLineChars="200"/>
              <w:rPr>
                <w:color w:val="0000FF"/>
                <w:sz w:val="24"/>
                <w:szCs w:val="40"/>
              </w:rPr>
            </w:pPr>
            <w:r>
              <w:rPr>
                <w:rFonts w:hint="eastAsia"/>
                <w:color w:val="0000FF"/>
                <w:sz w:val="24"/>
                <w:szCs w:val="40"/>
              </w:rPr>
              <w:t>（</w:t>
            </w:r>
            <w:r>
              <w:rPr>
                <w:rFonts w:hint="eastAsia"/>
                <w:color w:val="0000FF"/>
                <w:sz w:val="24"/>
                <w:szCs w:val="40"/>
                <w:lang w:val="en-US" w:eastAsia="zh-CN"/>
              </w:rPr>
              <w:t>2</w:t>
            </w:r>
            <w:r>
              <w:rPr>
                <w:rFonts w:hint="eastAsia"/>
                <w:color w:val="0000FF"/>
                <w:sz w:val="24"/>
                <w:szCs w:val="40"/>
              </w:rPr>
              <w:t>）简单防渗区</w:t>
            </w:r>
          </w:p>
          <w:p w14:paraId="360E0922">
            <w:pPr>
              <w:pStyle w:val="11"/>
              <w:spacing w:before="0" w:after="0" w:line="360" w:lineRule="auto"/>
              <w:ind w:right="0" w:firstLine="480" w:firstLineChars="200"/>
              <w:rPr>
                <w:color w:val="0000FF"/>
                <w:sz w:val="24"/>
                <w:szCs w:val="40"/>
              </w:rPr>
            </w:pPr>
            <w:r>
              <w:rPr>
                <w:rFonts w:hint="eastAsia"/>
                <w:color w:val="0000FF"/>
                <w:sz w:val="24"/>
                <w:szCs w:val="40"/>
              </w:rPr>
              <w:t>项目厂区内简单防渗区为办公区，防渗要求为采用一般地面硬化。项目简单防渗区采用混凝土硬化地面。</w:t>
            </w:r>
          </w:p>
          <w:p w14:paraId="62131E6B">
            <w:pPr>
              <w:pStyle w:val="11"/>
              <w:spacing w:before="0" w:after="0" w:line="360" w:lineRule="auto"/>
              <w:ind w:right="0" w:firstLine="480" w:firstLineChars="200"/>
              <w:rPr>
                <w:color w:val="0000FF"/>
                <w:sz w:val="24"/>
                <w:szCs w:val="40"/>
              </w:rPr>
            </w:pPr>
            <w:r>
              <w:rPr>
                <w:rFonts w:hint="eastAsia"/>
                <w:color w:val="0000FF"/>
                <w:sz w:val="24"/>
                <w:szCs w:val="40"/>
              </w:rPr>
              <w:t>采取上述防渗措施后，项目排水不对地下水环境造成明显影响。</w:t>
            </w:r>
          </w:p>
          <w:p w14:paraId="50AF835A">
            <w:pPr>
              <w:spacing w:line="360" w:lineRule="auto"/>
              <w:ind w:firstLine="442" w:firstLineChars="200"/>
              <w:jc w:val="left"/>
              <w:rPr>
                <w:b/>
                <w:color w:val="auto"/>
                <w:spacing w:val="-10"/>
                <w:sz w:val="24"/>
              </w:rPr>
            </w:pPr>
            <w:r>
              <w:rPr>
                <w:rFonts w:hint="eastAsia"/>
                <w:b/>
                <w:color w:val="auto"/>
                <w:spacing w:val="-10"/>
                <w:sz w:val="24"/>
              </w:rPr>
              <w:t>3、</w:t>
            </w:r>
            <w:r>
              <w:rPr>
                <w:b/>
                <w:color w:val="auto"/>
                <w:spacing w:val="-10"/>
                <w:sz w:val="24"/>
              </w:rPr>
              <w:t>固体废物治理措施</w:t>
            </w:r>
          </w:p>
          <w:p w14:paraId="1EA67938">
            <w:pPr>
              <w:pStyle w:val="11"/>
              <w:spacing w:before="0" w:after="0" w:line="360" w:lineRule="auto"/>
              <w:ind w:right="0" w:firstLine="480" w:firstLineChars="200"/>
              <w:rPr>
                <w:rFonts w:hint="default" w:eastAsia="宋体" w:cs="宋体"/>
                <w:color w:val="auto"/>
                <w:sz w:val="24"/>
                <w:szCs w:val="24"/>
                <w:lang w:val="en-US" w:eastAsia="zh-CN"/>
              </w:rPr>
            </w:pPr>
            <w:r>
              <w:rPr>
                <w:rFonts w:hint="eastAsia" w:cs="宋体"/>
                <w:color w:val="auto"/>
                <w:sz w:val="24"/>
                <w:szCs w:val="24"/>
                <w:lang w:val="en-US" w:eastAsia="zh-CN"/>
              </w:rPr>
              <w:t>3.1产污环节及污染源分析</w:t>
            </w:r>
          </w:p>
          <w:p w14:paraId="523637FA">
            <w:pPr>
              <w:pStyle w:val="68"/>
              <w:ind w:firstLine="480"/>
              <w:rPr>
                <w:rFonts w:hint="default" w:eastAsia="宋体"/>
                <w:color w:val="auto"/>
                <w:lang w:val="en-US" w:eastAsia="zh-CN"/>
              </w:rPr>
            </w:pPr>
            <w:r>
              <w:rPr>
                <w:rFonts w:hint="eastAsia"/>
                <w:color w:val="auto"/>
                <w:lang w:val="en-US" w:eastAsia="zh-CN"/>
              </w:rPr>
              <w:t>固体废物主要产污环节见表4-9。</w:t>
            </w:r>
          </w:p>
          <w:p w14:paraId="369BB3F0">
            <w:pPr>
              <w:pStyle w:val="68"/>
              <w:ind w:left="0" w:leftChars="0" w:firstLine="0" w:firstLineChars="0"/>
              <w:jc w:val="center"/>
              <w:rPr>
                <w:rFonts w:hint="default" w:eastAsia="宋体" w:cs="Times New Roman"/>
                <w:b/>
                <w:bCs/>
                <w:color w:val="auto"/>
                <w:lang w:val="en-US" w:eastAsia="zh-CN"/>
              </w:rPr>
            </w:pPr>
            <w:r>
              <w:rPr>
                <w:rFonts w:hint="eastAsia" w:cs="Times New Roman"/>
                <w:b/>
                <w:bCs/>
                <w:color w:val="auto"/>
                <w:sz w:val="21"/>
                <w:szCs w:val="21"/>
                <w:lang w:val="en-US" w:eastAsia="zh-CN"/>
              </w:rPr>
              <w:t>表4-9   固体废物主要产污环节一览表</w:t>
            </w:r>
          </w:p>
          <w:tbl>
            <w:tblPr>
              <w:tblStyle w:val="32"/>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7"/>
              <w:gridCol w:w="1001"/>
              <w:gridCol w:w="2012"/>
              <w:gridCol w:w="2216"/>
              <w:gridCol w:w="2216"/>
            </w:tblGrid>
            <w:tr w14:paraId="77F89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 w:type="pct"/>
                  <w:vAlign w:val="center"/>
                </w:tcPr>
                <w:p w14:paraId="2B94CA2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eastAsia" w:ascii="Times New Roman" w:hAnsi="Times New Roman" w:cs="Times New Roman"/>
                      <w:b/>
                      <w:bCs/>
                      <w:color w:val="auto"/>
                      <w:sz w:val="21"/>
                      <w:szCs w:val="21"/>
                      <w:vertAlign w:val="baseline"/>
                      <w:lang w:val="en-US" w:eastAsia="zh-CN"/>
                    </w:rPr>
                    <w:t>类别</w:t>
                  </w:r>
                </w:p>
              </w:tc>
              <w:tc>
                <w:tcPr>
                  <w:tcW w:w="623" w:type="pct"/>
                  <w:vAlign w:val="center"/>
                </w:tcPr>
                <w:p w14:paraId="4676569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eastAsia" w:ascii="Times New Roman" w:hAnsi="Times New Roman" w:cs="Times New Roman"/>
                      <w:b/>
                      <w:bCs/>
                      <w:color w:val="auto"/>
                      <w:sz w:val="21"/>
                      <w:szCs w:val="21"/>
                      <w:vertAlign w:val="baseline"/>
                      <w:lang w:val="en-US" w:eastAsia="zh-CN"/>
                    </w:rPr>
                    <w:t>固废种类</w:t>
                  </w:r>
                </w:p>
              </w:tc>
              <w:tc>
                <w:tcPr>
                  <w:tcW w:w="1252" w:type="pct"/>
                  <w:vAlign w:val="center"/>
                </w:tcPr>
                <w:p w14:paraId="6E48BC22">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bCs/>
                      <w:color w:val="auto"/>
                      <w:sz w:val="21"/>
                      <w:szCs w:val="21"/>
                      <w:vertAlign w:val="baseline"/>
                      <w:lang w:val="en-US" w:eastAsia="zh-CN"/>
                    </w:rPr>
                  </w:pPr>
                  <w:r>
                    <w:rPr>
                      <w:rFonts w:hint="eastAsia" w:ascii="Times New Roman" w:hAnsi="Times New Roman" w:eastAsia="宋体" w:cs="Times New Roman"/>
                      <w:b/>
                      <w:bCs/>
                      <w:color w:val="auto"/>
                      <w:sz w:val="21"/>
                      <w:szCs w:val="21"/>
                      <w:vertAlign w:val="baseline"/>
                      <w:lang w:val="en-US" w:eastAsia="zh-CN"/>
                    </w:rPr>
                    <w:t>产污环节</w:t>
                  </w:r>
                </w:p>
              </w:tc>
              <w:tc>
                <w:tcPr>
                  <w:tcW w:w="1379" w:type="pct"/>
                  <w:vAlign w:val="center"/>
                </w:tcPr>
                <w:p w14:paraId="384A20D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lang w:val="en-US" w:eastAsia="zh-CN"/>
                    </w:rPr>
                  </w:pPr>
                  <w:r>
                    <w:rPr>
                      <w:rFonts w:hint="default" w:ascii="Times New Roman" w:hAnsi="Times New Roman" w:cs="Times New Roman"/>
                      <w:b/>
                      <w:bCs/>
                      <w:color w:val="auto"/>
                      <w:sz w:val="21"/>
                      <w:szCs w:val="21"/>
                      <w:vertAlign w:val="baseline"/>
                      <w:lang w:val="en-US" w:eastAsia="zh-CN"/>
                    </w:rPr>
                    <w:t>治理措施及去向</w:t>
                  </w:r>
                </w:p>
              </w:tc>
              <w:tc>
                <w:tcPr>
                  <w:tcW w:w="1379" w:type="pct"/>
                  <w:vAlign w:val="center"/>
                </w:tcPr>
                <w:p w14:paraId="23F2EE6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lang w:val="en-US" w:eastAsia="zh-CN"/>
                    </w:rPr>
                  </w:pPr>
                  <w:r>
                    <w:rPr>
                      <w:rFonts w:hint="eastAsia" w:ascii="Times New Roman" w:hAnsi="Times New Roman" w:cs="Times New Roman"/>
                      <w:b/>
                      <w:bCs/>
                      <w:color w:val="auto"/>
                      <w:sz w:val="21"/>
                      <w:szCs w:val="21"/>
                      <w:vertAlign w:val="baseline"/>
                      <w:lang w:val="en-US" w:eastAsia="zh-CN"/>
                    </w:rPr>
                    <w:t>固废代码</w:t>
                  </w:r>
                </w:p>
              </w:tc>
            </w:tr>
            <w:tr w14:paraId="27495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 w:type="pct"/>
                  <w:vMerge w:val="restart"/>
                  <w:vAlign w:val="center"/>
                </w:tcPr>
                <w:p w14:paraId="1AAD762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bCs/>
                      <w:color w:val="auto"/>
                      <w:sz w:val="21"/>
                      <w:szCs w:val="21"/>
                      <w:vertAlign w:val="baseline"/>
                      <w:lang w:val="en-US" w:eastAsia="zh-CN"/>
                    </w:rPr>
                  </w:pPr>
                  <w:r>
                    <w:rPr>
                      <w:rFonts w:hint="eastAsia" w:ascii="Times New Roman" w:hAnsi="Times New Roman" w:cs="Times New Roman"/>
                      <w:b/>
                      <w:bCs/>
                      <w:color w:val="auto"/>
                      <w:sz w:val="21"/>
                      <w:szCs w:val="21"/>
                      <w:vertAlign w:val="baseline"/>
                      <w:lang w:val="en-US" w:eastAsia="zh-CN"/>
                    </w:rPr>
                    <w:t>固体废物</w:t>
                  </w:r>
                </w:p>
              </w:tc>
              <w:tc>
                <w:tcPr>
                  <w:tcW w:w="623" w:type="pct"/>
                  <w:vAlign w:val="center"/>
                </w:tcPr>
                <w:p w14:paraId="69E63697">
                  <w:pPr>
                    <w:jc w:val="center"/>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color w:val="auto"/>
                      <w:sz w:val="21"/>
                      <w:szCs w:val="21"/>
                    </w:rPr>
                    <w:t>生活垃圾</w:t>
                  </w:r>
                </w:p>
              </w:tc>
              <w:tc>
                <w:tcPr>
                  <w:tcW w:w="1252" w:type="pct"/>
                  <w:vAlign w:val="center"/>
                </w:tcPr>
                <w:p w14:paraId="052D33A9">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职工</w:t>
                  </w:r>
                </w:p>
              </w:tc>
              <w:tc>
                <w:tcPr>
                  <w:tcW w:w="1379" w:type="pct"/>
                  <w:vAlign w:val="center"/>
                </w:tcPr>
                <w:p w14:paraId="7C80267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环卫清运</w:t>
                  </w:r>
                </w:p>
              </w:tc>
              <w:tc>
                <w:tcPr>
                  <w:tcW w:w="1379" w:type="pct"/>
                  <w:vAlign w:val="center"/>
                </w:tcPr>
                <w:p w14:paraId="3ED15497">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val="0"/>
                      <w:bCs w:val="0"/>
                      <w:color w:val="auto"/>
                      <w:sz w:val="21"/>
                      <w:szCs w:val="21"/>
                      <w:vertAlign w:val="baseline"/>
                      <w:lang w:val="en-US" w:eastAsia="zh-CN"/>
                    </w:rPr>
                  </w:pPr>
                  <w:r>
                    <w:rPr>
                      <w:rFonts w:hint="eastAsia"/>
                      <w:color w:val="auto"/>
                      <w:sz w:val="21"/>
                      <w:szCs w:val="24"/>
                      <w:lang w:val="en-US" w:eastAsia="zh-CN"/>
                    </w:rPr>
                    <w:t>900-002-S64</w:t>
                  </w:r>
                </w:p>
              </w:tc>
            </w:tr>
            <w:tr w14:paraId="5C498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 w:type="pct"/>
                  <w:vMerge w:val="continue"/>
                  <w:vAlign w:val="center"/>
                </w:tcPr>
                <w:p w14:paraId="3E6BFCF8">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623" w:type="pct"/>
                  <w:vAlign w:val="center"/>
                </w:tcPr>
                <w:p w14:paraId="1F039D91">
                  <w:pPr>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default" w:ascii="Times New Roman" w:hAnsi="Times New Roman" w:eastAsia="宋体" w:cs="Times New Roman"/>
                      <w:bCs/>
                      <w:color w:val="auto"/>
                      <w:sz w:val="21"/>
                      <w:szCs w:val="21"/>
                      <w:lang w:val="en-US" w:eastAsia="zh-CN"/>
                    </w:rPr>
                    <w:t>废包装材料</w:t>
                  </w:r>
                </w:p>
              </w:tc>
              <w:tc>
                <w:tcPr>
                  <w:tcW w:w="1252" w:type="pct"/>
                  <w:vAlign w:val="center"/>
                </w:tcPr>
                <w:p w14:paraId="22877E4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原料包装</w:t>
                  </w:r>
                </w:p>
              </w:tc>
              <w:tc>
                <w:tcPr>
                  <w:tcW w:w="1379" w:type="pct"/>
                  <w:shd w:val="clear" w:color="auto" w:fill="auto"/>
                  <w:vAlign w:val="center"/>
                </w:tcPr>
                <w:p w14:paraId="77FD214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环卫清运</w:t>
                  </w:r>
                </w:p>
              </w:tc>
              <w:tc>
                <w:tcPr>
                  <w:tcW w:w="1379" w:type="pct"/>
                  <w:shd w:val="clear" w:color="auto" w:fill="auto"/>
                  <w:vAlign w:val="center"/>
                </w:tcPr>
                <w:p w14:paraId="424FCFD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900-099-S17</w:t>
                  </w:r>
                </w:p>
              </w:tc>
            </w:tr>
            <w:tr w14:paraId="433C3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 w:type="pct"/>
                  <w:vMerge w:val="continue"/>
                  <w:vAlign w:val="center"/>
                </w:tcPr>
                <w:p w14:paraId="272551A7">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623" w:type="pct"/>
                  <w:vAlign w:val="center"/>
                </w:tcPr>
                <w:p w14:paraId="270134D7">
                  <w:pPr>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default" w:ascii="Times New Roman" w:hAnsi="Times New Roman" w:eastAsia="宋体" w:cs="Times New Roman"/>
                      <w:color w:val="auto"/>
                      <w:sz w:val="21"/>
                      <w:szCs w:val="21"/>
                      <w:lang w:val="en-US" w:eastAsia="zh-CN"/>
                    </w:rPr>
                    <w:t>污水处理站污泥</w:t>
                  </w:r>
                </w:p>
              </w:tc>
              <w:tc>
                <w:tcPr>
                  <w:tcW w:w="1252" w:type="pct"/>
                  <w:vAlign w:val="center"/>
                </w:tcPr>
                <w:p w14:paraId="550767D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废水处理</w:t>
                  </w:r>
                </w:p>
              </w:tc>
              <w:tc>
                <w:tcPr>
                  <w:tcW w:w="1379" w:type="pct"/>
                  <w:shd w:val="clear" w:color="auto" w:fill="auto"/>
                  <w:vAlign w:val="center"/>
                </w:tcPr>
                <w:p w14:paraId="0D797AA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both"/>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经压滤机压滤收集后</w:t>
                  </w:r>
                  <w:r>
                    <w:rPr>
                      <w:rFonts w:hint="eastAsia" w:cs="Times New Roman"/>
                      <w:b w:val="0"/>
                      <w:bCs w:val="0"/>
                      <w:color w:val="auto"/>
                      <w:sz w:val="21"/>
                      <w:szCs w:val="21"/>
                      <w:vertAlign w:val="baseline"/>
                      <w:lang w:val="en-US" w:eastAsia="zh-CN"/>
                    </w:rPr>
                    <w:t>送至有机肥生产企业堆肥场堆肥或镶黄旗生活垃圾焚烧场进行合理化处理</w:t>
                  </w:r>
                </w:p>
              </w:tc>
              <w:tc>
                <w:tcPr>
                  <w:tcW w:w="1379" w:type="pct"/>
                  <w:shd w:val="clear" w:color="auto" w:fill="auto"/>
                  <w:vAlign w:val="center"/>
                </w:tcPr>
                <w:p w14:paraId="2E126E4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135-001-S07</w:t>
                  </w:r>
                </w:p>
              </w:tc>
            </w:tr>
            <w:tr w14:paraId="13161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 w:type="pct"/>
                  <w:vMerge w:val="continue"/>
                  <w:vAlign w:val="center"/>
                </w:tcPr>
                <w:p w14:paraId="0C128EF6">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623" w:type="pct"/>
                  <w:vAlign w:val="center"/>
                </w:tcPr>
                <w:p w14:paraId="42B2A66C">
                  <w:pPr>
                    <w:jc w:val="center"/>
                    <w:rPr>
                      <w:rFonts w:hint="eastAsia" w:ascii="Times New Roman" w:hAnsi="Times New Roman" w:cs="Times New Roman"/>
                      <w:b w:val="0"/>
                      <w:bCs w:val="0"/>
                      <w:color w:val="auto"/>
                      <w:sz w:val="21"/>
                      <w:szCs w:val="21"/>
                      <w:vertAlign w:val="baseline"/>
                      <w:lang w:val="en-US" w:eastAsia="zh-CN"/>
                    </w:rPr>
                  </w:pPr>
                  <w:r>
                    <w:rPr>
                      <w:rFonts w:hint="default" w:ascii="Times New Roman" w:hAnsi="Times New Roman" w:eastAsia="宋体" w:cs="Times New Roman"/>
                      <w:bCs/>
                      <w:color w:val="auto"/>
                      <w:sz w:val="21"/>
                      <w:szCs w:val="21"/>
                      <w:lang w:val="en-US" w:eastAsia="zh-CN"/>
                    </w:rPr>
                    <w:t>肉渣</w:t>
                  </w:r>
                </w:p>
              </w:tc>
              <w:tc>
                <w:tcPr>
                  <w:tcW w:w="1252" w:type="pct"/>
                  <w:vAlign w:val="center"/>
                </w:tcPr>
                <w:p w14:paraId="338CCB3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蒸煮</w:t>
                  </w:r>
                </w:p>
              </w:tc>
              <w:tc>
                <w:tcPr>
                  <w:tcW w:w="1379" w:type="pct"/>
                  <w:shd w:val="clear" w:color="auto" w:fill="auto"/>
                  <w:vAlign w:val="center"/>
                </w:tcPr>
                <w:p w14:paraId="260B5512">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both"/>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经压滤机压滤收集后</w:t>
                  </w:r>
                  <w:r>
                    <w:rPr>
                      <w:rFonts w:hint="eastAsia" w:cs="Times New Roman"/>
                      <w:b w:val="0"/>
                      <w:bCs w:val="0"/>
                      <w:color w:val="auto"/>
                      <w:sz w:val="21"/>
                      <w:szCs w:val="21"/>
                      <w:vertAlign w:val="baseline"/>
                      <w:lang w:val="en-US" w:eastAsia="zh-CN"/>
                    </w:rPr>
                    <w:t>送至有机肥生产企业堆肥场堆肥或镶黄旗生活垃圾焚烧场进行合理化处理</w:t>
                  </w:r>
                </w:p>
              </w:tc>
              <w:tc>
                <w:tcPr>
                  <w:tcW w:w="1379" w:type="pct"/>
                  <w:shd w:val="clear" w:color="auto" w:fill="auto"/>
                  <w:vAlign w:val="center"/>
                </w:tcPr>
                <w:p w14:paraId="6D7083FD">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135-002-S13</w:t>
                  </w:r>
                </w:p>
              </w:tc>
            </w:tr>
            <w:tr w14:paraId="40B24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 w:type="pct"/>
                  <w:vMerge w:val="continue"/>
                  <w:vAlign w:val="center"/>
                </w:tcPr>
                <w:p w14:paraId="0042A90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623" w:type="pct"/>
                  <w:vAlign w:val="center"/>
                </w:tcPr>
                <w:p w14:paraId="10F9FDEA">
                  <w:pPr>
                    <w:jc w:val="center"/>
                    <w:rPr>
                      <w:rFonts w:hint="eastAsia" w:ascii="Times New Roman" w:hAnsi="Times New Roman" w:cs="Times New Roman"/>
                      <w:b w:val="0"/>
                      <w:bCs w:val="0"/>
                      <w:color w:val="auto"/>
                      <w:sz w:val="21"/>
                      <w:szCs w:val="21"/>
                      <w:vertAlign w:val="baseline"/>
                      <w:lang w:val="en-US" w:eastAsia="zh-CN"/>
                    </w:rPr>
                  </w:pPr>
                  <w:r>
                    <w:rPr>
                      <w:rFonts w:hint="default" w:ascii="Times New Roman" w:hAnsi="Times New Roman" w:eastAsia="宋体" w:cs="Times New Roman"/>
                      <w:bCs/>
                      <w:color w:val="auto"/>
                      <w:sz w:val="21"/>
                      <w:szCs w:val="21"/>
                      <w:lang w:val="en-US" w:eastAsia="zh-CN"/>
                    </w:rPr>
                    <w:t>不合格原料</w:t>
                  </w:r>
                </w:p>
              </w:tc>
              <w:tc>
                <w:tcPr>
                  <w:tcW w:w="1252" w:type="pct"/>
                  <w:vAlign w:val="center"/>
                </w:tcPr>
                <w:p w14:paraId="0900641A">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原料检验</w:t>
                  </w:r>
                </w:p>
              </w:tc>
              <w:tc>
                <w:tcPr>
                  <w:tcW w:w="1379" w:type="pct"/>
                  <w:shd w:val="clear" w:color="auto" w:fill="auto"/>
                  <w:vAlign w:val="center"/>
                </w:tcPr>
                <w:p w14:paraId="1DB3C4D1">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both"/>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委托专门收集厨余垃圾部门清运</w:t>
                  </w:r>
                </w:p>
              </w:tc>
              <w:tc>
                <w:tcPr>
                  <w:tcW w:w="1379" w:type="pct"/>
                  <w:shd w:val="clear" w:color="auto" w:fill="auto"/>
                  <w:vAlign w:val="center"/>
                </w:tcPr>
                <w:p w14:paraId="768884B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135-002-S13</w:t>
                  </w:r>
                </w:p>
              </w:tc>
            </w:tr>
            <w:tr w14:paraId="0D74E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 w:type="pct"/>
                  <w:vMerge w:val="continue"/>
                  <w:vAlign w:val="center"/>
                </w:tcPr>
                <w:p w14:paraId="1969B265">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623" w:type="pct"/>
                  <w:vAlign w:val="center"/>
                </w:tcPr>
                <w:p w14:paraId="18771AC5">
                  <w:pPr>
                    <w:jc w:val="center"/>
                    <w:rPr>
                      <w:rFonts w:hint="eastAsia" w:ascii="Times New Roman" w:hAnsi="Times New Roman" w:cs="Times New Roman"/>
                      <w:b w:val="0"/>
                      <w:bCs w:val="0"/>
                      <w:color w:val="auto"/>
                      <w:sz w:val="21"/>
                      <w:szCs w:val="21"/>
                      <w:vertAlign w:val="baseline"/>
                      <w:lang w:val="en-US" w:eastAsia="zh-CN"/>
                    </w:rPr>
                  </w:pPr>
                  <w:r>
                    <w:rPr>
                      <w:rFonts w:hint="default" w:ascii="Times New Roman" w:hAnsi="Times New Roman" w:eastAsia="宋体" w:cs="Times New Roman"/>
                      <w:bCs/>
                      <w:color w:val="auto"/>
                      <w:sz w:val="21"/>
                      <w:szCs w:val="21"/>
                      <w:lang w:val="en-US" w:eastAsia="zh-CN"/>
                    </w:rPr>
                    <w:t>废油脂</w:t>
                  </w:r>
                </w:p>
              </w:tc>
              <w:tc>
                <w:tcPr>
                  <w:tcW w:w="1252" w:type="pct"/>
                  <w:vAlign w:val="center"/>
                </w:tcPr>
                <w:p w14:paraId="2EC0D2C9">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废水处理</w:t>
                  </w:r>
                </w:p>
              </w:tc>
              <w:tc>
                <w:tcPr>
                  <w:tcW w:w="1379" w:type="pct"/>
                  <w:shd w:val="clear" w:color="auto" w:fill="auto"/>
                  <w:vAlign w:val="center"/>
                </w:tcPr>
                <w:p w14:paraId="30F66332">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both"/>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委托专门收集厨余垃圾部门清运</w:t>
                  </w:r>
                </w:p>
              </w:tc>
              <w:tc>
                <w:tcPr>
                  <w:tcW w:w="1379" w:type="pct"/>
                  <w:shd w:val="clear" w:color="auto" w:fill="auto"/>
                  <w:vAlign w:val="center"/>
                </w:tcPr>
                <w:p w14:paraId="2E9FE6FC">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900-002-S61</w:t>
                  </w:r>
                </w:p>
              </w:tc>
            </w:tr>
            <w:tr w14:paraId="53EB5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 w:type="pct"/>
                  <w:vMerge w:val="continue"/>
                  <w:vAlign w:val="center"/>
                </w:tcPr>
                <w:p w14:paraId="4B6CA23F">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623" w:type="pct"/>
                  <w:vAlign w:val="center"/>
                </w:tcPr>
                <w:p w14:paraId="1BCE7F3C">
                  <w:pPr>
                    <w:jc w:val="center"/>
                    <w:rPr>
                      <w:rFonts w:hint="eastAsia" w:ascii="Times New Roman" w:hAnsi="Times New Roman" w:cs="Times New Roman"/>
                      <w:b w:val="0"/>
                      <w:bCs w:val="0"/>
                      <w:color w:val="auto"/>
                      <w:sz w:val="21"/>
                      <w:szCs w:val="21"/>
                      <w:vertAlign w:val="baseline"/>
                      <w:lang w:val="en-US" w:eastAsia="zh-CN"/>
                    </w:rPr>
                  </w:pPr>
                  <w:r>
                    <w:rPr>
                      <w:rFonts w:hint="default" w:ascii="Times New Roman" w:hAnsi="Times New Roman" w:eastAsia="宋体" w:cs="Times New Roman"/>
                      <w:color w:val="auto"/>
                      <w:kern w:val="2"/>
                      <w:sz w:val="21"/>
                      <w:szCs w:val="21"/>
                      <w:lang w:val="en-US" w:eastAsia="zh-CN"/>
                    </w:rPr>
                    <w:t>格栅垃圾</w:t>
                  </w:r>
                </w:p>
              </w:tc>
              <w:tc>
                <w:tcPr>
                  <w:tcW w:w="1252" w:type="pct"/>
                  <w:vAlign w:val="center"/>
                </w:tcPr>
                <w:p w14:paraId="19ADC438">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ascii="Times New Roman" w:hAnsi="Times New Roman" w:eastAsia="宋体" w:cs="Times New Roman"/>
                      <w:b w:val="0"/>
                      <w:bCs w:val="0"/>
                      <w:color w:val="auto"/>
                      <w:sz w:val="21"/>
                      <w:szCs w:val="21"/>
                      <w:vertAlign w:val="baseline"/>
                      <w:lang w:val="en-US" w:eastAsia="zh-CN"/>
                    </w:rPr>
                    <w:t>废水处理</w:t>
                  </w:r>
                </w:p>
              </w:tc>
              <w:tc>
                <w:tcPr>
                  <w:tcW w:w="1379" w:type="pct"/>
                  <w:shd w:val="clear" w:color="auto" w:fill="auto"/>
                  <w:vAlign w:val="center"/>
                </w:tcPr>
                <w:p w14:paraId="499F1619">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both"/>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经压滤机压滤收集后</w:t>
                  </w:r>
                  <w:r>
                    <w:rPr>
                      <w:rFonts w:hint="eastAsia" w:cs="Times New Roman"/>
                      <w:b w:val="0"/>
                      <w:bCs w:val="0"/>
                      <w:color w:val="auto"/>
                      <w:sz w:val="21"/>
                      <w:szCs w:val="21"/>
                      <w:vertAlign w:val="baseline"/>
                      <w:lang w:val="en-US" w:eastAsia="zh-CN"/>
                    </w:rPr>
                    <w:t>送至有机肥生产企业堆肥场堆肥或镶黄旗生活垃圾焚烧场进行合理化处理</w:t>
                  </w:r>
                </w:p>
              </w:tc>
              <w:tc>
                <w:tcPr>
                  <w:tcW w:w="1379" w:type="pct"/>
                  <w:shd w:val="clear" w:color="auto" w:fill="auto"/>
                  <w:vAlign w:val="center"/>
                </w:tcPr>
                <w:p w14:paraId="043F7F4B">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140-001-S07</w:t>
                  </w:r>
                </w:p>
              </w:tc>
            </w:tr>
            <w:tr w14:paraId="0846E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5" w:type="pct"/>
                  <w:vMerge w:val="continue"/>
                  <w:vAlign w:val="center"/>
                </w:tcPr>
                <w:p w14:paraId="1EB6C554">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p>
              </w:tc>
              <w:tc>
                <w:tcPr>
                  <w:tcW w:w="1007" w:type="dxa"/>
                  <w:vAlign w:val="center"/>
                </w:tcPr>
                <w:p w14:paraId="2C124DE9">
                  <w:pPr>
                    <w:jc w:val="center"/>
                    <w:rPr>
                      <w:rFonts w:hint="default" w:ascii="Times New Roman" w:hAnsi="Times New Roman" w:eastAsia="宋体" w:cs="Times New Roman"/>
                      <w:color w:val="auto"/>
                      <w:kern w:val="2"/>
                      <w:sz w:val="21"/>
                      <w:szCs w:val="21"/>
                      <w:lang w:val="en-US" w:eastAsia="zh-CN"/>
                    </w:rPr>
                  </w:pPr>
                  <w:r>
                    <w:rPr>
                      <w:rFonts w:hint="eastAsia" w:cs="Times New Roman"/>
                      <w:color w:val="auto"/>
                      <w:kern w:val="2"/>
                      <w:sz w:val="21"/>
                      <w:szCs w:val="21"/>
                      <w:lang w:val="en-US" w:eastAsia="zh-CN"/>
                    </w:rPr>
                    <w:t>废渗透膜</w:t>
                  </w:r>
                </w:p>
              </w:tc>
              <w:tc>
                <w:tcPr>
                  <w:tcW w:w="2023" w:type="dxa"/>
                  <w:vAlign w:val="center"/>
                </w:tcPr>
                <w:p w14:paraId="45990A13">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cs="Times New Roman"/>
                      <w:b w:val="0"/>
                      <w:bCs w:val="0"/>
                      <w:color w:val="auto"/>
                      <w:sz w:val="21"/>
                      <w:szCs w:val="21"/>
                      <w:vertAlign w:val="baseline"/>
                      <w:lang w:val="en-US" w:eastAsia="zh-CN"/>
                    </w:rPr>
                    <w:t>纯水制备</w:t>
                  </w:r>
                </w:p>
              </w:tc>
              <w:tc>
                <w:tcPr>
                  <w:tcW w:w="2228" w:type="dxa"/>
                  <w:shd w:val="clear" w:color="auto" w:fill="auto"/>
                  <w:vAlign w:val="center"/>
                </w:tcPr>
                <w:p w14:paraId="0BE4DCBB">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both"/>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厂家进行更换，不在厂内储存</w:t>
                  </w:r>
                </w:p>
              </w:tc>
              <w:tc>
                <w:tcPr>
                  <w:tcW w:w="2229" w:type="dxa"/>
                  <w:shd w:val="clear" w:color="auto" w:fill="auto"/>
                  <w:vAlign w:val="center"/>
                </w:tcPr>
                <w:p w14:paraId="7459094E">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eastAsia" w:cs="Times New Roman"/>
                      <w:b w:val="0"/>
                      <w:bCs w:val="0"/>
                      <w:color w:val="auto"/>
                      <w:sz w:val="21"/>
                      <w:szCs w:val="21"/>
                      <w:vertAlign w:val="baseline"/>
                      <w:lang w:val="en-US" w:eastAsia="zh-CN"/>
                    </w:rPr>
                    <w:t>149-005-99</w:t>
                  </w:r>
                </w:p>
              </w:tc>
            </w:tr>
            <w:tr w14:paraId="6B20F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0" w:type="dxa"/>
                  <w:vAlign w:val="center"/>
                </w:tcPr>
                <w:p w14:paraId="6B2FD360">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default" w:ascii="Times New Roman" w:hAnsi="Times New Roman" w:cs="Times New Roman"/>
                      <w:b/>
                      <w:bCs/>
                      <w:color w:val="auto"/>
                      <w:sz w:val="21"/>
                      <w:szCs w:val="21"/>
                      <w:vertAlign w:val="baseline"/>
                    </w:rPr>
                  </w:pPr>
                  <w:r>
                    <w:rPr>
                      <w:rFonts w:hint="eastAsia" w:cs="Times New Roman"/>
                      <w:b/>
                      <w:bCs/>
                      <w:color w:val="auto"/>
                      <w:sz w:val="21"/>
                      <w:szCs w:val="21"/>
                      <w:vertAlign w:val="baseline"/>
                      <w:lang w:val="en-US" w:eastAsia="zh-CN"/>
                    </w:rPr>
                    <w:t>危险废物</w:t>
                  </w:r>
                </w:p>
              </w:tc>
              <w:tc>
                <w:tcPr>
                  <w:tcW w:w="1007" w:type="dxa"/>
                  <w:vAlign w:val="center"/>
                </w:tcPr>
                <w:p w14:paraId="3497FD7A">
                  <w:pPr>
                    <w:jc w:val="center"/>
                    <w:rPr>
                      <w:rFonts w:hint="default" w:ascii="Times New Roman" w:hAnsi="Times New Roman" w:eastAsia="宋体" w:cs="Times New Roman"/>
                      <w:color w:val="auto"/>
                      <w:kern w:val="2"/>
                      <w:sz w:val="21"/>
                      <w:szCs w:val="21"/>
                      <w:lang w:val="en-US" w:eastAsia="zh-CN"/>
                    </w:rPr>
                  </w:pPr>
                  <w:r>
                    <w:rPr>
                      <w:rFonts w:hint="eastAsia" w:cs="Times New Roman"/>
                      <w:color w:val="auto"/>
                      <w:kern w:val="2"/>
                      <w:sz w:val="21"/>
                      <w:szCs w:val="21"/>
                      <w:lang w:val="en-US" w:eastAsia="zh-CN"/>
                    </w:rPr>
                    <w:t>废活性炭</w:t>
                  </w:r>
                </w:p>
              </w:tc>
              <w:tc>
                <w:tcPr>
                  <w:tcW w:w="2023" w:type="dxa"/>
                  <w:vAlign w:val="center"/>
                </w:tcPr>
                <w:p w14:paraId="056EB251">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eastAsia="宋体" w:cs="Times New Roman"/>
                      <w:b w:val="0"/>
                      <w:bCs w:val="0"/>
                      <w:color w:val="auto"/>
                      <w:sz w:val="21"/>
                      <w:szCs w:val="21"/>
                      <w:vertAlign w:val="baseline"/>
                      <w:lang w:val="en-US" w:eastAsia="zh-CN"/>
                    </w:rPr>
                  </w:pPr>
                  <w:r>
                    <w:rPr>
                      <w:rFonts w:hint="eastAsia" w:cs="Times New Roman"/>
                      <w:b w:val="0"/>
                      <w:bCs w:val="0"/>
                      <w:color w:val="auto"/>
                      <w:sz w:val="21"/>
                      <w:szCs w:val="21"/>
                      <w:vertAlign w:val="baseline"/>
                      <w:lang w:val="en-US" w:eastAsia="zh-CN"/>
                    </w:rPr>
                    <w:t>污水处理站废气处理</w:t>
                  </w:r>
                </w:p>
              </w:tc>
              <w:tc>
                <w:tcPr>
                  <w:tcW w:w="2228" w:type="dxa"/>
                  <w:shd w:val="clear" w:color="auto" w:fill="auto"/>
                  <w:vAlign w:val="center"/>
                </w:tcPr>
                <w:p w14:paraId="5C505701">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both"/>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由厂家定期进行更换，不在厂内储存</w:t>
                  </w:r>
                </w:p>
              </w:tc>
              <w:tc>
                <w:tcPr>
                  <w:tcW w:w="2229" w:type="dxa"/>
                  <w:shd w:val="clear" w:color="auto" w:fill="auto"/>
                  <w:vAlign w:val="center"/>
                </w:tcPr>
                <w:p w14:paraId="6A208017">
                  <w:pPr>
                    <w:pStyle w:val="68"/>
                    <w:keepNext w:val="0"/>
                    <w:keepLines w:val="0"/>
                    <w:pageBreakBefore w:val="0"/>
                    <w:widowControl w:val="0"/>
                    <w:kinsoku/>
                    <w:wordWrap/>
                    <w:overflowPunct/>
                    <w:topLinePunct w:val="0"/>
                    <w:autoSpaceDE w:val="0"/>
                    <w:autoSpaceDN w:val="0"/>
                    <w:bidi w:val="0"/>
                    <w:adjustRightInd w:val="0"/>
                    <w:snapToGrid w:val="0"/>
                    <w:spacing w:line="240" w:lineRule="auto"/>
                    <w:ind w:firstLine="0" w:firstLineChars="0"/>
                    <w:jc w:val="center"/>
                    <w:textAlignment w:val="auto"/>
                    <w:rPr>
                      <w:rFonts w:hint="eastAsia" w:ascii="Times New Roman" w:hAnsi="Times New Roman" w:cs="Times New Roman"/>
                      <w:b w:val="0"/>
                      <w:bCs w:val="0"/>
                      <w:color w:val="auto"/>
                      <w:sz w:val="21"/>
                      <w:szCs w:val="21"/>
                      <w:vertAlign w:val="baseline"/>
                      <w:lang w:val="en-US" w:eastAsia="zh-CN"/>
                    </w:rPr>
                  </w:pPr>
                  <w:r>
                    <w:rPr>
                      <w:rFonts w:hint="eastAsia" w:ascii="Times New Roman" w:hAnsi="Times New Roman" w:cs="Times New Roman"/>
                      <w:b w:val="0"/>
                      <w:bCs w:val="0"/>
                      <w:color w:val="auto"/>
                      <w:sz w:val="21"/>
                      <w:szCs w:val="21"/>
                      <w:vertAlign w:val="baseline"/>
                      <w:lang w:val="en-US" w:eastAsia="zh-CN"/>
                    </w:rPr>
                    <w:t>HW049其他废物900-039-49</w:t>
                  </w:r>
                </w:p>
              </w:tc>
            </w:tr>
          </w:tbl>
          <w:p w14:paraId="3FD3AD54">
            <w:pPr>
              <w:pStyle w:val="11"/>
              <w:spacing w:before="0" w:after="0" w:line="360" w:lineRule="auto"/>
              <w:ind w:right="0" w:firstLine="480" w:firstLineChars="200"/>
              <w:rPr>
                <w:color w:val="auto"/>
                <w:sz w:val="24"/>
                <w:szCs w:val="24"/>
              </w:rPr>
            </w:pPr>
            <w:r>
              <w:rPr>
                <w:rFonts w:cs="宋体"/>
                <w:color w:val="auto"/>
                <w:sz w:val="24"/>
                <w:szCs w:val="24"/>
              </w:rPr>
              <w:t>项目产生的固废主要为生活垃圾、污水处理站</w:t>
            </w:r>
            <w:r>
              <w:rPr>
                <w:rFonts w:hint="eastAsia" w:cs="宋体"/>
                <w:color w:val="auto"/>
                <w:sz w:val="24"/>
                <w:szCs w:val="24"/>
              </w:rPr>
              <w:t>污泥</w:t>
            </w:r>
            <w:r>
              <w:rPr>
                <w:rFonts w:hint="eastAsia"/>
                <w:color w:val="auto"/>
                <w:sz w:val="24"/>
                <w:szCs w:val="24"/>
              </w:rPr>
              <w:t>、</w:t>
            </w:r>
            <w:r>
              <w:rPr>
                <w:rFonts w:hint="eastAsia"/>
                <w:bCs/>
                <w:color w:val="auto"/>
                <w:sz w:val="24"/>
                <w:szCs w:val="24"/>
                <w:lang w:val="en-US" w:eastAsia="zh-CN"/>
              </w:rPr>
              <w:t>废包装材料、肉渣、废油脂</w:t>
            </w:r>
            <w:r>
              <w:rPr>
                <w:rFonts w:hint="eastAsia"/>
                <w:bCs/>
                <w:color w:val="auto"/>
                <w:sz w:val="24"/>
                <w:szCs w:val="24"/>
                <w:lang w:eastAsia="zh-CN"/>
              </w:rPr>
              <w:t>、</w:t>
            </w:r>
            <w:r>
              <w:rPr>
                <w:color w:val="auto"/>
                <w:sz w:val="24"/>
                <w:szCs w:val="24"/>
              </w:rPr>
              <w:t>不合格</w:t>
            </w:r>
            <w:r>
              <w:rPr>
                <w:rFonts w:hint="eastAsia"/>
                <w:color w:val="auto"/>
                <w:sz w:val="24"/>
                <w:szCs w:val="24"/>
                <w:lang w:val="en-US" w:eastAsia="zh-CN"/>
              </w:rPr>
              <w:t>原料、</w:t>
            </w:r>
            <w:r>
              <w:rPr>
                <w:rFonts w:hint="eastAsia"/>
                <w:color w:val="auto"/>
                <w:kern w:val="2"/>
                <w:sz w:val="24"/>
                <w:szCs w:val="24"/>
                <w:lang w:val="en-US" w:eastAsia="zh-CN"/>
              </w:rPr>
              <w:t>格栅垃圾、</w:t>
            </w:r>
            <w:r>
              <w:rPr>
                <w:rFonts w:hint="eastAsia"/>
                <w:color w:val="auto"/>
                <w:sz w:val="24"/>
                <w:szCs w:val="24"/>
                <w:lang w:val="en-US" w:eastAsia="zh-CN"/>
              </w:rPr>
              <w:t>废渗透膜及废活性炭</w:t>
            </w:r>
            <w:r>
              <w:rPr>
                <w:color w:val="auto"/>
                <w:sz w:val="24"/>
                <w:szCs w:val="24"/>
              </w:rPr>
              <w:t>。</w:t>
            </w:r>
          </w:p>
          <w:p w14:paraId="1FA4AF28">
            <w:pPr>
              <w:pStyle w:val="68"/>
              <w:ind w:firstLine="480"/>
              <w:rPr>
                <w:rFonts w:cs="Times New Roman"/>
                <w:color w:val="auto"/>
              </w:rPr>
            </w:pPr>
            <w:r>
              <w:rPr>
                <w:rFonts w:hint="eastAsia" w:cs="Times New Roman"/>
                <w:color w:val="auto"/>
              </w:rPr>
              <w:t>（1）生活垃圾</w:t>
            </w:r>
          </w:p>
          <w:p w14:paraId="5D6F63BF">
            <w:pPr>
              <w:pStyle w:val="68"/>
              <w:ind w:firstLine="480"/>
              <w:rPr>
                <w:color w:val="auto"/>
              </w:rPr>
            </w:pPr>
            <w:r>
              <w:rPr>
                <w:color w:val="auto"/>
              </w:rPr>
              <w:t>生活垃圾产生量为</w:t>
            </w:r>
            <w:r>
              <w:rPr>
                <w:rFonts w:hint="eastAsia"/>
                <w:color w:val="auto"/>
                <w:lang w:val="en-US" w:eastAsia="zh-CN"/>
              </w:rPr>
              <w:t>0.01t/d（2</w:t>
            </w:r>
            <w:r>
              <w:rPr>
                <w:rFonts w:hint="eastAsia"/>
                <w:color w:val="auto"/>
              </w:rPr>
              <w:t>.6</w:t>
            </w:r>
            <w:r>
              <w:rPr>
                <w:color w:val="auto"/>
              </w:rPr>
              <w:t>t/a</w:t>
            </w:r>
            <w:r>
              <w:rPr>
                <w:rFonts w:hint="eastAsia"/>
                <w:color w:val="auto"/>
                <w:lang w:val="en-US" w:eastAsia="zh-CN"/>
              </w:rPr>
              <w:t>），</w:t>
            </w:r>
            <w:r>
              <w:rPr>
                <w:rFonts w:hint="eastAsia"/>
                <w:color w:val="auto"/>
                <w:sz w:val="24"/>
                <w:szCs w:val="32"/>
                <w:lang w:val="en-US" w:eastAsia="zh-CN"/>
              </w:rPr>
              <w:t>对照《固体废物分类与代码目录》2024.1.22，不属于危险废物，废物代码为900-002-S64，</w:t>
            </w:r>
            <w:r>
              <w:rPr>
                <w:color w:val="auto"/>
              </w:rPr>
              <w:t>项目设有垃圾收集箱，生活垃圾统一收集后由环卫部门清运。</w:t>
            </w:r>
          </w:p>
          <w:p w14:paraId="778B263F">
            <w:pPr>
              <w:pStyle w:val="68"/>
              <w:ind w:firstLine="480"/>
              <w:rPr>
                <w:rFonts w:hint="eastAsia" w:eastAsia="宋体"/>
                <w:color w:val="auto"/>
                <w:lang w:eastAsia="zh-CN"/>
              </w:rPr>
            </w:pPr>
            <w:r>
              <w:rPr>
                <w:rFonts w:hint="eastAsia"/>
                <w:color w:val="auto"/>
              </w:rPr>
              <w:t>（2）</w:t>
            </w:r>
            <w:r>
              <w:rPr>
                <w:rFonts w:hint="eastAsia" w:cs="Times New Roman"/>
                <w:color w:val="auto"/>
                <w:lang w:val="en-US" w:eastAsia="zh-CN"/>
              </w:rPr>
              <w:t>废包装材料</w:t>
            </w:r>
          </w:p>
          <w:p w14:paraId="47D02237">
            <w:pPr>
              <w:pStyle w:val="11"/>
              <w:spacing w:before="0" w:after="0" w:line="360" w:lineRule="auto"/>
              <w:ind w:right="0" w:firstLine="480" w:firstLineChars="200"/>
              <w:rPr>
                <w:color w:val="auto"/>
              </w:rPr>
            </w:pPr>
            <w:r>
              <w:rPr>
                <w:rFonts w:hint="eastAsia"/>
                <w:color w:val="auto"/>
                <w:sz w:val="24"/>
                <w:szCs w:val="32"/>
                <w:lang w:val="en-US" w:eastAsia="zh-CN"/>
              </w:rPr>
              <w:t>本项目在原料使用和包装过程会产生废包装材料，根据建设单位提供的数据，废包装材料的产生量约为0.2t/a，对照《固体废物分类与代码目录》2024.1.22，不属于危险废物，废物代码为900-099-S17，统一收集后由环卫部门清运。</w:t>
            </w:r>
          </w:p>
          <w:p w14:paraId="4FF28F46">
            <w:pPr>
              <w:pStyle w:val="2"/>
              <w:spacing w:after="0"/>
              <w:ind w:left="0" w:leftChars="0" w:firstLine="480"/>
              <w:rPr>
                <w:rFonts w:hint="default" w:eastAsia="宋体"/>
                <w:color w:val="auto"/>
                <w:lang w:val="en-US" w:eastAsia="zh-CN"/>
              </w:rPr>
            </w:pPr>
            <w:r>
              <w:rPr>
                <w:rFonts w:hint="eastAsia"/>
                <w:color w:val="auto"/>
              </w:rPr>
              <w:t>（3）</w:t>
            </w:r>
            <w:r>
              <w:rPr>
                <w:rFonts w:hint="eastAsia"/>
                <w:color w:val="auto"/>
                <w:lang w:val="en-US" w:eastAsia="zh-CN"/>
              </w:rPr>
              <w:t>污水处理站污泥</w:t>
            </w:r>
          </w:p>
          <w:p w14:paraId="5EBBBC44">
            <w:pPr>
              <w:spacing w:line="360" w:lineRule="auto"/>
              <w:ind w:firstLine="480" w:firstLineChars="200"/>
              <w:jc w:val="both"/>
              <w:rPr>
                <w:color w:val="auto"/>
                <w:sz w:val="24"/>
                <w:szCs w:val="22"/>
              </w:rPr>
            </w:pPr>
            <w:r>
              <w:rPr>
                <w:color w:val="auto"/>
                <w:sz w:val="24"/>
                <w:szCs w:val="22"/>
              </w:rPr>
              <w:t>项目自建污水处理站处理产生的废水，因此，在运营期内有一定量污泥</w:t>
            </w:r>
            <w:r>
              <w:rPr>
                <w:rFonts w:hint="eastAsia"/>
                <w:color w:val="auto"/>
                <w:sz w:val="24"/>
                <w:szCs w:val="22"/>
                <w:lang w:eastAsia="zh-CN"/>
              </w:rPr>
              <w:t>（</w:t>
            </w:r>
            <w:r>
              <w:rPr>
                <w:rFonts w:hint="eastAsia"/>
                <w:color w:val="auto"/>
                <w:sz w:val="24"/>
                <w:szCs w:val="22"/>
                <w:lang w:val="en-US" w:eastAsia="zh-CN"/>
              </w:rPr>
              <w:t>废物代码为135-001-S07</w:t>
            </w:r>
            <w:r>
              <w:rPr>
                <w:rFonts w:hint="eastAsia"/>
                <w:color w:val="auto"/>
                <w:sz w:val="24"/>
                <w:szCs w:val="22"/>
                <w:lang w:eastAsia="zh-CN"/>
              </w:rPr>
              <w:t>）</w:t>
            </w:r>
            <w:r>
              <w:rPr>
                <w:color w:val="auto"/>
                <w:sz w:val="24"/>
                <w:szCs w:val="22"/>
              </w:rPr>
              <w:t>产生，项目污水处理污泥产生量可用下式计算：</w:t>
            </w:r>
          </w:p>
          <w:p w14:paraId="2415CD68">
            <w:pPr>
              <w:spacing w:line="360" w:lineRule="auto"/>
              <w:ind w:firstLine="480" w:firstLineChars="200"/>
              <w:jc w:val="left"/>
              <w:rPr>
                <w:color w:val="auto"/>
                <w:sz w:val="24"/>
                <w:szCs w:val="22"/>
              </w:rPr>
            </w:pPr>
            <w:r>
              <w:rPr>
                <w:color w:val="auto"/>
                <w:sz w:val="24"/>
                <w:szCs w:val="22"/>
              </w:rPr>
              <w:t>W</w:t>
            </w:r>
            <w:r>
              <w:rPr>
                <w:rFonts w:hint="eastAsia"/>
                <w:color w:val="auto"/>
                <w:sz w:val="24"/>
                <w:szCs w:val="22"/>
                <w:lang w:eastAsia="zh-CN"/>
              </w:rPr>
              <w:t>=</w:t>
            </w:r>
            <w:r>
              <w:rPr>
                <w:color w:val="auto"/>
                <w:sz w:val="24"/>
                <w:szCs w:val="22"/>
              </w:rPr>
              <w:t>10</w:t>
            </w:r>
            <w:r>
              <w:rPr>
                <w:color w:val="auto"/>
                <w:sz w:val="24"/>
                <w:szCs w:val="22"/>
                <w:vertAlign w:val="superscript"/>
              </w:rPr>
              <w:t>-6</w:t>
            </w:r>
            <w:r>
              <w:rPr>
                <w:color w:val="auto"/>
                <w:sz w:val="24"/>
                <w:szCs w:val="22"/>
              </w:rPr>
              <w:t>•Q•（C</w:t>
            </w:r>
            <w:r>
              <w:rPr>
                <w:color w:val="auto"/>
                <w:sz w:val="24"/>
                <w:szCs w:val="22"/>
                <w:vertAlign w:val="subscript"/>
              </w:rPr>
              <w:t>1</w:t>
            </w:r>
            <w:r>
              <w:rPr>
                <w:color w:val="auto"/>
                <w:sz w:val="24"/>
                <w:szCs w:val="22"/>
              </w:rPr>
              <w:t>-C</w:t>
            </w:r>
            <w:r>
              <w:rPr>
                <w:color w:val="auto"/>
                <w:sz w:val="24"/>
                <w:szCs w:val="22"/>
                <w:vertAlign w:val="subscript"/>
              </w:rPr>
              <w:t>2</w:t>
            </w:r>
            <w:r>
              <w:rPr>
                <w:color w:val="auto"/>
                <w:sz w:val="24"/>
                <w:szCs w:val="22"/>
              </w:rPr>
              <w:t>）/（1-P1）</w:t>
            </w:r>
          </w:p>
          <w:p w14:paraId="053F0D24">
            <w:pPr>
              <w:spacing w:line="360" w:lineRule="auto"/>
              <w:ind w:left="479" w:leftChars="228" w:firstLine="0" w:firstLineChars="0"/>
              <w:jc w:val="left"/>
              <w:rPr>
                <w:rFonts w:hint="default" w:eastAsia="宋体"/>
                <w:color w:val="auto"/>
                <w:sz w:val="24"/>
                <w:szCs w:val="22"/>
                <w:lang w:val="en-US" w:eastAsia="zh-CN"/>
              </w:rPr>
            </w:pPr>
            <w:r>
              <w:rPr>
                <w:color w:val="auto"/>
                <w:sz w:val="24"/>
                <w:szCs w:val="22"/>
              </w:rPr>
              <w:t>W—污泥量，t/a；Q—污水量，m</w:t>
            </w:r>
            <w:r>
              <w:rPr>
                <w:color w:val="auto"/>
                <w:sz w:val="24"/>
                <w:szCs w:val="22"/>
                <w:vertAlign w:val="superscript"/>
              </w:rPr>
              <w:t>3</w:t>
            </w:r>
            <w:r>
              <w:rPr>
                <w:color w:val="auto"/>
                <w:sz w:val="24"/>
                <w:szCs w:val="22"/>
              </w:rPr>
              <w:t>/a；C</w:t>
            </w:r>
            <w:r>
              <w:rPr>
                <w:color w:val="auto"/>
                <w:sz w:val="24"/>
                <w:szCs w:val="22"/>
                <w:vertAlign w:val="subscript"/>
              </w:rPr>
              <w:t>1</w:t>
            </w:r>
            <w:r>
              <w:rPr>
                <w:color w:val="auto"/>
                <w:sz w:val="24"/>
                <w:szCs w:val="22"/>
              </w:rPr>
              <w:t>—污水悬浮物浓度，mg/L；C</w:t>
            </w:r>
            <w:r>
              <w:rPr>
                <w:color w:val="auto"/>
                <w:sz w:val="24"/>
                <w:szCs w:val="22"/>
                <w:vertAlign w:val="subscript"/>
              </w:rPr>
              <w:t>2</w:t>
            </w:r>
            <w:r>
              <w:rPr>
                <w:color w:val="auto"/>
                <w:sz w:val="24"/>
                <w:szCs w:val="22"/>
              </w:rPr>
              <w:t>—处理后污水悬浮物浓度，mg/L；P</w:t>
            </w:r>
            <w:r>
              <w:rPr>
                <w:color w:val="auto"/>
                <w:sz w:val="24"/>
                <w:szCs w:val="22"/>
                <w:vertAlign w:val="subscript"/>
              </w:rPr>
              <w:t>1</w:t>
            </w:r>
            <w:r>
              <w:rPr>
                <w:color w:val="auto"/>
                <w:sz w:val="24"/>
                <w:szCs w:val="22"/>
              </w:rPr>
              <w:t>—污泥含水率，取70％。</w:t>
            </w:r>
            <w:r>
              <w:rPr>
                <w:rFonts w:hint="eastAsia"/>
                <w:color w:val="auto"/>
                <w:sz w:val="24"/>
                <w:szCs w:val="22"/>
                <w:lang w:val="en-US" w:eastAsia="zh-CN"/>
              </w:rPr>
              <w:t xml:space="preserve">  </w:t>
            </w:r>
          </w:p>
          <w:p w14:paraId="6E39F224">
            <w:pPr>
              <w:spacing w:line="360" w:lineRule="auto"/>
              <w:ind w:firstLine="480" w:firstLineChars="200"/>
              <w:jc w:val="left"/>
              <w:rPr>
                <w:color w:val="auto"/>
                <w:sz w:val="24"/>
                <w:szCs w:val="22"/>
              </w:rPr>
            </w:pPr>
            <w:r>
              <w:rPr>
                <w:color w:val="auto"/>
                <w:sz w:val="24"/>
                <w:szCs w:val="22"/>
              </w:rPr>
              <w:t>本项目总体建成后污泥产生量为</w:t>
            </w:r>
            <w:r>
              <w:rPr>
                <w:rFonts w:hint="eastAsia"/>
                <w:color w:val="auto"/>
                <w:sz w:val="24"/>
                <w:szCs w:val="22"/>
                <w:lang w:val="en-US" w:eastAsia="zh-CN"/>
              </w:rPr>
              <w:t>3.27</w:t>
            </w:r>
            <w:r>
              <w:rPr>
                <w:color w:val="auto"/>
                <w:sz w:val="24"/>
                <w:szCs w:val="22"/>
              </w:rPr>
              <w:t>t/a。本项目污水处理站产生的污泥不含危险成分，属于一般固废</w:t>
            </w:r>
            <w:r>
              <w:rPr>
                <w:rFonts w:hint="eastAsia"/>
                <w:color w:val="auto"/>
                <w:sz w:val="24"/>
                <w:szCs w:val="22"/>
              </w:rPr>
              <w:t>污水处理站污泥经压滤机压滤收集后</w:t>
            </w:r>
            <w:r>
              <w:rPr>
                <w:rFonts w:hint="eastAsia"/>
                <w:color w:val="auto"/>
                <w:sz w:val="24"/>
                <w:szCs w:val="22"/>
                <w:lang w:eastAsia="zh-CN"/>
              </w:rPr>
              <w:t>送至有机肥生产企业堆肥场堆肥或镶黄旗生活垃圾焚烧场进行合理化处理</w:t>
            </w:r>
            <w:r>
              <w:rPr>
                <w:color w:val="auto"/>
                <w:sz w:val="24"/>
                <w:szCs w:val="22"/>
              </w:rPr>
              <w:t>。</w:t>
            </w:r>
          </w:p>
          <w:p w14:paraId="090F3D42">
            <w:pPr>
              <w:spacing w:line="360" w:lineRule="auto"/>
              <w:ind w:firstLine="480" w:firstLineChars="200"/>
              <w:jc w:val="left"/>
              <w:rPr>
                <w:rFonts w:hint="eastAsia"/>
                <w:color w:val="auto"/>
                <w:sz w:val="24"/>
                <w:szCs w:val="22"/>
              </w:rPr>
            </w:pPr>
            <w:r>
              <w:rPr>
                <w:rFonts w:hint="eastAsia"/>
                <w:color w:val="auto"/>
                <w:sz w:val="24"/>
                <w:szCs w:val="22"/>
              </w:rPr>
              <w:t>污泥处置可行性分析</w:t>
            </w:r>
          </w:p>
          <w:p w14:paraId="4B1ABEE4">
            <w:pPr>
              <w:spacing w:line="360" w:lineRule="auto"/>
              <w:ind w:firstLine="480" w:firstLineChars="200"/>
              <w:jc w:val="left"/>
              <w:rPr>
                <w:rFonts w:hint="eastAsia" w:eastAsia="宋体"/>
                <w:color w:val="auto"/>
                <w:sz w:val="24"/>
                <w:szCs w:val="22"/>
                <w:lang w:eastAsia="zh-CN"/>
              </w:rPr>
            </w:pPr>
            <w:r>
              <w:rPr>
                <w:rFonts w:hint="eastAsia"/>
                <w:color w:val="auto"/>
                <w:sz w:val="24"/>
                <w:szCs w:val="22"/>
              </w:rPr>
              <w:t>根据《屠宰与肉类加工废水治理工程技术规范》（HJ 2004-2010），6.6.6中提出：“屠宰与肉类加工废水处理中产生的剩余污泥可作农用或与城市污水厂污泥一并处理，作农用时应符合GB4284的规定。当采用卫生填埋处置或单独处置时，污泥含水率应小于60%”，本项目污水处理站污泥经压滤机压滤收集后</w:t>
            </w:r>
            <w:r>
              <w:rPr>
                <w:rFonts w:hint="eastAsia"/>
                <w:color w:val="auto"/>
                <w:sz w:val="24"/>
                <w:szCs w:val="22"/>
                <w:lang w:eastAsia="zh-CN"/>
              </w:rPr>
              <w:t>送至有机肥生产企业堆肥场堆肥或镶黄旗生活垃圾焚烧场进行合理化处理</w:t>
            </w:r>
            <w:r>
              <w:rPr>
                <w:rFonts w:hint="eastAsia"/>
                <w:color w:val="auto"/>
                <w:sz w:val="24"/>
                <w:szCs w:val="22"/>
              </w:rPr>
              <w:t>可行</w:t>
            </w:r>
            <w:r>
              <w:rPr>
                <w:rFonts w:hint="eastAsia"/>
                <w:color w:val="auto"/>
                <w:sz w:val="24"/>
                <w:szCs w:val="22"/>
                <w:lang w:eastAsia="zh-CN"/>
              </w:rPr>
              <w:t>。</w:t>
            </w:r>
          </w:p>
          <w:p w14:paraId="08089A0B">
            <w:pPr>
              <w:numPr>
                <w:ilvl w:val="255"/>
                <w:numId w:val="0"/>
              </w:numPr>
              <w:spacing w:line="360" w:lineRule="auto"/>
              <w:ind w:firstLine="480" w:firstLineChars="200"/>
              <w:rPr>
                <w:rFonts w:hint="eastAsia" w:eastAsia="宋体"/>
                <w:bCs/>
                <w:color w:val="auto"/>
                <w:sz w:val="24"/>
                <w:szCs w:val="32"/>
                <w:lang w:eastAsia="zh-CN"/>
              </w:rPr>
            </w:pPr>
            <w:r>
              <w:rPr>
                <w:rFonts w:hint="eastAsia"/>
                <w:bCs/>
                <w:color w:val="auto"/>
                <w:sz w:val="24"/>
                <w:szCs w:val="32"/>
              </w:rPr>
              <w:t>（4）</w:t>
            </w:r>
            <w:r>
              <w:rPr>
                <w:rFonts w:hint="eastAsia"/>
                <w:bCs/>
                <w:color w:val="auto"/>
                <w:sz w:val="24"/>
                <w:szCs w:val="32"/>
                <w:lang w:val="en-US" w:eastAsia="zh-CN"/>
              </w:rPr>
              <w:t>肉渣</w:t>
            </w:r>
          </w:p>
          <w:p w14:paraId="7786F29E">
            <w:pPr>
              <w:pStyle w:val="11"/>
              <w:keepNext w:val="0"/>
              <w:keepLines w:val="0"/>
              <w:pageBreakBefore w:val="0"/>
              <w:kinsoku/>
              <w:wordWrap/>
              <w:overflowPunct/>
              <w:topLinePunct w:val="0"/>
              <w:autoSpaceDE/>
              <w:autoSpaceDN/>
              <w:bidi w:val="0"/>
              <w:spacing w:before="0" w:after="0" w:line="360" w:lineRule="auto"/>
              <w:ind w:right="0" w:firstLine="480" w:firstLineChars="200"/>
              <w:textAlignment w:val="auto"/>
              <w:rPr>
                <w:rFonts w:hint="default"/>
                <w:bCs/>
                <w:color w:val="auto"/>
                <w:sz w:val="24"/>
                <w:szCs w:val="40"/>
                <w:highlight w:val="none"/>
                <w:lang w:val="en-US" w:eastAsia="zh-CN"/>
              </w:rPr>
            </w:pPr>
            <w:r>
              <w:rPr>
                <w:rFonts w:hint="default"/>
                <w:bCs/>
                <w:color w:val="auto"/>
                <w:sz w:val="24"/>
                <w:szCs w:val="40"/>
                <w:highlight w:val="none"/>
                <w:lang w:val="en-US" w:eastAsia="zh-CN"/>
              </w:rPr>
              <w:t>本项目在煮制过程中会产生肉渣，</w:t>
            </w:r>
            <w:r>
              <w:rPr>
                <w:rFonts w:hint="eastAsia"/>
                <w:bCs/>
                <w:color w:val="auto"/>
                <w:sz w:val="24"/>
                <w:szCs w:val="40"/>
                <w:highlight w:val="none"/>
                <w:lang w:val="en-US" w:eastAsia="zh-CN"/>
              </w:rPr>
              <w:t>产生量为0.1t/a，</w:t>
            </w:r>
            <w:r>
              <w:rPr>
                <w:rFonts w:hint="eastAsia"/>
                <w:color w:val="auto"/>
                <w:sz w:val="24"/>
                <w:szCs w:val="32"/>
                <w:lang w:val="en-US" w:eastAsia="zh-CN"/>
              </w:rPr>
              <w:t>对照《固体废物分类与代码目录》2024.1.22，不属于危险废物，废物代码为135-002-S13，</w:t>
            </w:r>
            <w:r>
              <w:rPr>
                <w:rFonts w:hint="default"/>
                <w:bCs/>
                <w:color w:val="auto"/>
                <w:sz w:val="24"/>
                <w:szCs w:val="40"/>
                <w:highlight w:val="none"/>
                <w:lang w:val="en-US" w:eastAsia="zh-CN"/>
              </w:rPr>
              <w:t>集中收集后</w:t>
            </w:r>
            <w:r>
              <w:rPr>
                <w:rFonts w:hint="eastAsia"/>
                <w:bCs/>
                <w:color w:val="auto"/>
                <w:sz w:val="24"/>
                <w:szCs w:val="40"/>
                <w:highlight w:val="none"/>
                <w:lang w:val="en-US" w:eastAsia="zh-CN"/>
              </w:rPr>
              <w:t>送至有机肥生产企业堆肥场堆肥或镶黄旗生活垃圾焚烧场进行合理化处理</w:t>
            </w:r>
            <w:r>
              <w:rPr>
                <w:rFonts w:hint="default"/>
                <w:bCs/>
                <w:color w:val="auto"/>
                <w:sz w:val="24"/>
                <w:szCs w:val="40"/>
                <w:highlight w:val="none"/>
                <w:lang w:val="en-US" w:eastAsia="zh-CN"/>
              </w:rPr>
              <w:t>。</w:t>
            </w:r>
          </w:p>
          <w:p w14:paraId="2828E74E">
            <w:pPr>
              <w:pStyle w:val="11"/>
              <w:spacing w:before="0" w:after="0" w:line="360" w:lineRule="auto"/>
              <w:ind w:right="0" w:firstLine="480" w:firstLineChars="200"/>
              <w:rPr>
                <w:rFonts w:hint="eastAsia" w:eastAsia="宋体"/>
                <w:bCs/>
                <w:color w:val="auto"/>
                <w:sz w:val="24"/>
                <w:szCs w:val="40"/>
                <w:lang w:val="en-US" w:eastAsia="zh-CN"/>
              </w:rPr>
            </w:pPr>
            <w:r>
              <w:rPr>
                <w:rFonts w:hint="eastAsia"/>
                <w:bCs/>
                <w:color w:val="auto"/>
                <w:sz w:val="24"/>
                <w:szCs w:val="40"/>
              </w:rPr>
              <w:t>（5）</w:t>
            </w:r>
            <w:r>
              <w:rPr>
                <w:rFonts w:hint="eastAsia"/>
                <w:bCs/>
                <w:color w:val="auto"/>
                <w:sz w:val="24"/>
                <w:szCs w:val="40"/>
                <w:lang w:val="en-US" w:eastAsia="zh-CN"/>
              </w:rPr>
              <w:t>不合格原料</w:t>
            </w:r>
          </w:p>
          <w:p w14:paraId="35CE3B85">
            <w:pPr>
              <w:pStyle w:val="68"/>
              <w:ind w:firstLine="480"/>
              <w:rPr>
                <w:bCs/>
                <w:color w:val="auto"/>
                <w:sz w:val="24"/>
                <w:szCs w:val="40"/>
              </w:rPr>
            </w:pPr>
            <w:r>
              <w:rPr>
                <w:rFonts w:hint="eastAsia"/>
                <w:bCs/>
                <w:color w:val="auto"/>
                <w:lang w:val="en-US" w:eastAsia="zh-CN"/>
              </w:rPr>
              <w:t>项目在解冻清洗修整过程中会产生不合格原料，根据建设单位提供的数据，不合格原料产生量为0.1t/a，对照《固体废物分类与代码目录》2024.1.22，不属于危险废物，废物代码为135-002-S13，收集后委托专门收集厨余垃圾部门清运。</w:t>
            </w:r>
          </w:p>
          <w:p w14:paraId="0C2BE0FA">
            <w:pPr>
              <w:pStyle w:val="11"/>
              <w:spacing w:before="0" w:after="0" w:line="360" w:lineRule="auto"/>
              <w:ind w:right="0" w:firstLine="480" w:firstLineChars="200"/>
              <w:rPr>
                <w:rFonts w:hint="eastAsia" w:eastAsia="宋体"/>
                <w:bCs/>
                <w:color w:val="auto"/>
                <w:sz w:val="24"/>
                <w:szCs w:val="40"/>
                <w:lang w:eastAsia="zh-CN"/>
              </w:rPr>
            </w:pPr>
            <w:r>
              <w:rPr>
                <w:bCs/>
                <w:color w:val="auto"/>
                <w:sz w:val="24"/>
                <w:szCs w:val="40"/>
              </w:rPr>
              <w:t>（</w:t>
            </w:r>
            <w:r>
              <w:rPr>
                <w:rFonts w:hint="eastAsia"/>
                <w:bCs/>
                <w:color w:val="auto"/>
                <w:sz w:val="24"/>
                <w:szCs w:val="40"/>
              </w:rPr>
              <w:t>6</w:t>
            </w:r>
            <w:r>
              <w:rPr>
                <w:bCs/>
                <w:color w:val="auto"/>
                <w:sz w:val="24"/>
                <w:szCs w:val="40"/>
              </w:rPr>
              <w:t>）</w:t>
            </w:r>
            <w:r>
              <w:rPr>
                <w:rFonts w:hint="eastAsia"/>
                <w:bCs/>
                <w:color w:val="auto"/>
                <w:sz w:val="24"/>
                <w:szCs w:val="40"/>
                <w:lang w:val="en-US" w:eastAsia="zh-CN"/>
              </w:rPr>
              <w:t>废油脂</w:t>
            </w:r>
          </w:p>
          <w:p w14:paraId="2D6F06DB">
            <w:pPr>
              <w:pStyle w:val="11"/>
              <w:spacing w:before="0" w:after="0" w:line="360" w:lineRule="auto"/>
              <w:ind w:right="0" w:firstLine="480" w:firstLineChars="200"/>
              <w:rPr>
                <w:bCs/>
                <w:color w:val="auto"/>
                <w:sz w:val="24"/>
                <w:szCs w:val="40"/>
              </w:rPr>
            </w:pPr>
            <w:r>
              <w:rPr>
                <w:rFonts w:hint="eastAsia"/>
                <w:bCs/>
                <w:color w:val="auto"/>
                <w:sz w:val="24"/>
                <w:szCs w:val="40"/>
                <w:lang w:val="en-US" w:eastAsia="zh-CN"/>
              </w:rPr>
              <w:t>项目污水处理过程中会产生一定量的废油脂，根据建设单位提供的数据，废油脂的产生量约为0.1t/a，对照《固体废物分类与代码目录》2024.1.22，不属于危险废物，废物代码为900-002-S61，收集后委托专门收集厨余垃圾部门清运。</w:t>
            </w:r>
          </w:p>
          <w:p w14:paraId="107BE4D6">
            <w:pPr>
              <w:pStyle w:val="11"/>
              <w:ind w:firstLine="480" w:firstLineChars="200"/>
              <w:jc w:val="left"/>
              <w:rPr>
                <w:rFonts w:hint="default" w:eastAsia="宋体"/>
                <w:color w:val="auto"/>
                <w:kern w:val="2"/>
                <w:sz w:val="24"/>
                <w:szCs w:val="24"/>
                <w:lang w:val="en-US" w:eastAsia="zh-CN"/>
              </w:rPr>
            </w:pPr>
            <w:r>
              <w:rPr>
                <w:color w:val="auto"/>
                <w:kern w:val="2"/>
                <w:sz w:val="24"/>
                <w:szCs w:val="24"/>
              </w:rPr>
              <w:t>（</w:t>
            </w:r>
            <w:r>
              <w:rPr>
                <w:rFonts w:hint="eastAsia"/>
                <w:color w:val="auto"/>
                <w:kern w:val="2"/>
                <w:sz w:val="24"/>
                <w:szCs w:val="24"/>
              </w:rPr>
              <w:t>7</w:t>
            </w:r>
            <w:r>
              <w:rPr>
                <w:color w:val="auto"/>
                <w:kern w:val="2"/>
                <w:sz w:val="24"/>
                <w:szCs w:val="24"/>
              </w:rPr>
              <w:t>）</w:t>
            </w:r>
            <w:r>
              <w:rPr>
                <w:rFonts w:hint="eastAsia"/>
                <w:color w:val="auto"/>
                <w:kern w:val="2"/>
                <w:sz w:val="24"/>
                <w:szCs w:val="24"/>
                <w:lang w:val="en-US" w:eastAsia="zh-CN"/>
              </w:rPr>
              <w:t>格栅垃圾</w:t>
            </w:r>
          </w:p>
          <w:p w14:paraId="03A54E17">
            <w:pPr>
              <w:pStyle w:val="11"/>
              <w:spacing w:before="0" w:after="0" w:line="360" w:lineRule="auto"/>
              <w:ind w:right="0" w:firstLine="480" w:firstLineChars="200"/>
              <w:rPr>
                <w:rFonts w:hint="default" w:eastAsia="宋体"/>
                <w:bCs/>
                <w:color w:val="auto"/>
                <w:sz w:val="24"/>
                <w:szCs w:val="40"/>
                <w:lang w:val="en-US" w:eastAsia="zh-CN"/>
              </w:rPr>
            </w:pPr>
            <w:r>
              <w:rPr>
                <w:rFonts w:hint="eastAsia"/>
                <w:bCs/>
                <w:color w:val="auto"/>
                <w:sz w:val="24"/>
                <w:szCs w:val="40"/>
                <w:lang w:val="en-US" w:eastAsia="zh-CN"/>
              </w:rPr>
              <w:t>污水处理站格栅拦截的栅渣，栅渣的产生量约为0.1t/a，对照《固体废物分类与代码目录》2024.1.22，不属于危险废物，废物代码为140-001-S07，</w:t>
            </w:r>
            <w:r>
              <w:rPr>
                <w:rFonts w:hint="eastAsia"/>
                <w:color w:val="auto"/>
                <w:sz w:val="24"/>
                <w:szCs w:val="22"/>
                <w:lang w:eastAsia="zh-CN"/>
              </w:rPr>
              <w:t>送至有机肥生产企业堆肥场堆肥或镶黄旗生活垃圾焚烧场进行合理化处理。</w:t>
            </w:r>
          </w:p>
          <w:p w14:paraId="6C204853">
            <w:pPr>
              <w:pStyle w:val="68"/>
              <w:ind w:firstLine="480"/>
              <w:rPr>
                <w:rFonts w:hint="default" w:eastAsia="宋体"/>
                <w:bCs/>
                <w:color w:val="auto"/>
                <w:lang w:val="en-US" w:eastAsia="zh-CN"/>
              </w:rPr>
            </w:pPr>
            <w:r>
              <w:rPr>
                <w:rFonts w:hint="eastAsia"/>
                <w:bCs/>
                <w:color w:val="auto"/>
                <w:lang w:eastAsia="zh-CN"/>
              </w:rPr>
              <w:t>（</w:t>
            </w:r>
            <w:r>
              <w:rPr>
                <w:rFonts w:hint="eastAsia"/>
                <w:bCs/>
                <w:color w:val="auto"/>
                <w:lang w:val="en-US" w:eastAsia="zh-CN"/>
              </w:rPr>
              <w:t>8</w:t>
            </w:r>
            <w:r>
              <w:rPr>
                <w:rFonts w:hint="eastAsia"/>
                <w:bCs/>
                <w:color w:val="auto"/>
                <w:lang w:eastAsia="zh-CN"/>
              </w:rPr>
              <w:t>）</w:t>
            </w:r>
            <w:r>
              <w:rPr>
                <w:rFonts w:hint="eastAsia"/>
                <w:bCs/>
                <w:color w:val="auto"/>
                <w:lang w:val="en-US" w:eastAsia="zh-CN"/>
              </w:rPr>
              <w:t>废反渗透膜</w:t>
            </w:r>
          </w:p>
          <w:p w14:paraId="7E544065">
            <w:pPr>
              <w:pStyle w:val="68"/>
              <w:ind w:firstLine="480"/>
              <w:rPr>
                <w:rFonts w:hint="default" w:eastAsia="宋体"/>
                <w:bCs/>
                <w:color w:val="auto"/>
                <w:lang w:val="en-US" w:eastAsia="zh-CN"/>
              </w:rPr>
            </w:pPr>
            <w:r>
              <w:rPr>
                <w:rFonts w:hint="eastAsia"/>
                <w:bCs/>
                <w:color w:val="auto"/>
                <w:lang w:val="en-US" w:eastAsia="zh-CN"/>
              </w:rPr>
              <w:t>纯水间采用反渗透技术制作纯水，产生的废反渗透膜更换周期一般为1～2年，项目产生的废反渗透膜直接由厂家进行更换，不在厂内储存。</w:t>
            </w:r>
            <w:r>
              <w:rPr>
                <w:rFonts w:hint="eastAsia"/>
                <w:bCs/>
                <w:color w:val="auto"/>
                <w:sz w:val="24"/>
                <w:szCs w:val="40"/>
                <w:lang w:val="en-US" w:eastAsia="zh-CN"/>
              </w:rPr>
              <w:t>对照《固体废物分类与代码目录》2024.1.22，不属于危险废物，废物代码为149-005-99，</w:t>
            </w:r>
          </w:p>
          <w:p w14:paraId="2020C991">
            <w:pPr>
              <w:pStyle w:val="68"/>
              <w:ind w:firstLine="480"/>
              <w:rPr>
                <w:rFonts w:hint="default" w:eastAsia="宋体"/>
                <w:bCs/>
                <w:color w:val="auto"/>
                <w:lang w:val="en-US" w:eastAsia="zh-CN"/>
              </w:rPr>
            </w:pPr>
            <w:r>
              <w:rPr>
                <w:rFonts w:hint="eastAsia"/>
                <w:bCs/>
                <w:color w:val="auto"/>
                <w:lang w:eastAsia="zh-CN"/>
              </w:rPr>
              <w:t>（</w:t>
            </w:r>
            <w:r>
              <w:rPr>
                <w:rFonts w:hint="eastAsia"/>
                <w:bCs/>
                <w:color w:val="auto"/>
                <w:lang w:val="en-US" w:eastAsia="zh-CN"/>
              </w:rPr>
              <w:t>9</w:t>
            </w:r>
            <w:r>
              <w:rPr>
                <w:rFonts w:hint="eastAsia"/>
                <w:bCs/>
                <w:color w:val="auto"/>
                <w:lang w:eastAsia="zh-CN"/>
              </w:rPr>
              <w:t>）</w:t>
            </w:r>
            <w:r>
              <w:rPr>
                <w:rFonts w:hint="eastAsia"/>
                <w:bCs/>
                <w:color w:val="auto"/>
                <w:lang w:val="en-US" w:eastAsia="zh-CN"/>
              </w:rPr>
              <w:t>废活性炭</w:t>
            </w:r>
          </w:p>
          <w:p w14:paraId="1F0A7B66">
            <w:pPr>
              <w:pStyle w:val="68"/>
              <w:ind w:firstLine="480"/>
              <w:rPr>
                <w:rFonts w:hint="default" w:eastAsia="宋体"/>
                <w:bCs/>
                <w:color w:val="auto"/>
                <w:lang w:val="en-US" w:eastAsia="zh-CN"/>
              </w:rPr>
            </w:pPr>
            <w:r>
              <w:rPr>
                <w:rFonts w:hint="eastAsia"/>
                <w:bCs/>
                <w:color w:val="auto"/>
                <w:lang w:val="en-US" w:eastAsia="zh-CN"/>
              </w:rPr>
              <w:t>污水处理站废气经收集后由活性炭吸附装置处理，产生的废活性炭属于危险废物，危废代码为HW049其他废物900-039-49，产生量为0.3t/a，由厂家定期进行更换，不在厂内储存。</w:t>
            </w:r>
          </w:p>
          <w:p w14:paraId="01793895">
            <w:pPr>
              <w:spacing w:line="360" w:lineRule="auto"/>
              <w:ind w:firstLine="480" w:firstLineChars="200"/>
              <w:rPr>
                <w:color w:val="auto"/>
                <w:sz w:val="24"/>
              </w:rPr>
            </w:pPr>
            <w:r>
              <w:rPr>
                <w:color w:val="auto"/>
                <w:sz w:val="24"/>
              </w:rPr>
              <w:t>综上所述，本项目产生的固体废物均得到合理处置，采取上述措施后，不会产生二次污染，对环境影响很小。</w:t>
            </w:r>
          </w:p>
          <w:p w14:paraId="54E967A5">
            <w:pPr>
              <w:spacing w:line="360" w:lineRule="auto"/>
              <w:ind w:firstLine="482" w:firstLineChars="200"/>
              <w:rPr>
                <w:rFonts w:hint="default" w:eastAsia="宋体"/>
                <w:b/>
                <w:color w:val="auto"/>
                <w:sz w:val="24"/>
                <w:lang w:val="en-US" w:eastAsia="zh-CN"/>
              </w:rPr>
            </w:pPr>
            <w:r>
              <w:rPr>
                <w:rFonts w:hint="eastAsia"/>
                <w:b/>
                <w:color w:val="auto"/>
                <w:sz w:val="24"/>
                <w:lang w:val="en-US" w:eastAsia="zh-CN"/>
              </w:rPr>
              <w:t>3.2固体废物环境影响及保护措施</w:t>
            </w:r>
          </w:p>
          <w:p w14:paraId="4DC70D0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32"/>
              </w:rPr>
            </w:pPr>
            <w:r>
              <w:rPr>
                <w:rFonts w:hint="default" w:ascii="Times New Roman" w:hAnsi="Times New Roman" w:eastAsia="宋体" w:cs="Times New Roman"/>
                <w:color w:val="auto"/>
                <w:sz w:val="24"/>
                <w:szCs w:val="32"/>
              </w:rPr>
              <w:t>（1）一般固废管控措施：</w:t>
            </w:r>
          </w:p>
          <w:p w14:paraId="6A45A480">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32"/>
              </w:rPr>
            </w:pPr>
            <w:r>
              <w:rPr>
                <w:rFonts w:hint="default" w:ascii="Times New Roman" w:hAnsi="Times New Roman" w:eastAsia="宋体" w:cs="Times New Roman"/>
                <w:color w:val="auto"/>
                <w:sz w:val="24"/>
                <w:szCs w:val="32"/>
              </w:rPr>
              <w:t>①明确固体废弃物的种类分类，设置临时放置点，并设置明显标识；</w:t>
            </w:r>
          </w:p>
          <w:p w14:paraId="463D611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32"/>
              </w:rPr>
            </w:pPr>
            <w:r>
              <w:rPr>
                <w:rFonts w:hint="default" w:ascii="Times New Roman" w:hAnsi="Times New Roman" w:eastAsia="宋体" w:cs="Times New Roman"/>
                <w:color w:val="auto"/>
                <w:sz w:val="24"/>
                <w:szCs w:val="32"/>
              </w:rPr>
              <w:t>②固体废物产生后，应按不同类别和相应要求及时放置到临时存放场所后废物箱。</w:t>
            </w:r>
          </w:p>
          <w:p w14:paraId="50C90B5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32"/>
              </w:rPr>
            </w:pPr>
            <w:r>
              <w:rPr>
                <w:rFonts w:hint="default" w:ascii="Times New Roman" w:hAnsi="Times New Roman" w:eastAsia="宋体" w:cs="Times New Roman"/>
                <w:color w:val="auto"/>
                <w:sz w:val="24"/>
                <w:szCs w:val="32"/>
              </w:rPr>
              <w:t>③一般固体废弃物可分区进行存放；</w:t>
            </w:r>
          </w:p>
          <w:p w14:paraId="5D7E3147">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32"/>
              </w:rPr>
            </w:pPr>
            <w:r>
              <w:rPr>
                <w:rFonts w:hint="default" w:ascii="Times New Roman" w:hAnsi="Times New Roman" w:eastAsia="宋体" w:cs="Times New Roman"/>
                <w:color w:val="auto"/>
                <w:sz w:val="24"/>
                <w:szCs w:val="32"/>
              </w:rPr>
              <w:t>④禁止向固体废物储存场所以外的区域抛撒、倾倒、堆放、填埋或排放固体废物；固体废物处置应严格按照《</w:t>
            </w:r>
            <w:r>
              <w:rPr>
                <w:rFonts w:hint="eastAsia" w:cs="Times New Roman"/>
                <w:color w:val="auto"/>
                <w:sz w:val="24"/>
                <w:szCs w:val="32"/>
                <w:lang w:eastAsia="zh-CN"/>
              </w:rPr>
              <w:t>中华人民共和国固体废物污染环境防治法</w:t>
            </w:r>
            <w:r>
              <w:rPr>
                <w:rFonts w:hint="default" w:ascii="Times New Roman" w:hAnsi="Times New Roman" w:eastAsia="宋体" w:cs="Times New Roman"/>
                <w:color w:val="auto"/>
                <w:sz w:val="24"/>
                <w:szCs w:val="32"/>
              </w:rPr>
              <w:t>》等相关法律法规进行处理；</w:t>
            </w:r>
          </w:p>
          <w:p w14:paraId="03B07572">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32"/>
              </w:rPr>
            </w:pPr>
            <w:r>
              <w:rPr>
                <w:rFonts w:hint="default" w:ascii="Times New Roman" w:hAnsi="Times New Roman" w:eastAsia="宋体" w:cs="Times New Roman"/>
                <w:color w:val="auto"/>
                <w:sz w:val="24"/>
                <w:szCs w:val="32"/>
              </w:rPr>
              <w:t>⑤在生产、办公和生活过程中产生一般固体废物的处理应优先考虑资源的再利用；</w:t>
            </w:r>
          </w:p>
          <w:p w14:paraId="607189E0">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eastAsia="宋体" w:cs="Times New Roman"/>
                <w:color w:val="auto"/>
                <w:sz w:val="24"/>
                <w:szCs w:val="32"/>
              </w:rPr>
            </w:pPr>
            <w:r>
              <w:rPr>
                <w:rFonts w:hint="default" w:ascii="Times New Roman" w:hAnsi="Times New Roman" w:eastAsia="宋体" w:cs="Times New Roman"/>
                <w:color w:val="auto"/>
                <w:sz w:val="24"/>
                <w:szCs w:val="32"/>
              </w:rPr>
              <w:t>⑥企业需按照《一般工业固体废物管理台账制定指南（试行）》文件中管理要求，建立一般固废台账，如实记录一般工业固体废物的种类、数量、流向、贮存、利用、处置等信息。填写时应确保固体废物的来源信息、流向信息完整准确。</w:t>
            </w:r>
          </w:p>
          <w:p w14:paraId="3BB7C93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b/>
                <w:color w:val="auto"/>
              </w:rPr>
            </w:pPr>
            <w:r>
              <w:rPr>
                <w:rFonts w:hint="default" w:ascii="Times New Roman" w:hAnsi="Times New Roman" w:eastAsia="宋体" w:cs="Times New Roman"/>
                <w:color w:val="auto"/>
                <w:sz w:val="24"/>
                <w:szCs w:val="32"/>
              </w:rPr>
              <w:t>企业按照《一般工业固体废物贮存和填埋污染控制标准》（GB18599-2020）、《危险废物识别标志设置技术规范》（HJ 1276—2022）等规定要求，在厂区设置垃圾桶收集生活垃圾，由环卫部门每日清运处理；工业固废暂存点对固体废物分类贮存，定期外售及委托处理。</w:t>
            </w:r>
          </w:p>
          <w:p w14:paraId="2FC28643">
            <w:pPr>
              <w:spacing w:line="360" w:lineRule="auto"/>
              <w:ind w:firstLine="480" w:firstLineChars="200"/>
              <w:rPr>
                <w:b/>
                <w:color w:val="auto"/>
                <w:sz w:val="24"/>
              </w:rPr>
            </w:pPr>
            <w:r>
              <w:rPr>
                <w:rFonts w:hint="eastAsia"/>
                <w:b w:val="0"/>
                <w:bCs/>
                <w:color w:val="auto"/>
                <w:sz w:val="24"/>
                <w:lang w:val="en-US" w:eastAsia="zh-CN"/>
              </w:rPr>
              <w:t>（</w:t>
            </w:r>
            <w:r>
              <w:rPr>
                <w:rFonts w:hint="default"/>
                <w:b w:val="0"/>
                <w:bCs/>
                <w:color w:val="auto"/>
                <w:sz w:val="24"/>
                <w:lang w:val="en-US" w:eastAsia="zh-CN"/>
              </w:rPr>
              <w:t>2</w:t>
            </w:r>
            <w:r>
              <w:rPr>
                <w:rFonts w:hint="eastAsia"/>
                <w:b w:val="0"/>
                <w:bCs/>
                <w:color w:val="auto"/>
                <w:sz w:val="24"/>
                <w:lang w:val="en-US" w:eastAsia="zh-CN"/>
              </w:rPr>
              <w:t>）危险废物处置分析</w:t>
            </w:r>
            <w:r>
              <w:rPr>
                <w:rFonts w:hint="eastAsia"/>
                <w:b/>
                <w:color w:val="auto"/>
                <w:sz w:val="24"/>
                <w:lang w:val="en-US" w:eastAsia="zh-CN"/>
              </w:rPr>
              <w:t xml:space="preserve"> </w:t>
            </w:r>
          </w:p>
          <w:p w14:paraId="77F61263">
            <w:pPr>
              <w:spacing w:line="360" w:lineRule="auto"/>
              <w:ind w:firstLine="480" w:firstLineChars="200"/>
              <w:rPr>
                <w:b w:val="0"/>
                <w:bCs/>
                <w:color w:val="auto"/>
                <w:sz w:val="24"/>
              </w:rPr>
            </w:pPr>
            <w:r>
              <w:rPr>
                <w:rFonts w:hint="eastAsia"/>
                <w:b w:val="0"/>
                <w:bCs/>
                <w:color w:val="auto"/>
                <w:sz w:val="24"/>
                <w:lang w:val="en-US" w:eastAsia="zh-CN"/>
              </w:rPr>
              <w:t>危险废物暂存及转移应按照《危险废物贮存污染控制标准（</w:t>
            </w:r>
            <w:r>
              <w:rPr>
                <w:rFonts w:hint="default"/>
                <w:b w:val="0"/>
                <w:bCs/>
                <w:color w:val="auto"/>
                <w:sz w:val="24"/>
                <w:lang w:val="en-US" w:eastAsia="zh-CN"/>
              </w:rPr>
              <w:t>GB18597-2023</w:t>
            </w:r>
            <w:r>
              <w:rPr>
                <w:rFonts w:hint="eastAsia"/>
                <w:b w:val="0"/>
                <w:bCs/>
                <w:color w:val="auto"/>
                <w:sz w:val="24"/>
                <w:lang w:val="en-US" w:eastAsia="zh-CN"/>
              </w:rPr>
              <w:t>）》、《危险废物转移管理办法》（生态环境部 公安部 交通运输部 部令 第</w:t>
            </w:r>
            <w:r>
              <w:rPr>
                <w:rFonts w:hint="default"/>
                <w:b w:val="0"/>
                <w:bCs/>
                <w:color w:val="auto"/>
                <w:sz w:val="24"/>
                <w:lang w:val="en-US" w:eastAsia="zh-CN"/>
              </w:rPr>
              <w:t>23</w:t>
            </w:r>
            <w:r>
              <w:rPr>
                <w:rFonts w:hint="eastAsia"/>
                <w:b w:val="0"/>
                <w:bCs/>
                <w:color w:val="auto"/>
                <w:sz w:val="24"/>
                <w:lang w:val="en-US" w:eastAsia="zh-CN"/>
              </w:rPr>
              <w:t>号）中要求进行。</w:t>
            </w:r>
          </w:p>
          <w:p w14:paraId="51929D85">
            <w:pPr>
              <w:spacing w:line="360" w:lineRule="auto"/>
              <w:ind w:firstLine="480" w:firstLineChars="200"/>
              <w:rPr>
                <w:b/>
                <w:color w:val="auto"/>
                <w:sz w:val="24"/>
              </w:rPr>
            </w:pPr>
            <w:r>
              <w:rPr>
                <w:rFonts w:hint="eastAsia"/>
                <w:b w:val="0"/>
                <w:bCs/>
                <w:color w:val="auto"/>
                <w:sz w:val="24"/>
                <w:lang w:val="en-US" w:eastAsia="zh-CN"/>
              </w:rPr>
              <w:t xml:space="preserve">建设单位为固体废物污染防治的责任主体，建设单位应建立风险管理及应急救援体系，执行环境监测计划、转移联单管理制度及国家和省有关转移管理的相关规定、处置过程安全操作规程、人员培训考核制度、档案管理制度、处置全过程管理制度等。 </w:t>
            </w:r>
          </w:p>
          <w:p w14:paraId="065773C4">
            <w:pPr>
              <w:spacing w:line="360" w:lineRule="auto"/>
              <w:ind w:firstLine="480" w:firstLineChars="200"/>
              <w:rPr>
                <w:rFonts w:hint="eastAsia"/>
                <w:b w:val="0"/>
                <w:bCs/>
                <w:color w:val="auto"/>
                <w:sz w:val="24"/>
              </w:rPr>
            </w:pPr>
            <w:r>
              <w:rPr>
                <w:rFonts w:hint="eastAsia"/>
                <w:b w:val="0"/>
                <w:bCs/>
                <w:color w:val="auto"/>
                <w:sz w:val="24"/>
              </w:rPr>
              <w:t>危废处置可行性分析</w:t>
            </w:r>
            <w:r>
              <w:rPr>
                <w:rFonts w:hint="eastAsia"/>
                <w:b w:val="0"/>
                <w:bCs/>
                <w:color w:val="auto"/>
                <w:sz w:val="24"/>
                <w:lang w:eastAsia="zh-CN"/>
              </w:rPr>
              <w:t>：</w:t>
            </w:r>
            <w:r>
              <w:rPr>
                <w:rFonts w:hint="eastAsia"/>
                <w:b w:val="0"/>
                <w:bCs/>
                <w:color w:val="auto"/>
                <w:sz w:val="24"/>
              </w:rPr>
              <w:t>本项目不自行处理危险废物，危险废物</w:t>
            </w:r>
            <w:r>
              <w:rPr>
                <w:rFonts w:hint="eastAsia"/>
                <w:b w:val="0"/>
                <w:bCs/>
                <w:color w:val="auto"/>
                <w:sz w:val="24"/>
                <w:lang w:val="en-US" w:eastAsia="zh-CN"/>
              </w:rPr>
              <w:t>由厂家</w:t>
            </w:r>
            <w:r>
              <w:rPr>
                <w:rFonts w:hint="eastAsia"/>
                <w:b w:val="0"/>
                <w:bCs/>
                <w:color w:val="auto"/>
                <w:sz w:val="24"/>
              </w:rPr>
              <w:t>进行</w:t>
            </w:r>
            <w:r>
              <w:rPr>
                <w:rFonts w:hint="eastAsia"/>
                <w:b w:val="0"/>
                <w:bCs/>
                <w:color w:val="auto"/>
                <w:sz w:val="24"/>
                <w:lang w:val="en-US" w:eastAsia="zh-CN"/>
              </w:rPr>
              <w:t>回收</w:t>
            </w:r>
            <w:r>
              <w:rPr>
                <w:rFonts w:hint="eastAsia"/>
                <w:b w:val="0"/>
                <w:bCs/>
                <w:color w:val="auto"/>
                <w:sz w:val="24"/>
              </w:rPr>
              <w:t>处理，保证项目产生的危废全部得到安全处置。因此，本项目产生的危险废物交由</w:t>
            </w:r>
            <w:r>
              <w:rPr>
                <w:rFonts w:hint="eastAsia"/>
                <w:b w:val="0"/>
                <w:bCs/>
                <w:color w:val="auto"/>
                <w:sz w:val="24"/>
                <w:lang w:val="en-US" w:eastAsia="zh-CN"/>
              </w:rPr>
              <w:t>厂家回收</w:t>
            </w:r>
            <w:r>
              <w:rPr>
                <w:rFonts w:hint="eastAsia"/>
                <w:b w:val="0"/>
                <w:bCs/>
                <w:color w:val="auto"/>
                <w:sz w:val="24"/>
              </w:rPr>
              <w:t>处理是可行的，危废处置落实后，对环境影响较小。</w:t>
            </w:r>
          </w:p>
          <w:p w14:paraId="35A74483">
            <w:pPr>
              <w:spacing w:line="360" w:lineRule="auto"/>
              <w:ind w:firstLine="480" w:firstLineChars="200"/>
              <w:rPr>
                <w:rFonts w:hint="eastAsia"/>
                <w:b/>
                <w:color w:val="auto"/>
                <w:sz w:val="24"/>
              </w:rPr>
            </w:pPr>
            <w:r>
              <w:rPr>
                <w:rFonts w:hint="eastAsia"/>
                <w:b w:val="0"/>
                <w:bCs/>
                <w:color w:val="auto"/>
                <w:sz w:val="24"/>
              </w:rPr>
              <w:t>综上，本项目一般工业固废处理措施和处置方案满足《一般工业固体废物贮存和填埋污染控制标准》（GB18599-2020）要求</w:t>
            </w:r>
            <w:r>
              <w:rPr>
                <w:rFonts w:hint="eastAsia"/>
                <w:b w:val="0"/>
                <w:bCs/>
                <w:color w:val="auto"/>
                <w:sz w:val="24"/>
                <w:lang w:eastAsia="zh-CN"/>
              </w:rPr>
              <w:t>，</w:t>
            </w:r>
            <w:r>
              <w:rPr>
                <w:rFonts w:hint="eastAsia"/>
                <w:b w:val="0"/>
                <w:bCs/>
                <w:color w:val="auto"/>
                <w:sz w:val="24"/>
              </w:rPr>
              <w:t>对周围环境影响较小。</w:t>
            </w:r>
          </w:p>
          <w:p w14:paraId="4BBEC56F">
            <w:pPr>
              <w:spacing w:line="360" w:lineRule="auto"/>
              <w:ind w:firstLine="482" w:firstLineChars="200"/>
              <w:rPr>
                <w:b/>
                <w:bCs/>
                <w:color w:val="auto"/>
                <w:sz w:val="24"/>
              </w:rPr>
            </w:pPr>
            <w:r>
              <w:rPr>
                <w:b/>
                <w:color w:val="auto"/>
                <w:sz w:val="24"/>
              </w:rPr>
              <w:t>4</w:t>
            </w:r>
            <w:r>
              <w:rPr>
                <w:rFonts w:hint="eastAsia"/>
                <w:b/>
                <w:color w:val="auto"/>
                <w:sz w:val="24"/>
                <w:lang w:eastAsia="zh-CN"/>
              </w:rPr>
              <w:t>、</w:t>
            </w:r>
            <w:r>
              <w:rPr>
                <w:b/>
                <w:bCs/>
                <w:color w:val="auto"/>
                <w:sz w:val="24"/>
              </w:rPr>
              <w:t>噪声</w:t>
            </w:r>
          </w:p>
          <w:p w14:paraId="6D4D7B38">
            <w:pPr>
              <w:spacing w:line="360" w:lineRule="auto"/>
              <w:ind w:firstLine="480" w:firstLineChars="200"/>
              <w:rPr>
                <w:color w:val="auto"/>
                <w:sz w:val="24"/>
              </w:rPr>
            </w:pPr>
            <w:r>
              <w:rPr>
                <w:rFonts w:hint="eastAsia"/>
                <w:color w:val="auto"/>
                <w:sz w:val="24"/>
              </w:rPr>
              <w:t>4</w:t>
            </w:r>
            <w:r>
              <w:rPr>
                <w:color w:val="auto"/>
                <w:sz w:val="24"/>
              </w:rPr>
              <w:t>.1</w:t>
            </w:r>
            <w:r>
              <w:rPr>
                <w:rFonts w:hint="eastAsia"/>
                <w:color w:val="auto"/>
                <w:sz w:val="24"/>
                <w:lang w:eastAsia="zh-CN"/>
              </w:rPr>
              <w:t>、</w:t>
            </w:r>
            <w:r>
              <w:rPr>
                <w:color w:val="auto"/>
                <w:sz w:val="24"/>
              </w:rPr>
              <w:t>噪声污染源强分析</w:t>
            </w:r>
          </w:p>
          <w:p w14:paraId="465B1FE8">
            <w:pPr>
              <w:spacing w:line="360" w:lineRule="auto"/>
              <w:ind w:firstLine="480" w:firstLineChars="200"/>
              <w:rPr>
                <w:color w:val="auto"/>
                <w:sz w:val="24"/>
              </w:rPr>
            </w:pPr>
            <w:r>
              <w:rPr>
                <w:color w:val="auto"/>
                <w:sz w:val="24"/>
              </w:rPr>
              <w:t>项目运营期间产生的</w:t>
            </w:r>
            <w:r>
              <w:rPr>
                <w:rFonts w:hint="eastAsia"/>
                <w:color w:val="auto"/>
                <w:sz w:val="24"/>
                <w:lang w:eastAsia="zh-CN"/>
              </w:rPr>
              <w:t>噪声</w:t>
            </w:r>
            <w:r>
              <w:rPr>
                <w:color w:val="auto"/>
                <w:sz w:val="24"/>
              </w:rPr>
              <w:t>主要为各生产设备运营所产生的机械噪声。</w:t>
            </w:r>
          </w:p>
          <w:p w14:paraId="7FEE209A">
            <w:pPr>
              <w:widowControl/>
              <w:jc w:val="center"/>
              <w:rPr>
                <w:b/>
                <w:color w:val="auto"/>
                <w:szCs w:val="21"/>
              </w:rPr>
            </w:pPr>
            <w:r>
              <w:rPr>
                <w:b/>
                <w:color w:val="auto"/>
                <w:szCs w:val="21"/>
              </w:rPr>
              <w:t>表</w:t>
            </w:r>
            <w:r>
              <w:rPr>
                <w:rFonts w:hint="eastAsia"/>
                <w:b/>
                <w:color w:val="auto"/>
                <w:szCs w:val="21"/>
              </w:rPr>
              <w:t>4-1</w:t>
            </w:r>
            <w:r>
              <w:rPr>
                <w:rFonts w:hint="eastAsia"/>
                <w:b/>
                <w:color w:val="auto"/>
                <w:szCs w:val="21"/>
                <w:lang w:val="en-US" w:eastAsia="zh-CN"/>
              </w:rPr>
              <w:t>0</w:t>
            </w:r>
            <w:r>
              <w:rPr>
                <w:b/>
                <w:color w:val="auto"/>
                <w:szCs w:val="21"/>
              </w:rPr>
              <w:t xml:space="preserve">  项目运营期主要噪声源一览表</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788"/>
              <w:gridCol w:w="1417"/>
              <w:gridCol w:w="1161"/>
              <w:gridCol w:w="1121"/>
              <w:gridCol w:w="1284"/>
              <w:gridCol w:w="1171"/>
              <w:gridCol w:w="1096"/>
            </w:tblGrid>
            <w:tr w14:paraId="6BC0F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tblHeader/>
                <w:jc w:val="center"/>
              </w:trPr>
              <w:tc>
                <w:tcPr>
                  <w:tcW w:w="490" w:type="pct"/>
                  <w:shd w:val="clear" w:color="auto" w:fill="auto"/>
                  <w:vAlign w:val="center"/>
                </w:tcPr>
                <w:p w14:paraId="20085BC8">
                  <w:pPr>
                    <w:widowControl/>
                    <w:spacing w:line="240" w:lineRule="auto"/>
                    <w:contextualSpacing/>
                    <w:jc w:val="center"/>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项目名称</w:t>
                  </w:r>
                </w:p>
              </w:tc>
              <w:tc>
                <w:tcPr>
                  <w:tcW w:w="881" w:type="pct"/>
                  <w:shd w:val="clear" w:color="auto" w:fill="auto"/>
                  <w:vAlign w:val="center"/>
                </w:tcPr>
                <w:p w14:paraId="40CFCC9C">
                  <w:pPr>
                    <w:widowControl/>
                    <w:spacing w:line="240" w:lineRule="auto"/>
                    <w:contextualSpacing/>
                    <w:jc w:val="center"/>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主要产噪设备</w:t>
                  </w:r>
                </w:p>
              </w:tc>
              <w:tc>
                <w:tcPr>
                  <w:tcW w:w="722" w:type="pct"/>
                  <w:shd w:val="clear" w:color="auto" w:fill="auto"/>
                  <w:vAlign w:val="center"/>
                </w:tcPr>
                <w:p w14:paraId="5245E9E1">
                  <w:pPr>
                    <w:widowControl/>
                    <w:spacing w:line="240" w:lineRule="auto"/>
                    <w:contextualSpacing/>
                    <w:jc w:val="center"/>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数量（台</w:t>
                  </w:r>
                  <w:r>
                    <w:rPr>
                      <w:rFonts w:hint="default" w:ascii="Times New Roman" w:hAnsi="Times New Roman" w:eastAsia="宋体" w:cs="Times New Roman"/>
                      <w:b/>
                      <w:bCs/>
                      <w:color w:val="auto"/>
                      <w:kern w:val="0"/>
                      <w:sz w:val="21"/>
                      <w:szCs w:val="21"/>
                      <w:highlight w:val="none"/>
                    </w:rPr>
                    <w:t>/条</w:t>
                  </w:r>
                  <w:r>
                    <w:rPr>
                      <w:rFonts w:hint="default" w:ascii="Times New Roman" w:hAnsi="Times New Roman" w:cs="Times New Roman"/>
                      <w:b/>
                      <w:bCs/>
                      <w:color w:val="auto"/>
                      <w:kern w:val="0"/>
                      <w:sz w:val="21"/>
                      <w:szCs w:val="21"/>
                      <w:highlight w:val="none"/>
                    </w:rPr>
                    <w:t>）</w:t>
                  </w:r>
                </w:p>
              </w:tc>
              <w:tc>
                <w:tcPr>
                  <w:tcW w:w="697" w:type="pct"/>
                  <w:shd w:val="clear" w:color="auto" w:fill="auto"/>
                  <w:vAlign w:val="center"/>
                </w:tcPr>
                <w:p w14:paraId="557833D5">
                  <w:pPr>
                    <w:widowControl/>
                    <w:spacing w:line="240" w:lineRule="auto"/>
                    <w:contextualSpacing/>
                    <w:jc w:val="center"/>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单台声级dB(A)</w:t>
                  </w:r>
                </w:p>
              </w:tc>
              <w:tc>
                <w:tcPr>
                  <w:tcW w:w="798" w:type="pct"/>
                  <w:shd w:val="clear" w:color="auto" w:fill="auto"/>
                  <w:vAlign w:val="center"/>
                </w:tcPr>
                <w:p w14:paraId="28C27593">
                  <w:pPr>
                    <w:widowControl/>
                    <w:spacing w:line="240" w:lineRule="auto"/>
                    <w:contextualSpacing/>
                    <w:jc w:val="center"/>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降噪措施</w:t>
                  </w:r>
                </w:p>
              </w:tc>
              <w:tc>
                <w:tcPr>
                  <w:tcW w:w="728" w:type="pct"/>
                  <w:shd w:val="clear" w:color="auto" w:fill="auto"/>
                  <w:vAlign w:val="center"/>
                </w:tcPr>
                <w:p w14:paraId="75EA2F8A">
                  <w:pPr>
                    <w:widowControl/>
                    <w:spacing w:line="240" w:lineRule="auto"/>
                    <w:contextualSpacing/>
                    <w:jc w:val="center"/>
                    <w:rPr>
                      <w:rFonts w:hint="default" w:ascii="Times New Roman" w:hAnsi="Times New Roman" w:cs="Times New Roman"/>
                      <w:b/>
                      <w:bCs/>
                      <w:color w:val="auto"/>
                      <w:kern w:val="0"/>
                      <w:sz w:val="21"/>
                      <w:szCs w:val="21"/>
                      <w:highlight w:val="none"/>
                    </w:rPr>
                  </w:pPr>
                  <w:r>
                    <w:rPr>
                      <w:rFonts w:hint="default" w:ascii="Times New Roman" w:hAnsi="Times New Roman" w:cs="Times New Roman"/>
                      <w:b/>
                      <w:bCs/>
                      <w:color w:val="auto"/>
                      <w:kern w:val="0"/>
                      <w:sz w:val="21"/>
                      <w:szCs w:val="21"/>
                      <w:highlight w:val="none"/>
                    </w:rPr>
                    <w:t>降噪量dB(A)</w:t>
                  </w:r>
                </w:p>
              </w:tc>
              <w:tc>
                <w:tcPr>
                  <w:tcW w:w="681" w:type="pct"/>
                  <w:shd w:val="clear" w:color="auto" w:fill="auto"/>
                  <w:vAlign w:val="center"/>
                </w:tcPr>
                <w:p w14:paraId="6826586E">
                  <w:pPr>
                    <w:widowControl/>
                    <w:spacing w:line="240" w:lineRule="auto"/>
                    <w:contextualSpacing/>
                    <w:jc w:val="center"/>
                    <w:rPr>
                      <w:rFonts w:hint="eastAsia" w:ascii="Times New Roman" w:hAnsi="Times New Roman" w:eastAsia="宋体" w:cs="Times New Roman"/>
                      <w:b/>
                      <w:bCs/>
                      <w:color w:val="auto"/>
                      <w:kern w:val="0"/>
                      <w:sz w:val="21"/>
                      <w:szCs w:val="21"/>
                      <w:highlight w:val="none"/>
                      <w:lang w:val="en-US" w:eastAsia="zh-CN"/>
                    </w:rPr>
                  </w:pPr>
                  <w:r>
                    <w:rPr>
                      <w:rFonts w:hint="default" w:ascii="Times New Roman" w:hAnsi="Times New Roman" w:cs="Times New Roman"/>
                      <w:b/>
                      <w:bCs/>
                      <w:color w:val="auto"/>
                      <w:kern w:val="0"/>
                      <w:sz w:val="21"/>
                      <w:szCs w:val="21"/>
                      <w:highlight w:val="none"/>
                    </w:rPr>
                    <w:t>降噪后声级dB(A)</w:t>
                  </w:r>
                </w:p>
              </w:tc>
            </w:tr>
            <w:tr w14:paraId="24387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0" w:type="pct"/>
                  <w:vMerge w:val="restart"/>
                  <w:shd w:val="clear" w:color="auto" w:fill="auto"/>
                  <w:vAlign w:val="center"/>
                </w:tcPr>
                <w:p w14:paraId="2E74673E">
                  <w:pPr>
                    <w:widowControl/>
                    <w:spacing w:line="240" w:lineRule="auto"/>
                    <w:contextualSpacing/>
                    <w:jc w:val="center"/>
                    <w:rPr>
                      <w:rFonts w:hint="default" w:ascii="Times New Roman" w:hAnsi="Times New Roman" w:eastAsia="宋体" w:cs="Times New Roman"/>
                      <w:color w:val="auto"/>
                      <w:kern w:val="0"/>
                      <w:sz w:val="21"/>
                      <w:szCs w:val="21"/>
                      <w:highlight w:val="none"/>
                    </w:rPr>
                  </w:pPr>
                  <w:r>
                    <w:rPr>
                      <w:rFonts w:hint="eastAsia" w:cs="Times New Roman"/>
                      <w:color w:val="auto"/>
                      <w:kern w:val="0"/>
                      <w:sz w:val="21"/>
                      <w:szCs w:val="21"/>
                      <w:highlight w:val="none"/>
                      <w:lang w:val="en-US" w:eastAsia="zh-CN"/>
                    </w:rPr>
                    <w:t>生产</w:t>
                  </w:r>
                  <w:r>
                    <w:rPr>
                      <w:rFonts w:hint="default" w:ascii="Times New Roman" w:hAnsi="Times New Roman" w:eastAsia="宋体" w:cs="Times New Roman"/>
                      <w:color w:val="auto"/>
                      <w:kern w:val="0"/>
                      <w:sz w:val="21"/>
                      <w:szCs w:val="21"/>
                      <w:highlight w:val="none"/>
                    </w:rPr>
                    <w:t>车间</w:t>
                  </w:r>
                </w:p>
              </w:tc>
              <w:tc>
                <w:tcPr>
                  <w:tcW w:w="881" w:type="pct"/>
                  <w:shd w:val="clear" w:color="auto" w:fill="auto"/>
                  <w:vAlign w:val="center"/>
                </w:tcPr>
                <w:p w14:paraId="56C1B97F">
                  <w:pPr>
                    <w:widowControl/>
                    <w:spacing w:line="240" w:lineRule="auto"/>
                    <w:contextualSpacing/>
                    <w:jc w:val="center"/>
                    <w:rPr>
                      <w:rFonts w:hint="default" w:ascii="Times New Roman" w:hAnsi="Times New Roman" w:cs="Times New Roman"/>
                      <w:b w:val="0"/>
                      <w:bCs w:val="0"/>
                      <w:color w:val="auto"/>
                      <w:kern w:val="0"/>
                      <w:sz w:val="21"/>
                      <w:szCs w:val="21"/>
                      <w:highlight w:val="none"/>
                    </w:rPr>
                  </w:pPr>
                  <w:r>
                    <w:rPr>
                      <w:rFonts w:hint="default" w:ascii="Times New Roman" w:hAnsi="Times New Roman" w:eastAsia="宋体" w:cs="Times New Roman"/>
                      <w:b w:val="0"/>
                      <w:bCs w:val="0"/>
                      <w:i w:val="0"/>
                      <w:iCs w:val="0"/>
                      <w:color w:val="auto"/>
                      <w:sz w:val="21"/>
                      <w:szCs w:val="21"/>
                      <w:lang w:val="en-US" w:eastAsia="zh-CN"/>
                    </w:rPr>
                    <w:t>去筋膜机</w:t>
                  </w:r>
                </w:p>
              </w:tc>
              <w:tc>
                <w:tcPr>
                  <w:tcW w:w="722" w:type="pct"/>
                  <w:shd w:val="clear" w:color="auto" w:fill="auto"/>
                  <w:vAlign w:val="center"/>
                </w:tcPr>
                <w:p w14:paraId="07DF2FF1">
                  <w:pPr>
                    <w:widowControl/>
                    <w:spacing w:line="240" w:lineRule="auto"/>
                    <w:contextualSpacing/>
                    <w:jc w:val="center"/>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1</w:t>
                  </w:r>
                  <w:r>
                    <w:rPr>
                      <w:rFonts w:hint="default" w:ascii="Times New Roman" w:hAnsi="Times New Roman" w:cs="Times New Roman"/>
                      <w:b w:val="0"/>
                      <w:bCs w:val="0"/>
                      <w:color w:val="auto"/>
                      <w:kern w:val="0"/>
                      <w:sz w:val="21"/>
                      <w:szCs w:val="21"/>
                      <w:highlight w:val="none"/>
                    </w:rPr>
                    <w:t>台</w:t>
                  </w:r>
                </w:p>
              </w:tc>
              <w:tc>
                <w:tcPr>
                  <w:tcW w:w="697" w:type="pct"/>
                  <w:shd w:val="clear" w:color="auto" w:fill="auto"/>
                  <w:vAlign w:val="center"/>
                </w:tcPr>
                <w:p w14:paraId="2DE80225">
                  <w:pPr>
                    <w:widowControl/>
                    <w:spacing w:line="240" w:lineRule="auto"/>
                    <w:contextualSpacing/>
                    <w:jc w:val="center"/>
                    <w:rPr>
                      <w:rFonts w:hint="default" w:ascii="Times New Roman" w:hAnsi="Times New Roman" w:cs="Times New Roman"/>
                      <w:color w:val="auto"/>
                      <w:kern w:val="0"/>
                      <w:sz w:val="21"/>
                      <w:szCs w:val="21"/>
                      <w:highlight w:val="none"/>
                    </w:rPr>
                  </w:pPr>
                  <w:r>
                    <w:rPr>
                      <w:rFonts w:hint="default" w:ascii="Times New Roman" w:hAnsi="Times New Roman" w:eastAsia="宋体" w:cs="Times New Roman"/>
                      <w:color w:val="auto"/>
                      <w:sz w:val="21"/>
                      <w:szCs w:val="21"/>
                      <w:highlight w:val="none"/>
                    </w:rPr>
                    <w:t>75~85</w:t>
                  </w:r>
                </w:p>
              </w:tc>
              <w:tc>
                <w:tcPr>
                  <w:tcW w:w="798" w:type="pct"/>
                  <w:vMerge w:val="restart"/>
                  <w:shd w:val="clear" w:color="auto" w:fill="auto"/>
                  <w:vAlign w:val="center"/>
                </w:tcPr>
                <w:p w14:paraId="4A6D8FC3">
                  <w:pPr>
                    <w:widowControl/>
                    <w:spacing w:line="240" w:lineRule="auto"/>
                    <w:contextualSpacing/>
                    <w:jc w:val="center"/>
                    <w:rPr>
                      <w:rFonts w:hint="default" w:ascii="Times New Roman" w:hAnsi="Times New Roman" w:cs="Times New Roman"/>
                      <w:color w:val="auto"/>
                      <w:kern w:val="0"/>
                      <w:sz w:val="21"/>
                      <w:szCs w:val="21"/>
                      <w:highlight w:val="none"/>
                    </w:rPr>
                  </w:pPr>
                  <w:r>
                    <w:rPr>
                      <w:rFonts w:hint="default" w:ascii="Times New Roman" w:hAnsi="Times New Roman" w:eastAsia="宋体" w:cs="Times New Roman"/>
                      <w:color w:val="auto"/>
                      <w:sz w:val="21"/>
                      <w:szCs w:val="21"/>
                      <w:highlight w:val="none"/>
                    </w:rPr>
                    <w:t>封闭厂房、基础减震、隔音消声</w:t>
                  </w:r>
                </w:p>
              </w:tc>
              <w:tc>
                <w:tcPr>
                  <w:tcW w:w="728" w:type="pct"/>
                  <w:shd w:val="clear" w:color="auto" w:fill="auto"/>
                  <w:vAlign w:val="center"/>
                </w:tcPr>
                <w:p w14:paraId="55D032DC">
                  <w:pPr>
                    <w:widowControl/>
                    <w:spacing w:line="240" w:lineRule="auto"/>
                    <w:contextualSpacing/>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25</w:t>
                  </w:r>
                </w:p>
              </w:tc>
              <w:tc>
                <w:tcPr>
                  <w:tcW w:w="681" w:type="pct"/>
                  <w:shd w:val="clear" w:color="auto" w:fill="auto"/>
                  <w:vAlign w:val="center"/>
                </w:tcPr>
                <w:p w14:paraId="18AE52E0">
                  <w:pPr>
                    <w:widowControl/>
                    <w:spacing w:line="240" w:lineRule="auto"/>
                    <w:contextualSpacing/>
                    <w:jc w:val="center"/>
                    <w:rPr>
                      <w:rFonts w:hint="default" w:ascii="Times New Roman" w:hAnsi="Times New Roman" w:eastAsia="宋体" w:cs="Times New Roman"/>
                      <w:color w:val="auto"/>
                      <w:kern w:val="0"/>
                      <w:sz w:val="21"/>
                      <w:szCs w:val="21"/>
                      <w:highlight w:val="none"/>
                    </w:rPr>
                  </w:pPr>
                  <w:r>
                    <w:rPr>
                      <w:rFonts w:hint="eastAsia" w:cs="Times New Roman"/>
                      <w:color w:val="auto"/>
                      <w:sz w:val="21"/>
                      <w:szCs w:val="21"/>
                      <w:highlight w:val="none"/>
                      <w:lang w:val="en-US" w:eastAsia="zh-CN"/>
                    </w:rPr>
                    <w:t>50</w:t>
                  </w:r>
                  <w:r>
                    <w:rPr>
                      <w:rFonts w:hint="default" w:ascii="Times New Roman" w:hAnsi="Times New Roman" w:eastAsia="宋体" w:cs="Times New Roman"/>
                      <w:color w:val="auto"/>
                      <w:sz w:val="21"/>
                      <w:szCs w:val="21"/>
                      <w:highlight w:val="none"/>
                    </w:rPr>
                    <w:t>~</w:t>
                  </w:r>
                  <w:r>
                    <w:rPr>
                      <w:rFonts w:hint="eastAsia" w:cs="Times New Roman"/>
                      <w:color w:val="auto"/>
                      <w:sz w:val="21"/>
                      <w:szCs w:val="21"/>
                      <w:highlight w:val="none"/>
                      <w:lang w:val="en-US" w:eastAsia="zh-CN"/>
                    </w:rPr>
                    <w:t>6</w:t>
                  </w:r>
                  <w:r>
                    <w:rPr>
                      <w:rFonts w:hint="default" w:ascii="Times New Roman" w:hAnsi="Times New Roman" w:eastAsia="宋体" w:cs="Times New Roman"/>
                      <w:color w:val="auto"/>
                      <w:sz w:val="21"/>
                      <w:szCs w:val="21"/>
                      <w:highlight w:val="none"/>
                    </w:rPr>
                    <w:t>0</w:t>
                  </w:r>
                </w:p>
              </w:tc>
            </w:tr>
            <w:tr w14:paraId="05559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490" w:type="pct"/>
                  <w:vMerge w:val="continue"/>
                  <w:shd w:val="clear" w:color="auto" w:fill="auto"/>
                  <w:vAlign w:val="center"/>
                </w:tcPr>
                <w:p w14:paraId="6A9AE136">
                  <w:pPr>
                    <w:widowControl/>
                    <w:spacing w:line="240" w:lineRule="auto"/>
                    <w:contextualSpacing/>
                    <w:jc w:val="center"/>
                    <w:rPr>
                      <w:rFonts w:hint="default" w:ascii="Times New Roman" w:hAnsi="Times New Roman" w:eastAsia="宋体" w:cs="Times New Roman"/>
                      <w:color w:val="auto"/>
                      <w:kern w:val="0"/>
                      <w:sz w:val="21"/>
                      <w:szCs w:val="21"/>
                      <w:highlight w:val="none"/>
                    </w:rPr>
                  </w:pPr>
                </w:p>
              </w:tc>
              <w:tc>
                <w:tcPr>
                  <w:tcW w:w="881" w:type="pct"/>
                  <w:shd w:val="clear" w:color="auto" w:fill="auto"/>
                  <w:vAlign w:val="center"/>
                </w:tcPr>
                <w:p w14:paraId="279EBFCB">
                  <w:pPr>
                    <w:widowControl/>
                    <w:spacing w:line="240" w:lineRule="auto"/>
                    <w:contextualSpacing/>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i w:val="0"/>
                      <w:iCs w:val="0"/>
                      <w:color w:val="auto"/>
                      <w:sz w:val="21"/>
                      <w:szCs w:val="21"/>
                      <w:lang w:val="en-US" w:eastAsia="zh-CN"/>
                    </w:rPr>
                    <w:t>迪克修割刀</w:t>
                  </w:r>
                </w:p>
              </w:tc>
              <w:tc>
                <w:tcPr>
                  <w:tcW w:w="722" w:type="pct"/>
                  <w:shd w:val="clear" w:color="auto" w:fill="auto"/>
                  <w:vAlign w:val="center"/>
                </w:tcPr>
                <w:p w14:paraId="23C5F35C">
                  <w:pPr>
                    <w:widowControl/>
                    <w:spacing w:line="240" w:lineRule="auto"/>
                    <w:contextualSpacing/>
                    <w:jc w:val="center"/>
                    <w:rPr>
                      <w:rFonts w:hint="default" w:ascii="Times New Roman" w:hAnsi="Times New Roman" w:eastAsia="宋体" w:cs="Times New Roman"/>
                      <w:b w:val="0"/>
                      <w:bCs w:val="0"/>
                      <w:color w:val="auto"/>
                      <w:kern w:val="0"/>
                      <w:sz w:val="21"/>
                      <w:szCs w:val="21"/>
                      <w:highlight w:val="none"/>
                      <w:lang w:val="en-US" w:eastAsia="zh-CN"/>
                    </w:rPr>
                  </w:pPr>
                  <w:r>
                    <w:rPr>
                      <w:rFonts w:hint="eastAsia" w:cs="Times New Roman"/>
                      <w:b w:val="0"/>
                      <w:bCs w:val="0"/>
                      <w:color w:val="auto"/>
                      <w:kern w:val="0"/>
                      <w:sz w:val="21"/>
                      <w:szCs w:val="21"/>
                      <w:highlight w:val="none"/>
                      <w:lang w:val="en-US" w:eastAsia="zh-CN"/>
                    </w:rPr>
                    <w:t>20</w:t>
                  </w:r>
                  <w:r>
                    <w:rPr>
                      <w:rFonts w:hint="default" w:ascii="Times New Roman" w:hAnsi="Times New Roman" w:cs="Times New Roman"/>
                      <w:b w:val="0"/>
                      <w:bCs w:val="0"/>
                      <w:color w:val="auto"/>
                      <w:kern w:val="0"/>
                      <w:sz w:val="21"/>
                      <w:szCs w:val="21"/>
                      <w:highlight w:val="none"/>
                    </w:rPr>
                    <w:t>台</w:t>
                  </w:r>
                </w:p>
              </w:tc>
              <w:tc>
                <w:tcPr>
                  <w:tcW w:w="697" w:type="pct"/>
                  <w:shd w:val="clear" w:color="auto" w:fill="auto"/>
                  <w:vAlign w:val="center"/>
                </w:tcPr>
                <w:p w14:paraId="35BC84D3">
                  <w:pPr>
                    <w:widowControl/>
                    <w:spacing w:line="240" w:lineRule="auto"/>
                    <w:contextualSpacing/>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7</w:t>
                  </w:r>
                  <w:r>
                    <w:rPr>
                      <w:rFonts w:hint="default" w:ascii="Times New Roman" w:hAnsi="Times New Roman" w:eastAsia="宋体" w:cs="Times New Roman"/>
                      <w:color w:val="auto"/>
                      <w:sz w:val="21"/>
                      <w:szCs w:val="21"/>
                      <w:highlight w:val="none"/>
                      <w:lang w:val="en-US" w:eastAsia="zh-CN"/>
                    </w:rPr>
                    <w:t>0</w:t>
                  </w:r>
                  <w:r>
                    <w:rPr>
                      <w:rFonts w:hint="default" w:ascii="Times New Roman" w:hAnsi="Times New Roman" w:eastAsia="宋体" w:cs="Times New Roman"/>
                      <w:color w:val="auto"/>
                      <w:sz w:val="21"/>
                      <w:szCs w:val="21"/>
                      <w:highlight w:val="none"/>
                    </w:rPr>
                    <w:t>~9</w:t>
                  </w:r>
                  <w:r>
                    <w:rPr>
                      <w:rFonts w:hint="default" w:ascii="Times New Roman" w:hAnsi="Times New Roman" w:eastAsia="宋体" w:cs="Times New Roman"/>
                      <w:color w:val="auto"/>
                      <w:sz w:val="21"/>
                      <w:szCs w:val="21"/>
                      <w:highlight w:val="none"/>
                      <w:lang w:val="en-US" w:eastAsia="zh-CN"/>
                    </w:rPr>
                    <w:t>0</w:t>
                  </w:r>
                </w:p>
              </w:tc>
              <w:tc>
                <w:tcPr>
                  <w:tcW w:w="798" w:type="pct"/>
                  <w:vMerge w:val="continue"/>
                  <w:shd w:val="clear" w:color="auto" w:fill="auto"/>
                  <w:vAlign w:val="center"/>
                </w:tcPr>
                <w:p w14:paraId="619FB467">
                  <w:pPr>
                    <w:widowControl/>
                    <w:spacing w:line="240" w:lineRule="auto"/>
                    <w:contextualSpacing/>
                    <w:jc w:val="center"/>
                    <w:rPr>
                      <w:rFonts w:hint="default" w:ascii="Times New Roman" w:hAnsi="Times New Roman" w:eastAsia="宋体" w:cs="Times New Roman"/>
                      <w:color w:val="auto"/>
                      <w:sz w:val="21"/>
                      <w:szCs w:val="21"/>
                      <w:highlight w:val="none"/>
                    </w:rPr>
                  </w:pPr>
                </w:p>
              </w:tc>
              <w:tc>
                <w:tcPr>
                  <w:tcW w:w="728" w:type="pct"/>
                  <w:shd w:val="clear" w:color="auto" w:fill="auto"/>
                  <w:vAlign w:val="center"/>
                </w:tcPr>
                <w:p w14:paraId="62C4C73A">
                  <w:pPr>
                    <w:widowControl/>
                    <w:spacing w:line="240" w:lineRule="auto"/>
                    <w:contextualSpacing/>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25</w:t>
                  </w:r>
                </w:p>
              </w:tc>
              <w:tc>
                <w:tcPr>
                  <w:tcW w:w="681" w:type="pct"/>
                  <w:shd w:val="clear" w:color="auto" w:fill="auto"/>
                  <w:vAlign w:val="center"/>
                </w:tcPr>
                <w:p w14:paraId="00A038C6">
                  <w:pPr>
                    <w:widowControl/>
                    <w:spacing w:line="240" w:lineRule="auto"/>
                    <w:contextualSpacing/>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val="en-US" w:eastAsia="zh-CN"/>
                    </w:rPr>
                    <w:t>65</w:t>
                  </w:r>
                </w:p>
              </w:tc>
            </w:tr>
            <w:tr w14:paraId="79199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0" w:type="pct"/>
                  <w:vMerge w:val="continue"/>
                  <w:shd w:val="clear" w:color="auto" w:fill="auto"/>
                  <w:vAlign w:val="center"/>
                </w:tcPr>
                <w:p w14:paraId="6807ABA2">
                  <w:pPr>
                    <w:widowControl/>
                    <w:spacing w:line="240" w:lineRule="auto"/>
                    <w:contextualSpacing/>
                    <w:jc w:val="center"/>
                    <w:rPr>
                      <w:rFonts w:hint="default" w:ascii="Times New Roman" w:hAnsi="Times New Roman" w:eastAsia="宋体" w:cs="Times New Roman"/>
                      <w:color w:val="auto"/>
                      <w:kern w:val="0"/>
                      <w:sz w:val="21"/>
                      <w:szCs w:val="21"/>
                      <w:highlight w:val="none"/>
                    </w:rPr>
                  </w:pPr>
                </w:p>
              </w:tc>
              <w:tc>
                <w:tcPr>
                  <w:tcW w:w="881" w:type="pct"/>
                  <w:shd w:val="clear" w:color="auto" w:fill="auto"/>
                  <w:vAlign w:val="center"/>
                </w:tcPr>
                <w:p w14:paraId="301143A0">
                  <w:pPr>
                    <w:widowControl/>
                    <w:spacing w:line="240" w:lineRule="auto"/>
                    <w:contextualSpacing/>
                    <w:jc w:val="center"/>
                    <w:rPr>
                      <w:rFonts w:hint="default" w:ascii="Times New Roman" w:hAnsi="Times New Roman" w:eastAsia="宋体" w:cs="Times New Roman"/>
                      <w:b w:val="0"/>
                      <w:bCs w:val="0"/>
                      <w:i w:val="0"/>
                      <w:iCs w:val="0"/>
                      <w:color w:val="auto"/>
                      <w:kern w:val="0"/>
                      <w:sz w:val="21"/>
                      <w:szCs w:val="21"/>
                      <w:highlight w:val="none"/>
                      <w:u w:val="none"/>
                      <w:lang w:val="en-US" w:eastAsia="zh-CN" w:bidi="ar"/>
                    </w:rPr>
                  </w:pPr>
                  <w:r>
                    <w:rPr>
                      <w:rFonts w:hint="default" w:ascii="Times New Roman" w:hAnsi="Times New Roman" w:eastAsia="宋体" w:cs="Times New Roman"/>
                      <w:b w:val="0"/>
                      <w:bCs w:val="0"/>
                      <w:i w:val="0"/>
                      <w:iCs w:val="0"/>
                      <w:color w:val="auto"/>
                      <w:sz w:val="21"/>
                      <w:szCs w:val="21"/>
                      <w:lang w:val="en-US" w:eastAsia="zh-CN"/>
                    </w:rPr>
                    <w:t>开条机</w:t>
                  </w:r>
                </w:p>
              </w:tc>
              <w:tc>
                <w:tcPr>
                  <w:tcW w:w="722" w:type="pct"/>
                  <w:shd w:val="clear" w:color="auto" w:fill="auto"/>
                  <w:vAlign w:val="center"/>
                </w:tcPr>
                <w:p w14:paraId="07AED52D">
                  <w:pPr>
                    <w:widowControl/>
                    <w:spacing w:line="240" w:lineRule="auto"/>
                    <w:contextualSpacing/>
                    <w:jc w:val="center"/>
                    <w:rPr>
                      <w:rFonts w:hint="default" w:ascii="Times New Roman" w:hAnsi="Times New Roman" w:eastAsia="宋体" w:cs="Times New Roman"/>
                      <w:b w:val="0"/>
                      <w:bCs w:val="0"/>
                      <w:color w:val="auto"/>
                      <w:kern w:val="0"/>
                      <w:sz w:val="21"/>
                      <w:szCs w:val="21"/>
                      <w:highlight w:val="none"/>
                      <w:lang w:val="en-US" w:eastAsia="zh-CN"/>
                    </w:rPr>
                  </w:pPr>
                  <w:r>
                    <w:rPr>
                      <w:rFonts w:hint="eastAsia" w:cs="Times New Roman"/>
                      <w:b w:val="0"/>
                      <w:bCs w:val="0"/>
                      <w:color w:val="auto"/>
                      <w:kern w:val="0"/>
                      <w:sz w:val="21"/>
                      <w:szCs w:val="21"/>
                      <w:highlight w:val="none"/>
                      <w:lang w:val="en-US" w:eastAsia="zh-CN"/>
                    </w:rPr>
                    <w:t>2</w:t>
                  </w:r>
                  <w:r>
                    <w:rPr>
                      <w:rFonts w:hint="default" w:ascii="Times New Roman" w:hAnsi="Times New Roman" w:cs="Times New Roman"/>
                      <w:b w:val="0"/>
                      <w:bCs w:val="0"/>
                      <w:color w:val="auto"/>
                      <w:kern w:val="0"/>
                      <w:sz w:val="21"/>
                      <w:szCs w:val="21"/>
                      <w:highlight w:val="none"/>
                    </w:rPr>
                    <w:t>台</w:t>
                  </w:r>
                </w:p>
              </w:tc>
              <w:tc>
                <w:tcPr>
                  <w:tcW w:w="697" w:type="pct"/>
                  <w:shd w:val="clear" w:color="auto" w:fill="auto"/>
                  <w:vAlign w:val="center"/>
                </w:tcPr>
                <w:p w14:paraId="100E1D85">
                  <w:pPr>
                    <w:widowControl/>
                    <w:spacing w:line="240" w:lineRule="auto"/>
                    <w:contextualSpacing/>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7</w:t>
                  </w:r>
                  <w:r>
                    <w:rPr>
                      <w:rFonts w:hint="default" w:ascii="Times New Roman" w:hAnsi="Times New Roman" w:eastAsia="宋体" w:cs="Times New Roman"/>
                      <w:color w:val="auto"/>
                      <w:sz w:val="21"/>
                      <w:szCs w:val="21"/>
                      <w:highlight w:val="none"/>
                      <w:lang w:val="en-US" w:eastAsia="zh-CN"/>
                    </w:rPr>
                    <w:t>0</w:t>
                  </w:r>
                  <w:r>
                    <w:rPr>
                      <w:rFonts w:hint="default" w:ascii="Times New Roman" w:hAnsi="Times New Roman" w:eastAsia="宋体" w:cs="Times New Roman"/>
                      <w:color w:val="auto"/>
                      <w:sz w:val="21"/>
                      <w:szCs w:val="21"/>
                      <w:highlight w:val="none"/>
                    </w:rPr>
                    <w:t>~9</w:t>
                  </w:r>
                  <w:r>
                    <w:rPr>
                      <w:rFonts w:hint="default" w:ascii="Times New Roman" w:hAnsi="Times New Roman" w:eastAsia="宋体" w:cs="Times New Roman"/>
                      <w:color w:val="auto"/>
                      <w:sz w:val="21"/>
                      <w:szCs w:val="21"/>
                      <w:highlight w:val="none"/>
                      <w:lang w:val="en-US" w:eastAsia="zh-CN"/>
                    </w:rPr>
                    <w:t>0</w:t>
                  </w:r>
                </w:p>
              </w:tc>
              <w:tc>
                <w:tcPr>
                  <w:tcW w:w="798" w:type="pct"/>
                  <w:vMerge w:val="continue"/>
                  <w:shd w:val="clear" w:color="auto" w:fill="auto"/>
                  <w:vAlign w:val="center"/>
                </w:tcPr>
                <w:p w14:paraId="5EC0953F">
                  <w:pPr>
                    <w:widowControl/>
                    <w:spacing w:line="240" w:lineRule="auto"/>
                    <w:contextualSpacing/>
                    <w:jc w:val="center"/>
                    <w:rPr>
                      <w:rFonts w:hint="default" w:ascii="Times New Roman" w:hAnsi="Times New Roman" w:eastAsia="宋体" w:cs="Times New Roman"/>
                      <w:color w:val="auto"/>
                      <w:sz w:val="21"/>
                      <w:szCs w:val="21"/>
                      <w:highlight w:val="none"/>
                    </w:rPr>
                  </w:pPr>
                </w:p>
              </w:tc>
              <w:tc>
                <w:tcPr>
                  <w:tcW w:w="728" w:type="pct"/>
                  <w:shd w:val="clear" w:color="auto" w:fill="auto"/>
                  <w:vAlign w:val="center"/>
                </w:tcPr>
                <w:p w14:paraId="61CB2F8D">
                  <w:pPr>
                    <w:widowControl/>
                    <w:spacing w:line="240" w:lineRule="auto"/>
                    <w:contextualSpacing/>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25</w:t>
                  </w:r>
                </w:p>
              </w:tc>
              <w:tc>
                <w:tcPr>
                  <w:tcW w:w="681" w:type="pct"/>
                  <w:shd w:val="clear" w:color="auto" w:fill="auto"/>
                  <w:vAlign w:val="center"/>
                </w:tcPr>
                <w:p w14:paraId="4F2F52AB">
                  <w:pPr>
                    <w:widowControl/>
                    <w:spacing w:line="240" w:lineRule="auto"/>
                    <w:contextualSpacing/>
                    <w:jc w:val="center"/>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val="en-US" w:eastAsia="zh-CN"/>
                    </w:rPr>
                    <w:t>65</w:t>
                  </w:r>
                </w:p>
              </w:tc>
            </w:tr>
            <w:tr w14:paraId="5D3A8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490" w:type="pct"/>
                  <w:vMerge w:val="continue"/>
                  <w:shd w:val="clear" w:color="auto" w:fill="auto"/>
                  <w:vAlign w:val="center"/>
                </w:tcPr>
                <w:p w14:paraId="56FD8BCD">
                  <w:pPr>
                    <w:widowControl/>
                    <w:spacing w:line="240" w:lineRule="auto"/>
                    <w:contextualSpacing/>
                    <w:jc w:val="center"/>
                    <w:rPr>
                      <w:rFonts w:hint="default" w:ascii="Times New Roman" w:hAnsi="Times New Roman" w:eastAsia="宋体" w:cs="Times New Roman"/>
                      <w:color w:val="auto"/>
                      <w:kern w:val="0"/>
                      <w:sz w:val="21"/>
                      <w:szCs w:val="21"/>
                      <w:highlight w:val="none"/>
                    </w:rPr>
                  </w:pPr>
                </w:p>
              </w:tc>
              <w:tc>
                <w:tcPr>
                  <w:tcW w:w="881" w:type="pct"/>
                  <w:shd w:val="clear" w:color="auto" w:fill="auto"/>
                  <w:vAlign w:val="center"/>
                </w:tcPr>
                <w:p w14:paraId="5E1A5D84">
                  <w:pPr>
                    <w:widowControl/>
                    <w:spacing w:line="240" w:lineRule="auto"/>
                    <w:contextualSpacing/>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i w:val="0"/>
                      <w:iCs w:val="0"/>
                      <w:color w:val="auto"/>
                      <w:sz w:val="21"/>
                      <w:szCs w:val="21"/>
                      <w:lang w:val="en-US" w:eastAsia="zh-CN"/>
                    </w:rPr>
                    <w:t>自动上料滚揉机</w:t>
                  </w:r>
                </w:p>
              </w:tc>
              <w:tc>
                <w:tcPr>
                  <w:tcW w:w="722" w:type="pct"/>
                  <w:shd w:val="clear" w:color="auto" w:fill="auto"/>
                  <w:vAlign w:val="center"/>
                </w:tcPr>
                <w:p w14:paraId="11A154D9">
                  <w:pPr>
                    <w:widowControl/>
                    <w:spacing w:line="240" w:lineRule="auto"/>
                    <w:contextualSpacing/>
                    <w:jc w:val="center"/>
                    <w:rPr>
                      <w:rFonts w:hint="default" w:ascii="Times New Roman" w:hAnsi="Times New Roman" w:eastAsia="宋体" w:cs="Times New Roman"/>
                      <w:b w:val="0"/>
                      <w:bCs w:val="0"/>
                      <w:color w:val="auto"/>
                      <w:kern w:val="0"/>
                      <w:sz w:val="21"/>
                      <w:szCs w:val="21"/>
                      <w:highlight w:val="none"/>
                      <w:lang w:eastAsia="zh-CN"/>
                    </w:rPr>
                  </w:pPr>
                  <w:r>
                    <w:rPr>
                      <w:rFonts w:hint="eastAsia" w:cs="Times New Roman"/>
                      <w:b w:val="0"/>
                      <w:bCs w:val="0"/>
                      <w:color w:val="auto"/>
                      <w:kern w:val="0"/>
                      <w:sz w:val="21"/>
                      <w:szCs w:val="21"/>
                      <w:highlight w:val="none"/>
                      <w:lang w:val="en-US" w:eastAsia="zh-CN"/>
                    </w:rPr>
                    <w:t>2</w:t>
                  </w:r>
                  <w:r>
                    <w:rPr>
                      <w:rFonts w:hint="default" w:ascii="Times New Roman" w:hAnsi="Times New Roman" w:cs="Times New Roman"/>
                      <w:b w:val="0"/>
                      <w:bCs w:val="0"/>
                      <w:color w:val="auto"/>
                      <w:kern w:val="0"/>
                      <w:sz w:val="21"/>
                      <w:szCs w:val="21"/>
                      <w:highlight w:val="none"/>
                    </w:rPr>
                    <w:t>台</w:t>
                  </w:r>
                </w:p>
              </w:tc>
              <w:tc>
                <w:tcPr>
                  <w:tcW w:w="697" w:type="pct"/>
                  <w:shd w:val="clear" w:color="auto" w:fill="auto"/>
                  <w:vAlign w:val="center"/>
                </w:tcPr>
                <w:p w14:paraId="215AD3CC">
                  <w:pPr>
                    <w:widowControl/>
                    <w:spacing w:line="240" w:lineRule="auto"/>
                    <w:contextualSpacing/>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7</w:t>
                  </w:r>
                  <w:r>
                    <w:rPr>
                      <w:rFonts w:hint="default" w:ascii="Times New Roman" w:hAnsi="Times New Roman" w:eastAsia="宋体" w:cs="Times New Roman"/>
                      <w:color w:val="auto"/>
                      <w:sz w:val="21"/>
                      <w:szCs w:val="21"/>
                      <w:highlight w:val="none"/>
                      <w:lang w:val="en-US" w:eastAsia="zh-CN"/>
                    </w:rPr>
                    <w:t>0</w:t>
                  </w:r>
                  <w:r>
                    <w:rPr>
                      <w:rFonts w:hint="default" w:ascii="Times New Roman" w:hAnsi="Times New Roman" w:eastAsia="宋体" w:cs="Times New Roman"/>
                      <w:color w:val="auto"/>
                      <w:sz w:val="21"/>
                      <w:szCs w:val="21"/>
                      <w:highlight w:val="none"/>
                    </w:rPr>
                    <w:t>~9</w:t>
                  </w:r>
                  <w:r>
                    <w:rPr>
                      <w:rFonts w:hint="default" w:ascii="Times New Roman" w:hAnsi="Times New Roman" w:eastAsia="宋体" w:cs="Times New Roman"/>
                      <w:color w:val="auto"/>
                      <w:sz w:val="21"/>
                      <w:szCs w:val="21"/>
                      <w:highlight w:val="none"/>
                      <w:lang w:val="en-US" w:eastAsia="zh-CN"/>
                    </w:rPr>
                    <w:t>0</w:t>
                  </w:r>
                </w:p>
              </w:tc>
              <w:tc>
                <w:tcPr>
                  <w:tcW w:w="798" w:type="pct"/>
                  <w:vMerge w:val="continue"/>
                  <w:shd w:val="clear" w:color="auto" w:fill="auto"/>
                  <w:vAlign w:val="center"/>
                </w:tcPr>
                <w:p w14:paraId="7F59CB60">
                  <w:pPr>
                    <w:pStyle w:val="113"/>
                    <w:spacing w:line="240" w:lineRule="auto"/>
                    <w:jc w:val="center"/>
                    <w:rPr>
                      <w:rFonts w:hint="default" w:ascii="Times New Roman" w:hAnsi="Times New Roman" w:cs="Times New Roman"/>
                      <w:color w:val="auto"/>
                      <w:sz w:val="21"/>
                      <w:szCs w:val="21"/>
                      <w:highlight w:val="none"/>
                    </w:rPr>
                  </w:pPr>
                </w:p>
              </w:tc>
              <w:tc>
                <w:tcPr>
                  <w:tcW w:w="728" w:type="pct"/>
                  <w:shd w:val="clear" w:color="auto" w:fill="auto"/>
                  <w:vAlign w:val="center"/>
                </w:tcPr>
                <w:p w14:paraId="037885D7">
                  <w:pPr>
                    <w:spacing w:line="240" w:lineRule="auto"/>
                    <w:jc w:val="center"/>
                    <w:rPr>
                      <w:rFonts w:hint="default" w:ascii="Times New Roman" w:hAnsi="Times New Roman" w:eastAsia="宋体" w:cs="Times New Roman"/>
                      <w:color w:val="auto"/>
                      <w:kern w:val="2"/>
                      <w:sz w:val="21"/>
                      <w:szCs w:val="21"/>
                      <w:highlight w:val="none"/>
                      <w:lang w:val="en-US" w:eastAsia="zh-CN" w:bidi="zh-CN"/>
                    </w:rPr>
                  </w:pPr>
                  <w:r>
                    <w:rPr>
                      <w:rFonts w:hint="default" w:ascii="Times New Roman" w:hAnsi="Times New Roman" w:eastAsia="宋体" w:cs="Times New Roman"/>
                      <w:color w:val="auto"/>
                      <w:kern w:val="0"/>
                      <w:sz w:val="21"/>
                      <w:szCs w:val="21"/>
                      <w:highlight w:val="none"/>
                    </w:rPr>
                    <w:t>25</w:t>
                  </w:r>
                </w:p>
              </w:tc>
              <w:tc>
                <w:tcPr>
                  <w:tcW w:w="681" w:type="pct"/>
                  <w:shd w:val="clear" w:color="auto" w:fill="auto"/>
                  <w:vAlign w:val="center"/>
                </w:tcPr>
                <w:p w14:paraId="1DAAEE95">
                  <w:pPr>
                    <w:widowControl/>
                    <w:spacing w:line="240" w:lineRule="auto"/>
                    <w:contextualSpacing/>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val="en-US" w:eastAsia="zh-CN"/>
                    </w:rPr>
                    <w:t>65</w:t>
                  </w:r>
                </w:p>
              </w:tc>
            </w:tr>
            <w:tr w14:paraId="68821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0" w:type="pct"/>
                  <w:vMerge w:val="continue"/>
                  <w:shd w:val="clear" w:color="auto" w:fill="auto"/>
                  <w:vAlign w:val="center"/>
                </w:tcPr>
                <w:p w14:paraId="4DB927C5">
                  <w:pPr>
                    <w:widowControl/>
                    <w:spacing w:line="240" w:lineRule="auto"/>
                    <w:contextualSpacing/>
                    <w:jc w:val="center"/>
                    <w:rPr>
                      <w:rFonts w:hint="default" w:ascii="Times New Roman" w:hAnsi="Times New Roman" w:eastAsia="宋体" w:cs="Times New Roman"/>
                      <w:color w:val="auto"/>
                      <w:kern w:val="0"/>
                      <w:sz w:val="21"/>
                      <w:szCs w:val="21"/>
                      <w:highlight w:val="none"/>
                    </w:rPr>
                  </w:pPr>
                </w:p>
              </w:tc>
              <w:tc>
                <w:tcPr>
                  <w:tcW w:w="881" w:type="pct"/>
                  <w:shd w:val="clear" w:color="auto" w:fill="auto"/>
                  <w:vAlign w:val="center"/>
                </w:tcPr>
                <w:p w14:paraId="49AB8736">
                  <w:pPr>
                    <w:widowControl/>
                    <w:spacing w:line="240" w:lineRule="auto"/>
                    <w:contextualSpacing/>
                    <w:jc w:val="center"/>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i w:val="0"/>
                      <w:iCs w:val="0"/>
                      <w:color w:val="auto"/>
                      <w:sz w:val="21"/>
                      <w:szCs w:val="21"/>
                      <w:lang w:val="en-US" w:eastAsia="zh-CN"/>
                    </w:rPr>
                    <w:t>切肉片机</w:t>
                  </w:r>
                </w:p>
              </w:tc>
              <w:tc>
                <w:tcPr>
                  <w:tcW w:w="722" w:type="pct"/>
                  <w:shd w:val="clear" w:color="auto" w:fill="auto"/>
                  <w:vAlign w:val="center"/>
                </w:tcPr>
                <w:p w14:paraId="4513E9B4">
                  <w:pPr>
                    <w:widowControl/>
                    <w:spacing w:line="240" w:lineRule="auto"/>
                    <w:contextualSpacing/>
                    <w:jc w:val="center"/>
                    <w:rPr>
                      <w:rFonts w:hint="default" w:ascii="Times New Roman" w:hAnsi="Times New Roman" w:eastAsia="宋体" w:cs="Times New Roman"/>
                      <w:b w:val="0"/>
                      <w:bCs w:val="0"/>
                      <w:color w:val="auto"/>
                      <w:kern w:val="0"/>
                      <w:sz w:val="21"/>
                      <w:szCs w:val="21"/>
                      <w:highlight w:val="none"/>
                    </w:rPr>
                  </w:pPr>
                  <w:r>
                    <w:rPr>
                      <w:rFonts w:hint="eastAsia" w:ascii="Times New Roman" w:hAnsi="Times New Roman" w:eastAsia="宋体" w:cs="Times New Roman"/>
                      <w:b w:val="0"/>
                      <w:bCs w:val="0"/>
                      <w:color w:val="auto"/>
                      <w:kern w:val="0"/>
                      <w:sz w:val="21"/>
                      <w:szCs w:val="21"/>
                      <w:highlight w:val="none"/>
                      <w:lang w:val="en-US" w:eastAsia="zh-CN"/>
                    </w:rPr>
                    <w:t>1</w:t>
                  </w:r>
                  <w:r>
                    <w:rPr>
                      <w:rFonts w:hint="default" w:ascii="Times New Roman" w:hAnsi="Times New Roman" w:cs="Times New Roman"/>
                      <w:b w:val="0"/>
                      <w:bCs w:val="0"/>
                      <w:color w:val="auto"/>
                      <w:kern w:val="0"/>
                      <w:sz w:val="21"/>
                      <w:szCs w:val="21"/>
                      <w:highlight w:val="none"/>
                    </w:rPr>
                    <w:t>台</w:t>
                  </w:r>
                </w:p>
              </w:tc>
              <w:tc>
                <w:tcPr>
                  <w:tcW w:w="697" w:type="pct"/>
                  <w:shd w:val="clear" w:color="auto" w:fill="auto"/>
                  <w:vAlign w:val="center"/>
                </w:tcPr>
                <w:p w14:paraId="6113A487">
                  <w:pPr>
                    <w:widowControl/>
                    <w:spacing w:line="240" w:lineRule="auto"/>
                    <w:contextualSpacing/>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7</w:t>
                  </w:r>
                  <w:r>
                    <w:rPr>
                      <w:rFonts w:hint="default" w:ascii="Times New Roman" w:hAnsi="Times New Roman" w:eastAsia="宋体" w:cs="Times New Roman"/>
                      <w:color w:val="auto"/>
                      <w:sz w:val="21"/>
                      <w:szCs w:val="21"/>
                      <w:highlight w:val="none"/>
                      <w:lang w:val="en-US" w:eastAsia="zh-CN"/>
                    </w:rPr>
                    <w:t>0</w:t>
                  </w:r>
                  <w:r>
                    <w:rPr>
                      <w:rFonts w:hint="default" w:ascii="Times New Roman" w:hAnsi="Times New Roman" w:eastAsia="宋体" w:cs="Times New Roman"/>
                      <w:color w:val="auto"/>
                      <w:sz w:val="21"/>
                      <w:szCs w:val="21"/>
                      <w:highlight w:val="none"/>
                    </w:rPr>
                    <w:t>~9</w:t>
                  </w:r>
                  <w:r>
                    <w:rPr>
                      <w:rFonts w:hint="default" w:ascii="Times New Roman" w:hAnsi="Times New Roman" w:eastAsia="宋体" w:cs="Times New Roman"/>
                      <w:color w:val="auto"/>
                      <w:sz w:val="21"/>
                      <w:szCs w:val="21"/>
                      <w:highlight w:val="none"/>
                      <w:lang w:val="en-US" w:eastAsia="zh-CN"/>
                    </w:rPr>
                    <w:t>0</w:t>
                  </w:r>
                </w:p>
              </w:tc>
              <w:tc>
                <w:tcPr>
                  <w:tcW w:w="798" w:type="pct"/>
                  <w:vMerge w:val="continue"/>
                  <w:shd w:val="clear" w:color="auto" w:fill="auto"/>
                  <w:vAlign w:val="center"/>
                </w:tcPr>
                <w:p w14:paraId="7853F44C">
                  <w:pPr>
                    <w:pStyle w:val="113"/>
                    <w:spacing w:line="240" w:lineRule="auto"/>
                    <w:jc w:val="center"/>
                    <w:rPr>
                      <w:rFonts w:hint="default" w:ascii="Times New Roman" w:hAnsi="Times New Roman" w:cs="Times New Roman"/>
                      <w:color w:val="auto"/>
                      <w:sz w:val="21"/>
                      <w:szCs w:val="21"/>
                      <w:highlight w:val="none"/>
                    </w:rPr>
                  </w:pPr>
                </w:p>
              </w:tc>
              <w:tc>
                <w:tcPr>
                  <w:tcW w:w="728" w:type="pct"/>
                  <w:shd w:val="clear" w:color="auto" w:fill="auto"/>
                  <w:vAlign w:val="center"/>
                </w:tcPr>
                <w:p w14:paraId="224E831C">
                  <w:pPr>
                    <w:spacing w:line="240" w:lineRule="auto"/>
                    <w:jc w:val="center"/>
                    <w:rPr>
                      <w:rFonts w:hint="default" w:ascii="Times New Roman" w:hAnsi="Times New Roman" w:eastAsia="宋体" w:cs="Times New Roman"/>
                      <w:color w:val="auto"/>
                      <w:sz w:val="21"/>
                      <w:szCs w:val="21"/>
                      <w:highlight w:val="none"/>
                      <w:lang w:bidi="zh-CN"/>
                    </w:rPr>
                  </w:pPr>
                  <w:r>
                    <w:rPr>
                      <w:rFonts w:hint="default" w:ascii="Times New Roman" w:hAnsi="Times New Roman" w:eastAsia="宋体" w:cs="Times New Roman"/>
                      <w:color w:val="auto"/>
                      <w:kern w:val="0"/>
                      <w:sz w:val="21"/>
                      <w:szCs w:val="21"/>
                      <w:highlight w:val="none"/>
                    </w:rPr>
                    <w:t>25</w:t>
                  </w:r>
                </w:p>
              </w:tc>
              <w:tc>
                <w:tcPr>
                  <w:tcW w:w="681" w:type="pct"/>
                  <w:shd w:val="clear" w:color="auto" w:fill="auto"/>
                  <w:vAlign w:val="center"/>
                </w:tcPr>
                <w:p w14:paraId="6971E196">
                  <w:pPr>
                    <w:widowControl/>
                    <w:spacing w:line="240" w:lineRule="auto"/>
                    <w:contextualSpacing/>
                    <w:jc w:val="center"/>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val="en-US" w:eastAsia="zh-CN"/>
                    </w:rPr>
                    <w:t>65</w:t>
                  </w:r>
                </w:p>
              </w:tc>
            </w:tr>
            <w:tr w14:paraId="7DA4F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0" w:type="pct"/>
                  <w:vMerge w:val="continue"/>
                  <w:shd w:val="clear" w:color="auto" w:fill="auto"/>
                  <w:vAlign w:val="center"/>
                </w:tcPr>
                <w:p w14:paraId="1B4BEDFF">
                  <w:pPr>
                    <w:widowControl/>
                    <w:spacing w:line="240" w:lineRule="auto"/>
                    <w:contextualSpacing/>
                    <w:jc w:val="center"/>
                    <w:rPr>
                      <w:rFonts w:hint="default" w:ascii="Times New Roman" w:hAnsi="Times New Roman" w:eastAsia="宋体" w:cs="Times New Roman"/>
                      <w:color w:val="auto"/>
                      <w:kern w:val="0"/>
                      <w:sz w:val="21"/>
                      <w:szCs w:val="21"/>
                      <w:highlight w:val="none"/>
                    </w:rPr>
                  </w:pPr>
                </w:p>
              </w:tc>
              <w:tc>
                <w:tcPr>
                  <w:tcW w:w="881" w:type="pct"/>
                  <w:shd w:val="clear" w:color="auto" w:fill="auto"/>
                  <w:vAlign w:val="center"/>
                </w:tcPr>
                <w:p w14:paraId="317CB0A0">
                  <w:pPr>
                    <w:widowControl/>
                    <w:spacing w:line="240" w:lineRule="auto"/>
                    <w:contextualSpacing/>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i w:val="0"/>
                      <w:iCs w:val="0"/>
                      <w:color w:val="auto"/>
                      <w:sz w:val="21"/>
                      <w:szCs w:val="21"/>
                      <w:lang w:val="en-US" w:eastAsia="zh-CN"/>
                    </w:rPr>
                    <w:t>拉伸膜真空包装机</w:t>
                  </w:r>
                </w:p>
              </w:tc>
              <w:tc>
                <w:tcPr>
                  <w:tcW w:w="722" w:type="pct"/>
                  <w:shd w:val="clear" w:color="auto" w:fill="auto"/>
                  <w:vAlign w:val="center"/>
                </w:tcPr>
                <w:p w14:paraId="7441A650">
                  <w:pPr>
                    <w:widowControl/>
                    <w:spacing w:line="240" w:lineRule="auto"/>
                    <w:contextualSpacing/>
                    <w:jc w:val="center"/>
                    <w:rPr>
                      <w:rFonts w:hint="default" w:ascii="Times New Roman" w:hAnsi="Times New Roman" w:eastAsia="宋体" w:cs="Times New Roman"/>
                      <w:b w:val="0"/>
                      <w:bCs w:val="0"/>
                      <w:color w:val="auto"/>
                      <w:kern w:val="0"/>
                      <w:sz w:val="21"/>
                      <w:szCs w:val="21"/>
                      <w:highlight w:val="none"/>
                      <w:lang w:val="en-US" w:eastAsia="zh-CN"/>
                    </w:rPr>
                  </w:pPr>
                  <w:r>
                    <w:rPr>
                      <w:rFonts w:hint="default" w:ascii="Times New Roman" w:hAnsi="Times New Roman" w:eastAsia="宋体" w:cs="Times New Roman"/>
                      <w:b w:val="0"/>
                      <w:bCs w:val="0"/>
                      <w:color w:val="auto"/>
                      <w:kern w:val="0"/>
                      <w:sz w:val="21"/>
                      <w:szCs w:val="21"/>
                      <w:highlight w:val="none"/>
                      <w:lang w:val="en-US" w:eastAsia="zh-CN"/>
                    </w:rPr>
                    <w:t>1</w:t>
                  </w:r>
                  <w:r>
                    <w:rPr>
                      <w:rFonts w:hint="default" w:ascii="Times New Roman" w:hAnsi="Times New Roman" w:cs="Times New Roman"/>
                      <w:b w:val="0"/>
                      <w:bCs w:val="0"/>
                      <w:color w:val="auto"/>
                      <w:kern w:val="0"/>
                      <w:sz w:val="21"/>
                      <w:szCs w:val="21"/>
                      <w:highlight w:val="none"/>
                    </w:rPr>
                    <w:t>台</w:t>
                  </w:r>
                </w:p>
              </w:tc>
              <w:tc>
                <w:tcPr>
                  <w:tcW w:w="697" w:type="pct"/>
                  <w:shd w:val="clear" w:color="auto" w:fill="auto"/>
                  <w:vAlign w:val="center"/>
                </w:tcPr>
                <w:p w14:paraId="028DAA29">
                  <w:pPr>
                    <w:widowControl/>
                    <w:spacing w:line="240" w:lineRule="auto"/>
                    <w:contextualSpacing/>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7</w:t>
                  </w:r>
                  <w:r>
                    <w:rPr>
                      <w:rFonts w:hint="eastAsia" w:cs="Times New Roman"/>
                      <w:color w:val="auto"/>
                      <w:sz w:val="21"/>
                      <w:szCs w:val="21"/>
                      <w:highlight w:val="none"/>
                      <w:lang w:val="en-US" w:eastAsia="zh-CN"/>
                    </w:rPr>
                    <w:t>0</w:t>
                  </w:r>
                  <w:r>
                    <w:rPr>
                      <w:rFonts w:hint="default" w:ascii="Times New Roman" w:hAnsi="Times New Roman" w:eastAsia="宋体" w:cs="Times New Roman"/>
                      <w:color w:val="auto"/>
                      <w:sz w:val="21"/>
                      <w:szCs w:val="21"/>
                      <w:highlight w:val="none"/>
                    </w:rPr>
                    <w:t>~</w:t>
                  </w:r>
                  <w:r>
                    <w:rPr>
                      <w:rFonts w:hint="eastAsia" w:cs="Times New Roman"/>
                      <w:color w:val="auto"/>
                      <w:sz w:val="21"/>
                      <w:szCs w:val="21"/>
                      <w:highlight w:val="none"/>
                      <w:lang w:val="en-US" w:eastAsia="zh-CN"/>
                    </w:rPr>
                    <w:t>90</w:t>
                  </w:r>
                </w:p>
              </w:tc>
              <w:tc>
                <w:tcPr>
                  <w:tcW w:w="798" w:type="pct"/>
                  <w:vMerge w:val="continue"/>
                  <w:shd w:val="clear" w:color="auto" w:fill="auto"/>
                  <w:vAlign w:val="center"/>
                </w:tcPr>
                <w:p w14:paraId="5474A794">
                  <w:pPr>
                    <w:pStyle w:val="113"/>
                    <w:spacing w:line="240" w:lineRule="auto"/>
                    <w:jc w:val="center"/>
                    <w:rPr>
                      <w:rFonts w:hint="default" w:ascii="Times New Roman" w:hAnsi="Times New Roman" w:cs="Times New Roman"/>
                      <w:color w:val="auto"/>
                      <w:sz w:val="21"/>
                      <w:szCs w:val="21"/>
                      <w:highlight w:val="none"/>
                    </w:rPr>
                  </w:pPr>
                </w:p>
              </w:tc>
              <w:tc>
                <w:tcPr>
                  <w:tcW w:w="728" w:type="pct"/>
                  <w:shd w:val="clear" w:color="auto" w:fill="auto"/>
                  <w:vAlign w:val="center"/>
                </w:tcPr>
                <w:p w14:paraId="467B4DF6">
                  <w:pPr>
                    <w:spacing w:line="240" w:lineRule="auto"/>
                    <w:jc w:val="center"/>
                    <w:rPr>
                      <w:rFonts w:hint="default" w:ascii="Times New Roman" w:hAnsi="Times New Roman" w:eastAsia="宋体" w:cs="Times New Roman"/>
                      <w:color w:val="auto"/>
                      <w:kern w:val="2"/>
                      <w:sz w:val="21"/>
                      <w:szCs w:val="21"/>
                      <w:highlight w:val="none"/>
                      <w:lang w:val="en-US" w:eastAsia="zh-CN" w:bidi="zh-CN"/>
                    </w:rPr>
                  </w:pPr>
                  <w:r>
                    <w:rPr>
                      <w:rFonts w:hint="default" w:ascii="Times New Roman" w:hAnsi="Times New Roman" w:eastAsia="宋体" w:cs="Times New Roman"/>
                      <w:color w:val="auto"/>
                      <w:kern w:val="0"/>
                      <w:sz w:val="21"/>
                      <w:szCs w:val="21"/>
                      <w:highlight w:val="none"/>
                    </w:rPr>
                    <w:t>25</w:t>
                  </w:r>
                </w:p>
              </w:tc>
              <w:tc>
                <w:tcPr>
                  <w:tcW w:w="681" w:type="pct"/>
                  <w:shd w:val="clear" w:color="auto" w:fill="auto"/>
                  <w:vAlign w:val="center"/>
                </w:tcPr>
                <w:p w14:paraId="02EED6B5">
                  <w:pPr>
                    <w:widowControl/>
                    <w:spacing w:line="240" w:lineRule="auto"/>
                    <w:contextualSpacing/>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val="en-US" w:eastAsia="zh-CN"/>
                    </w:rPr>
                    <w:t>65</w:t>
                  </w:r>
                </w:p>
              </w:tc>
            </w:tr>
            <w:tr w14:paraId="36A1C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490" w:type="pct"/>
                  <w:vMerge w:val="continue"/>
                  <w:shd w:val="clear" w:color="auto" w:fill="auto"/>
                  <w:vAlign w:val="center"/>
                </w:tcPr>
                <w:p w14:paraId="50A27A0A">
                  <w:pPr>
                    <w:widowControl/>
                    <w:spacing w:line="240" w:lineRule="auto"/>
                    <w:contextualSpacing/>
                    <w:jc w:val="center"/>
                    <w:rPr>
                      <w:rFonts w:hint="default" w:ascii="Times New Roman" w:hAnsi="Times New Roman" w:eastAsia="宋体" w:cs="Times New Roman"/>
                      <w:color w:val="auto"/>
                      <w:kern w:val="0"/>
                      <w:sz w:val="21"/>
                      <w:szCs w:val="21"/>
                      <w:highlight w:val="none"/>
                    </w:rPr>
                  </w:pPr>
                </w:p>
              </w:tc>
              <w:tc>
                <w:tcPr>
                  <w:tcW w:w="881" w:type="pct"/>
                  <w:shd w:val="clear" w:color="auto" w:fill="auto"/>
                  <w:vAlign w:val="center"/>
                </w:tcPr>
                <w:p w14:paraId="61F64E0E">
                  <w:pPr>
                    <w:widowControl/>
                    <w:spacing w:line="240" w:lineRule="auto"/>
                    <w:contextualSpacing/>
                    <w:jc w:val="center"/>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rPr>
                    <w:t>直线洗罐机</w:t>
                  </w:r>
                </w:p>
              </w:tc>
              <w:tc>
                <w:tcPr>
                  <w:tcW w:w="722" w:type="pct"/>
                  <w:shd w:val="clear" w:color="auto" w:fill="auto"/>
                  <w:vAlign w:val="center"/>
                </w:tcPr>
                <w:p w14:paraId="6DDE2A0F">
                  <w:pPr>
                    <w:widowControl/>
                    <w:spacing w:line="240" w:lineRule="auto"/>
                    <w:contextualSpacing/>
                    <w:jc w:val="center"/>
                    <w:rPr>
                      <w:rFonts w:hint="default" w:ascii="Times New Roman" w:hAnsi="Times New Roman" w:eastAsia="宋体" w:cs="Times New Roman"/>
                      <w:b w:val="0"/>
                      <w:bCs w:val="0"/>
                      <w:color w:val="auto"/>
                      <w:kern w:val="0"/>
                      <w:sz w:val="21"/>
                      <w:szCs w:val="21"/>
                      <w:highlight w:val="none"/>
                      <w:lang w:val="en-US" w:eastAsia="zh-CN"/>
                    </w:rPr>
                  </w:pPr>
                  <w:r>
                    <w:rPr>
                      <w:rFonts w:hint="eastAsia" w:cs="Times New Roman"/>
                      <w:b w:val="0"/>
                      <w:bCs w:val="0"/>
                      <w:color w:val="auto"/>
                      <w:kern w:val="0"/>
                      <w:sz w:val="21"/>
                      <w:szCs w:val="21"/>
                      <w:highlight w:val="none"/>
                      <w:lang w:val="en-US" w:eastAsia="zh-CN"/>
                    </w:rPr>
                    <w:t>1台</w:t>
                  </w:r>
                </w:p>
              </w:tc>
              <w:tc>
                <w:tcPr>
                  <w:tcW w:w="697" w:type="pct"/>
                  <w:shd w:val="clear" w:color="auto" w:fill="auto"/>
                  <w:vAlign w:val="center"/>
                </w:tcPr>
                <w:p w14:paraId="0720B7CD">
                  <w:pPr>
                    <w:widowControl/>
                    <w:spacing w:line="240" w:lineRule="auto"/>
                    <w:contextualSpacing/>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75~95</w:t>
                  </w:r>
                </w:p>
              </w:tc>
              <w:tc>
                <w:tcPr>
                  <w:tcW w:w="798" w:type="pct"/>
                  <w:vMerge w:val="continue"/>
                  <w:shd w:val="clear" w:color="auto" w:fill="auto"/>
                  <w:vAlign w:val="center"/>
                </w:tcPr>
                <w:p w14:paraId="640BBF1E">
                  <w:pPr>
                    <w:pStyle w:val="113"/>
                    <w:spacing w:line="240" w:lineRule="auto"/>
                    <w:jc w:val="center"/>
                    <w:rPr>
                      <w:rFonts w:hint="default" w:ascii="Times New Roman" w:hAnsi="Times New Roman" w:cs="Times New Roman"/>
                      <w:color w:val="auto"/>
                      <w:sz w:val="21"/>
                      <w:szCs w:val="21"/>
                      <w:highlight w:val="none"/>
                    </w:rPr>
                  </w:pPr>
                </w:p>
              </w:tc>
              <w:tc>
                <w:tcPr>
                  <w:tcW w:w="728" w:type="pct"/>
                  <w:shd w:val="clear" w:color="auto" w:fill="auto"/>
                  <w:vAlign w:val="center"/>
                </w:tcPr>
                <w:p w14:paraId="3EF80E41">
                  <w:pPr>
                    <w:spacing w:line="240" w:lineRule="auto"/>
                    <w:jc w:val="center"/>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25</w:t>
                  </w:r>
                </w:p>
              </w:tc>
              <w:tc>
                <w:tcPr>
                  <w:tcW w:w="681" w:type="pct"/>
                  <w:shd w:val="clear" w:color="auto" w:fill="auto"/>
                  <w:vAlign w:val="center"/>
                </w:tcPr>
                <w:p w14:paraId="50A49B2C">
                  <w:pPr>
                    <w:widowControl/>
                    <w:spacing w:line="240" w:lineRule="auto"/>
                    <w:contextualSpacing/>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50~70</w:t>
                  </w:r>
                </w:p>
              </w:tc>
            </w:tr>
            <w:tr w14:paraId="6A5CE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0" w:type="pct"/>
                  <w:vMerge w:val="continue"/>
                  <w:shd w:val="clear" w:color="auto" w:fill="auto"/>
                  <w:vAlign w:val="center"/>
                </w:tcPr>
                <w:p w14:paraId="65B2728C">
                  <w:pPr>
                    <w:widowControl/>
                    <w:spacing w:line="240" w:lineRule="auto"/>
                    <w:contextualSpacing/>
                    <w:jc w:val="center"/>
                    <w:rPr>
                      <w:rFonts w:hint="default" w:ascii="Times New Roman" w:hAnsi="Times New Roman" w:eastAsia="宋体" w:cs="Times New Roman"/>
                      <w:color w:val="auto"/>
                      <w:kern w:val="0"/>
                      <w:sz w:val="21"/>
                      <w:szCs w:val="21"/>
                      <w:highlight w:val="none"/>
                    </w:rPr>
                  </w:pPr>
                </w:p>
              </w:tc>
              <w:tc>
                <w:tcPr>
                  <w:tcW w:w="881" w:type="pct"/>
                  <w:shd w:val="clear" w:color="auto" w:fill="auto"/>
                  <w:vAlign w:val="center"/>
                </w:tcPr>
                <w:p w14:paraId="47434D80">
                  <w:pPr>
                    <w:widowControl/>
                    <w:spacing w:line="240" w:lineRule="auto"/>
                    <w:contextualSpacing/>
                    <w:jc w:val="center"/>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rPr>
                    <w:t>贴标机</w:t>
                  </w:r>
                </w:p>
              </w:tc>
              <w:tc>
                <w:tcPr>
                  <w:tcW w:w="722" w:type="pct"/>
                  <w:shd w:val="clear" w:color="auto" w:fill="auto"/>
                  <w:vAlign w:val="center"/>
                </w:tcPr>
                <w:p w14:paraId="3BAEAA70">
                  <w:pPr>
                    <w:widowControl/>
                    <w:spacing w:line="240" w:lineRule="auto"/>
                    <w:contextualSpacing/>
                    <w:jc w:val="center"/>
                    <w:rPr>
                      <w:rFonts w:hint="default" w:ascii="Times New Roman" w:hAnsi="Times New Roman" w:eastAsia="宋体" w:cs="Times New Roman"/>
                      <w:b w:val="0"/>
                      <w:bCs w:val="0"/>
                      <w:color w:val="auto"/>
                      <w:kern w:val="0"/>
                      <w:sz w:val="21"/>
                      <w:szCs w:val="21"/>
                      <w:highlight w:val="none"/>
                      <w:lang w:val="en-US" w:eastAsia="zh-CN"/>
                    </w:rPr>
                  </w:pPr>
                  <w:r>
                    <w:rPr>
                      <w:rFonts w:hint="eastAsia" w:cs="Times New Roman"/>
                      <w:b w:val="0"/>
                      <w:bCs w:val="0"/>
                      <w:color w:val="auto"/>
                      <w:kern w:val="0"/>
                      <w:sz w:val="21"/>
                      <w:szCs w:val="21"/>
                      <w:highlight w:val="none"/>
                      <w:lang w:val="en-US" w:eastAsia="zh-CN"/>
                    </w:rPr>
                    <w:t>1台</w:t>
                  </w:r>
                </w:p>
              </w:tc>
              <w:tc>
                <w:tcPr>
                  <w:tcW w:w="697" w:type="pct"/>
                  <w:shd w:val="clear" w:color="auto" w:fill="auto"/>
                  <w:vAlign w:val="center"/>
                </w:tcPr>
                <w:p w14:paraId="233A0830">
                  <w:pPr>
                    <w:widowControl/>
                    <w:spacing w:line="240" w:lineRule="auto"/>
                    <w:contextualSpacing/>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75~95</w:t>
                  </w:r>
                </w:p>
              </w:tc>
              <w:tc>
                <w:tcPr>
                  <w:tcW w:w="798" w:type="pct"/>
                  <w:vMerge w:val="continue"/>
                  <w:shd w:val="clear" w:color="auto" w:fill="auto"/>
                  <w:vAlign w:val="center"/>
                </w:tcPr>
                <w:p w14:paraId="2335722C">
                  <w:pPr>
                    <w:pStyle w:val="113"/>
                    <w:spacing w:line="240" w:lineRule="auto"/>
                    <w:jc w:val="center"/>
                    <w:rPr>
                      <w:rFonts w:hint="default" w:ascii="Times New Roman" w:hAnsi="Times New Roman" w:cs="Times New Roman"/>
                      <w:color w:val="auto"/>
                      <w:sz w:val="21"/>
                      <w:szCs w:val="21"/>
                      <w:highlight w:val="none"/>
                    </w:rPr>
                  </w:pPr>
                </w:p>
              </w:tc>
              <w:tc>
                <w:tcPr>
                  <w:tcW w:w="728" w:type="pct"/>
                  <w:shd w:val="clear" w:color="auto" w:fill="auto"/>
                  <w:vAlign w:val="center"/>
                </w:tcPr>
                <w:p w14:paraId="5336CCDB">
                  <w:pPr>
                    <w:spacing w:line="240" w:lineRule="auto"/>
                    <w:jc w:val="center"/>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25</w:t>
                  </w:r>
                </w:p>
              </w:tc>
              <w:tc>
                <w:tcPr>
                  <w:tcW w:w="681" w:type="pct"/>
                  <w:shd w:val="clear" w:color="auto" w:fill="auto"/>
                  <w:vAlign w:val="center"/>
                </w:tcPr>
                <w:p w14:paraId="788B306F">
                  <w:pPr>
                    <w:widowControl/>
                    <w:spacing w:line="240" w:lineRule="auto"/>
                    <w:contextualSpacing/>
                    <w:jc w:val="center"/>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50~70</w:t>
                  </w:r>
                </w:p>
              </w:tc>
            </w:tr>
            <w:tr w14:paraId="0C88B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0" w:type="pct"/>
                  <w:vMerge w:val="continue"/>
                  <w:shd w:val="clear" w:color="auto" w:fill="auto"/>
                  <w:vAlign w:val="center"/>
                </w:tcPr>
                <w:p w14:paraId="2D323F8A">
                  <w:pPr>
                    <w:widowControl/>
                    <w:spacing w:line="240" w:lineRule="auto"/>
                    <w:contextualSpacing/>
                    <w:jc w:val="center"/>
                    <w:rPr>
                      <w:rFonts w:hint="default" w:ascii="Times New Roman" w:hAnsi="Times New Roman" w:eastAsia="宋体" w:cs="Times New Roman"/>
                      <w:color w:val="auto"/>
                      <w:kern w:val="0"/>
                      <w:sz w:val="21"/>
                      <w:szCs w:val="21"/>
                      <w:highlight w:val="none"/>
                    </w:rPr>
                  </w:pPr>
                </w:p>
              </w:tc>
              <w:tc>
                <w:tcPr>
                  <w:tcW w:w="881" w:type="pct"/>
                  <w:shd w:val="clear" w:color="auto" w:fill="auto"/>
                  <w:vAlign w:val="center"/>
                </w:tcPr>
                <w:p w14:paraId="04DDC2FB">
                  <w:pPr>
                    <w:widowControl/>
                    <w:spacing w:line="240" w:lineRule="auto"/>
                    <w:contextualSpacing/>
                    <w:jc w:val="center"/>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清洗机</w:t>
                  </w:r>
                </w:p>
              </w:tc>
              <w:tc>
                <w:tcPr>
                  <w:tcW w:w="722" w:type="pct"/>
                  <w:shd w:val="clear" w:color="auto" w:fill="auto"/>
                  <w:vAlign w:val="center"/>
                </w:tcPr>
                <w:p w14:paraId="0E2704D3">
                  <w:pPr>
                    <w:widowControl/>
                    <w:spacing w:line="240" w:lineRule="auto"/>
                    <w:contextualSpacing/>
                    <w:jc w:val="center"/>
                    <w:rPr>
                      <w:rFonts w:hint="default" w:ascii="Times New Roman" w:hAnsi="Times New Roman" w:eastAsia="宋体" w:cs="Times New Roman"/>
                      <w:b w:val="0"/>
                      <w:bCs w:val="0"/>
                      <w:color w:val="auto"/>
                      <w:kern w:val="0"/>
                      <w:sz w:val="21"/>
                      <w:szCs w:val="21"/>
                      <w:highlight w:val="none"/>
                      <w:lang w:val="en-US" w:eastAsia="zh-CN"/>
                    </w:rPr>
                  </w:pPr>
                  <w:r>
                    <w:rPr>
                      <w:rFonts w:hint="eastAsia" w:cs="Times New Roman"/>
                      <w:b w:val="0"/>
                      <w:bCs w:val="0"/>
                      <w:color w:val="auto"/>
                      <w:kern w:val="0"/>
                      <w:sz w:val="21"/>
                      <w:szCs w:val="21"/>
                      <w:highlight w:val="none"/>
                      <w:lang w:val="en-US" w:eastAsia="zh-CN"/>
                    </w:rPr>
                    <w:t>1台</w:t>
                  </w:r>
                </w:p>
              </w:tc>
              <w:tc>
                <w:tcPr>
                  <w:tcW w:w="697" w:type="pct"/>
                  <w:shd w:val="clear" w:color="auto" w:fill="auto"/>
                  <w:vAlign w:val="center"/>
                </w:tcPr>
                <w:p w14:paraId="5247E620">
                  <w:pPr>
                    <w:widowControl/>
                    <w:spacing w:line="240" w:lineRule="auto"/>
                    <w:contextualSpacing/>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75~95</w:t>
                  </w:r>
                </w:p>
              </w:tc>
              <w:tc>
                <w:tcPr>
                  <w:tcW w:w="798" w:type="pct"/>
                  <w:vMerge w:val="continue"/>
                  <w:shd w:val="clear" w:color="auto" w:fill="auto"/>
                  <w:vAlign w:val="center"/>
                </w:tcPr>
                <w:p w14:paraId="54A511B8">
                  <w:pPr>
                    <w:pStyle w:val="113"/>
                    <w:spacing w:line="240" w:lineRule="auto"/>
                    <w:jc w:val="center"/>
                    <w:rPr>
                      <w:rFonts w:hint="default" w:ascii="Times New Roman" w:hAnsi="Times New Roman" w:cs="Times New Roman"/>
                      <w:color w:val="auto"/>
                      <w:sz w:val="21"/>
                      <w:szCs w:val="21"/>
                      <w:highlight w:val="none"/>
                    </w:rPr>
                  </w:pPr>
                </w:p>
              </w:tc>
              <w:tc>
                <w:tcPr>
                  <w:tcW w:w="728" w:type="pct"/>
                  <w:shd w:val="clear" w:color="auto" w:fill="auto"/>
                  <w:vAlign w:val="center"/>
                </w:tcPr>
                <w:p w14:paraId="4AAA50FD">
                  <w:pPr>
                    <w:spacing w:line="240" w:lineRule="auto"/>
                    <w:jc w:val="center"/>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25</w:t>
                  </w:r>
                </w:p>
              </w:tc>
              <w:tc>
                <w:tcPr>
                  <w:tcW w:w="681" w:type="pct"/>
                  <w:shd w:val="clear" w:color="auto" w:fill="auto"/>
                  <w:vAlign w:val="center"/>
                </w:tcPr>
                <w:p w14:paraId="2E23A4B7">
                  <w:pPr>
                    <w:widowControl/>
                    <w:spacing w:line="240" w:lineRule="auto"/>
                    <w:contextualSpacing/>
                    <w:jc w:val="center"/>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50~70</w:t>
                  </w:r>
                </w:p>
              </w:tc>
            </w:tr>
            <w:tr w14:paraId="4C9E0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0" w:type="pct"/>
                  <w:vMerge w:val="continue"/>
                  <w:shd w:val="clear" w:color="auto" w:fill="auto"/>
                  <w:vAlign w:val="center"/>
                </w:tcPr>
                <w:p w14:paraId="1CFCC9DF">
                  <w:pPr>
                    <w:widowControl/>
                    <w:spacing w:line="240" w:lineRule="auto"/>
                    <w:contextualSpacing/>
                    <w:jc w:val="center"/>
                    <w:rPr>
                      <w:rFonts w:hint="default" w:ascii="Times New Roman" w:hAnsi="Times New Roman" w:eastAsia="宋体" w:cs="Times New Roman"/>
                      <w:color w:val="auto"/>
                      <w:kern w:val="0"/>
                      <w:sz w:val="21"/>
                      <w:szCs w:val="21"/>
                      <w:highlight w:val="none"/>
                    </w:rPr>
                  </w:pPr>
                </w:p>
              </w:tc>
              <w:tc>
                <w:tcPr>
                  <w:tcW w:w="881" w:type="pct"/>
                  <w:shd w:val="clear" w:color="auto" w:fill="auto"/>
                  <w:vAlign w:val="center"/>
                </w:tcPr>
                <w:p w14:paraId="02A9D76C">
                  <w:pPr>
                    <w:widowControl/>
                    <w:spacing w:line="240" w:lineRule="auto"/>
                    <w:contextualSpacing/>
                    <w:jc w:val="center"/>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震动沥水机</w:t>
                  </w:r>
                </w:p>
              </w:tc>
              <w:tc>
                <w:tcPr>
                  <w:tcW w:w="722" w:type="pct"/>
                  <w:shd w:val="clear" w:color="auto" w:fill="auto"/>
                  <w:vAlign w:val="center"/>
                </w:tcPr>
                <w:p w14:paraId="1833E335">
                  <w:pPr>
                    <w:widowControl/>
                    <w:spacing w:line="240" w:lineRule="auto"/>
                    <w:contextualSpacing/>
                    <w:jc w:val="center"/>
                    <w:rPr>
                      <w:rFonts w:hint="default" w:ascii="Times New Roman" w:hAnsi="Times New Roman" w:eastAsia="宋体" w:cs="Times New Roman"/>
                      <w:b w:val="0"/>
                      <w:bCs w:val="0"/>
                      <w:color w:val="auto"/>
                      <w:kern w:val="0"/>
                      <w:sz w:val="21"/>
                      <w:szCs w:val="21"/>
                      <w:highlight w:val="none"/>
                      <w:lang w:val="en-US" w:eastAsia="zh-CN"/>
                    </w:rPr>
                  </w:pPr>
                  <w:r>
                    <w:rPr>
                      <w:rFonts w:hint="eastAsia" w:cs="Times New Roman"/>
                      <w:b w:val="0"/>
                      <w:bCs w:val="0"/>
                      <w:color w:val="auto"/>
                      <w:kern w:val="0"/>
                      <w:sz w:val="21"/>
                      <w:szCs w:val="21"/>
                      <w:highlight w:val="none"/>
                      <w:lang w:val="en-US" w:eastAsia="zh-CN"/>
                    </w:rPr>
                    <w:t>1台</w:t>
                  </w:r>
                </w:p>
              </w:tc>
              <w:tc>
                <w:tcPr>
                  <w:tcW w:w="697" w:type="pct"/>
                  <w:shd w:val="clear" w:color="auto" w:fill="auto"/>
                  <w:vAlign w:val="center"/>
                </w:tcPr>
                <w:p w14:paraId="68DE71C5">
                  <w:pPr>
                    <w:widowControl/>
                    <w:spacing w:line="240" w:lineRule="auto"/>
                    <w:contextualSpacing/>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75~95</w:t>
                  </w:r>
                </w:p>
              </w:tc>
              <w:tc>
                <w:tcPr>
                  <w:tcW w:w="798" w:type="pct"/>
                  <w:vMerge w:val="continue"/>
                  <w:shd w:val="clear" w:color="auto" w:fill="auto"/>
                  <w:vAlign w:val="center"/>
                </w:tcPr>
                <w:p w14:paraId="0B68213D">
                  <w:pPr>
                    <w:pStyle w:val="113"/>
                    <w:spacing w:line="240" w:lineRule="auto"/>
                    <w:jc w:val="center"/>
                    <w:rPr>
                      <w:rFonts w:hint="default" w:ascii="Times New Roman" w:hAnsi="Times New Roman" w:cs="Times New Roman"/>
                      <w:color w:val="auto"/>
                      <w:sz w:val="21"/>
                      <w:szCs w:val="21"/>
                      <w:highlight w:val="none"/>
                    </w:rPr>
                  </w:pPr>
                </w:p>
              </w:tc>
              <w:tc>
                <w:tcPr>
                  <w:tcW w:w="728" w:type="pct"/>
                  <w:shd w:val="clear" w:color="auto" w:fill="auto"/>
                  <w:vAlign w:val="center"/>
                </w:tcPr>
                <w:p w14:paraId="76EFF7E7">
                  <w:pPr>
                    <w:spacing w:line="240" w:lineRule="auto"/>
                    <w:jc w:val="center"/>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25</w:t>
                  </w:r>
                </w:p>
              </w:tc>
              <w:tc>
                <w:tcPr>
                  <w:tcW w:w="681" w:type="pct"/>
                  <w:shd w:val="clear" w:color="auto" w:fill="auto"/>
                  <w:vAlign w:val="center"/>
                </w:tcPr>
                <w:p w14:paraId="27FA7BE7">
                  <w:pPr>
                    <w:widowControl/>
                    <w:spacing w:line="240" w:lineRule="auto"/>
                    <w:contextualSpacing/>
                    <w:jc w:val="center"/>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50~70</w:t>
                  </w:r>
                </w:p>
              </w:tc>
            </w:tr>
            <w:tr w14:paraId="6C5C1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0" w:type="pct"/>
                  <w:vMerge w:val="continue"/>
                  <w:shd w:val="clear" w:color="auto" w:fill="auto"/>
                  <w:vAlign w:val="center"/>
                </w:tcPr>
                <w:p w14:paraId="731794F7">
                  <w:pPr>
                    <w:widowControl/>
                    <w:spacing w:line="240" w:lineRule="auto"/>
                    <w:contextualSpacing/>
                    <w:jc w:val="center"/>
                    <w:rPr>
                      <w:rFonts w:hint="default" w:ascii="Times New Roman" w:hAnsi="Times New Roman" w:eastAsia="宋体" w:cs="Times New Roman"/>
                      <w:color w:val="auto"/>
                      <w:kern w:val="0"/>
                      <w:sz w:val="21"/>
                      <w:szCs w:val="21"/>
                      <w:highlight w:val="none"/>
                    </w:rPr>
                  </w:pPr>
                </w:p>
              </w:tc>
              <w:tc>
                <w:tcPr>
                  <w:tcW w:w="881" w:type="pct"/>
                  <w:shd w:val="clear" w:color="auto" w:fill="auto"/>
                  <w:vAlign w:val="center"/>
                </w:tcPr>
                <w:p w14:paraId="7313CAB4">
                  <w:pPr>
                    <w:widowControl/>
                    <w:spacing w:line="240" w:lineRule="auto"/>
                    <w:contextualSpacing/>
                    <w:jc w:val="center"/>
                    <w:rPr>
                      <w:rFonts w:hint="default" w:ascii="Times New Roman" w:hAnsi="Times New Roman" w:eastAsia="宋体" w:cs="Times New Roman"/>
                      <w:b w:val="0"/>
                      <w:bCs w:val="0"/>
                      <w:i w:val="0"/>
                      <w:iCs w:val="0"/>
                      <w:color w:val="auto"/>
                      <w:sz w:val="21"/>
                      <w:szCs w:val="21"/>
                      <w:lang w:val="en-US" w:eastAsia="zh-CN"/>
                    </w:rPr>
                  </w:pPr>
                  <w:r>
                    <w:rPr>
                      <w:rFonts w:hint="default" w:ascii="Times New Roman" w:hAnsi="Times New Roman" w:eastAsia="宋体" w:cs="Times New Roman"/>
                      <w:b w:val="0"/>
                      <w:bCs w:val="0"/>
                      <w:i w:val="0"/>
                      <w:iCs w:val="0"/>
                      <w:color w:val="auto"/>
                      <w:sz w:val="21"/>
                      <w:szCs w:val="21"/>
                      <w:lang w:val="en-US" w:eastAsia="zh-CN"/>
                    </w:rPr>
                    <w:t>真空包装机</w:t>
                  </w:r>
                </w:p>
              </w:tc>
              <w:tc>
                <w:tcPr>
                  <w:tcW w:w="722" w:type="pct"/>
                  <w:shd w:val="clear" w:color="auto" w:fill="auto"/>
                  <w:vAlign w:val="center"/>
                </w:tcPr>
                <w:p w14:paraId="2CC08E96">
                  <w:pPr>
                    <w:widowControl/>
                    <w:spacing w:line="240" w:lineRule="auto"/>
                    <w:contextualSpacing/>
                    <w:jc w:val="center"/>
                    <w:rPr>
                      <w:rFonts w:hint="default" w:ascii="Times New Roman" w:hAnsi="Times New Roman" w:eastAsia="宋体" w:cs="Times New Roman"/>
                      <w:b w:val="0"/>
                      <w:bCs w:val="0"/>
                      <w:color w:val="auto"/>
                      <w:kern w:val="0"/>
                      <w:sz w:val="21"/>
                      <w:szCs w:val="21"/>
                      <w:highlight w:val="none"/>
                      <w:lang w:val="en-US" w:eastAsia="zh-CN"/>
                    </w:rPr>
                  </w:pPr>
                  <w:r>
                    <w:rPr>
                      <w:rFonts w:hint="eastAsia" w:cs="Times New Roman"/>
                      <w:b w:val="0"/>
                      <w:bCs w:val="0"/>
                      <w:color w:val="auto"/>
                      <w:kern w:val="0"/>
                      <w:sz w:val="21"/>
                      <w:szCs w:val="21"/>
                      <w:highlight w:val="none"/>
                      <w:lang w:val="en-US" w:eastAsia="zh-CN"/>
                    </w:rPr>
                    <w:t>1台</w:t>
                  </w:r>
                </w:p>
              </w:tc>
              <w:tc>
                <w:tcPr>
                  <w:tcW w:w="697" w:type="pct"/>
                  <w:shd w:val="clear" w:color="auto" w:fill="auto"/>
                  <w:vAlign w:val="center"/>
                </w:tcPr>
                <w:p w14:paraId="13C175EC">
                  <w:pPr>
                    <w:widowControl/>
                    <w:spacing w:line="240" w:lineRule="auto"/>
                    <w:contextualSpacing/>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75~95</w:t>
                  </w:r>
                </w:p>
              </w:tc>
              <w:tc>
                <w:tcPr>
                  <w:tcW w:w="798" w:type="pct"/>
                  <w:vMerge w:val="continue"/>
                  <w:shd w:val="clear" w:color="auto" w:fill="auto"/>
                  <w:vAlign w:val="center"/>
                </w:tcPr>
                <w:p w14:paraId="2CE6381C">
                  <w:pPr>
                    <w:pStyle w:val="113"/>
                    <w:spacing w:line="240" w:lineRule="auto"/>
                    <w:jc w:val="center"/>
                    <w:rPr>
                      <w:rFonts w:hint="default" w:ascii="Times New Roman" w:hAnsi="Times New Roman" w:cs="Times New Roman"/>
                      <w:color w:val="auto"/>
                      <w:sz w:val="21"/>
                      <w:szCs w:val="21"/>
                      <w:highlight w:val="none"/>
                    </w:rPr>
                  </w:pPr>
                </w:p>
              </w:tc>
              <w:tc>
                <w:tcPr>
                  <w:tcW w:w="728" w:type="pct"/>
                  <w:shd w:val="clear" w:color="auto" w:fill="auto"/>
                  <w:vAlign w:val="center"/>
                </w:tcPr>
                <w:p w14:paraId="1FB1DE88">
                  <w:pPr>
                    <w:spacing w:line="240" w:lineRule="auto"/>
                    <w:jc w:val="center"/>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25</w:t>
                  </w:r>
                </w:p>
              </w:tc>
              <w:tc>
                <w:tcPr>
                  <w:tcW w:w="681" w:type="pct"/>
                  <w:shd w:val="clear" w:color="auto" w:fill="auto"/>
                  <w:vAlign w:val="center"/>
                </w:tcPr>
                <w:p w14:paraId="59EC9D12">
                  <w:pPr>
                    <w:widowControl/>
                    <w:spacing w:line="240" w:lineRule="auto"/>
                    <w:contextualSpacing/>
                    <w:jc w:val="center"/>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50~70</w:t>
                  </w:r>
                </w:p>
              </w:tc>
            </w:tr>
            <w:tr w14:paraId="5B63E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0" w:type="pct"/>
                  <w:vMerge w:val="continue"/>
                  <w:shd w:val="clear" w:color="auto" w:fill="auto"/>
                  <w:vAlign w:val="center"/>
                </w:tcPr>
                <w:p w14:paraId="5A19F398">
                  <w:pPr>
                    <w:widowControl/>
                    <w:spacing w:line="240" w:lineRule="auto"/>
                    <w:contextualSpacing/>
                    <w:jc w:val="center"/>
                    <w:rPr>
                      <w:rFonts w:hint="default" w:ascii="Times New Roman" w:hAnsi="Times New Roman" w:eastAsia="宋体" w:cs="Times New Roman"/>
                      <w:color w:val="auto"/>
                      <w:kern w:val="0"/>
                      <w:sz w:val="21"/>
                      <w:szCs w:val="21"/>
                      <w:highlight w:val="none"/>
                    </w:rPr>
                  </w:pPr>
                </w:p>
              </w:tc>
              <w:tc>
                <w:tcPr>
                  <w:tcW w:w="881" w:type="pct"/>
                  <w:shd w:val="clear" w:color="auto" w:fill="auto"/>
                  <w:vAlign w:val="center"/>
                </w:tcPr>
                <w:p w14:paraId="2F04BD47">
                  <w:pPr>
                    <w:widowControl/>
                    <w:spacing w:line="240" w:lineRule="auto"/>
                    <w:contextualSpacing/>
                    <w:jc w:val="center"/>
                    <w:rPr>
                      <w:rFonts w:hint="default" w:ascii="Times New Roman" w:hAnsi="Times New Roman" w:eastAsia="宋体" w:cs="Times New Roman"/>
                      <w:b w:val="0"/>
                      <w:bCs w:val="0"/>
                      <w:i w:val="0"/>
                      <w:iCs w:val="0"/>
                      <w:color w:val="auto"/>
                      <w:sz w:val="21"/>
                      <w:szCs w:val="21"/>
                      <w:lang w:val="en-US" w:eastAsia="zh-CN"/>
                    </w:rPr>
                  </w:pPr>
                  <w:r>
                    <w:rPr>
                      <w:rFonts w:hint="eastAsia" w:ascii="Times New Roman" w:hAnsi="Times New Roman" w:eastAsia="宋体" w:cs="Times New Roman"/>
                      <w:b w:val="0"/>
                      <w:bCs w:val="0"/>
                      <w:i w:val="0"/>
                      <w:iCs w:val="0"/>
                      <w:color w:val="auto"/>
                      <w:sz w:val="21"/>
                      <w:szCs w:val="21"/>
                      <w:lang w:val="en-US" w:eastAsia="zh-CN"/>
                    </w:rPr>
                    <w:t>切丁机</w:t>
                  </w:r>
                </w:p>
              </w:tc>
              <w:tc>
                <w:tcPr>
                  <w:tcW w:w="722" w:type="pct"/>
                  <w:shd w:val="clear" w:color="auto" w:fill="auto"/>
                  <w:vAlign w:val="center"/>
                </w:tcPr>
                <w:p w14:paraId="17ACE5A2">
                  <w:pPr>
                    <w:widowControl/>
                    <w:spacing w:line="240" w:lineRule="auto"/>
                    <w:contextualSpacing/>
                    <w:jc w:val="center"/>
                    <w:rPr>
                      <w:rFonts w:hint="default" w:ascii="Times New Roman" w:hAnsi="Times New Roman" w:eastAsia="宋体" w:cs="Times New Roman"/>
                      <w:b w:val="0"/>
                      <w:bCs w:val="0"/>
                      <w:color w:val="auto"/>
                      <w:kern w:val="0"/>
                      <w:sz w:val="21"/>
                      <w:szCs w:val="21"/>
                      <w:highlight w:val="none"/>
                      <w:lang w:val="en-US" w:eastAsia="zh-CN"/>
                    </w:rPr>
                  </w:pPr>
                  <w:r>
                    <w:rPr>
                      <w:rFonts w:hint="eastAsia" w:cs="Times New Roman"/>
                      <w:b w:val="0"/>
                      <w:bCs w:val="0"/>
                      <w:color w:val="auto"/>
                      <w:kern w:val="0"/>
                      <w:sz w:val="21"/>
                      <w:szCs w:val="21"/>
                      <w:highlight w:val="none"/>
                      <w:lang w:val="en-US" w:eastAsia="zh-CN"/>
                    </w:rPr>
                    <w:t>1台</w:t>
                  </w:r>
                </w:p>
              </w:tc>
              <w:tc>
                <w:tcPr>
                  <w:tcW w:w="697" w:type="pct"/>
                  <w:shd w:val="clear" w:color="auto" w:fill="auto"/>
                  <w:vAlign w:val="center"/>
                </w:tcPr>
                <w:p w14:paraId="77B4267B">
                  <w:pPr>
                    <w:widowControl/>
                    <w:spacing w:line="240" w:lineRule="auto"/>
                    <w:contextualSpacing/>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75~95</w:t>
                  </w:r>
                </w:p>
              </w:tc>
              <w:tc>
                <w:tcPr>
                  <w:tcW w:w="798" w:type="pct"/>
                  <w:vMerge w:val="continue"/>
                  <w:shd w:val="clear" w:color="auto" w:fill="auto"/>
                  <w:vAlign w:val="center"/>
                </w:tcPr>
                <w:p w14:paraId="5F0DCB8A">
                  <w:pPr>
                    <w:pStyle w:val="113"/>
                    <w:spacing w:line="240" w:lineRule="auto"/>
                    <w:jc w:val="center"/>
                    <w:rPr>
                      <w:rFonts w:hint="default" w:ascii="Times New Roman" w:hAnsi="Times New Roman" w:cs="Times New Roman"/>
                      <w:color w:val="auto"/>
                      <w:sz w:val="21"/>
                      <w:szCs w:val="21"/>
                      <w:highlight w:val="none"/>
                    </w:rPr>
                  </w:pPr>
                </w:p>
              </w:tc>
              <w:tc>
                <w:tcPr>
                  <w:tcW w:w="728" w:type="pct"/>
                  <w:shd w:val="clear" w:color="auto" w:fill="auto"/>
                  <w:vAlign w:val="center"/>
                </w:tcPr>
                <w:p w14:paraId="6D51FF03">
                  <w:pPr>
                    <w:spacing w:line="240" w:lineRule="auto"/>
                    <w:jc w:val="center"/>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25</w:t>
                  </w:r>
                </w:p>
              </w:tc>
              <w:tc>
                <w:tcPr>
                  <w:tcW w:w="681" w:type="pct"/>
                  <w:shd w:val="clear" w:color="auto" w:fill="auto"/>
                  <w:vAlign w:val="center"/>
                </w:tcPr>
                <w:p w14:paraId="17AB5994">
                  <w:pPr>
                    <w:widowControl/>
                    <w:spacing w:line="240" w:lineRule="auto"/>
                    <w:contextualSpacing/>
                    <w:jc w:val="center"/>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50~70</w:t>
                  </w:r>
                </w:p>
              </w:tc>
            </w:tr>
            <w:tr w14:paraId="36BFA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0" w:type="pct"/>
                  <w:shd w:val="clear" w:color="auto" w:fill="auto"/>
                  <w:vAlign w:val="center"/>
                </w:tcPr>
                <w:p w14:paraId="139168CB">
                  <w:pPr>
                    <w:widowControl/>
                    <w:spacing w:line="240" w:lineRule="auto"/>
                    <w:contextualSpacing/>
                    <w:jc w:val="center"/>
                    <w:rPr>
                      <w:rFonts w:hint="default" w:ascii="Times New Roman" w:hAnsi="Times New Roman" w:cs="Times New Roman"/>
                      <w:color w:val="auto"/>
                      <w:kern w:val="0"/>
                      <w:sz w:val="21"/>
                      <w:szCs w:val="21"/>
                      <w:highlight w:val="none"/>
                    </w:rPr>
                  </w:pPr>
                  <w:r>
                    <w:rPr>
                      <w:rFonts w:hint="default" w:ascii="Times New Roman" w:hAnsi="Times New Roman" w:cs="Times New Roman"/>
                      <w:color w:val="auto"/>
                      <w:kern w:val="0"/>
                      <w:sz w:val="21"/>
                      <w:szCs w:val="21"/>
                      <w:highlight w:val="none"/>
                    </w:rPr>
                    <w:t>污水处理站</w:t>
                  </w:r>
                </w:p>
              </w:tc>
              <w:tc>
                <w:tcPr>
                  <w:tcW w:w="881" w:type="pct"/>
                  <w:shd w:val="clear" w:color="auto" w:fill="auto"/>
                  <w:vAlign w:val="center"/>
                </w:tcPr>
                <w:p w14:paraId="60FAD844">
                  <w:pPr>
                    <w:widowControl/>
                    <w:spacing w:line="240" w:lineRule="auto"/>
                    <w:contextualSpacing/>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sz w:val="21"/>
                      <w:szCs w:val="21"/>
                      <w:highlight w:val="none"/>
                    </w:rPr>
                    <w:t>各类污水泵、风机</w:t>
                  </w:r>
                </w:p>
              </w:tc>
              <w:tc>
                <w:tcPr>
                  <w:tcW w:w="722" w:type="pct"/>
                  <w:shd w:val="clear" w:color="auto" w:fill="auto"/>
                  <w:vAlign w:val="center"/>
                </w:tcPr>
                <w:p w14:paraId="482DC1DF">
                  <w:pPr>
                    <w:widowControl/>
                    <w:spacing w:line="240" w:lineRule="auto"/>
                    <w:contextualSpacing/>
                    <w:jc w:val="center"/>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11</w:t>
                  </w:r>
                </w:p>
              </w:tc>
              <w:tc>
                <w:tcPr>
                  <w:tcW w:w="697" w:type="pct"/>
                  <w:shd w:val="clear" w:color="auto" w:fill="auto"/>
                  <w:vAlign w:val="center"/>
                </w:tcPr>
                <w:p w14:paraId="24633C0E">
                  <w:pPr>
                    <w:widowControl/>
                    <w:spacing w:line="240" w:lineRule="auto"/>
                    <w:contextualSpacing/>
                    <w:jc w:val="center"/>
                    <w:rPr>
                      <w:rFonts w:hint="default" w:ascii="Times New Roman" w:hAnsi="Times New Roman" w:cs="Times New Roman"/>
                      <w:color w:val="auto"/>
                      <w:kern w:val="0"/>
                      <w:sz w:val="21"/>
                      <w:szCs w:val="21"/>
                      <w:highlight w:val="none"/>
                    </w:rPr>
                  </w:pPr>
                  <w:r>
                    <w:rPr>
                      <w:rFonts w:hint="default" w:ascii="Times New Roman" w:hAnsi="Times New Roman" w:cs="Times New Roman"/>
                      <w:color w:val="auto"/>
                      <w:kern w:val="0"/>
                      <w:sz w:val="21"/>
                      <w:szCs w:val="21"/>
                      <w:highlight w:val="none"/>
                    </w:rPr>
                    <w:t>75-100</w:t>
                  </w:r>
                </w:p>
              </w:tc>
              <w:tc>
                <w:tcPr>
                  <w:tcW w:w="798" w:type="pct"/>
                  <w:shd w:val="clear" w:color="auto" w:fill="auto"/>
                  <w:vAlign w:val="center"/>
                </w:tcPr>
                <w:p w14:paraId="62914B4F">
                  <w:pPr>
                    <w:widowControl/>
                    <w:spacing w:line="240" w:lineRule="auto"/>
                    <w:contextualSpacing/>
                    <w:jc w:val="center"/>
                    <w:rPr>
                      <w:rFonts w:hint="default" w:ascii="Times New Roman" w:hAnsi="Times New Roman" w:eastAsia="宋体" w:cs="Times New Roman"/>
                      <w:color w:val="auto"/>
                      <w:kern w:val="0"/>
                      <w:sz w:val="21"/>
                      <w:szCs w:val="21"/>
                      <w:highlight w:val="none"/>
                    </w:rPr>
                  </w:pPr>
                  <w:r>
                    <w:rPr>
                      <w:color w:val="auto"/>
                      <w:sz w:val="21"/>
                    </w:rPr>
                    <w:t>构筑物隔声、基础减振</w:t>
                  </w:r>
                </w:p>
              </w:tc>
              <w:tc>
                <w:tcPr>
                  <w:tcW w:w="728" w:type="pct"/>
                  <w:shd w:val="clear" w:color="auto" w:fill="auto"/>
                  <w:vAlign w:val="center"/>
                </w:tcPr>
                <w:p w14:paraId="75C8ABDB">
                  <w:pPr>
                    <w:widowControl/>
                    <w:spacing w:line="240" w:lineRule="auto"/>
                    <w:contextualSpacing/>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25</w:t>
                  </w:r>
                </w:p>
              </w:tc>
              <w:tc>
                <w:tcPr>
                  <w:tcW w:w="681" w:type="pct"/>
                  <w:shd w:val="clear" w:color="auto" w:fill="auto"/>
                  <w:vAlign w:val="center"/>
                </w:tcPr>
                <w:p w14:paraId="3150B2DC">
                  <w:pPr>
                    <w:widowControl/>
                    <w:spacing w:line="240" w:lineRule="auto"/>
                    <w:contextualSpacing/>
                    <w:jc w:val="center"/>
                    <w:rPr>
                      <w:rFonts w:hint="default" w:ascii="Times New Roman" w:hAnsi="Times New Roman" w:eastAsia="宋体" w:cs="Times New Roman"/>
                      <w:color w:val="auto"/>
                      <w:kern w:val="0"/>
                      <w:sz w:val="21"/>
                      <w:szCs w:val="21"/>
                      <w:highlight w:val="none"/>
                    </w:rPr>
                  </w:pPr>
                  <w:r>
                    <w:rPr>
                      <w:rFonts w:hint="eastAsia"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rPr>
                    <w:t>0~75</w:t>
                  </w:r>
                </w:p>
              </w:tc>
            </w:tr>
            <w:tr w14:paraId="13DC8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0" w:type="pct"/>
                  <w:shd w:val="clear" w:color="auto" w:fill="auto"/>
                  <w:vAlign w:val="center"/>
                </w:tcPr>
                <w:p w14:paraId="46C077A3">
                  <w:pPr>
                    <w:widowControl/>
                    <w:spacing w:line="240" w:lineRule="auto"/>
                    <w:contextualSpacing/>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制冷机组</w:t>
                  </w:r>
                </w:p>
              </w:tc>
              <w:tc>
                <w:tcPr>
                  <w:tcW w:w="881" w:type="pct"/>
                  <w:shd w:val="clear" w:color="auto" w:fill="auto"/>
                  <w:vAlign w:val="center"/>
                </w:tcPr>
                <w:p w14:paraId="0F43691D">
                  <w:pPr>
                    <w:widowControl/>
                    <w:spacing w:line="240" w:lineRule="auto"/>
                    <w:contextualSpacing/>
                    <w:jc w:val="center"/>
                    <w:rPr>
                      <w:rFonts w:hint="default" w:ascii="Times New Roman" w:hAnsi="Times New Roman" w:eastAsia="宋体" w:cs="Times New Roman"/>
                      <w:color w:val="auto"/>
                      <w:kern w:val="0"/>
                      <w:sz w:val="21"/>
                      <w:szCs w:val="21"/>
                      <w:highlight w:val="none"/>
                    </w:rPr>
                  </w:pPr>
                  <w:r>
                    <w:rPr>
                      <w:rFonts w:hint="default" w:ascii="Times New Roman" w:hAnsi="Times New Roman" w:eastAsia="宋体" w:cs="Times New Roman"/>
                      <w:color w:val="auto"/>
                      <w:kern w:val="0"/>
                      <w:sz w:val="21"/>
                      <w:szCs w:val="21"/>
                      <w:highlight w:val="none"/>
                    </w:rPr>
                    <w:t>制冷机组</w:t>
                  </w:r>
                </w:p>
              </w:tc>
              <w:tc>
                <w:tcPr>
                  <w:tcW w:w="722" w:type="pct"/>
                  <w:shd w:val="clear" w:color="auto" w:fill="auto"/>
                  <w:vAlign w:val="center"/>
                </w:tcPr>
                <w:p w14:paraId="0626D2B0">
                  <w:pPr>
                    <w:widowControl/>
                    <w:spacing w:line="240" w:lineRule="auto"/>
                    <w:contextualSpacing/>
                    <w:jc w:val="center"/>
                    <w:rPr>
                      <w:rFonts w:hint="eastAsia" w:ascii="Times New Roman" w:hAnsi="Times New Roman" w:eastAsia="宋体" w:cs="Times New Roman"/>
                      <w:color w:val="auto"/>
                      <w:kern w:val="0"/>
                      <w:sz w:val="21"/>
                      <w:szCs w:val="21"/>
                      <w:highlight w:val="none"/>
                      <w:lang w:eastAsia="zh-CN"/>
                    </w:rPr>
                  </w:pPr>
                  <w:r>
                    <w:rPr>
                      <w:rFonts w:hint="eastAsia" w:cs="Times New Roman"/>
                      <w:color w:val="auto"/>
                      <w:kern w:val="0"/>
                      <w:sz w:val="21"/>
                      <w:szCs w:val="21"/>
                      <w:highlight w:val="none"/>
                      <w:lang w:val="en-US" w:eastAsia="zh-CN"/>
                    </w:rPr>
                    <w:t>4</w:t>
                  </w:r>
                </w:p>
              </w:tc>
              <w:tc>
                <w:tcPr>
                  <w:tcW w:w="697" w:type="pct"/>
                  <w:shd w:val="clear" w:color="auto" w:fill="auto"/>
                  <w:vAlign w:val="center"/>
                </w:tcPr>
                <w:p w14:paraId="6E4003EA">
                  <w:pPr>
                    <w:pStyle w:val="173"/>
                    <w:spacing w:line="240" w:lineRule="auto"/>
                    <w:jc w:val="center"/>
                    <w:rPr>
                      <w:rFonts w:hint="default" w:ascii="Times New Roman" w:hAnsi="Times New Roman" w:eastAsia="宋体" w:cs="Times New Roman"/>
                      <w:bCs/>
                      <w:color w:val="auto"/>
                      <w:kern w:val="2"/>
                      <w:sz w:val="21"/>
                      <w:szCs w:val="21"/>
                      <w:lang w:val="en-US" w:eastAsia="zh-CN" w:bidi="ar-SA"/>
                    </w:rPr>
                  </w:pPr>
                  <w:r>
                    <w:rPr>
                      <w:color w:val="auto"/>
                      <w:sz w:val="21"/>
                    </w:rPr>
                    <w:t>80</w:t>
                  </w:r>
                  <w:r>
                    <w:rPr>
                      <w:rFonts w:hint="eastAsia"/>
                      <w:color w:val="auto"/>
                      <w:sz w:val="21"/>
                      <w:lang w:eastAsia="zh-CN"/>
                    </w:rPr>
                    <w:t>~</w:t>
                  </w:r>
                  <w:r>
                    <w:rPr>
                      <w:color w:val="auto"/>
                      <w:sz w:val="21"/>
                    </w:rPr>
                    <w:t>90</w:t>
                  </w:r>
                </w:p>
              </w:tc>
              <w:tc>
                <w:tcPr>
                  <w:tcW w:w="798" w:type="pct"/>
                  <w:shd w:val="clear" w:color="auto" w:fill="auto"/>
                  <w:vAlign w:val="center"/>
                </w:tcPr>
                <w:p w14:paraId="245FE106">
                  <w:pPr>
                    <w:pStyle w:val="173"/>
                    <w:spacing w:line="240" w:lineRule="auto"/>
                    <w:jc w:val="center"/>
                    <w:rPr>
                      <w:rFonts w:hint="default" w:ascii="Times New Roman" w:hAnsi="Times New Roman" w:eastAsia="宋体" w:cs="Times New Roman"/>
                      <w:bCs/>
                      <w:color w:val="auto"/>
                      <w:kern w:val="2"/>
                      <w:sz w:val="21"/>
                      <w:szCs w:val="21"/>
                      <w:lang w:val="en-US" w:eastAsia="zh-CN" w:bidi="ar-SA"/>
                    </w:rPr>
                  </w:pPr>
                  <w:r>
                    <w:rPr>
                      <w:color w:val="auto"/>
                      <w:sz w:val="21"/>
                    </w:rPr>
                    <w:t>构筑物隔声、基础减振</w:t>
                  </w:r>
                </w:p>
              </w:tc>
              <w:tc>
                <w:tcPr>
                  <w:tcW w:w="728" w:type="pct"/>
                  <w:shd w:val="clear" w:color="auto" w:fill="auto"/>
                  <w:vAlign w:val="center"/>
                </w:tcPr>
                <w:p w14:paraId="6909E6F1">
                  <w:pPr>
                    <w:pStyle w:val="173"/>
                    <w:spacing w:line="240" w:lineRule="auto"/>
                    <w:jc w:val="center"/>
                    <w:rPr>
                      <w:rFonts w:hint="default" w:ascii="Times New Roman" w:hAnsi="Times New Roman" w:eastAsia="宋体" w:cs="Times New Roman"/>
                      <w:bCs/>
                      <w:color w:val="auto"/>
                      <w:kern w:val="2"/>
                      <w:sz w:val="21"/>
                      <w:szCs w:val="21"/>
                      <w:lang w:val="en-US" w:eastAsia="zh-CN" w:bidi="ar-SA"/>
                    </w:rPr>
                  </w:pPr>
                  <w:r>
                    <w:rPr>
                      <w:color w:val="auto"/>
                      <w:sz w:val="21"/>
                    </w:rPr>
                    <w:t>15</w:t>
                  </w:r>
                </w:p>
              </w:tc>
              <w:tc>
                <w:tcPr>
                  <w:tcW w:w="681" w:type="pct"/>
                  <w:shd w:val="clear" w:color="auto" w:fill="auto"/>
                  <w:vAlign w:val="center"/>
                </w:tcPr>
                <w:p w14:paraId="4C59755E">
                  <w:pPr>
                    <w:widowControl/>
                    <w:spacing w:line="240" w:lineRule="auto"/>
                    <w:contextualSpacing/>
                    <w:jc w:val="center"/>
                    <w:rPr>
                      <w:rFonts w:hint="eastAsia" w:ascii="Times New Roman" w:hAnsi="Times New Roman" w:eastAsia="宋体" w:cs="Times New Roman"/>
                      <w:color w:val="auto"/>
                      <w:kern w:val="0"/>
                      <w:sz w:val="21"/>
                      <w:szCs w:val="21"/>
                      <w:highlight w:val="none"/>
                      <w:lang w:eastAsia="zh-CN"/>
                    </w:rPr>
                  </w:pPr>
                  <w:r>
                    <w:rPr>
                      <w:rFonts w:hint="default" w:ascii="Times New Roman" w:hAnsi="Times New Roman" w:eastAsia="宋体" w:cs="Times New Roman"/>
                      <w:color w:val="auto"/>
                      <w:kern w:val="0"/>
                      <w:sz w:val="21"/>
                      <w:szCs w:val="21"/>
                      <w:highlight w:val="none"/>
                    </w:rPr>
                    <w:t>6</w:t>
                  </w:r>
                  <w:r>
                    <w:rPr>
                      <w:rFonts w:hint="eastAsia" w:ascii="Times New Roman" w:hAnsi="Times New Roman" w:eastAsia="宋体" w:cs="Times New Roman"/>
                      <w:color w:val="auto"/>
                      <w:kern w:val="0"/>
                      <w:sz w:val="21"/>
                      <w:szCs w:val="21"/>
                      <w:highlight w:val="none"/>
                      <w:lang w:val="en-US" w:eastAsia="zh-CN"/>
                    </w:rPr>
                    <w:t>5</w:t>
                  </w:r>
                  <w:r>
                    <w:rPr>
                      <w:rFonts w:hint="default" w:ascii="Times New Roman" w:hAnsi="Times New Roman" w:eastAsia="宋体" w:cs="Times New Roman"/>
                      <w:color w:val="auto"/>
                      <w:kern w:val="0"/>
                      <w:sz w:val="21"/>
                      <w:szCs w:val="21"/>
                      <w:highlight w:val="none"/>
                    </w:rPr>
                    <w:t>-7</w:t>
                  </w:r>
                  <w:r>
                    <w:rPr>
                      <w:rFonts w:hint="eastAsia" w:ascii="Times New Roman" w:hAnsi="Times New Roman" w:eastAsia="宋体" w:cs="Times New Roman"/>
                      <w:color w:val="auto"/>
                      <w:kern w:val="0"/>
                      <w:sz w:val="21"/>
                      <w:szCs w:val="21"/>
                      <w:highlight w:val="none"/>
                      <w:lang w:val="en-US" w:eastAsia="zh-CN"/>
                    </w:rPr>
                    <w:t>5</w:t>
                  </w:r>
                </w:p>
              </w:tc>
            </w:tr>
          </w:tbl>
          <w:p w14:paraId="1CD517B5">
            <w:pPr>
              <w:spacing w:line="360" w:lineRule="auto"/>
              <w:ind w:firstLine="480" w:firstLineChars="200"/>
              <w:rPr>
                <w:color w:val="auto"/>
                <w:sz w:val="24"/>
              </w:rPr>
            </w:pPr>
            <w:r>
              <w:rPr>
                <w:rFonts w:hint="eastAsia"/>
                <w:color w:val="auto"/>
                <w:sz w:val="24"/>
              </w:rPr>
              <w:t>4</w:t>
            </w:r>
            <w:r>
              <w:rPr>
                <w:color w:val="auto"/>
                <w:sz w:val="24"/>
              </w:rPr>
              <w:t>.2</w:t>
            </w:r>
            <w:r>
              <w:rPr>
                <w:rFonts w:hint="eastAsia"/>
                <w:color w:val="auto"/>
                <w:sz w:val="24"/>
                <w:lang w:eastAsia="zh-CN"/>
              </w:rPr>
              <w:t>、</w:t>
            </w:r>
            <w:r>
              <w:rPr>
                <w:color w:val="auto"/>
                <w:sz w:val="24"/>
              </w:rPr>
              <w:t>噪声环境影响分析</w:t>
            </w:r>
          </w:p>
          <w:p w14:paraId="28ACD0E6">
            <w:pPr>
              <w:spacing w:line="360" w:lineRule="auto"/>
              <w:ind w:firstLine="480" w:firstLineChars="200"/>
              <w:rPr>
                <w:color w:val="auto"/>
                <w:sz w:val="24"/>
              </w:rPr>
            </w:pPr>
            <w:r>
              <w:rPr>
                <w:rFonts w:hint="eastAsia"/>
                <w:color w:val="auto"/>
                <w:sz w:val="24"/>
                <w:lang w:eastAsia="zh-CN"/>
              </w:rPr>
              <w:t>（</w:t>
            </w:r>
            <w:r>
              <w:rPr>
                <w:rFonts w:hint="eastAsia"/>
                <w:color w:val="auto"/>
                <w:sz w:val="24"/>
                <w:lang w:val="en-US" w:eastAsia="zh-CN"/>
              </w:rPr>
              <w:t>1</w:t>
            </w:r>
            <w:r>
              <w:rPr>
                <w:rFonts w:hint="eastAsia"/>
                <w:color w:val="auto"/>
                <w:sz w:val="24"/>
                <w:lang w:eastAsia="zh-CN"/>
              </w:rPr>
              <w:t>）</w:t>
            </w:r>
            <w:r>
              <w:rPr>
                <w:color w:val="auto"/>
                <w:sz w:val="24"/>
              </w:rPr>
              <w:t>噪声源强</w:t>
            </w:r>
          </w:p>
          <w:p w14:paraId="59B0B2F9">
            <w:pPr>
              <w:spacing w:line="360" w:lineRule="auto"/>
              <w:ind w:firstLine="480" w:firstLineChars="200"/>
              <w:rPr>
                <w:color w:val="auto"/>
                <w:sz w:val="24"/>
              </w:rPr>
            </w:pPr>
            <w:r>
              <w:rPr>
                <w:color w:val="auto"/>
                <w:sz w:val="24"/>
              </w:rPr>
              <w:t>根据项目工程分析，本项目运营期产生的噪声通过隔声降噪措施后，排放源强为</w:t>
            </w:r>
            <w:r>
              <w:rPr>
                <w:rFonts w:hint="eastAsia"/>
                <w:color w:val="auto"/>
                <w:sz w:val="24"/>
                <w:lang w:val="en-US" w:eastAsia="zh-CN"/>
              </w:rPr>
              <w:t>5</w:t>
            </w:r>
            <w:r>
              <w:rPr>
                <w:color w:val="auto"/>
                <w:sz w:val="24"/>
              </w:rPr>
              <w:t>0~</w:t>
            </w:r>
            <w:r>
              <w:rPr>
                <w:rFonts w:hint="eastAsia"/>
                <w:color w:val="auto"/>
                <w:sz w:val="24"/>
                <w:lang w:val="en-US" w:eastAsia="zh-CN"/>
              </w:rPr>
              <w:t>7</w:t>
            </w:r>
            <w:r>
              <w:rPr>
                <w:color w:val="auto"/>
                <w:sz w:val="24"/>
              </w:rPr>
              <w:t>5dB（A）之间。</w:t>
            </w:r>
          </w:p>
          <w:p w14:paraId="21BCF83D">
            <w:pPr>
              <w:spacing w:line="360" w:lineRule="auto"/>
              <w:ind w:firstLine="480" w:firstLineChars="200"/>
              <w:rPr>
                <w:color w:val="auto"/>
                <w:sz w:val="24"/>
              </w:rPr>
            </w:pPr>
            <w:r>
              <w:rPr>
                <w:rFonts w:hint="eastAsia"/>
                <w:color w:val="auto"/>
                <w:sz w:val="24"/>
                <w:lang w:eastAsia="zh-CN"/>
              </w:rPr>
              <w:t>（</w:t>
            </w:r>
            <w:r>
              <w:rPr>
                <w:rFonts w:hint="eastAsia"/>
                <w:color w:val="auto"/>
                <w:sz w:val="24"/>
                <w:lang w:val="en-US" w:eastAsia="zh-CN"/>
              </w:rPr>
              <w:t>2</w:t>
            </w:r>
            <w:r>
              <w:rPr>
                <w:rFonts w:hint="eastAsia"/>
                <w:color w:val="auto"/>
                <w:sz w:val="24"/>
                <w:lang w:eastAsia="zh-CN"/>
              </w:rPr>
              <w:t>）</w:t>
            </w:r>
            <w:r>
              <w:rPr>
                <w:color w:val="auto"/>
                <w:sz w:val="24"/>
              </w:rPr>
              <w:t>噪声预测</w:t>
            </w:r>
          </w:p>
          <w:p w14:paraId="13855499">
            <w:pPr>
              <w:spacing w:line="360" w:lineRule="auto"/>
              <w:ind w:firstLine="480" w:firstLineChars="20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①预测内容</w:t>
            </w:r>
          </w:p>
          <w:p w14:paraId="6385E394">
            <w:pPr>
              <w:spacing w:line="360" w:lineRule="auto"/>
              <w:ind w:firstLine="480" w:firstLineChars="20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预测是在拟采取治理措施情况下，</w:t>
            </w:r>
            <w:r>
              <w:rPr>
                <w:rFonts w:hint="default" w:ascii="Times New Roman" w:hAnsi="Times New Roman" w:eastAsia="宋体" w:cs="Times New Roman"/>
                <w:color w:val="auto"/>
                <w:sz w:val="24"/>
                <w:lang w:val="en-US" w:eastAsia="zh-CN"/>
              </w:rPr>
              <w:t>本</w:t>
            </w:r>
            <w:r>
              <w:rPr>
                <w:rFonts w:hint="default" w:ascii="Times New Roman" w:hAnsi="Times New Roman" w:eastAsia="宋体" w:cs="Times New Roman"/>
                <w:color w:val="auto"/>
                <w:sz w:val="24"/>
              </w:rPr>
              <w:t>项目主要噪声源全部同时正常运转时对厂界噪声的影响。</w:t>
            </w:r>
          </w:p>
          <w:p w14:paraId="7049ABDE">
            <w:pPr>
              <w:spacing w:line="360" w:lineRule="auto"/>
              <w:ind w:firstLine="480" w:firstLineChars="20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②预测点的设置</w:t>
            </w:r>
          </w:p>
          <w:p w14:paraId="15F2ECB2">
            <w:pPr>
              <w:spacing w:line="360" w:lineRule="auto"/>
              <w:ind w:firstLine="480" w:firstLineChars="20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在东、南、西、北共设置</w:t>
            </w:r>
            <w:r>
              <w:rPr>
                <w:rFonts w:hint="default" w:ascii="Times New Roman" w:hAnsi="Times New Roman" w:eastAsia="宋体" w:cs="Times New Roman"/>
                <w:color w:val="auto"/>
                <w:sz w:val="24"/>
                <w:lang w:val="en-US" w:eastAsia="zh-CN"/>
              </w:rPr>
              <w:t>4</w:t>
            </w:r>
            <w:r>
              <w:rPr>
                <w:rFonts w:hint="default" w:ascii="Times New Roman" w:hAnsi="Times New Roman" w:eastAsia="宋体" w:cs="Times New Roman"/>
                <w:color w:val="auto"/>
                <w:sz w:val="24"/>
              </w:rPr>
              <w:t xml:space="preserve">个噪声预测点。 </w:t>
            </w:r>
          </w:p>
          <w:p w14:paraId="09D7D490">
            <w:pPr>
              <w:spacing w:line="360" w:lineRule="auto"/>
              <w:ind w:firstLine="480" w:firstLineChars="20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③预测模式</w:t>
            </w:r>
          </w:p>
          <w:p w14:paraId="652577C9">
            <w:pPr>
              <w:spacing w:line="360" w:lineRule="auto"/>
              <w:ind w:firstLine="480" w:firstLineChars="20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工业噪声预测模式采用《环境影响评价技术导则 声环境》（HJ2.4-2021）推荐的噪声传播衰减方法进行预测，计算中考虑了距离衰减，建构筑物等围护结构的隔声和建筑物屏蔽效应，以及空气的吸收衰减。预测模式如下。</w:t>
            </w:r>
          </w:p>
          <w:p w14:paraId="13BE15FF">
            <w:pPr>
              <w:spacing w:line="360" w:lineRule="auto"/>
              <w:ind w:firstLine="480" w:firstLineChars="20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噪声贡献值</w:t>
            </w:r>
          </w:p>
          <w:p w14:paraId="02BFDB9D">
            <w:pPr>
              <w:spacing w:line="360" w:lineRule="auto"/>
              <w:ind w:firstLine="480" w:firstLineChars="200"/>
              <w:jc w:val="center"/>
              <w:rPr>
                <w:rFonts w:hint="eastAsia" w:ascii="Times New Roman" w:hAnsi="Times New Roman" w:eastAsia="宋体" w:cs="Times New Roman"/>
                <w:color w:val="auto"/>
                <w:sz w:val="24"/>
                <w:lang w:val="en-US" w:eastAsia="zh-CN"/>
              </w:rPr>
            </w:pPr>
            <w:r>
              <w:rPr>
                <w:rFonts w:hint="default" w:ascii="Times New Roman" w:hAnsi="Times New Roman" w:eastAsia="宋体" w:cs="Times New Roman"/>
                <w:color w:val="auto"/>
                <w:sz w:val="24"/>
              </w:rPr>
              <w:t>L</w:t>
            </w:r>
            <w:r>
              <w:rPr>
                <w:rFonts w:hint="eastAsia" w:ascii="Times New Roman" w:hAnsi="Times New Roman" w:eastAsia="宋体" w:cs="Times New Roman"/>
                <w:color w:val="auto"/>
                <w:sz w:val="24"/>
                <w:lang w:val="en-US" w:eastAsia="zh-CN"/>
              </w:rPr>
              <w:t>eqg</w:t>
            </w:r>
            <w:r>
              <w:rPr>
                <w:rFonts w:hint="default" w:ascii="Times New Roman" w:hAnsi="Times New Roman" w:eastAsia="宋体" w:cs="Times New Roman"/>
                <w:color w:val="auto"/>
                <w:sz w:val="24"/>
              </w:rPr>
              <w:t>=</w:t>
            </w:r>
            <w:r>
              <w:rPr>
                <w:rFonts w:hint="eastAsia" w:ascii="Times New Roman" w:hAnsi="Times New Roman" w:eastAsia="宋体" w:cs="Times New Roman"/>
                <w:color w:val="auto"/>
                <w:sz w:val="24"/>
                <w:lang w:val="en-US" w:eastAsia="zh-CN"/>
              </w:rPr>
              <w:t>101g</w:t>
            </w:r>
            <w:r>
              <w:rPr>
                <w:rFonts w:hint="default" w:ascii="Times New Roman" w:hAnsi="Times New Roman" w:eastAsia="宋体" w:cs="Times New Roman"/>
                <w:color w:val="auto"/>
                <w:sz w:val="24"/>
              </w:rPr>
              <w:t>(</w:t>
            </w:r>
            <w:r>
              <w:rPr>
                <w:rFonts w:hint="default" w:ascii="Times New Roman" w:hAnsi="Times New Roman" w:eastAsia="宋体" w:cs="Times New Roman"/>
                <w:color w:val="auto"/>
                <w:sz w:val="24"/>
              </w:rPr>
              <w:object>
                <v:shape id="_x0000_i1029" o:spt="75" type="#_x0000_t75" style="height:31pt;width:13pt;" o:ole="t" filled="f" o:preferrelative="t" stroked="f" coordsize="21600,21600">
                  <v:path/>
                  <v:fill on="f" focussize="0,0"/>
                  <v:stroke on="f"/>
                  <v:imagedata r:id="rId28" o:title=""/>
                  <o:lock v:ext="edit" aspectratio="t"/>
                  <w10:wrap type="none"/>
                  <w10:anchorlock/>
                </v:shape>
                <o:OLEObject Type="Embed" ProgID="Equation.KSEE3" ShapeID="_x0000_i1029" DrawAspect="Content" ObjectID="_1468075729" r:id="rId27">
                  <o:LockedField>false</o:LockedField>
                </o:OLEObject>
              </w:object>
            </w:r>
            <w:r>
              <w:rPr>
                <w:rFonts w:hint="default" w:ascii="Times New Roman" w:hAnsi="Times New Roman" w:eastAsia="宋体" w:cs="Times New Roman"/>
                <w:color w:val="auto"/>
                <w:sz w:val="24"/>
              </w:rPr>
              <w:t>∑</w:t>
            </w:r>
            <w:r>
              <w:rPr>
                <w:rFonts w:hint="eastAsia" w:ascii="Times New Roman" w:hAnsi="Times New Roman" w:eastAsia="宋体" w:cs="Times New Roman"/>
                <w:color w:val="auto"/>
                <w:sz w:val="24"/>
                <w:lang w:val="en-US" w:eastAsia="zh-CN"/>
              </w:rPr>
              <w:t>ti10</w:t>
            </w:r>
            <w:r>
              <w:rPr>
                <w:rFonts w:hint="eastAsia" w:ascii="Times New Roman" w:hAnsi="Times New Roman" w:eastAsia="宋体" w:cs="Times New Roman"/>
                <w:color w:val="auto"/>
                <w:sz w:val="24"/>
                <w:vertAlign w:val="superscript"/>
                <w:lang w:val="en-US" w:eastAsia="zh-CN"/>
              </w:rPr>
              <w:t>0.1</w:t>
            </w:r>
            <w:r>
              <w:rPr>
                <w:rFonts w:hint="default" w:ascii="Times New Roman" w:hAnsi="Times New Roman" w:eastAsia="宋体" w:cs="Times New Roman"/>
                <w:color w:val="auto"/>
                <w:sz w:val="24"/>
                <w:vertAlign w:val="superscript"/>
              </w:rPr>
              <w:t>L</w:t>
            </w:r>
            <w:r>
              <w:rPr>
                <w:rFonts w:hint="eastAsia" w:ascii="Times New Roman" w:hAnsi="Times New Roman" w:eastAsia="宋体" w:cs="Times New Roman"/>
                <w:color w:val="auto"/>
                <w:sz w:val="24"/>
                <w:vertAlign w:val="superscript"/>
                <w:lang w:val="en-US" w:eastAsia="zh-CN"/>
              </w:rPr>
              <w:t>A</w:t>
            </w:r>
            <w:r>
              <w:rPr>
                <w:rFonts w:hint="default" w:ascii="Times New Roman" w:hAnsi="Times New Roman" w:eastAsia="宋体" w:cs="Times New Roman"/>
                <w:color w:val="auto"/>
                <w:sz w:val="24"/>
                <w:vertAlign w:val="superscript"/>
              </w:rPr>
              <w:t>i</w:t>
            </w:r>
            <w:r>
              <w:rPr>
                <w:rFonts w:hint="eastAsia" w:ascii="Times New Roman" w:hAnsi="Times New Roman" w:eastAsia="宋体" w:cs="Times New Roman"/>
                <w:color w:val="auto"/>
                <w:sz w:val="24"/>
                <w:lang w:val="en-US" w:eastAsia="zh-CN"/>
              </w:rPr>
              <w:t>）</w:t>
            </w:r>
          </w:p>
          <w:p w14:paraId="0776DD1C">
            <w:pPr>
              <w:spacing w:line="360" w:lineRule="auto"/>
              <w:ind w:firstLine="480" w:firstLineChars="20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式中：L</w:t>
            </w:r>
            <w:r>
              <w:rPr>
                <w:rFonts w:hint="eastAsia" w:ascii="Times New Roman" w:hAnsi="Times New Roman" w:eastAsia="宋体" w:cs="Times New Roman"/>
                <w:color w:val="auto"/>
                <w:sz w:val="24"/>
                <w:lang w:val="en-US" w:eastAsia="zh-CN"/>
              </w:rPr>
              <w:t>eqg</w:t>
            </w:r>
            <w:r>
              <w:rPr>
                <w:rFonts w:hint="default" w:ascii="Times New Roman" w:hAnsi="Times New Roman" w:eastAsia="宋体" w:cs="Times New Roman"/>
                <w:color w:val="auto"/>
                <w:sz w:val="24"/>
              </w:rPr>
              <w:t>—噪声贡献值，dB</w:t>
            </w:r>
            <w:r>
              <w:rPr>
                <w:rFonts w:hint="eastAsia" w:ascii="Times New Roman" w:hAnsi="Times New Roman" w:eastAsia="宋体" w:cs="Times New Roman"/>
                <w:color w:val="auto"/>
                <w:sz w:val="24"/>
                <w:lang w:eastAsia="zh-CN"/>
              </w:rPr>
              <w:t>；</w:t>
            </w:r>
          </w:p>
          <w:p w14:paraId="599A9EA4">
            <w:pPr>
              <w:spacing w:line="360" w:lineRule="auto"/>
              <w:ind w:firstLine="480" w:firstLineChars="200"/>
              <w:rPr>
                <w:rFonts w:hint="default" w:ascii="Times New Roman" w:hAnsi="Times New Roman" w:eastAsia="宋体" w:cs="Times New Roman"/>
                <w:color w:val="auto"/>
                <w:sz w:val="24"/>
              </w:rPr>
            </w:pPr>
            <w:r>
              <w:rPr>
                <w:rFonts w:hint="eastAsia" w:ascii="Times New Roman" w:hAnsi="Times New Roman" w:eastAsia="宋体" w:cs="Times New Roman"/>
                <w:color w:val="auto"/>
                <w:sz w:val="24"/>
                <w:lang w:val="en-US" w:eastAsia="zh-CN"/>
              </w:rPr>
              <w:t>T</w:t>
            </w:r>
            <w:r>
              <w:rPr>
                <w:rFonts w:hint="default" w:ascii="Times New Roman" w:hAnsi="Times New Roman" w:eastAsia="宋体" w:cs="Times New Roman"/>
                <w:color w:val="auto"/>
                <w:sz w:val="24"/>
              </w:rPr>
              <w:t>—预测计算的时间段，s；</w:t>
            </w:r>
          </w:p>
          <w:p w14:paraId="07F7CE24">
            <w:pPr>
              <w:spacing w:line="360" w:lineRule="auto"/>
              <w:ind w:firstLine="480" w:firstLineChars="200"/>
              <w:rPr>
                <w:rFonts w:hint="default" w:ascii="Times New Roman" w:hAnsi="Times New Roman" w:eastAsia="宋体" w:cs="Times New Roman"/>
                <w:color w:val="auto"/>
                <w:sz w:val="24"/>
              </w:rPr>
            </w:pPr>
            <w:r>
              <w:rPr>
                <w:rFonts w:hint="eastAsia" w:ascii="Times New Roman" w:hAnsi="Times New Roman" w:eastAsia="宋体" w:cs="Times New Roman"/>
                <w:color w:val="auto"/>
                <w:sz w:val="24"/>
                <w:lang w:val="en-US" w:eastAsia="zh-CN"/>
              </w:rPr>
              <w:t>ti</w:t>
            </w:r>
            <w:r>
              <w:rPr>
                <w:rFonts w:hint="default" w:ascii="Times New Roman" w:hAnsi="Times New Roman" w:eastAsia="宋体" w:cs="Times New Roman"/>
                <w:color w:val="auto"/>
                <w:sz w:val="24"/>
              </w:rPr>
              <w:t>—i 声源在 T 时段内的运行时间，s；</w:t>
            </w:r>
          </w:p>
          <w:p w14:paraId="71784693">
            <w:pPr>
              <w:spacing w:line="360" w:lineRule="auto"/>
              <w:ind w:firstLine="480" w:firstLineChars="20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L</w:t>
            </w:r>
            <w:r>
              <w:rPr>
                <w:rFonts w:hint="eastAsia" w:ascii="Times New Roman" w:hAnsi="Times New Roman" w:eastAsia="宋体" w:cs="Times New Roman"/>
                <w:color w:val="auto"/>
                <w:sz w:val="24"/>
                <w:lang w:val="en-US" w:eastAsia="zh-CN"/>
              </w:rPr>
              <w:t>A</w:t>
            </w:r>
            <w:r>
              <w:rPr>
                <w:rFonts w:hint="default" w:ascii="Times New Roman" w:hAnsi="Times New Roman" w:eastAsia="宋体" w:cs="Times New Roman"/>
                <w:color w:val="auto"/>
                <w:sz w:val="24"/>
              </w:rPr>
              <w:t>i—i 声源在预测点产生的等效连续 A 声级，dB。</w:t>
            </w:r>
          </w:p>
          <w:p w14:paraId="214EC74C">
            <w:pPr>
              <w:spacing w:line="360" w:lineRule="auto"/>
              <w:ind w:firstLine="480" w:firstLineChars="200"/>
              <w:rPr>
                <w:rFonts w:hint="default" w:ascii="Times New Roman" w:hAnsi="Times New Roman" w:eastAsia="宋体" w:cs="Times New Roman"/>
                <w:color w:val="auto"/>
                <w:sz w:val="24"/>
                <w:lang w:val="en-US" w:eastAsia="zh-CN"/>
              </w:rPr>
            </w:pPr>
            <w:r>
              <w:rPr>
                <w:rFonts w:hint="eastAsia" w:cs="Times New Roman"/>
                <w:color w:val="auto"/>
                <w:sz w:val="24"/>
                <w:lang w:val="en-US" w:eastAsia="zh-CN"/>
              </w:rPr>
              <w:t>噪声预测值</w:t>
            </w:r>
          </w:p>
          <w:p w14:paraId="5D989D04">
            <w:pPr>
              <w:spacing w:line="360" w:lineRule="auto"/>
              <w:ind w:firstLine="420" w:firstLineChars="200"/>
              <w:jc w:val="center"/>
              <w:rPr>
                <w:rFonts w:hint="eastAsia" w:ascii="Times New Roman" w:hAnsi="Times New Roman" w:eastAsia="宋体" w:cs="Times New Roman"/>
                <w:color w:val="auto"/>
                <w:sz w:val="24"/>
                <w:lang w:val="en-US" w:eastAsia="zh-CN"/>
              </w:rPr>
            </w:pPr>
            <w:r>
              <w:rPr>
                <w:color w:val="auto"/>
              </w:rPr>
              <w:drawing>
                <wp:inline distT="0" distB="0" distL="114300" distR="114300">
                  <wp:extent cx="2552700" cy="523875"/>
                  <wp:effectExtent l="0" t="0" r="0" b="9525"/>
                  <wp:docPr id="36"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7"/>
                          <pic:cNvPicPr>
                            <a:picLocks noChangeAspect="1"/>
                          </pic:cNvPicPr>
                        </pic:nvPicPr>
                        <pic:blipFill>
                          <a:blip r:embed="rId29"/>
                          <a:stretch>
                            <a:fillRect/>
                          </a:stretch>
                        </pic:blipFill>
                        <pic:spPr>
                          <a:xfrm>
                            <a:off x="0" y="0"/>
                            <a:ext cx="2552700" cy="523875"/>
                          </a:xfrm>
                          <a:prstGeom prst="rect">
                            <a:avLst/>
                          </a:prstGeom>
                          <a:noFill/>
                          <a:ln>
                            <a:noFill/>
                          </a:ln>
                        </pic:spPr>
                      </pic:pic>
                    </a:graphicData>
                  </a:graphic>
                </wp:inline>
              </w:drawing>
            </w:r>
          </w:p>
          <w:p w14:paraId="75EB2A45">
            <w:pPr>
              <w:spacing w:line="360" w:lineRule="auto"/>
              <w:ind w:firstLine="480" w:firstLineChars="200"/>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 xml:space="preserve">式中： </w:t>
            </w:r>
          </w:p>
          <w:p w14:paraId="0D6EA26F">
            <w:pPr>
              <w:spacing w:line="360" w:lineRule="auto"/>
              <w:ind w:firstLine="480" w:firstLineChars="200"/>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 xml:space="preserve"> Leq—预测点的噪声预测值，dB；</w:t>
            </w:r>
          </w:p>
          <w:p w14:paraId="24FC5C55">
            <w:pPr>
              <w:spacing w:line="360" w:lineRule="auto"/>
              <w:ind w:firstLine="480" w:firstLineChars="200"/>
              <w:rPr>
                <w:rFonts w:ascii="宋体" w:hAnsi="宋体" w:eastAsia="宋体" w:cs="宋体"/>
                <w:color w:val="auto"/>
                <w:sz w:val="24"/>
                <w:szCs w:val="24"/>
              </w:rPr>
            </w:pPr>
            <w:r>
              <w:rPr>
                <w:rFonts w:ascii="宋体" w:hAnsi="宋体" w:eastAsia="宋体" w:cs="宋体"/>
                <w:color w:val="auto"/>
                <w:sz w:val="24"/>
                <w:szCs w:val="24"/>
              </w:rPr>
              <w:t>L</w:t>
            </w:r>
            <w:r>
              <w:rPr>
                <w:rFonts w:hint="eastAsia" w:ascii="Times New Roman" w:hAnsi="Times New Roman" w:eastAsia="宋体" w:cs="Times New Roman"/>
                <w:color w:val="auto"/>
                <w:sz w:val="24"/>
                <w:lang w:val="en-US" w:eastAsia="zh-CN"/>
              </w:rPr>
              <w:t>eq</w:t>
            </w:r>
            <w:r>
              <w:rPr>
                <w:rFonts w:hint="eastAsia" w:cs="Times New Roman"/>
                <w:color w:val="auto"/>
                <w:sz w:val="24"/>
                <w:lang w:val="en-US" w:eastAsia="zh-CN"/>
              </w:rPr>
              <w:t>g</w:t>
            </w:r>
            <w:r>
              <w:rPr>
                <w:rFonts w:ascii="宋体" w:hAnsi="宋体" w:eastAsia="宋体" w:cs="宋体"/>
                <w:color w:val="auto"/>
                <w:sz w:val="24"/>
                <w:szCs w:val="24"/>
              </w:rPr>
              <w:t xml:space="preserve"> —建设项目声源在预测点产生的噪声贡献值，dB；  </w:t>
            </w:r>
          </w:p>
          <w:p w14:paraId="4BF6B04C">
            <w:pPr>
              <w:spacing w:line="360" w:lineRule="auto"/>
              <w:ind w:firstLine="480" w:firstLineChars="200"/>
              <w:rPr>
                <w:rFonts w:hint="eastAsia" w:ascii="Times New Roman" w:hAnsi="Times New Roman" w:eastAsia="宋体" w:cs="Times New Roman"/>
                <w:color w:val="auto"/>
                <w:sz w:val="24"/>
                <w:lang w:val="en-US" w:eastAsia="zh-CN"/>
              </w:rPr>
            </w:pPr>
            <w:r>
              <w:rPr>
                <w:rFonts w:ascii="宋体" w:hAnsi="宋体" w:eastAsia="宋体" w:cs="宋体"/>
                <w:color w:val="auto"/>
                <w:sz w:val="24"/>
                <w:szCs w:val="24"/>
              </w:rPr>
              <w:t>Leqb —预测点的背景噪声值，dB。</w:t>
            </w:r>
          </w:p>
          <w:p w14:paraId="07094638">
            <w:pPr>
              <w:spacing w:line="360" w:lineRule="auto"/>
              <w:ind w:firstLine="480" w:firstLineChars="200"/>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点源在预测点的A声级LA（r）：</w:t>
            </w:r>
          </w:p>
          <w:p w14:paraId="4033D83F">
            <w:pPr>
              <w:pStyle w:val="2"/>
              <w:jc w:val="center"/>
              <w:rPr>
                <w:rFonts w:hint="eastAsia" w:ascii="Times New Roman" w:hAnsi="Times New Roman" w:eastAsia="宋体" w:cs="Times New Roman"/>
                <w:color w:val="auto"/>
                <w:sz w:val="24"/>
                <w:lang w:val="en-US" w:eastAsia="zh-CN"/>
              </w:rPr>
            </w:pPr>
            <w:r>
              <w:rPr>
                <w:color w:val="auto"/>
              </w:rPr>
              <w:drawing>
                <wp:inline distT="0" distB="0" distL="114300" distR="114300">
                  <wp:extent cx="2867025" cy="628650"/>
                  <wp:effectExtent l="0" t="0" r="9525" b="0"/>
                  <wp:docPr id="37"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8"/>
                          <pic:cNvPicPr>
                            <a:picLocks noChangeAspect="1"/>
                          </pic:cNvPicPr>
                        </pic:nvPicPr>
                        <pic:blipFill>
                          <a:blip r:embed="rId30"/>
                          <a:stretch>
                            <a:fillRect/>
                          </a:stretch>
                        </pic:blipFill>
                        <pic:spPr>
                          <a:xfrm>
                            <a:off x="0" y="0"/>
                            <a:ext cx="2867025" cy="628650"/>
                          </a:xfrm>
                          <a:prstGeom prst="rect">
                            <a:avLst/>
                          </a:prstGeom>
                          <a:noFill/>
                          <a:ln>
                            <a:noFill/>
                          </a:ln>
                        </pic:spPr>
                      </pic:pic>
                    </a:graphicData>
                  </a:graphic>
                </wp:inline>
              </w:drawing>
            </w:r>
          </w:p>
          <w:p w14:paraId="1F87750B">
            <w:pPr>
              <w:pStyle w:val="2"/>
              <w:ind w:left="0" w:leftChars="0" w:firstLine="480" w:firstLineChars="200"/>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 xml:space="preserve">式中：LA(r) ——距声源r处的A声级，dB(A)； </w:t>
            </w:r>
          </w:p>
          <w:p w14:paraId="57DE0ECA">
            <w:pPr>
              <w:pStyle w:val="2"/>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 xml:space="preserve">Lpi(r) ——预测点（r）处，第i倍频带声压级，dB； </w:t>
            </w:r>
          </w:p>
          <w:p w14:paraId="29E4B930">
            <w:pPr>
              <w:pStyle w:val="2"/>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ΔLi ——第i倍频带的A计权网络修正值，dB。</w:t>
            </w:r>
          </w:p>
          <w:p w14:paraId="58640920">
            <w:pPr>
              <w:pStyle w:val="2"/>
              <w:ind w:left="0" w:leftChars="0" w:firstLine="480" w:firstLineChars="200"/>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点声源的几何发散衰减：</w:t>
            </w:r>
          </w:p>
          <w:p w14:paraId="5FD8CA41">
            <w:pPr>
              <w:pStyle w:val="2"/>
              <w:jc w:val="center"/>
              <w:rPr>
                <w:rFonts w:hint="eastAsia" w:ascii="Times New Roman" w:hAnsi="Times New Roman" w:eastAsia="宋体" w:cs="Times New Roman"/>
                <w:color w:val="auto"/>
                <w:sz w:val="24"/>
                <w:lang w:val="en-US" w:eastAsia="zh-CN"/>
              </w:rPr>
            </w:pPr>
            <w:r>
              <w:rPr>
                <w:color w:val="auto"/>
              </w:rPr>
              <w:drawing>
                <wp:inline distT="0" distB="0" distL="114300" distR="114300">
                  <wp:extent cx="2466975" cy="438150"/>
                  <wp:effectExtent l="0" t="0" r="9525" b="0"/>
                  <wp:docPr id="38"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9"/>
                          <pic:cNvPicPr>
                            <a:picLocks noChangeAspect="1"/>
                          </pic:cNvPicPr>
                        </pic:nvPicPr>
                        <pic:blipFill>
                          <a:blip r:embed="rId31"/>
                          <a:stretch>
                            <a:fillRect/>
                          </a:stretch>
                        </pic:blipFill>
                        <pic:spPr>
                          <a:xfrm>
                            <a:off x="0" y="0"/>
                            <a:ext cx="2466975" cy="438150"/>
                          </a:xfrm>
                          <a:prstGeom prst="rect">
                            <a:avLst/>
                          </a:prstGeom>
                          <a:noFill/>
                          <a:ln>
                            <a:noFill/>
                          </a:ln>
                        </pic:spPr>
                      </pic:pic>
                    </a:graphicData>
                  </a:graphic>
                </wp:inline>
              </w:drawing>
            </w:r>
          </w:p>
          <w:p w14:paraId="175A83CD">
            <w:pPr>
              <w:pStyle w:val="2"/>
              <w:ind w:left="0" w:leftChars="0" w:firstLine="480" w:firstLineChars="200"/>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 xml:space="preserve">式中：Lp(r) ——预测点处声压级，dB； </w:t>
            </w:r>
          </w:p>
          <w:p w14:paraId="34C70C3E">
            <w:pPr>
              <w:pStyle w:val="2"/>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 xml:space="preserve">Lp(r0) ——参考位置r0处的声压级，dB； </w:t>
            </w:r>
          </w:p>
          <w:p w14:paraId="6BFAA30D">
            <w:pPr>
              <w:pStyle w:val="2"/>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 xml:space="preserve">r ——预测点距声源的距离； </w:t>
            </w:r>
          </w:p>
          <w:p w14:paraId="4130281D">
            <w:pPr>
              <w:pStyle w:val="2"/>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r0——参考位置距声源的距离。</w:t>
            </w:r>
          </w:p>
          <w:p w14:paraId="3FE3F3AF">
            <w:pPr>
              <w:pStyle w:val="2"/>
              <w:ind w:left="0" w:leftChars="0" w:firstLine="480" w:firstLineChars="200"/>
              <w:rPr>
                <w:rFonts w:hint="eastAsia" w:ascii="Times New Roman" w:hAnsi="Times New Roman" w:eastAsia="宋体" w:cs="Times New Roman"/>
                <w:color w:val="auto"/>
                <w:sz w:val="24"/>
                <w:lang w:val="en-US" w:eastAsia="zh-CN"/>
              </w:rPr>
            </w:pPr>
            <w:r>
              <w:rPr>
                <w:rFonts w:hint="eastAsia" w:cs="Times New Roman"/>
                <w:color w:val="auto"/>
                <w:sz w:val="24"/>
                <w:lang w:val="en-US" w:eastAsia="zh-CN"/>
              </w:rPr>
              <w:t>空气</w:t>
            </w:r>
            <w:r>
              <w:rPr>
                <w:rFonts w:hint="eastAsia" w:ascii="Times New Roman" w:hAnsi="Times New Roman" w:eastAsia="宋体" w:cs="Times New Roman"/>
                <w:color w:val="auto"/>
                <w:sz w:val="24"/>
                <w:lang w:val="en-US" w:eastAsia="zh-CN"/>
              </w:rPr>
              <w:t>吸收引起的衰减（Aatm）：</w:t>
            </w:r>
          </w:p>
          <w:p w14:paraId="59CF0E3A">
            <w:pPr>
              <w:pStyle w:val="2"/>
              <w:jc w:val="center"/>
              <w:rPr>
                <w:rFonts w:hint="eastAsia" w:ascii="Times New Roman" w:hAnsi="Times New Roman" w:eastAsia="宋体" w:cs="Times New Roman"/>
                <w:color w:val="auto"/>
                <w:sz w:val="24"/>
                <w:lang w:val="en-US" w:eastAsia="zh-CN"/>
              </w:rPr>
            </w:pPr>
            <w:r>
              <w:rPr>
                <w:color w:val="auto"/>
              </w:rPr>
              <w:drawing>
                <wp:inline distT="0" distB="0" distL="114300" distR="114300">
                  <wp:extent cx="2200275" cy="381000"/>
                  <wp:effectExtent l="0" t="0" r="9525" b="0"/>
                  <wp:docPr id="39"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10"/>
                          <pic:cNvPicPr>
                            <a:picLocks noChangeAspect="1"/>
                          </pic:cNvPicPr>
                        </pic:nvPicPr>
                        <pic:blipFill>
                          <a:blip r:embed="rId32"/>
                          <a:stretch>
                            <a:fillRect/>
                          </a:stretch>
                        </pic:blipFill>
                        <pic:spPr>
                          <a:xfrm>
                            <a:off x="0" y="0"/>
                            <a:ext cx="2200275" cy="381000"/>
                          </a:xfrm>
                          <a:prstGeom prst="rect">
                            <a:avLst/>
                          </a:prstGeom>
                          <a:noFill/>
                          <a:ln>
                            <a:noFill/>
                          </a:ln>
                        </pic:spPr>
                      </pic:pic>
                    </a:graphicData>
                  </a:graphic>
                </wp:inline>
              </w:drawing>
            </w:r>
          </w:p>
          <w:p w14:paraId="213D6359">
            <w:pPr>
              <w:pStyle w:val="2"/>
              <w:ind w:left="0" w:leftChars="0" w:firstLine="0" w:firstLineChars="0"/>
              <w:rPr>
                <w:rFonts w:hint="default" w:ascii="Times New Roman" w:hAnsi="Times New Roman" w:eastAsia="宋体" w:cs="Times New Roman"/>
                <w:color w:val="auto"/>
                <w:sz w:val="24"/>
                <w:lang w:val="en-US" w:eastAsia="zh-CN"/>
              </w:rPr>
            </w:pPr>
            <w:r>
              <w:rPr>
                <w:rFonts w:hint="eastAsia" w:cs="Times New Roman"/>
                <w:color w:val="auto"/>
                <w:sz w:val="24"/>
                <w:lang w:val="en-US" w:eastAsia="zh-CN"/>
              </w:rPr>
              <w:t xml:space="preserve">        地面效应衰减（Agr）：</w:t>
            </w:r>
          </w:p>
          <w:p w14:paraId="675F15DD">
            <w:pPr>
              <w:pStyle w:val="2"/>
              <w:jc w:val="center"/>
              <w:rPr>
                <w:rFonts w:hint="eastAsia" w:ascii="Times New Roman" w:hAnsi="Times New Roman" w:eastAsia="宋体" w:cs="Times New Roman"/>
                <w:color w:val="auto"/>
                <w:sz w:val="24"/>
                <w:lang w:val="en-US" w:eastAsia="zh-CN"/>
              </w:rPr>
            </w:pPr>
            <w:r>
              <w:rPr>
                <w:color w:val="auto"/>
              </w:rPr>
              <w:drawing>
                <wp:inline distT="0" distB="0" distL="114300" distR="114300">
                  <wp:extent cx="2667000" cy="685800"/>
                  <wp:effectExtent l="0" t="0" r="0" b="0"/>
                  <wp:docPr id="40"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1"/>
                          <pic:cNvPicPr>
                            <a:picLocks noChangeAspect="1"/>
                          </pic:cNvPicPr>
                        </pic:nvPicPr>
                        <pic:blipFill>
                          <a:blip r:embed="rId33"/>
                          <a:stretch>
                            <a:fillRect/>
                          </a:stretch>
                        </pic:blipFill>
                        <pic:spPr>
                          <a:xfrm>
                            <a:off x="0" y="0"/>
                            <a:ext cx="2667000" cy="685800"/>
                          </a:xfrm>
                          <a:prstGeom prst="rect">
                            <a:avLst/>
                          </a:prstGeom>
                          <a:noFill/>
                          <a:ln>
                            <a:noFill/>
                          </a:ln>
                        </pic:spPr>
                      </pic:pic>
                    </a:graphicData>
                  </a:graphic>
                </wp:inline>
              </w:drawing>
            </w:r>
          </w:p>
          <w:p w14:paraId="7F47D300">
            <w:pPr>
              <w:pStyle w:val="2"/>
              <w:ind w:left="0" w:leftChars="0" w:firstLine="480" w:firstLineChars="200"/>
              <w:rPr>
                <w:rFonts w:hint="eastAsia"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屏障引起的衰减（Abar）：</w:t>
            </w:r>
          </w:p>
          <w:p w14:paraId="517EC8C0">
            <w:pPr>
              <w:pStyle w:val="2"/>
              <w:rPr>
                <w:rFonts w:hint="eastAsia" w:ascii="Times New Roman" w:hAnsi="Times New Roman" w:eastAsia="宋体" w:cs="Times New Roman"/>
                <w:color w:val="auto"/>
                <w:sz w:val="24"/>
                <w:lang w:val="en-US" w:eastAsia="zh-CN"/>
              </w:rPr>
            </w:pPr>
            <w:r>
              <w:rPr>
                <w:color w:val="auto"/>
              </w:rPr>
              <w:drawing>
                <wp:inline distT="0" distB="0" distL="114300" distR="114300">
                  <wp:extent cx="4152900" cy="714375"/>
                  <wp:effectExtent l="0" t="0" r="0" b="9525"/>
                  <wp:docPr id="4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2"/>
                          <pic:cNvPicPr>
                            <a:picLocks noChangeAspect="1"/>
                          </pic:cNvPicPr>
                        </pic:nvPicPr>
                        <pic:blipFill>
                          <a:blip r:embed="rId34"/>
                          <a:stretch>
                            <a:fillRect/>
                          </a:stretch>
                        </pic:blipFill>
                        <pic:spPr>
                          <a:xfrm>
                            <a:off x="0" y="0"/>
                            <a:ext cx="4152900" cy="714375"/>
                          </a:xfrm>
                          <a:prstGeom prst="rect">
                            <a:avLst/>
                          </a:prstGeom>
                          <a:noFill/>
                          <a:ln>
                            <a:noFill/>
                          </a:ln>
                        </pic:spPr>
                      </pic:pic>
                    </a:graphicData>
                  </a:graphic>
                </wp:inline>
              </w:drawing>
            </w:r>
          </w:p>
          <w:p w14:paraId="4D1454A8">
            <w:pPr>
              <w:spacing w:line="360" w:lineRule="auto"/>
              <w:ind w:firstLine="480" w:firstLineChars="200"/>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lang w:val="en-US" w:eastAsia="zh-CN"/>
              </w:rPr>
              <w:t>噪声</w:t>
            </w:r>
            <w:r>
              <w:rPr>
                <w:rFonts w:hint="eastAsia" w:ascii="Times New Roman" w:hAnsi="Times New Roman" w:eastAsia="宋体" w:cs="Times New Roman"/>
                <w:color w:val="auto"/>
                <w:sz w:val="24"/>
              </w:rPr>
              <w:t>叠加</w:t>
            </w:r>
          </w:p>
          <w:p w14:paraId="37526E09">
            <w:pPr>
              <w:spacing w:line="360" w:lineRule="auto"/>
              <w:ind w:firstLine="480" w:firstLineChars="200"/>
              <w:jc w:val="center"/>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La=101g(∑10Li+100.1Lb)</w:t>
            </w:r>
          </w:p>
          <w:p w14:paraId="5CD3EFA1">
            <w:pPr>
              <w:spacing w:line="360" w:lineRule="auto"/>
              <w:ind w:firstLine="480" w:firstLineChars="200"/>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式中：La—测点总的A声级，dB（A）</w:t>
            </w:r>
          </w:p>
          <w:p w14:paraId="576D9566">
            <w:pPr>
              <w:spacing w:line="360" w:lineRule="auto"/>
              <w:ind w:firstLine="480" w:firstLineChars="200"/>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Li—第i个声源到预测点的声压级，dB（A）；</w:t>
            </w:r>
          </w:p>
          <w:p w14:paraId="5283212C">
            <w:pPr>
              <w:spacing w:line="360" w:lineRule="auto"/>
              <w:ind w:firstLine="480" w:firstLineChars="200"/>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Lb―环境噪声本底值；</w:t>
            </w:r>
          </w:p>
          <w:p w14:paraId="45880E90">
            <w:pPr>
              <w:spacing w:line="360" w:lineRule="auto"/>
              <w:ind w:firstLine="480" w:firstLineChars="200"/>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n―声源个数。</w:t>
            </w:r>
          </w:p>
          <w:p w14:paraId="3B2FBD6B">
            <w:pPr>
              <w:spacing w:line="360" w:lineRule="auto"/>
              <w:ind w:firstLine="480" w:firstLineChars="200"/>
              <w:rPr>
                <w:color w:val="auto"/>
                <w:sz w:val="24"/>
              </w:rPr>
            </w:pPr>
            <w:r>
              <w:rPr>
                <w:rFonts w:hint="eastAsia"/>
                <w:color w:val="auto"/>
                <w:sz w:val="24"/>
                <w:lang w:eastAsia="zh-CN"/>
              </w:rPr>
              <w:t>（</w:t>
            </w:r>
            <w:r>
              <w:rPr>
                <w:rFonts w:hint="eastAsia"/>
                <w:color w:val="auto"/>
                <w:sz w:val="24"/>
                <w:lang w:val="en-US" w:eastAsia="zh-CN"/>
              </w:rPr>
              <w:t>3</w:t>
            </w:r>
            <w:r>
              <w:rPr>
                <w:rFonts w:hint="eastAsia"/>
                <w:color w:val="auto"/>
                <w:sz w:val="24"/>
                <w:lang w:eastAsia="zh-CN"/>
              </w:rPr>
              <w:t>）</w:t>
            </w:r>
            <w:r>
              <w:rPr>
                <w:color w:val="auto"/>
                <w:sz w:val="24"/>
              </w:rPr>
              <w:t>预测结果及评价</w:t>
            </w:r>
          </w:p>
          <w:p w14:paraId="4A723046">
            <w:pPr>
              <w:spacing w:line="360" w:lineRule="auto"/>
              <w:ind w:firstLine="480" w:firstLineChars="200"/>
              <w:rPr>
                <w:color w:val="auto"/>
                <w:sz w:val="24"/>
              </w:rPr>
            </w:pPr>
            <w:r>
              <w:rPr>
                <w:color w:val="auto"/>
                <w:sz w:val="24"/>
              </w:rPr>
              <w:t>厂界噪声预测点根据各噪声源布置情况。项目昼间噪声值为各机械设备</w:t>
            </w:r>
            <w:r>
              <w:rPr>
                <w:rFonts w:hint="eastAsia"/>
                <w:color w:val="auto"/>
                <w:sz w:val="24"/>
                <w:lang w:val="en-US" w:eastAsia="zh-CN"/>
              </w:rPr>
              <w:t>噪声</w:t>
            </w:r>
            <w:r>
              <w:rPr>
                <w:color w:val="auto"/>
                <w:sz w:val="24"/>
              </w:rPr>
              <w:t>，夜间</w:t>
            </w:r>
            <w:r>
              <w:rPr>
                <w:rFonts w:hint="eastAsia"/>
                <w:color w:val="auto"/>
                <w:sz w:val="24"/>
                <w:lang w:val="en-US" w:eastAsia="zh-CN"/>
              </w:rPr>
              <w:t>不进行生产</w:t>
            </w:r>
            <w:r>
              <w:rPr>
                <w:color w:val="auto"/>
                <w:sz w:val="24"/>
              </w:rPr>
              <w:t>。各</w:t>
            </w:r>
            <w:r>
              <w:rPr>
                <w:rFonts w:hint="eastAsia"/>
                <w:color w:val="auto"/>
                <w:sz w:val="24"/>
                <w:lang w:eastAsia="zh-CN"/>
              </w:rPr>
              <w:t>噪声源</w:t>
            </w:r>
            <w:r>
              <w:rPr>
                <w:color w:val="auto"/>
                <w:sz w:val="24"/>
              </w:rPr>
              <w:t>预测点贡献值见下表。</w:t>
            </w:r>
          </w:p>
          <w:p w14:paraId="1E10D174">
            <w:pPr>
              <w:pStyle w:val="174"/>
              <w:ind w:firstLine="0" w:firstLineChars="0"/>
              <w:jc w:val="center"/>
              <w:rPr>
                <w:rFonts w:eastAsia="宋体"/>
                <w:b/>
                <w:bCs w:val="0"/>
                <w:color w:val="auto"/>
                <w:sz w:val="21"/>
                <w:szCs w:val="21"/>
                <w:lang w:val="zh-CN"/>
              </w:rPr>
            </w:pPr>
            <w:r>
              <w:rPr>
                <w:rFonts w:eastAsia="宋体"/>
                <w:b/>
                <w:bCs w:val="0"/>
                <w:color w:val="auto"/>
                <w:sz w:val="21"/>
                <w:szCs w:val="21"/>
              </w:rPr>
              <w:t>表</w:t>
            </w:r>
            <w:r>
              <w:rPr>
                <w:rFonts w:hint="eastAsia" w:eastAsia="宋体"/>
                <w:b/>
                <w:bCs w:val="0"/>
                <w:color w:val="auto"/>
                <w:sz w:val="21"/>
                <w:szCs w:val="21"/>
              </w:rPr>
              <w:t>4-1</w:t>
            </w:r>
            <w:r>
              <w:rPr>
                <w:rFonts w:hint="eastAsia" w:eastAsia="宋体"/>
                <w:b/>
                <w:bCs w:val="0"/>
                <w:color w:val="auto"/>
                <w:sz w:val="21"/>
                <w:szCs w:val="21"/>
                <w:lang w:val="en-US" w:eastAsia="zh-CN"/>
              </w:rPr>
              <w:t>1</w:t>
            </w:r>
            <w:r>
              <w:rPr>
                <w:rFonts w:eastAsia="宋体"/>
                <w:b/>
                <w:bCs w:val="0"/>
                <w:color w:val="auto"/>
                <w:sz w:val="21"/>
                <w:szCs w:val="21"/>
              </w:rPr>
              <w:t xml:space="preserve">   厂界及敏感点噪声预测结果  单位：dB(A)</w:t>
            </w:r>
          </w:p>
          <w:tbl>
            <w:tblPr>
              <w:tblStyle w:val="3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090"/>
              <w:gridCol w:w="1090"/>
              <w:gridCol w:w="682"/>
              <w:gridCol w:w="1573"/>
              <w:gridCol w:w="2375"/>
            </w:tblGrid>
            <w:tr w14:paraId="7A4C6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62" w:type="pct"/>
                  <w:tcBorders>
                    <w:tl2br w:val="nil"/>
                    <w:tr2bl w:val="nil"/>
                  </w:tcBorders>
                  <w:vAlign w:val="center"/>
                </w:tcPr>
                <w:p w14:paraId="1A60F745">
                  <w:pPr>
                    <w:pStyle w:val="169"/>
                    <w:rPr>
                      <w:b/>
                      <w:bCs/>
                      <w:color w:val="auto"/>
                    </w:rPr>
                  </w:pPr>
                  <w:r>
                    <w:rPr>
                      <w:b/>
                      <w:bCs/>
                      <w:color w:val="auto"/>
                    </w:rPr>
                    <w:t>厂界位置</w:t>
                  </w:r>
                </w:p>
              </w:tc>
              <w:tc>
                <w:tcPr>
                  <w:tcW w:w="678" w:type="pct"/>
                  <w:tcBorders>
                    <w:tl2br w:val="nil"/>
                    <w:tr2bl w:val="nil"/>
                  </w:tcBorders>
                  <w:vAlign w:val="center"/>
                </w:tcPr>
                <w:p w14:paraId="2E890A40">
                  <w:pPr>
                    <w:pStyle w:val="169"/>
                    <w:rPr>
                      <w:b/>
                      <w:bCs/>
                      <w:color w:val="auto"/>
                    </w:rPr>
                  </w:pPr>
                  <w:r>
                    <w:rPr>
                      <w:b/>
                      <w:bCs/>
                      <w:color w:val="auto"/>
                    </w:rPr>
                    <w:t>贡献值（昼间）</w:t>
                  </w:r>
                </w:p>
              </w:tc>
              <w:tc>
                <w:tcPr>
                  <w:tcW w:w="678" w:type="pct"/>
                  <w:tcBorders>
                    <w:tl2br w:val="nil"/>
                    <w:tr2bl w:val="nil"/>
                  </w:tcBorders>
                  <w:vAlign w:val="center"/>
                </w:tcPr>
                <w:p w14:paraId="5485BCC7">
                  <w:pPr>
                    <w:pStyle w:val="169"/>
                    <w:rPr>
                      <w:b/>
                      <w:bCs/>
                      <w:color w:val="auto"/>
                    </w:rPr>
                  </w:pPr>
                  <w:r>
                    <w:rPr>
                      <w:b/>
                      <w:bCs/>
                      <w:color w:val="auto"/>
                    </w:rPr>
                    <w:t>贡献值（夜间）</w:t>
                  </w:r>
                </w:p>
              </w:tc>
              <w:tc>
                <w:tcPr>
                  <w:tcW w:w="424" w:type="pct"/>
                  <w:tcBorders>
                    <w:tl2br w:val="nil"/>
                    <w:tr2bl w:val="nil"/>
                  </w:tcBorders>
                  <w:vAlign w:val="center"/>
                </w:tcPr>
                <w:p w14:paraId="5068A99D">
                  <w:pPr>
                    <w:pStyle w:val="169"/>
                    <w:rPr>
                      <w:b/>
                      <w:bCs/>
                      <w:color w:val="auto"/>
                    </w:rPr>
                  </w:pPr>
                  <w:r>
                    <w:rPr>
                      <w:b/>
                      <w:bCs/>
                      <w:color w:val="auto"/>
                    </w:rPr>
                    <w:t>达标情况</w:t>
                  </w:r>
                </w:p>
              </w:tc>
              <w:tc>
                <w:tcPr>
                  <w:tcW w:w="978" w:type="pct"/>
                  <w:tcBorders>
                    <w:tl2br w:val="nil"/>
                    <w:tr2bl w:val="nil"/>
                  </w:tcBorders>
                  <w:vAlign w:val="center"/>
                </w:tcPr>
                <w:p w14:paraId="30BB0DB6">
                  <w:pPr>
                    <w:pStyle w:val="169"/>
                    <w:rPr>
                      <w:b/>
                      <w:bCs/>
                      <w:color w:val="auto"/>
                    </w:rPr>
                  </w:pPr>
                  <w:r>
                    <w:rPr>
                      <w:b/>
                      <w:bCs/>
                      <w:color w:val="auto"/>
                    </w:rPr>
                    <w:t>标准限值</w:t>
                  </w:r>
                </w:p>
              </w:tc>
              <w:tc>
                <w:tcPr>
                  <w:tcW w:w="1477" w:type="pct"/>
                  <w:tcBorders>
                    <w:tl2br w:val="nil"/>
                    <w:tr2bl w:val="nil"/>
                  </w:tcBorders>
                  <w:vAlign w:val="center"/>
                </w:tcPr>
                <w:p w14:paraId="7D1B1A5A">
                  <w:pPr>
                    <w:pStyle w:val="169"/>
                    <w:rPr>
                      <w:b/>
                      <w:bCs/>
                      <w:color w:val="auto"/>
                    </w:rPr>
                  </w:pPr>
                  <w:r>
                    <w:rPr>
                      <w:b/>
                      <w:bCs/>
                      <w:color w:val="auto"/>
                    </w:rPr>
                    <w:t>执行标准</w:t>
                  </w:r>
                </w:p>
              </w:tc>
            </w:tr>
            <w:tr w14:paraId="6BD30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62" w:type="pct"/>
                  <w:tcBorders>
                    <w:tl2br w:val="nil"/>
                    <w:tr2bl w:val="nil"/>
                  </w:tcBorders>
                  <w:vAlign w:val="center"/>
                </w:tcPr>
                <w:p w14:paraId="110E4833">
                  <w:pPr>
                    <w:pStyle w:val="169"/>
                    <w:rPr>
                      <w:color w:val="auto"/>
                    </w:rPr>
                  </w:pPr>
                  <w:r>
                    <w:rPr>
                      <w:color w:val="auto"/>
                    </w:rPr>
                    <w:t>东厂界</w:t>
                  </w:r>
                </w:p>
              </w:tc>
              <w:tc>
                <w:tcPr>
                  <w:tcW w:w="678" w:type="pct"/>
                  <w:tcBorders>
                    <w:tl2br w:val="nil"/>
                    <w:tr2bl w:val="nil"/>
                  </w:tcBorders>
                  <w:vAlign w:val="center"/>
                </w:tcPr>
                <w:p w14:paraId="4F9EC52C">
                  <w:pPr>
                    <w:pStyle w:val="169"/>
                    <w:rPr>
                      <w:color w:val="auto"/>
                    </w:rPr>
                  </w:pPr>
                  <w:r>
                    <w:rPr>
                      <w:rFonts w:hint="eastAsia"/>
                      <w:color w:val="auto"/>
                    </w:rPr>
                    <w:t>49.1</w:t>
                  </w:r>
                </w:p>
              </w:tc>
              <w:tc>
                <w:tcPr>
                  <w:tcW w:w="678" w:type="pct"/>
                  <w:tcBorders>
                    <w:tl2br w:val="nil"/>
                    <w:tr2bl w:val="nil"/>
                  </w:tcBorders>
                  <w:vAlign w:val="center"/>
                </w:tcPr>
                <w:p w14:paraId="4F3DE67D">
                  <w:pPr>
                    <w:pStyle w:val="169"/>
                    <w:rPr>
                      <w:color w:val="auto"/>
                    </w:rPr>
                  </w:pPr>
                  <w:r>
                    <w:rPr>
                      <w:rFonts w:hint="eastAsia"/>
                      <w:color w:val="auto"/>
                    </w:rPr>
                    <w:t>4</w:t>
                  </w:r>
                  <w:r>
                    <w:rPr>
                      <w:rFonts w:hint="eastAsia"/>
                      <w:color w:val="auto"/>
                      <w:lang w:val="en-US" w:eastAsia="zh-CN"/>
                    </w:rPr>
                    <w:t>2</w:t>
                  </w:r>
                  <w:r>
                    <w:rPr>
                      <w:rFonts w:hint="eastAsia"/>
                      <w:color w:val="auto"/>
                    </w:rPr>
                    <w:t>.9</w:t>
                  </w:r>
                </w:p>
              </w:tc>
              <w:tc>
                <w:tcPr>
                  <w:tcW w:w="424" w:type="pct"/>
                  <w:tcBorders>
                    <w:tl2br w:val="nil"/>
                    <w:tr2bl w:val="nil"/>
                  </w:tcBorders>
                  <w:vAlign w:val="center"/>
                </w:tcPr>
                <w:p w14:paraId="4D665E4F">
                  <w:pPr>
                    <w:pStyle w:val="169"/>
                    <w:rPr>
                      <w:color w:val="auto"/>
                    </w:rPr>
                  </w:pPr>
                  <w:r>
                    <w:rPr>
                      <w:color w:val="auto"/>
                    </w:rPr>
                    <w:t>达标</w:t>
                  </w:r>
                </w:p>
              </w:tc>
              <w:tc>
                <w:tcPr>
                  <w:tcW w:w="978" w:type="pct"/>
                  <w:vMerge w:val="restart"/>
                  <w:tcBorders>
                    <w:tl2br w:val="nil"/>
                    <w:tr2bl w:val="nil"/>
                  </w:tcBorders>
                  <w:vAlign w:val="center"/>
                </w:tcPr>
                <w:p w14:paraId="7B1104BA">
                  <w:pPr>
                    <w:pStyle w:val="169"/>
                    <w:rPr>
                      <w:color w:val="auto"/>
                    </w:rPr>
                  </w:pPr>
                  <w:r>
                    <w:rPr>
                      <w:color w:val="auto"/>
                    </w:rPr>
                    <w:t>昼间≤65，夜间≤55</w:t>
                  </w:r>
                </w:p>
              </w:tc>
              <w:tc>
                <w:tcPr>
                  <w:tcW w:w="1477" w:type="pct"/>
                  <w:vMerge w:val="restart"/>
                  <w:tcBorders>
                    <w:tl2br w:val="nil"/>
                    <w:tr2bl w:val="nil"/>
                  </w:tcBorders>
                  <w:vAlign w:val="center"/>
                </w:tcPr>
                <w:p w14:paraId="0BF48F80">
                  <w:pPr>
                    <w:pStyle w:val="169"/>
                    <w:rPr>
                      <w:color w:val="auto"/>
                    </w:rPr>
                  </w:pPr>
                  <w:r>
                    <w:rPr>
                      <w:color w:val="auto"/>
                    </w:rPr>
                    <w:t>《工业企业厂界环境噪声排放标准》的3类标准</w:t>
                  </w:r>
                </w:p>
              </w:tc>
            </w:tr>
            <w:tr w14:paraId="61198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62" w:type="pct"/>
                  <w:tcBorders>
                    <w:tl2br w:val="nil"/>
                    <w:tr2bl w:val="nil"/>
                  </w:tcBorders>
                  <w:vAlign w:val="center"/>
                </w:tcPr>
                <w:p w14:paraId="0D9EFE6F">
                  <w:pPr>
                    <w:pStyle w:val="169"/>
                    <w:rPr>
                      <w:color w:val="auto"/>
                    </w:rPr>
                  </w:pPr>
                  <w:r>
                    <w:rPr>
                      <w:color w:val="auto"/>
                    </w:rPr>
                    <w:t>南厂界</w:t>
                  </w:r>
                </w:p>
              </w:tc>
              <w:tc>
                <w:tcPr>
                  <w:tcW w:w="678" w:type="pct"/>
                  <w:tcBorders>
                    <w:tl2br w:val="nil"/>
                    <w:tr2bl w:val="nil"/>
                  </w:tcBorders>
                  <w:vAlign w:val="center"/>
                </w:tcPr>
                <w:p w14:paraId="5BA4DED1">
                  <w:pPr>
                    <w:pStyle w:val="169"/>
                    <w:rPr>
                      <w:color w:val="auto"/>
                    </w:rPr>
                  </w:pPr>
                  <w:r>
                    <w:rPr>
                      <w:rFonts w:hint="eastAsia"/>
                      <w:color w:val="auto"/>
                    </w:rPr>
                    <w:t>43.2</w:t>
                  </w:r>
                </w:p>
              </w:tc>
              <w:tc>
                <w:tcPr>
                  <w:tcW w:w="678" w:type="pct"/>
                  <w:tcBorders>
                    <w:tl2br w:val="nil"/>
                    <w:tr2bl w:val="nil"/>
                  </w:tcBorders>
                  <w:vAlign w:val="center"/>
                </w:tcPr>
                <w:p w14:paraId="58E15AA6">
                  <w:pPr>
                    <w:pStyle w:val="169"/>
                    <w:rPr>
                      <w:color w:val="auto"/>
                    </w:rPr>
                  </w:pPr>
                  <w:r>
                    <w:rPr>
                      <w:rFonts w:hint="eastAsia"/>
                      <w:color w:val="auto"/>
                    </w:rPr>
                    <w:t>42.5</w:t>
                  </w:r>
                </w:p>
              </w:tc>
              <w:tc>
                <w:tcPr>
                  <w:tcW w:w="424" w:type="pct"/>
                  <w:tcBorders>
                    <w:tl2br w:val="nil"/>
                    <w:tr2bl w:val="nil"/>
                  </w:tcBorders>
                  <w:vAlign w:val="center"/>
                </w:tcPr>
                <w:p w14:paraId="04E8BE3C">
                  <w:pPr>
                    <w:pStyle w:val="169"/>
                    <w:rPr>
                      <w:color w:val="auto"/>
                    </w:rPr>
                  </w:pPr>
                  <w:r>
                    <w:rPr>
                      <w:color w:val="auto"/>
                    </w:rPr>
                    <w:t>达标</w:t>
                  </w:r>
                </w:p>
              </w:tc>
              <w:tc>
                <w:tcPr>
                  <w:tcW w:w="978" w:type="pct"/>
                  <w:vMerge w:val="continue"/>
                  <w:tcBorders>
                    <w:tl2br w:val="nil"/>
                    <w:tr2bl w:val="nil"/>
                  </w:tcBorders>
                  <w:vAlign w:val="center"/>
                </w:tcPr>
                <w:p w14:paraId="1BD1AF3A">
                  <w:pPr>
                    <w:pStyle w:val="169"/>
                    <w:rPr>
                      <w:color w:val="auto"/>
                    </w:rPr>
                  </w:pPr>
                </w:p>
              </w:tc>
              <w:tc>
                <w:tcPr>
                  <w:tcW w:w="1477" w:type="pct"/>
                  <w:vMerge w:val="continue"/>
                  <w:tcBorders>
                    <w:tl2br w:val="nil"/>
                    <w:tr2bl w:val="nil"/>
                  </w:tcBorders>
                  <w:vAlign w:val="center"/>
                </w:tcPr>
                <w:p w14:paraId="5A001428">
                  <w:pPr>
                    <w:pStyle w:val="169"/>
                    <w:rPr>
                      <w:color w:val="auto"/>
                    </w:rPr>
                  </w:pPr>
                </w:p>
              </w:tc>
            </w:tr>
            <w:tr w14:paraId="77B0A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4" w:hRule="atLeast"/>
                <w:jc w:val="center"/>
              </w:trPr>
              <w:tc>
                <w:tcPr>
                  <w:tcW w:w="762" w:type="pct"/>
                  <w:tcBorders>
                    <w:tl2br w:val="nil"/>
                    <w:tr2bl w:val="nil"/>
                  </w:tcBorders>
                  <w:vAlign w:val="center"/>
                </w:tcPr>
                <w:p w14:paraId="5434D497">
                  <w:pPr>
                    <w:pStyle w:val="169"/>
                    <w:rPr>
                      <w:color w:val="auto"/>
                    </w:rPr>
                  </w:pPr>
                  <w:r>
                    <w:rPr>
                      <w:color w:val="auto"/>
                    </w:rPr>
                    <w:t>西厂界</w:t>
                  </w:r>
                </w:p>
              </w:tc>
              <w:tc>
                <w:tcPr>
                  <w:tcW w:w="678" w:type="pct"/>
                  <w:tcBorders>
                    <w:tl2br w:val="nil"/>
                    <w:tr2bl w:val="nil"/>
                  </w:tcBorders>
                  <w:vAlign w:val="center"/>
                </w:tcPr>
                <w:p w14:paraId="75DD4CF4">
                  <w:pPr>
                    <w:pStyle w:val="169"/>
                    <w:rPr>
                      <w:color w:val="auto"/>
                    </w:rPr>
                  </w:pPr>
                  <w:r>
                    <w:rPr>
                      <w:color w:val="auto"/>
                    </w:rPr>
                    <w:t>47.</w:t>
                  </w:r>
                  <w:r>
                    <w:rPr>
                      <w:rFonts w:hint="eastAsia"/>
                      <w:color w:val="auto"/>
                    </w:rPr>
                    <w:t>6</w:t>
                  </w:r>
                </w:p>
              </w:tc>
              <w:tc>
                <w:tcPr>
                  <w:tcW w:w="678" w:type="pct"/>
                  <w:tcBorders>
                    <w:tl2br w:val="nil"/>
                    <w:tr2bl w:val="nil"/>
                  </w:tcBorders>
                  <w:vAlign w:val="center"/>
                </w:tcPr>
                <w:p w14:paraId="2E46D25A">
                  <w:pPr>
                    <w:pStyle w:val="169"/>
                    <w:rPr>
                      <w:color w:val="auto"/>
                    </w:rPr>
                  </w:pPr>
                  <w:r>
                    <w:rPr>
                      <w:color w:val="auto"/>
                    </w:rPr>
                    <w:t>4</w:t>
                  </w:r>
                  <w:r>
                    <w:rPr>
                      <w:rFonts w:hint="eastAsia"/>
                      <w:color w:val="auto"/>
                      <w:lang w:val="en-US" w:eastAsia="zh-CN"/>
                    </w:rPr>
                    <w:t>3</w:t>
                  </w:r>
                  <w:r>
                    <w:rPr>
                      <w:color w:val="auto"/>
                    </w:rPr>
                    <w:t>.</w:t>
                  </w:r>
                  <w:r>
                    <w:rPr>
                      <w:rFonts w:hint="eastAsia"/>
                      <w:color w:val="auto"/>
                    </w:rPr>
                    <w:t>2</w:t>
                  </w:r>
                </w:p>
              </w:tc>
              <w:tc>
                <w:tcPr>
                  <w:tcW w:w="424" w:type="pct"/>
                  <w:tcBorders>
                    <w:tl2br w:val="nil"/>
                    <w:tr2bl w:val="nil"/>
                  </w:tcBorders>
                  <w:vAlign w:val="center"/>
                </w:tcPr>
                <w:p w14:paraId="39A485F8">
                  <w:pPr>
                    <w:pStyle w:val="169"/>
                    <w:rPr>
                      <w:color w:val="auto"/>
                    </w:rPr>
                  </w:pPr>
                  <w:r>
                    <w:rPr>
                      <w:color w:val="auto"/>
                    </w:rPr>
                    <w:t>达标</w:t>
                  </w:r>
                </w:p>
              </w:tc>
              <w:tc>
                <w:tcPr>
                  <w:tcW w:w="978" w:type="pct"/>
                  <w:vMerge w:val="continue"/>
                  <w:tcBorders>
                    <w:tl2br w:val="nil"/>
                    <w:tr2bl w:val="nil"/>
                  </w:tcBorders>
                  <w:vAlign w:val="center"/>
                </w:tcPr>
                <w:p w14:paraId="0ED919DC">
                  <w:pPr>
                    <w:pStyle w:val="169"/>
                    <w:rPr>
                      <w:color w:val="auto"/>
                    </w:rPr>
                  </w:pPr>
                </w:p>
              </w:tc>
              <w:tc>
                <w:tcPr>
                  <w:tcW w:w="1477" w:type="pct"/>
                  <w:vMerge w:val="continue"/>
                  <w:tcBorders>
                    <w:tl2br w:val="nil"/>
                    <w:tr2bl w:val="nil"/>
                  </w:tcBorders>
                  <w:vAlign w:val="center"/>
                </w:tcPr>
                <w:p w14:paraId="73B3CB4D">
                  <w:pPr>
                    <w:pStyle w:val="169"/>
                    <w:rPr>
                      <w:color w:val="auto"/>
                    </w:rPr>
                  </w:pPr>
                </w:p>
              </w:tc>
            </w:tr>
            <w:tr w14:paraId="108BA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4" w:hRule="atLeast"/>
                <w:jc w:val="center"/>
              </w:trPr>
              <w:tc>
                <w:tcPr>
                  <w:tcW w:w="762" w:type="pct"/>
                  <w:tcBorders>
                    <w:tl2br w:val="nil"/>
                    <w:tr2bl w:val="nil"/>
                  </w:tcBorders>
                  <w:vAlign w:val="center"/>
                </w:tcPr>
                <w:p w14:paraId="54D133CB">
                  <w:pPr>
                    <w:pStyle w:val="169"/>
                    <w:rPr>
                      <w:color w:val="auto"/>
                    </w:rPr>
                  </w:pPr>
                  <w:r>
                    <w:rPr>
                      <w:color w:val="auto"/>
                    </w:rPr>
                    <w:t>北厂界</w:t>
                  </w:r>
                </w:p>
              </w:tc>
              <w:tc>
                <w:tcPr>
                  <w:tcW w:w="678" w:type="pct"/>
                  <w:tcBorders>
                    <w:tl2br w:val="nil"/>
                    <w:tr2bl w:val="nil"/>
                  </w:tcBorders>
                  <w:vAlign w:val="center"/>
                </w:tcPr>
                <w:p w14:paraId="03194A49">
                  <w:pPr>
                    <w:pStyle w:val="169"/>
                    <w:rPr>
                      <w:rFonts w:hint="eastAsia" w:eastAsia="宋体"/>
                      <w:color w:val="auto"/>
                      <w:lang w:eastAsia="zh-CN"/>
                    </w:rPr>
                  </w:pPr>
                  <w:r>
                    <w:rPr>
                      <w:color w:val="auto"/>
                    </w:rPr>
                    <w:t>4</w:t>
                  </w:r>
                  <w:r>
                    <w:rPr>
                      <w:rFonts w:hint="eastAsia"/>
                      <w:color w:val="auto"/>
                      <w:lang w:val="en-US" w:eastAsia="zh-CN"/>
                    </w:rPr>
                    <w:t>4</w:t>
                  </w:r>
                  <w:r>
                    <w:rPr>
                      <w:color w:val="auto"/>
                    </w:rPr>
                    <w:t>.</w:t>
                  </w:r>
                  <w:r>
                    <w:rPr>
                      <w:rFonts w:hint="eastAsia"/>
                      <w:color w:val="auto"/>
                      <w:lang w:val="en-US" w:eastAsia="zh-CN"/>
                    </w:rPr>
                    <w:t>5</w:t>
                  </w:r>
                </w:p>
              </w:tc>
              <w:tc>
                <w:tcPr>
                  <w:tcW w:w="678" w:type="pct"/>
                  <w:tcBorders>
                    <w:tl2br w:val="nil"/>
                    <w:tr2bl w:val="nil"/>
                  </w:tcBorders>
                  <w:vAlign w:val="center"/>
                </w:tcPr>
                <w:p w14:paraId="3B15646E">
                  <w:pPr>
                    <w:pStyle w:val="169"/>
                    <w:rPr>
                      <w:rFonts w:hint="eastAsia" w:eastAsia="宋体"/>
                      <w:color w:val="auto"/>
                      <w:lang w:val="en-US" w:eastAsia="zh-CN"/>
                    </w:rPr>
                  </w:pPr>
                  <w:r>
                    <w:rPr>
                      <w:color w:val="auto"/>
                    </w:rPr>
                    <w:t>4</w:t>
                  </w:r>
                  <w:r>
                    <w:rPr>
                      <w:rFonts w:hint="eastAsia"/>
                      <w:color w:val="auto"/>
                      <w:lang w:val="en-US" w:eastAsia="zh-CN"/>
                    </w:rPr>
                    <w:t>3</w:t>
                  </w:r>
                  <w:r>
                    <w:rPr>
                      <w:rFonts w:hint="eastAsia"/>
                      <w:color w:val="auto"/>
                    </w:rPr>
                    <w:t>.</w:t>
                  </w:r>
                  <w:r>
                    <w:rPr>
                      <w:rFonts w:hint="eastAsia"/>
                      <w:color w:val="auto"/>
                      <w:lang w:val="en-US" w:eastAsia="zh-CN"/>
                    </w:rPr>
                    <w:t>9</w:t>
                  </w:r>
                </w:p>
              </w:tc>
              <w:tc>
                <w:tcPr>
                  <w:tcW w:w="424" w:type="pct"/>
                  <w:tcBorders>
                    <w:tl2br w:val="nil"/>
                    <w:tr2bl w:val="nil"/>
                  </w:tcBorders>
                  <w:vAlign w:val="center"/>
                </w:tcPr>
                <w:p w14:paraId="686EDEF4">
                  <w:pPr>
                    <w:pStyle w:val="169"/>
                    <w:rPr>
                      <w:color w:val="auto"/>
                    </w:rPr>
                  </w:pPr>
                  <w:r>
                    <w:rPr>
                      <w:color w:val="auto"/>
                    </w:rPr>
                    <w:t>达标</w:t>
                  </w:r>
                </w:p>
              </w:tc>
              <w:tc>
                <w:tcPr>
                  <w:tcW w:w="978" w:type="pct"/>
                  <w:vMerge w:val="continue"/>
                  <w:tcBorders>
                    <w:tl2br w:val="nil"/>
                    <w:tr2bl w:val="nil"/>
                  </w:tcBorders>
                  <w:vAlign w:val="center"/>
                </w:tcPr>
                <w:p w14:paraId="5B5BFE97">
                  <w:pPr>
                    <w:pStyle w:val="169"/>
                    <w:rPr>
                      <w:color w:val="auto"/>
                    </w:rPr>
                  </w:pPr>
                </w:p>
              </w:tc>
              <w:tc>
                <w:tcPr>
                  <w:tcW w:w="1477" w:type="pct"/>
                  <w:vMerge w:val="continue"/>
                  <w:tcBorders>
                    <w:tl2br w:val="nil"/>
                    <w:tr2bl w:val="nil"/>
                  </w:tcBorders>
                  <w:vAlign w:val="center"/>
                </w:tcPr>
                <w:p w14:paraId="5A322711">
                  <w:pPr>
                    <w:pStyle w:val="169"/>
                    <w:rPr>
                      <w:color w:val="auto"/>
                    </w:rPr>
                  </w:pPr>
                </w:p>
              </w:tc>
            </w:tr>
          </w:tbl>
          <w:p w14:paraId="0110B9DA">
            <w:pPr>
              <w:spacing w:line="360" w:lineRule="auto"/>
              <w:ind w:firstLine="480" w:firstLineChars="200"/>
              <w:rPr>
                <w:color w:val="auto"/>
                <w:sz w:val="24"/>
              </w:rPr>
            </w:pPr>
            <w:r>
              <w:rPr>
                <w:color w:val="auto"/>
                <w:sz w:val="24"/>
              </w:rPr>
              <w:t>根据上表预测可知，项目厂界四周噪声均能达到（GB12348-2008）《工业企业厂界环境噪声排放标准》的3类标准（昼间≤65dB(A)，夜间≤55dB(A)）。</w:t>
            </w:r>
          </w:p>
          <w:p w14:paraId="77EE29DE">
            <w:pPr>
              <w:spacing w:line="360" w:lineRule="auto"/>
              <w:ind w:firstLine="480" w:firstLineChars="200"/>
              <w:rPr>
                <w:color w:val="auto"/>
                <w:sz w:val="24"/>
              </w:rPr>
            </w:pPr>
            <w:r>
              <w:rPr>
                <w:color w:val="auto"/>
                <w:sz w:val="24"/>
              </w:rPr>
              <w:t>本项目建成后设备噪声通过设备及时维护、基础减震，距离降噪、构筑物隔声后可降低设备噪声值。根据预测结果，项目厂界四周噪声预测值满足《工业企业厂界环境噪声排放标准》（GB12348-2008）中3类标准限值</w:t>
            </w:r>
            <w:r>
              <w:rPr>
                <w:rFonts w:hint="eastAsia"/>
                <w:color w:val="auto"/>
                <w:sz w:val="24"/>
              </w:rPr>
              <w:t>，</w:t>
            </w:r>
            <w:r>
              <w:rPr>
                <w:color w:val="auto"/>
                <w:sz w:val="24"/>
              </w:rPr>
              <w:t>项目噪声达标排放，不会改变现有的声环境功能区，故本项目的噪声对环境保护目标影响较小。</w:t>
            </w:r>
          </w:p>
          <w:p w14:paraId="154D6DFA">
            <w:pPr>
              <w:pStyle w:val="5"/>
              <w:spacing w:before="0" w:after="0" w:line="360" w:lineRule="auto"/>
              <w:jc w:val="left"/>
              <w:rPr>
                <w:rFonts w:ascii="Times New Roman" w:hAnsi="Times New Roman" w:eastAsiaTheme="minorEastAsia"/>
                <w:bCs w:val="0"/>
                <w:color w:val="auto"/>
                <w:sz w:val="24"/>
                <w:szCs w:val="24"/>
              </w:rPr>
            </w:pPr>
            <w:r>
              <w:rPr>
                <w:rFonts w:hint="eastAsia" w:ascii="Times New Roman" w:hAnsi="Times New Roman" w:eastAsiaTheme="minorEastAsia"/>
                <w:bCs w:val="0"/>
                <w:color w:val="auto"/>
                <w:sz w:val="24"/>
                <w:szCs w:val="24"/>
                <w:lang w:val="en-US" w:eastAsia="zh-CN"/>
              </w:rPr>
              <w:t>三</w:t>
            </w:r>
            <w:r>
              <w:rPr>
                <w:rFonts w:ascii="Times New Roman" w:hAnsi="Times New Roman" w:eastAsiaTheme="minorEastAsia"/>
                <w:bCs w:val="0"/>
                <w:color w:val="auto"/>
                <w:sz w:val="24"/>
                <w:szCs w:val="24"/>
              </w:rPr>
              <w:t>、营运期环境风险影响及保护措施</w:t>
            </w:r>
          </w:p>
          <w:p w14:paraId="259837C2">
            <w:pPr>
              <w:spacing w:line="360" w:lineRule="auto"/>
              <w:ind w:firstLine="482" w:firstLineChars="200"/>
              <w:rPr>
                <w:b/>
                <w:bCs/>
                <w:color w:val="auto"/>
                <w:sz w:val="24"/>
              </w:rPr>
            </w:pPr>
            <w:r>
              <w:rPr>
                <w:b/>
                <w:bCs/>
                <w:color w:val="auto"/>
                <w:sz w:val="24"/>
              </w:rPr>
              <w:t>5.1</w:t>
            </w:r>
            <w:r>
              <w:rPr>
                <w:rFonts w:hint="eastAsia"/>
                <w:b/>
                <w:bCs/>
                <w:color w:val="auto"/>
                <w:sz w:val="24"/>
                <w:lang w:eastAsia="zh-CN"/>
              </w:rPr>
              <w:t>、</w:t>
            </w:r>
            <w:r>
              <w:rPr>
                <w:b/>
                <w:bCs/>
                <w:color w:val="auto"/>
                <w:sz w:val="24"/>
              </w:rPr>
              <w:t>风险源</w:t>
            </w:r>
            <w:r>
              <w:rPr>
                <w:rFonts w:eastAsiaTheme="minorEastAsia"/>
                <w:b/>
                <w:bCs/>
                <w:color w:val="auto"/>
                <w:sz w:val="24"/>
              </w:rPr>
              <w:t>影响</w:t>
            </w:r>
          </w:p>
          <w:p w14:paraId="48721B60">
            <w:pPr>
              <w:spacing w:line="360" w:lineRule="auto"/>
              <w:ind w:firstLine="480" w:firstLineChars="200"/>
              <w:rPr>
                <w:color w:val="auto"/>
              </w:rPr>
            </w:pPr>
            <w:r>
              <w:rPr>
                <w:bCs/>
                <w:color w:val="auto"/>
                <w:sz w:val="24"/>
              </w:rPr>
              <w:t>本项目存在的风险主要是废水、废气事故排放、消毒剂（次氯酸钠）泄漏存在的风险。</w:t>
            </w:r>
          </w:p>
          <w:p w14:paraId="6F58E24E">
            <w:pPr>
              <w:ind w:firstLine="422" w:firstLineChars="200"/>
              <w:jc w:val="center"/>
              <w:rPr>
                <w:b/>
                <w:color w:val="auto"/>
                <w:szCs w:val="21"/>
              </w:rPr>
            </w:pPr>
            <w:r>
              <w:rPr>
                <w:b/>
                <w:color w:val="auto"/>
                <w:szCs w:val="21"/>
              </w:rPr>
              <w:t>表</w:t>
            </w:r>
            <w:r>
              <w:rPr>
                <w:rFonts w:hint="eastAsia"/>
                <w:b/>
                <w:color w:val="auto"/>
                <w:szCs w:val="21"/>
              </w:rPr>
              <w:t>4-1</w:t>
            </w:r>
            <w:r>
              <w:rPr>
                <w:rFonts w:hint="eastAsia"/>
                <w:b/>
                <w:color w:val="auto"/>
                <w:szCs w:val="21"/>
                <w:lang w:val="en-US" w:eastAsia="zh-CN"/>
              </w:rPr>
              <w:t>2</w:t>
            </w:r>
            <w:r>
              <w:rPr>
                <w:b/>
                <w:color w:val="auto"/>
                <w:szCs w:val="21"/>
              </w:rPr>
              <w:t xml:space="preserve">   项目危险物质数量、分布情况和生产工艺特点一览表</w:t>
            </w:r>
          </w:p>
          <w:tbl>
            <w:tblPr>
              <w:tblStyle w:val="3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5"/>
              <w:gridCol w:w="1372"/>
              <w:gridCol w:w="959"/>
              <w:gridCol w:w="1097"/>
              <w:gridCol w:w="959"/>
              <w:gridCol w:w="1236"/>
              <w:gridCol w:w="685"/>
              <w:gridCol w:w="1042"/>
            </w:tblGrid>
            <w:tr w14:paraId="1A4F5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26" w:type="pct"/>
                  <w:tcBorders>
                    <w:tl2br w:val="nil"/>
                    <w:tr2bl w:val="nil"/>
                  </w:tcBorders>
                  <w:vAlign w:val="center"/>
                </w:tcPr>
                <w:p w14:paraId="03EF2D69">
                  <w:pPr>
                    <w:pStyle w:val="169"/>
                    <w:rPr>
                      <w:b/>
                      <w:bCs/>
                      <w:color w:val="auto"/>
                    </w:rPr>
                  </w:pPr>
                  <w:r>
                    <w:rPr>
                      <w:b/>
                      <w:bCs/>
                      <w:color w:val="auto"/>
                    </w:rPr>
                    <w:t>序号</w:t>
                  </w:r>
                </w:p>
              </w:tc>
              <w:tc>
                <w:tcPr>
                  <w:tcW w:w="853" w:type="pct"/>
                  <w:tcBorders>
                    <w:tl2br w:val="nil"/>
                    <w:tr2bl w:val="nil"/>
                  </w:tcBorders>
                  <w:vAlign w:val="center"/>
                </w:tcPr>
                <w:p w14:paraId="5704DA6A">
                  <w:pPr>
                    <w:pStyle w:val="169"/>
                    <w:rPr>
                      <w:b/>
                      <w:bCs/>
                      <w:color w:val="auto"/>
                    </w:rPr>
                  </w:pPr>
                  <w:r>
                    <w:rPr>
                      <w:b/>
                      <w:bCs/>
                      <w:color w:val="auto"/>
                    </w:rPr>
                    <w:t>物料名称</w:t>
                  </w:r>
                </w:p>
              </w:tc>
              <w:tc>
                <w:tcPr>
                  <w:tcW w:w="596" w:type="pct"/>
                  <w:tcBorders>
                    <w:tl2br w:val="nil"/>
                    <w:tr2bl w:val="nil"/>
                  </w:tcBorders>
                  <w:vAlign w:val="center"/>
                </w:tcPr>
                <w:p w14:paraId="2384E0C0">
                  <w:pPr>
                    <w:pStyle w:val="169"/>
                    <w:rPr>
                      <w:b/>
                      <w:bCs/>
                      <w:color w:val="auto"/>
                    </w:rPr>
                  </w:pPr>
                  <w:r>
                    <w:rPr>
                      <w:b/>
                      <w:bCs/>
                      <w:color w:val="auto"/>
                    </w:rPr>
                    <w:t>年用量（t/a）</w:t>
                  </w:r>
                </w:p>
              </w:tc>
              <w:tc>
                <w:tcPr>
                  <w:tcW w:w="682" w:type="pct"/>
                  <w:tcBorders>
                    <w:tl2br w:val="nil"/>
                    <w:tr2bl w:val="nil"/>
                  </w:tcBorders>
                  <w:vAlign w:val="center"/>
                </w:tcPr>
                <w:p w14:paraId="22FC6C54">
                  <w:pPr>
                    <w:pStyle w:val="169"/>
                    <w:rPr>
                      <w:b/>
                      <w:bCs/>
                      <w:color w:val="auto"/>
                    </w:rPr>
                  </w:pPr>
                  <w:r>
                    <w:rPr>
                      <w:b/>
                      <w:bCs/>
                      <w:color w:val="auto"/>
                    </w:rPr>
                    <w:t>最大存在量a（t）</w:t>
                  </w:r>
                </w:p>
              </w:tc>
              <w:tc>
                <w:tcPr>
                  <w:tcW w:w="596" w:type="pct"/>
                  <w:tcBorders>
                    <w:tl2br w:val="nil"/>
                    <w:tr2bl w:val="nil"/>
                  </w:tcBorders>
                  <w:vAlign w:val="center"/>
                </w:tcPr>
                <w:p w14:paraId="481D149B">
                  <w:pPr>
                    <w:pStyle w:val="169"/>
                    <w:rPr>
                      <w:b/>
                      <w:bCs/>
                      <w:color w:val="auto"/>
                    </w:rPr>
                  </w:pPr>
                  <w:r>
                    <w:rPr>
                      <w:b/>
                      <w:bCs/>
                      <w:color w:val="auto"/>
                    </w:rPr>
                    <w:t>临界储量（t）</w:t>
                  </w:r>
                </w:p>
              </w:tc>
              <w:tc>
                <w:tcPr>
                  <w:tcW w:w="768" w:type="pct"/>
                  <w:tcBorders>
                    <w:tl2br w:val="nil"/>
                    <w:tr2bl w:val="nil"/>
                  </w:tcBorders>
                  <w:vAlign w:val="center"/>
                </w:tcPr>
                <w:p w14:paraId="11A13B93">
                  <w:pPr>
                    <w:pStyle w:val="169"/>
                    <w:rPr>
                      <w:b/>
                      <w:bCs/>
                      <w:color w:val="auto"/>
                    </w:rPr>
                  </w:pPr>
                  <w:r>
                    <w:rPr>
                      <w:b/>
                      <w:bCs/>
                      <w:color w:val="auto"/>
                    </w:rPr>
                    <w:t>分布地点</w:t>
                  </w:r>
                </w:p>
              </w:tc>
              <w:tc>
                <w:tcPr>
                  <w:tcW w:w="426" w:type="pct"/>
                  <w:tcBorders>
                    <w:tl2br w:val="nil"/>
                    <w:tr2bl w:val="nil"/>
                  </w:tcBorders>
                  <w:vAlign w:val="center"/>
                </w:tcPr>
                <w:p w14:paraId="5B4ED40D">
                  <w:pPr>
                    <w:pStyle w:val="169"/>
                    <w:rPr>
                      <w:b/>
                      <w:bCs/>
                      <w:color w:val="auto"/>
                    </w:rPr>
                  </w:pPr>
                  <w:r>
                    <w:rPr>
                      <w:b/>
                      <w:bCs/>
                      <w:color w:val="auto"/>
                    </w:rPr>
                    <w:t>形态</w:t>
                  </w:r>
                </w:p>
              </w:tc>
              <w:tc>
                <w:tcPr>
                  <w:tcW w:w="647" w:type="pct"/>
                  <w:tcBorders>
                    <w:tl2br w:val="nil"/>
                    <w:tr2bl w:val="nil"/>
                  </w:tcBorders>
                  <w:vAlign w:val="center"/>
                </w:tcPr>
                <w:p w14:paraId="6A8EC14C">
                  <w:pPr>
                    <w:pStyle w:val="169"/>
                    <w:rPr>
                      <w:b/>
                      <w:bCs/>
                      <w:color w:val="auto"/>
                    </w:rPr>
                  </w:pPr>
                  <w:r>
                    <w:rPr>
                      <w:b/>
                      <w:bCs/>
                      <w:color w:val="auto"/>
                    </w:rPr>
                    <w:t>排放方式</w:t>
                  </w:r>
                </w:p>
              </w:tc>
            </w:tr>
            <w:tr w14:paraId="0A654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26" w:type="pct"/>
                  <w:tcBorders>
                    <w:tl2br w:val="nil"/>
                    <w:tr2bl w:val="nil"/>
                  </w:tcBorders>
                  <w:vAlign w:val="center"/>
                </w:tcPr>
                <w:p w14:paraId="627FE341">
                  <w:pPr>
                    <w:pStyle w:val="169"/>
                    <w:rPr>
                      <w:color w:val="auto"/>
                    </w:rPr>
                  </w:pPr>
                  <w:r>
                    <w:rPr>
                      <w:color w:val="auto"/>
                    </w:rPr>
                    <w:t>1</w:t>
                  </w:r>
                </w:p>
              </w:tc>
              <w:tc>
                <w:tcPr>
                  <w:tcW w:w="853" w:type="pct"/>
                  <w:tcBorders>
                    <w:tl2br w:val="nil"/>
                    <w:tr2bl w:val="nil"/>
                  </w:tcBorders>
                  <w:vAlign w:val="center"/>
                </w:tcPr>
                <w:p w14:paraId="482FCF86">
                  <w:pPr>
                    <w:pStyle w:val="169"/>
                    <w:rPr>
                      <w:color w:val="auto"/>
                    </w:rPr>
                  </w:pPr>
                  <w:r>
                    <w:rPr>
                      <w:color w:val="auto"/>
                      <w:szCs w:val="21"/>
                    </w:rPr>
                    <w:t>次氯酸钠</w:t>
                  </w:r>
                </w:p>
              </w:tc>
              <w:tc>
                <w:tcPr>
                  <w:tcW w:w="596" w:type="pct"/>
                  <w:tcBorders>
                    <w:tl2br w:val="nil"/>
                    <w:tr2bl w:val="nil"/>
                  </w:tcBorders>
                  <w:vAlign w:val="center"/>
                </w:tcPr>
                <w:p w14:paraId="04A2FBB2">
                  <w:pPr>
                    <w:pStyle w:val="169"/>
                    <w:rPr>
                      <w:color w:val="auto"/>
                    </w:rPr>
                  </w:pPr>
                  <w:r>
                    <w:rPr>
                      <w:rFonts w:hint="eastAsia"/>
                      <w:color w:val="auto"/>
                      <w:szCs w:val="21"/>
                    </w:rPr>
                    <w:t>0.5</w:t>
                  </w:r>
                </w:p>
              </w:tc>
              <w:tc>
                <w:tcPr>
                  <w:tcW w:w="682" w:type="pct"/>
                  <w:tcBorders>
                    <w:tl2br w:val="nil"/>
                    <w:tr2bl w:val="nil"/>
                  </w:tcBorders>
                  <w:vAlign w:val="center"/>
                </w:tcPr>
                <w:p w14:paraId="71EC3663">
                  <w:pPr>
                    <w:pStyle w:val="169"/>
                    <w:rPr>
                      <w:color w:val="auto"/>
                    </w:rPr>
                  </w:pPr>
                  <w:r>
                    <w:rPr>
                      <w:color w:val="auto"/>
                      <w:szCs w:val="21"/>
                    </w:rPr>
                    <w:t>0.4</w:t>
                  </w:r>
                </w:p>
              </w:tc>
              <w:tc>
                <w:tcPr>
                  <w:tcW w:w="596" w:type="pct"/>
                  <w:tcBorders>
                    <w:tl2br w:val="nil"/>
                    <w:tr2bl w:val="nil"/>
                  </w:tcBorders>
                  <w:vAlign w:val="center"/>
                </w:tcPr>
                <w:p w14:paraId="3BF0C927">
                  <w:pPr>
                    <w:pStyle w:val="169"/>
                    <w:rPr>
                      <w:color w:val="auto"/>
                    </w:rPr>
                  </w:pPr>
                  <w:r>
                    <w:rPr>
                      <w:color w:val="auto"/>
                    </w:rPr>
                    <w:t>5</w:t>
                  </w:r>
                </w:p>
              </w:tc>
              <w:tc>
                <w:tcPr>
                  <w:tcW w:w="768" w:type="pct"/>
                  <w:tcBorders>
                    <w:tl2br w:val="nil"/>
                    <w:tr2bl w:val="nil"/>
                  </w:tcBorders>
                  <w:vAlign w:val="center"/>
                </w:tcPr>
                <w:p w14:paraId="26DCD90A">
                  <w:pPr>
                    <w:pStyle w:val="169"/>
                    <w:rPr>
                      <w:color w:val="auto"/>
                    </w:rPr>
                  </w:pPr>
                  <w:r>
                    <w:rPr>
                      <w:color w:val="auto"/>
                    </w:rPr>
                    <w:t>库房</w:t>
                  </w:r>
                </w:p>
              </w:tc>
              <w:tc>
                <w:tcPr>
                  <w:tcW w:w="426" w:type="pct"/>
                  <w:tcBorders>
                    <w:tl2br w:val="nil"/>
                    <w:tr2bl w:val="nil"/>
                  </w:tcBorders>
                  <w:vAlign w:val="center"/>
                </w:tcPr>
                <w:p w14:paraId="0100E793">
                  <w:pPr>
                    <w:pStyle w:val="169"/>
                    <w:rPr>
                      <w:color w:val="auto"/>
                    </w:rPr>
                  </w:pPr>
                  <w:r>
                    <w:rPr>
                      <w:color w:val="auto"/>
                    </w:rPr>
                    <w:t>液态</w:t>
                  </w:r>
                </w:p>
              </w:tc>
              <w:tc>
                <w:tcPr>
                  <w:tcW w:w="647" w:type="pct"/>
                  <w:tcBorders>
                    <w:tl2br w:val="nil"/>
                    <w:tr2bl w:val="nil"/>
                  </w:tcBorders>
                  <w:vAlign w:val="center"/>
                </w:tcPr>
                <w:p w14:paraId="7B637665">
                  <w:pPr>
                    <w:pStyle w:val="169"/>
                    <w:rPr>
                      <w:color w:val="auto"/>
                    </w:rPr>
                  </w:pPr>
                  <w:r>
                    <w:rPr>
                      <w:color w:val="auto"/>
                    </w:rPr>
                    <w:t>无组织</w:t>
                  </w:r>
                </w:p>
              </w:tc>
            </w:tr>
          </w:tbl>
          <w:p w14:paraId="00129ACF">
            <w:pPr>
              <w:spacing w:line="360" w:lineRule="auto"/>
              <w:ind w:firstLine="480" w:firstLineChars="200"/>
              <w:rPr>
                <w:bCs/>
                <w:color w:val="auto"/>
                <w:sz w:val="24"/>
              </w:rPr>
            </w:pPr>
            <w:r>
              <w:rPr>
                <w:bCs/>
                <w:color w:val="auto"/>
                <w:sz w:val="24"/>
              </w:rPr>
              <w:t>项目危险物质安全技术说明书如下表所示。</w:t>
            </w:r>
          </w:p>
          <w:p w14:paraId="1A9CF63B">
            <w:pPr>
              <w:ind w:firstLine="422" w:firstLineChars="200"/>
              <w:jc w:val="center"/>
              <w:rPr>
                <w:b/>
                <w:color w:val="auto"/>
                <w:szCs w:val="21"/>
              </w:rPr>
            </w:pPr>
            <w:r>
              <w:rPr>
                <w:b/>
                <w:color w:val="auto"/>
                <w:szCs w:val="21"/>
              </w:rPr>
              <w:t>表</w:t>
            </w:r>
            <w:r>
              <w:rPr>
                <w:rFonts w:hint="eastAsia"/>
                <w:b/>
                <w:color w:val="auto"/>
                <w:szCs w:val="21"/>
              </w:rPr>
              <w:t>4-1</w:t>
            </w:r>
            <w:r>
              <w:rPr>
                <w:rFonts w:hint="eastAsia"/>
                <w:b/>
                <w:color w:val="auto"/>
                <w:szCs w:val="21"/>
                <w:lang w:val="en-US" w:eastAsia="zh-CN"/>
              </w:rPr>
              <w:t>3</w:t>
            </w:r>
            <w:r>
              <w:rPr>
                <w:b/>
                <w:color w:val="auto"/>
                <w:szCs w:val="21"/>
              </w:rPr>
              <w:t xml:space="preserve">  次氯酸钠特性分析表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2"/>
              <w:gridCol w:w="2422"/>
              <w:gridCol w:w="1299"/>
              <w:gridCol w:w="3045"/>
            </w:tblGrid>
            <w:tr w14:paraId="16C01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1" w:type="pct"/>
                  <w:tcBorders>
                    <w:tl2br w:val="nil"/>
                    <w:tr2bl w:val="nil"/>
                  </w:tcBorders>
                  <w:vAlign w:val="center"/>
                </w:tcPr>
                <w:p w14:paraId="129997D9">
                  <w:pPr>
                    <w:tabs>
                      <w:tab w:val="left" w:pos="720"/>
                    </w:tabs>
                    <w:jc w:val="center"/>
                    <w:rPr>
                      <w:b/>
                      <w:bCs/>
                      <w:color w:val="auto"/>
                      <w:szCs w:val="21"/>
                    </w:rPr>
                  </w:pPr>
                  <w:r>
                    <w:rPr>
                      <w:b/>
                      <w:bCs/>
                      <w:color w:val="auto"/>
                      <w:szCs w:val="21"/>
                    </w:rPr>
                    <w:t>中文名</w:t>
                  </w:r>
                </w:p>
              </w:tc>
              <w:tc>
                <w:tcPr>
                  <w:tcW w:w="1506" w:type="pct"/>
                  <w:tcBorders>
                    <w:tl2br w:val="nil"/>
                    <w:tr2bl w:val="nil"/>
                  </w:tcBorders>
                  <w:vAlign w:val="center"/>
                </w:tcPr>
                <w:p w14:paraId="0295D365">
                  <w:pPr>
                    <w:tabs>
                      <w:tab w:val="left" w:pos="720"/>
                    </w:tabs>
                    <w:jc w:val="center"/>
                    <w:rPr>
                      <w:color w:val="auto"/>
                      <w:szCs w:val="21"/>
                    </w:rPr>
                  </w:pPr>
                  <w:r>
                    <w:rPr>
                      <w:color w:val="auto"/>
                      <w:szCs w:val="21"/>
                    </w:rPr>
                    <w:t>次氯酸钠</w:t>
                  </w:r>
                </w:p>
              </w:tc>
              <w:tc>
                <w:tcPr>
                  <w:tcW w:w="808" w:type="pct"/>
                  <w:tcBorders>
                    <w:tl2br w:val="nil"/>
                    <w:tr2bl w:val="nil"/>
                  </w:tcBorders>
                  <w:vAlign w:val="center"/>
                </w:tcPr>
                <w:p w14:paraId="596197A4">
                  <w:pPr>
                    <w:tabs>
                      <w:tab w:val="left" w:pos="720"/>
                    </w:tabs>
                    <w:jc w:val="center"/>
                    <w:rPr>
                      <w:b/>
                      <w:bCs/>
                      <w:color w:val="auto"/>
                      <w:szCs w:val="21"/>
                    </w:rPr>
                  </w:pPr>
                  <w:r>
                    <w:rPr>
                      <w:b/>
                      <w:bCs/>
                      <w:color w:val="auto"/>
                      <w:szCs w:val="21"/>
                    </w:rPr>
                    <w:t>英文名</w:t>
                  </w:r>
                </w:p>
              </w:tc>
              <w:tc>
                <w:tcPr>
                  <w:tcW w:w="1893" w:type="pct"/>
                  <w:tcBorders>
                    <w:tl2br w:val="nil"/>
                    <w:tr2bl w:val="nil"/>
                  </w:tcBorders>
                  <w:vAlign w:val="center"/>
                </w:tcPr>
                <w:p w14:paraId="3B5B9A95">
                  <w:pPr>
                    <w:jc w:val="center"/>
                    <w:rPr>
                      <w:color w:val="auto"/>
                      <w:szCs w:val="21"/>
                    </w:rPr>
                  </w:pPr>
                  <w:r>
                    <w:rPr>
                      <w:color w:val="auto"/>
                      <w:szCs w:val="21"/>
                    </w:rPr>
                    <w:t>Sodium Hypochlorite</w:t>
                  </w:r>
                  <w:r>
                    <w:rPr>
                      <w:rFonts w:hint="eastAsia"/>
                      <w:color w:val="auto"/>
                      <w:szCs w:val="21"/>
                      <w:lang w:eastAsia="zh-CN"/>
                    </w:rPr>
                    <w:t xml:space="preserve">; </w:t>
                  </w:r>
                  <w:r>
                    <w:rPr>
                      <w:color w:val="auto"/>
                      <w:szCs w:val="21"/>
                    </w:rPr>
                    <w:t>Antiformin</w:t>
                  </w:r>
                </w:p>
              </w:tc>
            </w:tr>
            <w:tr w14:paraId="16D05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1" w:type="pct"/>
                  <w:tcBorders>
                    <w:tl2br w:val="nil"/>
                    <w:tr2bl w:val="nil"/>
                  </w:tcBorders>
                  <w:vAlign w:val="center"/>
                </w:tcPr>
                <w:p w14:paraId="413B267A">
                  <w:pPr>
                    <w:tabs>
                      <w:tab w:val="left" w:pos="720"/>
                    </w:tabs>
                    <w:jc w:val="center"/>
                    <w:rPr>
                      <w:b/>
                      <w:bCs/>
                      <w:color w:val="auto"/>
                      <w:szCs w:val="21"/>
                    </w:rPr>
                  </w:pPr>
                  <w:r>
                    <w:rPr>
                      <w:b/>
                      <w:bCs/>
                      <w:color w:val="auto"/>
                      <w:szCs w:val="21"/>
                    </w:rPr>
                    <w:t>别称</w:t>
                  </w:r>
                </w:p>
              </w:tc>
              <w:tc>
                <w:tcPr>
                  <w:tcW w:w="1506" w:type="pct"/>
                  <w:tcBorders>
                    <w:tl2br w:val="nil"/>
                    <w:tr2bl w:val="nil"/>
                  </w:tcBorders>
                  <w:vAlign w:val="center"/>
                </w:tcPr>
                <w:p w14:paraId="03D21C12">
                  <w:pPr>
                    <w:tabs>
                      <w:tab w:val="left" w:pos="720"/>
                    </w:tabs>
                    <w:jc w:val="center"/>
                    <w:rPr>
                      <w:color w:val="auto"/>
                      <w:szCs w:val="21"/>
                    </w:rPr>
                  </w:pPr>
                  <w:r>
                    <w:rPr>
                      <w:color w:val="auto"/>
                      <w:szCs w:val="21"/>
                    </w:rPr>
                    <w:t>漂白水；漂水；安替福民；次氯酸钠水溶液</w:t>
                  </w:r>
                </w:p>
              </w:tc>
              <w:tc>
                <w:tcPr>
                  <w:tcW w:w="808" w:type="pct"/>
                  <w:tcBorders>
                    <w:tl2br w:val="nil"/>
                    <w:tr2bl w:val="nil"/>
                  </w:tcBorders>
                  <w:vAlign w:val="center"/>
                </w:tcPr>
                <w:p w14:paraId="439AD5CE">
                  <w:pPr>
                    <w:tabs>
                      <w:tab w:val="left" w:pos="720"/>
                    </w:tabs>
                    <w:jc w:val="center"/>
                    <w:rPr>
                      <w:b/>
                      <w:bCs/>
                      <w:color w:val="auto"/>
                      <w:szCs w:val="21"/>
                    </w:rPr>
                  </w:pPr>
                  <w:r>
                    <w:rPr>
                      <w:b/>
                      <w:bCs/>
                      <w:color w:val="auto"/>
                      <w:szCs w:val="21"/>
                    </w:rPr>
                    <w:t>化学式</w:t>
                  </w:r>
                </w:p>
              </w:tc>
              <w:tc>
                <w:tcPr>
                  <w:tcW w:w="1893" w:type="pct"/>
                  <w:tcBorders>
                    <w:tl2br w:val="nil"/>
                    <w:tr2bl w:val="nil"/>
                  </w:tcBorders>
                  <w:vAlign w:val="center"/>
                </w:tcPr>
                <w:p w14:paraId="62A61A67">
                  <w:pPr>
                    <w:tabs>
                      <w:tab w:val="left" w:pos="720"/>
                    </w:tabs>
                    <w:jc w:val="center"/>
                    <w:rPr>
                      <w:color w:val="auto"/>
                      <w:szCs w:val="21"/>
                    </w:rPr>
                  </w:pPr>
                  <w:r>
                    <w:rPr>
                      <w:color w:val="auto"/>
                      <w:szCs w:val="21"/>
                    </w:rPr>
                    <w:t>NaClO</w:t>
                  </w:r>
                </w:p>
              </w:tc>
            </w:tr>
            <w:tr w14:paraId="7B98A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1" w:type="pct"/>
                  <w:tcBorders>
                    <w:tl2br w:val="nil"/>
                    <w:tr2bl w:val="nil"/>
                  </w:tcBorders>
                  <w:vAlign w:val="center"/>
                </w:tcPr>
                <w:p w14:paraId="2462D16A">
                  <w:pPr>
                    <w:tabs>
                      <w:tab w:val="left" w:pos="720"/>
                    </w:tabs>
                    <w:jc w:val="center"/>
                    <w:rPr>
                      <w:b/>
                      <w:bCs/>
                      <w:color w:val="auto"/>
                      <w:szCs w:val="21"/>
                    </w:rPr>
                  </w:pPr>
                  <w:r>
                    <w:rPr>
                      <w:b/>
                      <w:bCs/>
                      <w:color w:val="auto"/>
                      <w:szCs w:val="21"/>
                    </w:rPr>
                    <w:t>分子量</w:t>
                  </w:r>
                </w:p>
              </w:tc>
              <w:tc>
                <w:tcPr>
                  <w:tcW w:w="1506" w:type="pct"/>
                  <w:tcBorders>
                    <w:tl2br w:val="nil"/>
                    <w:tr2bl w:val="nil"/>
                  </w:tcBorders>
                  <w:vAlign w:val="center"/>
                </w:tcPr>
                <w:p w14:paraId="766C0BFB">
                  <w:pPr>
                    <w:tabs>
                      <w:tab w:val="left" w:pos="720"/>
                    </w:tabs>
                    <w:jc w:val="center"/>
                    <w:rPr>
                      <w:color w:val="auto"/>
                      <w:szCs w:val="21"/>
                    </w:rPr>
                  </w:pPr>
                  <w:r>
                    <w:rPr>
                      <w:color w:val="auto"/>
                      <w:szCs w:val="21"/>
                    </w:rPr>
                    <w:t>74.44</w:t>
                  </w:r>
                </w:p>
              </w:tc>
              <w:tc>
                <w:tcPr>
                  <w:tcW w:w="808" w:type="pct"/>
                  <w:tcBorders>
                    <w:tl2br w:val="nil"/>
                    <w:tr2bl w:val="nil"/>
                  </w:tcBorders>
                  <w:vAlign w:val="center"/>
                </w:tcPr>
                <w:p w14:paraId="0358D33F">
                  <w:pPr>
                    <w:tabs>
                      <w:tab w:val="left" w:pos="720"/>
                    </w:tabs>
                    <w:jc w:val="center"/>
                    <w:rPr>
                      <w:b/>
                      <w:bCs/>
                      <w:color w:val="auto"/>
                      <w:szCs w:val="21"/>
                    </w:rPr>
                  </w:pPr>
                  <w:r>
                    <w:rPr>
                      <w:b/>
                      <w:bCs/>
                      <w:color w:val="auto"/>
                      <w:szCs w:val="21"/>
                    </w:rPr>
                    <w:t>CAS登录号</w:t>
                  </w:r>
                </w:p>
              </w:tc>
              <w:tc>
                <w:tcPr>
                  <w:tcW w:w="1893" w:type="pct"/>
                  <w:tcBorders>
                    <w:tl2br w:val="nil"/>
                    <w:tr2bl w:val="nil"/>
                  </w:tcBorders>
                  <w:vAlign w:val="center"/>
                </w:tcPr>
                <w:p w14:paraId="052E5BF8">
                  <w:pPr>
                    <w:tabs>
                      <w:tab w:val="left" w:pos="720"/>
                    </w:tabs>
                    <w:jc w:val="center"/>
                    <w:rPr>
                      <w:color w:val="auto"/>
                      <w:szCs w:val="21"/>
                    </w:rPr>
                  </w:pPr>
                  <w:r>
                    <w:rPr>
                      <w:color w:val="auto"/>
                      <w:szCs w:val="21"/>
                    </w:rPr>
                    <w:t>7681-52-9</w:t>
                  </w:r>
                </w:p>
              </w:tc>
            </w:tr>
            <w:tr w14:paraId="42147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1" w:type="pct"/>
                  <w:tcBorders>
                    <w:tl2br w:val="nil"/>
                    <w:tr2bl w:val="nil"/>
                  </w:tcBorders>
                  <w:vAlign w:val="center"/>
                </w:tcPr>
                <w:p w14:paraId="3900684F">
                  <w:pPr>
                    <w:tabs>
                      <w:tab w:val="left" w:pos="720"/>
                    </w:tabs>
                    <w:jc w:val="center"/>
                    <w:rPr>
                      <w:b/>
                      <w:bCs/>
                      <w:color w:val="auto"/>
                      <w:szCs w:val="21"/>
                    </w:rPr>
                  </w:pPr>
                  <w:r>
                    <w:rPr>
                      <w:b/>
                      <w:bCs/>
                      <w:color w:val="auto"/>
                      <w:szCs w:val="21"/>
                    </w:rPr>
                    <w:t>EINECS登录号</w:t>
                  </w:r>
                </w:p>
              </w:tc>
              <w:tc>
                <w:tcPr>
                  <w:tcW w:w="1506" w:type="pct"/>
                  <w:tcBorders>
                    <w:tl2br w:val="nil"/>
                    <w:tr2bl w:val="nil"/>
                  </w:tcBorders>
                  <w:vAlign w:val="center"/>
                </w:tcPr>
                <w:p w14:paraId="5790695E">
                  <w:pPr>
                    <w:tabs>
                      <w:tab w:val="left" w:pos="720"/>
                    </w:tabs>
                    <w:jc w:val="center"/>
                    <w:rPr>
                      <w:color w:val="auto"/>
                      <w:szCs w:val="21"/>
                    </w:rPr>
                  </w:pPr>
                  <w:r>
                    <w:rPr>
                      <w:color w:val="auto"/>
                      <w:szCs w:val="21"/>
                    </w:rPr>
                    <w:t>231-668-3</w:t>
                  </w:r>
                </w:p>
              </w:tc>
              <w:tc>
                <w:tcPr>
                  <w:tcW w:w="808" w:type="pct"/>
                  <w:tcBorders>
                    <w:tl2br w:val="nil"/>
                    <w:tr2bl w:val="nil"/>
                  </w:tcBorders>
                  <w:vAlign w:val="center"/>
                </w:tcPr>
                <w:p w14:paraId="5B0563FE">
                  <w:pPr>
                    <w:tabs>
                      <w:tab w:val="left" w:pos="720"/>
                    </w:tabs>
                    <w:jc w:val="center"/>
                    <w:rPr>
                      <w:b/>
                      <w:bCs/>
                      <w:color w:val="auto"/>
                      <w:szCs w:val="21"/>
                    </w:rPr>
                  </w:pPr>
                  <w:r>
                    <w:rPr>
                      <w:b/>
                      <w:bCs/>
                      <w:color w:val="auto"/>
                      <w:szCs w:val="21"/>
                    </w:rPr>
                    <w:t>熔点</w:t>
                  </w:r>
                </w:p>
              </w:tc>
              <w:tc>
                <w:tcPr>
                  <w:tcW w:w="1893" w:type="pct"/>
                  <w:tcBorders>
                    <w:tl2br w:val="nil"/>
                    <w:tr2bl w:val="nil"/>
                  </w:tcBorders>
                  <w:vAlign w:val="center"/>
                </w:tcPr>
                <w:p w14:paraId="2786BF03">
                  <w:pPr>
                    <w:tabs>
                      <w:tab w:val="left" w:pos="720"/>
                    </w:tabs>
                    <w:jc w:val="center"/>
                    <w:rPr>
                      <w:color w:val="auto"/>
                      <w:szCs w:val="21"/>
                    </w:rPr>
                  </w:pPr>
                  <w:r>
                    <w:rPr>
                      <w:color w:val="auto"/>
                      <w:szCs w:val="21"/>
                    </w:rPr>
                    <w:t>-6</w:t>
                  </w:r>
                </w:p>
              </w:tc>
            </w:tr>
            <w:tr w14:paraId="1BF84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1" w:type="pct"/>
                  <w:tcBorders>
                    <w:tl2br w:val="nil"/>
                    <w:tr2bl w:val="nil"/>
                  </w:tcBorders>
                  <w:vAlign w:val="center"/>
                </w:tcPr>
                <w:p w14:paraId="3718863A">
                  <w:pPr>
                    <w:tabs>
                      <w:tab w:val="left" w:pos="720"/>
                    </w:tabs>
                    <w:jc w:val="center"/>
                    <w:rPr>
                      <w:b/>
                      <w:bCs/>
                      <w:color w:val="auto"/>
                      <w:szCs w:val="21"/>
                    </w:rPr>
                  </w:pPr>
                  <w:r>
                    <w:rPr>
                      <w:b/>
                      <w:bCs/>
                      <w:color w:val="auto"/>
                      <w:szCs w:val="21"/>
                    </w:rPr>
                    <w:t>沸点</w:t>
                  </w:r>
                </w:p>
              </w:tc>
              <w:tc>
                <w:tcPr>
                  <w:tcW w:w="1506" w:type="pct"/>
                  <w:tcBorders>
                    <w:tl2br w:val="nil"/>
                    <w:tr2bl w:val="nil"/>
                  </w:tcBorders>
                  <w:vAlign w:val="center"/>
                </w:tcPr>
                <w:p w14:paraId="36EEBB66">
                  <w:pPr>
                    <w:tabs>
                      <w:tab w:val="left" w:pos="720"/>
                    </w:tabs>
                    <w:jc w:val="center"/>
                    <w:rPr>
                      <w:color w:val="auto"/>
                      <w:szCs w:val="21"/>
                    </w:rPr>
                  </w:pPr>
                  <w:r>
                    <w:rPr>
                      <w:color w:val="auto"/>
                      <w:szCs w:val="21"/>
                    </w:rPr>
                    <w:t>102.2</w:t>
                  </w:r>
                </w:p>
              </w:tc>
              <w:tc>
                <w:tcPr>
                  <w:tcW w:w="808" w:type="pct"/>
                  <w:tcBorders>
                    <w:tl2br w:val="nil"/>
                    <w:tr2bl w:val="nil"/>
                  </w:tcBorders>
                  <w:vAlign w:val="center"/>
                </w:tcPr>
                <w:p w14:paraId="11A11364">
                  <w:pPr>
                    <w:tabs>
                      <w:tab w:val="left" w:pos="720"/>
                    </w:tabs>
                    <w:jc w:val="center"/>
                    <w:rPr>
                      <w:b/>
                      <w:bCs/>
                      <w:color w:val="auto"/>
                      <w:szCs w:val="21"/>
                    </w:rPr>
                  </w:pPr>
                  <w:r>
                    <w:rPr>
                      <w:b/>
                      <w:bCs/>
                      <w:color w:val="auto"/>
                      <w:szCs w:val="21"/>
                    </w:rPr>
                    <w:t>水溶性</w:t>
                  </w:r>
                </w:p>
              </w:tc>
              <w:tc>
                <w:tcPr>
                  <w:tcW w:w="1893" w:type="pct"/>
                  <w:tcBorders>
                    <w:tl2br w:val="nil"/>
                    <w:tr2bl w:val="nil"/>
                  </w:tcBorders>
                  <w:vAlign w:val="center"/>
                </w:tcPr>
                <w:p w14:paraId="5CB82042">
                  <w:pPr>
                    <w:tabs>
                      <w:tab w:val="left" w:pos="720"/>
                    </w:tabs>
                    <w:jc w:val="center"/>
                    <w:rPr>
                      <w:color w:val="auto"/>
                      <w:szCs w:val="21"/>
                    </w:rPr>
                  </w:pPr>
                  <w:r>
                    <w:rPr>
                      <w:color w:val="auto"/>
                      <w:szCs w:val="21"/>
                    </w:rPr>
                    <w:t>无意义</w:t>
                  </w:r>
                </w:p>
              </w:tc>
            </w:tr>
            <w:tr w14:paraId="41901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1" w:type="pct"/>
                  <w:tcBorders>
                    <w:tl2br w:val="nil"/>
                    <w:tr2bl w:val="nil"/>
                  </w:tcBorders>
                  <w:vAlign w:val="center"/>
                </w:tcPr>
                <w:p w14:paraId="01E9F88E">
                  <w:pPr>
                    <w:tabs>
                      <w:tab w:val="left" w:pos="720"/>
                    </w:tabs>
                    <w:jc w:val="center"/>
                    <w:rPr>
                      <w:b/>
                      <w:bCs/>
                      <w:color w:val="auto"/>
                      <w:szCs w:val="21"/>
                    </w:rPr>
                  </w:pPr>
                  <w:r>
                    <w:rPr>
                      <w:b/>
                      <w:bCs/>
                      <w:color w:val="auto"/>
                      <w:szCs w:val="21"/>
                    </w:rPr>
                    <w:t>密度</w:t>
                  </w:r>
                </w:p>
              </w:tc>
              <w:tc>
                <w:tcPr>
                  <w:tcW w:w="1506" w:type="pct"/>
                  <w:tcBorders>
                    <w:tl2br w:val="nil"/>
                    <w:tr2bl w:val="nil"/>
                  </w:tcBorders>
                  <w:vAlign w:val="center"/>
                </w:tcPr>
                <w:p w14:paraId="4ADB9C3B">
                  <w:pPr>
                    <w:tabs>
                      <w:tab w:val="left" w:pos="720"/>
                    </w:tabs>
                    <w:jc w:val="center"/>
                    <w:rPr>
                      <w:color w:val="auto"/>
                      <w:szCs w:val="21"/>
                    </w:rPr>
                  </w:pPr>
                  <w:r>
                    <w:rPr>
                      <w:color w:val="auto"/>
                      <w:szCs w:val="21"/>
                    </w:rPr>
                    <w:t>1.10</w:t>
                  </w:r>
                </w:p>
              </w:tc>
              <w:tc>
                <w:tcPr>
                  <w:tcW w:w="808" w:type="pct"/>
                  <w:tcBorders>
                    <w:tl2br w:val="nil"/>
                    <w:tr2bl w:val="nil"/>
                  </w:tcBorders>
                  <w:vAlign w:val="center"/>
                </w:tcPr>
                <w:p w14:paraId="13BBFF11">
                  <w:pPr>
                    <w:tabs>
                      <w:tab w:val="left" w:pos="720"/>
                    </w:tabs>
                    <w:jc w:val="center"/>
                    <w:rPr>
                      <w:b/>
                      <w:bCs/>
                      <w:color w:val="auto"/>
                      <w:szCs w:val="21"/>
                    </w:rPr>
                  </w:pPr>
                  <w:r>
                    <w:rPr>
                      <w:b/>
                      <w:bCs/>
                      <w:color w:val="auto"/>
                      <w:szCs w:val="21"/>
                    </w:rPr>
                    <w:t>外观</w:t>
                  </w:r>
                </w:p>
              </w:tc>
              <w:tc>
                <w:tcPr>
                  <w:tcW w:w="1893" w:type="pct"/>
                  <w:tcBorders>
                    <w:tl2br w:val="nil"/>
                    <w:tr2bl w:val="nil"/>
                  </w:tcBorders>
                  <w:vAlign w:val="center"/>
                </w:tcPr>
                <w:p w14:paraId="7218058A">
                  <w:pPr>
                    <w:jc w:val="center"/>
                    <w:rPr>
                      <w:color w:val="auto"/>
                      <w:szCs w:val="21"/>
                    </w:rPr>
                  </w:pPr>
                  <w:r>
                    <w:rPr>
                      <w:color w:val="auto"/>
                      <w:szCs w:val="21"/>
                    </w:rPr>
                    <w:t>微黄色溶液，有似氯气的气味</w:t>
                  </w:r>
                </w:p>
              </w:tc>
            </w:tr>
            <w:tr w14:paraId="75A94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1" w:type="pct"/>
                  <w:tcBorders>
                    <w:tl2br w:val="nil"/>
                    <w:tr2bl w:val="nil"/>
                  </w:tcBorders>
                  <w:vAlign w:val="center"/>
                </w:tcPr>
                <w:p w14:paraId="2D7DE8B1">
                  <w:pPr>
                    <w:tabs>
                      <w:tab w:val="left" w:pos="720"/>
                    </w:tabs>
                    <w:jc w:val="center"/>
                    <w:rPr>
                      <w:b/>
                      <w:bCs/>
                      <w:color w:val="auto"/>
                      <w:szCs w:val="21"/>
                    </w:rPr>
                  </w:pPr>
                  <w:r>
                    <w:rPr>
                      <w:b/>
                      <w:bCs/>
                      <w:color w:val="auto"/>
                      <w:szCs w:val="21"/>
                    </w:rPr>
                    <w:t>闪点</w:t>
                  </w:r>
                </w:p>
              </w:tc>
              <w:tc>
                <w:tcPr>
                  <w:tcW w:w="1506" w:type="pct"/>
                  <w:tcBorders>
                    <w:tl2br w:val="nil"/>
                    <w:tr2bl w:val="nil"/>
                  </w:tcBorders>
                  <w:vAlign w:val="center"/>
                </w:tcPr>
                <w:p w14:paraId="1A1E9691">
                  <w:pPr>
                    <w:tabs>
                      <w:tab w:val="left" w:pos="720"/>
                    </w:tabs>
                    <w:jc w:val="center"/>
                    <w:rPr>
                      <w:color w:val="auto"/>
                      <w:szCs w:val="21"/>
                    </w:rPr>
                  </w:pPr>
                  <w:r>
                    <w:rPr>
                      <w:color w:val="auto"/>
                      <w:szCs w:val="21"/>
                    </w:rPr>
                    <w:t>无意义</w:t>
                  </w:r>
                </w:p>
              </w:tc>
              <w:tc>
                <w:tcPr>
                  <w:tcW w:w="808" w:type="pct"/>
                  <w:tcBorders>
                    <w:tl2br w:val="nil"/>
                    <w:tr2bl w:val="nil"/>
                  </w:tcBorders>
                  <w:vAlign w:val="center"/>
                </w:tcPr>
                <w:p w14:paraId="70BF8FC5">
                  <w:pPr>
                    <w:tabs>
                      <w:tab w:val="left" w:pos="720"/>
                    </w:tabs>
                    <w:jc w:val="center"/>
                    <w:rPr>
                      <w:b/>
                      <w:bCs/>
                      <w:color w:val="auto"/>
                      <w:szCs w:val="21"/>
                    </w:rPr>
                  </w:pPr>
                  <w:r>
                    <w:rPr>
                      <w:b/>
                      <w:bCs/>
                      <w:color w:val="auto"/>
                      <w:szCs w:val="21"/>
                    </w:rPr>
                    <w:t>应用</w:t>
                  </w:r>
                </w:p>
              </w:tc>
              <w:tc>
                <w:tcPr>
                  <w:tcW w:w="1893" w:type="pct"/>
                  <w:tcBorders>
                    <w:tl2br w:val="nil"/>
                    <w:tr2bl w:val="nil"/>
                  </w:tcBorders>
                  <w:vAlign w:val="center"/>
                </w:tcPr>
                <w:p w14:paraId="46BA2FD9">
                  <w:pPr>
                    <w:tabs>
                      <w:tab w:val="left" w:pos="720"/>
                    </w:tabs>
                    <w:jc w:val="center"/>
                    <w:rPr>
                      <w:color w:val="auto"/>
                      <w:szCs w:val="21"/>
                    </w:rPr>
                  </w:pPr>
                  <w:r>
                    <w:rPr>
                      <w:color w:val="auto"/>
                      <w:szCs w:val="21"/>
                    </w:rPr>
                    <w:t>水的净化，</w:t>
                  </w:r>
                  <w:r>
                    <w:rPr>
                      <w:rFonts w:hint="eastAsia"/>
                      <w:color w:val="auto"/>
                      <w:szCs w:val="21"/>
                      <w:lang w:eastAsia="zh-CN"/>
                    </w:rPr>
                    <w:t>及做</w:t>
                  </w:r>
                  <w:r>
                    <w:rPr>
                      <w:color w:val="auto"/>
                      <w:szCs w:val="21"/>
                    </w:rPr>
                    <w:t>消毒剂、纸浆漂白，医药工业中用制氯胺</w:t>
                  </w:r>
                </w:p>
              </w:tc>
            </w:tr>
            <w:tr w14:paraId="37A06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1" w:type="pct"/>
                  <w:tcBorders>
                    <w:tl2br w:val="nil"/>
                    <w:tr2bl w:val="nil"/>
                  </w:tcBorders>
                  <w:vAlign w:val="center"/>
                </w:tcPr>
                <w:p w14:paraId="2A816B73">
                  <w:pPr>
                    <w:jc w:val="center"/>
                    <w:rPr>
                      <w:b/>
                      <w:bCs/>
                      <w:color w:val="auto"/>
                      <w:szCs w:val="21"/>
                    </w:rPr>
                  </w:pPr>
                  <w:r>
                    <w:rPr>
                      <w:b/>
                      <w:bCs/>
                      <w:color w:val="auto"/>
                      <w:szCs w:val="21"/>
                    </w:rPr>
                    <w:t>危险性符号</w:t>
                  </w:r>
                </w:p>
              </w:tc>
              <w:tc>
                <w:tcPr>
                  <w:tcW w:w="1506" w:type="pct"/>
                  <w:tcBorders>
                    <w:tl2br w:val="nil"/>
                    <w:tr2bl w:val="nil"/>
                  </w:tcBorders>
                  <w:vAlign w:val="center"/>
                </w:tcPr>
                <w:p w14:paraId="16F62017">
                  <w:pPr>
                    <w:tabs>
                      <w:tab w:val="left" w:pos="720"/>
                    </w:tabs>
                    <w:jc w:val="center"/>
                    <w:rPr>
                      <w:color w:val="auto"/>
                      <w:szCs w:val="21"/>
                    </w:rPr>
                  </w:pPr>
                  <w:r>
                    <w:rPr>
                      <w:color w:val="auto"/>
                      <w:szCs w:val="21"/>
                    </w:rPr>
                    <w:t>C</w:t>
                  </w:r>
                  <w:r>
                    <w:rPr>
                      <w:rFonts w:hint="eastAsia"/>
                      <w:color w:val="auto"/>
                      <w:szCs w:val="21"/>
                      <w:lang w:eastAsia="zh-CN"/>
                    </w:rPr>
                    <w:t xml:space="preserve">, </w:t>
                  </w:r>
                  <w:r>
                    <w:rPr>
                      <w:color w:val="auto"/>
                      <w:szCs w:val="21"/>
                    </w:rPr>
                    <w:t>Xi</w:t>
                  </w:r>
                  <w:r>
                    <w:rPr>
                      <w:rFonts w:hint="eastAsia"/>
                      <w:color w:val="auto"/>
                      <w:szCs w:val="21"/>
                      <w:lang w:eastAsia="zh-CN"/>
                    </w:rPr>
                    <w:t xml:space="preserve">, </w:t>
                  </w:r>
                  <w:r>
                    <w:rPr>
                      <w:color w:val="auto"/>
                      <w:szCs w:val="21"/>
                    </w:rPr>
                    <w:t>N</w:t>
                  </w:r>
                </w:p>
              </w:tc>
              <w:tc>
                <w:tcPr>
                  <w:tcW w:w="808" w:type="pct"/>
                  <w:tcBorders>
                    <w:tl2br w:val="nil"/>
                    <w:tr2bl w:val="nil"/>
                  </w:tcBorders>
                  <w:vAlign w:val="center"/>
                </w:tcPr>
                <w:p w14:paraId="586E60A0">
                  <w:pPr>
                    <w:tabs>
                      <w:tab w:val="left" w:pos="720"/>
                    </w:tabs>
                    <w:jc w:val="center"/>
                    <w:rPr>
                      <w:b/>
                      <w:bCs/>
                      <w:color w:val="auto"/>
                      <w:szCs w:val="21"/>
                    </w:rPr>
                  </w:pPr>
                  <w:r>
                    <w:rPr>
                      <w:b/>
                      <w:bCs/>
                      <w:color w:val="auto"/>
                      <w:szCs w:val="21"/>
                    </w:rPr>
                    <w:t>危险性描述</w:t>
                  </w:r>
                </w:p>
              </w:tc>
              <w:tc>
                <w:tcPr>
                  <w:tcW w:w="1893" w:type="pct"/>
                  <w:tcBorders>
                    <w:tl2br w:val="nil"/>
                    <w:tr2bl w:val="nil"/>
                  </w:tcBorders>
                  <w:vAlign w:val="center"/>
                </w:tcPr>
                <w:p w14:paraId="394EE311">
                  <w:pPr>
                    <w:tabs>
                      <w:tab w:val="left" w:pos="720"/>
                    </w:tabs>
                    <w:jc w:val="center"/>
                    <w:rPr>
                      <w:color w:val="auto"/>
                      <w:szCs w:val="21"/>
                    </w:rPr>
                  </w:pPr>
                  <w:r>
                    <w:rPr>
                      <w:color w:val="auto"/>
                      <w:szCs w:val="21"/>
                    </w:rPr>
                    <w:t>手掌大量出汗，指甲变薄，毛发脱落；游离氯可能引起中毒</w:t>
                  </w:r>
                </w:p>
              </w:tc>
            </w:tr>
            <w:tr w14:paraId="7FBAC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1" w:type="pct"/>
                  <w:tcBorders>
                    <w:tl2br w:val="nil"/>
                    <w:tr2bl w:val="nil"/>
                  </w:tcBorders>
                  <w:vAlign w:val="center"/>
                </w:tcPr>
                <w:p w14:paraId="2C4EF54F">
                  <w:pPr>
                    <w:jc w:val="center"/>
                    <w:rPr>
                      <w:b/>
                      <w:bCs/>
                      <w:color w:val="auto"/>
                      <w:szCs w:val="21"/>
                    </w:rPr>
                  </w:pPr>
                  <w:r>
                    <w:rPr>
                      <w:b/>
                      <w:bCs/>
                      <w:color w:val="auto"/>
                      <w:szCs w:val="21"/>
                    </w:rPr>
                    <w:t>危险品运输编号</w:t>
                  </w:r>
                </w:p>
              </w:tc>
              <w:tc>
                <w:tcPr>
                  <w:tcW w:w="1506" w:type="pct"/>
                  <w:tcBorders>
                    <w:tl2br w:val="nil"/>
                    <w:tr2bl w:val="nil"/>
                  </w:tcBorders>
                  <w:vAlign w:val="center"/>
                </w:tcPr>
                <w:p w14:paraId="4F0CBD74">
                  <w:pPr>
                    <w:tabs>
                      <w:tab w:val="left" w:pos="720"/>
                    </w:tabs>
                    <w:jc w:val="center"/>
                    <w:rPr>
                      <w:color w:val="auto"/>
                      <w:szCs w:val="21"/>
                    </w:rPr>
                  </w:pPr>
                  <w:r>
                    <w:rPr>
                      <w:color w:val="auto"/>
                      <w:szCs w:val="21"/>
                    </w:rPr>
                    <w:t>83501-快递禁运</w:t>
                  </w:r>
                </w:p>
              </w:tc>
              <w:tc>
                <w:tcPr>
                  <w:tcW w:w="808" w:type="pct"/>
                  <w:tcBorders>
                    <w:tl2br w:val="nil"/>
                    <w:tr2bl w:val="nil"/>
                  </w:tcBorders>
                  <w:vAlign w:val="center"/>
                </w:tcPr>
                <w:p w14:paraId="69147ED2">
                  <w:pPr>
                    <w:tabs>
                      <w:tab w:val="left" w:pos="720"/>
                    </w:tabs>
                    <w:jc w:val="center"/>
                    <w:rPr>
                      <w:b/>
                      <w:bCs/>
                      <w:color w:val="auto"/>
                      <w:szCs w:val="21"/>
                    </w:rPr>
                  </w:pPr>
                  <w:r>
                    <w:rPr>
                      <w:b/>
                      <w:bCs/>
                      <w:color w:val="auto"/>
                      <w:szCs w:val="21"/>
                    </w:rPr>
                    <w:t>稳定性</w:t>
                  </w:r>
                </w:p>
              </w:tc>
              <w:tc>
                <w:tcPr>
                  <w:tcW w:w="1893" w:type="pct"/>
                  <w:tcBorders>
                    <w:tl2br w:val="nil"/>
                    <w:tr2bl w:val="nil"/>
                  </w:tcBorders>
                  <w:vAlign w:val="center"/>
                </w:tcPr>
                <w:p w14:paraId="54DCDB2D">
                  <w:pPr>
                    <w:tabs>
                      <w:tab w:val="left" w:pos="720"/>
                    </w:tabs>
                    <w:jc w:val="center"/>
                    <w:rPr>
                      <w:color w:val="auto"/>
                      <w:szCs w:val="21"/>
                    </w:rPr>
                  </w:pPr>
                  <w:r>
                    <w:rPr>
                      <w:color w:val="auto"/>
                      <w:szCs w:val="21"/>
                    </w:rPr>
                    <w:t>不稳定</w:t>
                  </w:r>
                </w:p>
              </w:tc>
            </w:tr>
            <w:tr w14:paraId="691B8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1" w:type="pct"/>
                  <w:tcBorders>
                    <w:tl2br w:val="nil"/>
                    <w:tr2bl w:val="nil"/>
                  </w:tcBorders>
                  <w:vAlign w:val="center"/>
                </w:tcPr>
                <w:p w14:paraId="082055F4">
                  <w:pPr>
                    <w:jc w:val="center"/>
                    <w:rPr>
                      <w:b/>
                      <w:bCs/>
                      <w:color w:val="auto"/>
                      <w:szCs w:val="21"/>
                    </w:rPr>
                  </w:pPr>
                  <w:r>
                    <w:rPr>
                      <w:b/>
                      <w:bCs/>
                      <w:color w:val="auto"/>
                      <w:szCs w:val="21"/>
                    </w:rPr>
                    <w:t>储存条件</w:t>
                  </w:r>
                </w:p>
              </w:tc>
              <w:tc>
                <w:tcPr>
                  <w:tcW w:w="1506" w:type="pct"/>
                  <w:tcBorders>
                    <w:tl2br w:val="nil"/>
                    <w:tr2bl w:val="nil"/>
                  </w:tcBorders>
                  <w:vAlign w:val="center"/>
                </w:tcPr>
                <w:p w14:paraId="20D6F6F5">
                  <w:pPr>
                    <w:tabs>
                      <w:tab w:val="left" w:pos="720"/>
                    </w:tabs>
                    <w:jc w:val="center"/>
                    <w:rPr>
                      <w:color w:val="auto"/>
                      <w:szCs w:val="21"/>
                    </w:rPr>
                  </w:pPr>
                  <w:r>
                    <w:rPr>
                      <w:color w:val="auto"/>
                      <w:szCs w:val="21"/>
                    </w:rPr>
                    <w:t>2℃-8℃</w:t>
                  </w:r>
                </w:p>
              </w:tc>
              <w:tc>
                <w:tcPr>
                  <w:tcW w:w="808" w:type="pct"/>
                  <w:tcBorders>
                    <w:tl2br w:val="nil"/>
                    <w:tr2bl w:val="nil"/>
                  </w:tcBorders>
                  <w:vAlign w:val="center"/>
                </w:tcPr>
                <w:p w14:paraId="30E187BC">
                  <w:pPr>
                    <w:tabs>
                      <w:tab w:val="left" w:pos="720"/>
                    </w:tabs>
                    <w:jc w:val="center"/>
                    <w:rPr>
                      <w:b/>
                      <w:bCs/>
                      <w:color w:val="auto"/>
                      <w:szCs w:val="21"/>
                    </w:rPr>
                  </w:pPr>
                </w:p>
              </w:tc>
              <w:tc>
                <w:tcPr>
                  <w:tcW w:w="1893" w:type="pct"/>
                  <w:tcBorders>
                    <w:tl2br w:val="nil"/>
                    <w:tr2bl w:val="nil"/>
                  </w:tcBorders>
                  <w:vAlign w:val="center"/>
                </w:tcPr>
                <w:p w14:paraId="60DAE99F">
                  <w:pPr>
                    <w:tabs>
                      <w:tab w:val="left" w:pos="720"/>
                    </w:tabs>
                    <w:jc w:val="center"/>
                    <w:rPr>
                      <w:color w:val="auto"/>
                      <w:szCs w:val="21"/>
                    </w:rPr>
                  </w:pPr>
                </w:p>
              </w:tc>
            </w:tr>
          </w:tbl>
          <w:p w14:paraId="751B910E">
            <w:pPr>
              <w:spacing w:line="360" w:lineRule="auto"/>
              <w:ind w:left="480"/>
              <w:rPr>
                <w:b/>
                <w:color w:val="auto"/>
                <w:sz w:val="24"/>
              </w:rPr>
            </w:pPr>
            <w:r>
              <w:rPr>
                <w:b/>
                <w:color w:val="auto"/>
                <w:sz w:val="24"/>
              </w:rPr>
              <w:t>5.2环境风险潜势</w:t>
            </w:r>
          </w:p>
          <w:p w14:paraId="154274CA">
            <w:pPr>
              <w:spacing w:line="360" w:lineRule="auto"/>
              <w:ind w:firstLine="480" w:firstLineChars="200"/>
              <w:rPr>
                <w:bCs/>
                <w:color w:val="auto"/>
                <w:sz w:val="24"/>
              </w:rPr>
            </w:pPr>
            <w:r>
              <w:rPr>
                <w:rFonts w:hint="eastAsia" w:ascii="宋体" w:hAnsi="宋体" w:cs="宋体"/>
                <w:bCs/>
                <w:color w:val="auto"/>
                <w:sz w:val="24"/>
              </w:rPr>
              <w:t>①</w:t>
            </w:r>
            <w:r>
              <w:rPr>
                <w:bCs/>
                <w:color w:val="auto"/>
                <w:sz w:val="24"/>
              </w:rPr>
              <w:t>单元内存在的危险化学品为单一品种，则该危险化学品的数量即为单元内危险化学品的总量，若等于或超过相应的临界量，则定为重大危险源。</w:t>
            </w:r>
          </w:p>
          <w:p w14:paraId="60381EE5">
            <w:pPr>
              <w:spacing w:line="360" w:lineRule="auto"/>
              <w:ind w:firstLine="480" w:firstLineChars="200"/>
              <w:rPr>
                <w:bCs/>
                <w:color w:val="auto"/>
                <w:sz w:val="24"/>
              </w:rPr>
            </w:pPr>
            <w:r>
              <w:rPr>
                <w:rFonts w:hint="eastAsia" w:ascii="宋体" w:hAnsi="宋体" w:cs="宋体"/>
                <w:bCs/>
                <w:color w:val="auto"/>
                <w:sz w:val="24"/>
              </w:rPr>
              <w:t>②</w:t>
            </w:r>
            <w:r>
              <w:rPr>
                <w:bCs/>
                <w:color w:val="auto"/>
                <w:sz w:val="24"/>
              </w:rPr>
              <w:t>单元内存在的危险化学品为多品种时，则按式</w:t>
            </w:r>
            <w:r>
              <w:rPr>
                <w:rFonts w:hint="eastAsia" w:ascii="宋体" w:hAnsi="宋体" w:cs="宋体"/>
                <w:bCs/>
                <w:color w:val="auto"/>
                <w:sz w:val="24"/>
              </w:rPr>
              <w:t>①</w:t>
            </w:r>
            <w:r>
              <w:rPr>
                <w:bCs/>
                <w:color w:val="auto"/>
                <w:sz w:val="24"/>
              </w:rPr>
              <w:t>计算，若满足式</w:t>
            </w:r>
            <w:r>
              <w:rPr>
                <w:rFonts w:hint="eastAsia" w:ascii="宋体" w:hAnsi="宋体" w:cs="宋体"/>
                <w:bCs/>
                <w:color w:val="auto"/>
                <w:sz w:val="24"/>
              </w:rPr>
              <w:t>①</w:t>
            </w:r>
            <w:r>
              <w:rPr>
                <w:bCs/>
                <w:color w:val="auto"/>
                <w:sz w:val="24"/>
              </w:rPr>
              <w:t>，则定为重大危险源：</w:t>
            </w:r>
          </w:p>
          <w:p w14:paraId="29330352">
            <w:pPr>
              <w:spacing w:line="360" w:lineRule="auto"/>
              <w:ind w:firstLine="480" w:firstLineChars="200"/>
              <w:rPr>
                <w:bCs/>
                <w:color w:val="auto"/>
                <w:sz w:val="24"/>
              </w:rPr>
            </w:pPr>
            <w:r>
              <w:rPr>
                <w:bCs/>
                <w:color w:val="auto"/>
                <w:sz w:val="24"/>
              </w:rPr>
              <w:t>∑(qi/Qi)≥1……………………………</w:t>
            </w:r>
            <w:r>
              <w:rPr>
                <w:rFonts w:hint="eastAsia" w:ascii="宋体" w:hAnsi="宋体" w:cs="宋体"/>
                <w:bCs/>
                <w:color w:val="auto"/>
                <w:sz w:val="24"/>
              </w:rPr>
              <w:t>①</w:t>
            </w:r>
          </w:p>
          <w:p w14:paraId="09B915DD">
            <w:pPr>
              <w:spacing w:line="360" w:lineRule="auto"/>
              <w:ind w:firstLine="480" w:firstLineChars="200"/>
              <w:rPr>
                <w:bCs/>
                <w:color w:val="auto"/>
                <w:sz w:val="24"/>
              </w:rPr>
            </w:pPr>
            <w:r>
              <w:rPr>
                <w:bCs/>
                <w:color w:val="auto"/>
                <w:sz w:val="24"/>
              </w:rPr>
              <w:t>式中：</w:t>
            </w:r>
          </w:p>
          <w:p w14:paraId="0FA50084">
            <w:pPr>
              <w:spacing w:line="360" w:lineRule="auto"/>
              <w:ind w:firstLine="480" w:firstLineChars="200"/>
              <w:rPr>
                <w:bCs/>
                <w:color w:val="auto"/>
                <w:sz w:val="24"/>
              </w:rPr>
            </w:pPr>
            <w:r>
              <w:rPr>
                <w:bCs/>
                <w:color w:val="auto"/>
                <w:sz w:val="24"/>
              </w:rPr>
              <w:t>qi——每种危险化学品实际存在量，单位为吨（t）；</w:t>
            </w:r>
          </w:p>
          <w:p w14:paraId="786503CA">
            <w:pPr>
              <w:spacing w:line="360" w:lineRule="auto"/>
              <w:ind w:firstLine="480" w:firstLineChars="200"/>
              <w:rPr>
                <w:bCs/>
                <w:color w:val="auto"/>
                <w:sz w:val="24"/>
              </w:rPr>
            </w:pPr>
            <w:r>
              <w:rPr>
                <w:bCs/>
                <w:color w:val="auto"/>
                <w:sz w:val="24"/>
              </w:rPr>
              <w:t>Qi——与各危险化学品相对应的临界量，单位为吨（t）。</w:t>
            </w:r>
          </w:p>
          <w:p w14:paraId="5F26AC44">
            <w:pPr>
              <w:spacing w:line="360" w:lineRule="auto"/>
              <w:ind w:firstLine="480" w:firstLineChars="200"/>
              <w:rPr>
                <w:color w:val="auto"/>
                <w:sz w:val="24"/>
              </w:rPr>
            </w:pPr>
            <w:r>
              <w:rPr>
                <w:bCs/>
                <w:color w:val="auto"/>
                <w:sz w:val="24"/>
              </w:rPr>
              <w:t>分析建设项目生产、使用、储存过程中涉及的有毒有害、易燃易爆物质，参见附录B 确定危险物质的临界量。定量分析危险物质数量与临界量的比值（Q）和所属行业及生产工艺特点（M），按附录C 对危险物质及工艺系统危险性（P）等级进行判断。</w:t>
            </w:r>
          </w:p>
          <w:p w14:paraId="2EC5D164">
            <w:pPr>
              <w:ind w:firstLine="422" w:firstLineChars="200"/>
              <w:jc w:val="center"/>
              <w:rPr>
                <w:b/>
                <w:color w:val="auto"/>
                <w:sz w:val="18"/>
                <w:szCs w:val="21"/>
              </w:rPr>
            </w:pPr>
            <w:r>
              <w:rPr>
                <w:b/>
                <w:color w:val="auto"/>
                <w:szCs w:val="21"/>
              </w:rPr>
              <w:t>表</w:t>
            </w:r>
            <w:r>
              <w:rPr>
                <w:rFonts w:hint="eastAsia"/>
                <w:b/>
                <w:color w:val="auto"/>
                <w:szCs w:val="21"/>
              </w:rPr>
              <w:t>4-1</w:t>
            </w:r>
            <w:r>
              <w:rPr>
                <w:rFonts w:hint="eastAsia"/>
                <w:b/>
                <w:color w:val="auto"/>
                <w:szCs w:val="21"/>
                <w:lang w:val="en-US" w:eastAsia="zh-CN"/>
              </w:rPr>
              <w:t>4</w:t>
            </w:r>
            <w:r>
              <w:rPr>
                <w:b/>
                <w:color w:val="auto"/>
                <w:szCs w:val="21"/>
              </w:rPr>
              <w:t xml:space="preserve">   项目危险物质名称及临界量</w:t>
            </w:r>
          </w:p>
          <w:tbl>
            <w:tblPr>
              <w:tblStyle w:val="3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9"/>
              <w:gridCol w:w="1989"/>
              <w:gridCol w:w="1672"/>
              <w:gridCol w:w="2342"/>
              <w:gridCol w:w="873"/>
            </w:tblGrid>
            <w:tr w14:paraId="2A53F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21" w:type="pct"/>
                  <w:tcBorders>
                    <w:tl2br w:val="nil"/>
                    <w:tr2bl w:val="nil"/>
                  </w:tcBorders>
                  <w:vAlign w:val="center"/>
                </w:tcPr>
                <w:p w14:paraId="283D8CE3">
                  <w:pPr>
                    <w:jc w:val="center"/>
                    <w:rPr>
                      <w:b/>
                      <w:color w:val="auto"/>
                      <w:szCs w:val="21"/>
                    </w:rPr>
                  </w:pPr>
                  <w:r>
                    <w:rPr>
                      <w:b/>
                      <w:color w:val="auto"/>
                      <w:szCs w:val="21"/>
                    </w:rPr>
                    <w:t>CAS号</w:t>
                  </w:r>
                </w:p>
              </w:tc>
              <w:tc>
                <w:tcPr>
                  <w:tcW w:w="1237" w:type="pct"/>
                  <w:tcBorders>
                    <w:tl2br w:val="nil"/>
                    <w:tr2bl w:val="nil"/>
                  </w:tcBorders>
                  <w:vAlign w:val="center"/>
                </w:tcPr>
                <w:p w14:paraId="5756603B">
                  <w:pPr>
                    <w:jc w:val="center"/>
                    <w:rPr>
                      <w:b/>
                      <w:color w:val="auto"/>
                      <w:szCs w:val="21"/>
                    </w:rPr>
                  </w:pPr>
                  <w:r>
                    <w:rPr>
                      <w:b/>
                      <w:color w:val="auto"/>
                      <w:szCs w:val="21"/>
                    </w:rPr>
                    <w:t>危险化学品名称</w:t>
                  </w:r>
                </w:p>
              </w:tc>
              <w:tc>
                <w:tcPr>
                  <w:tcW w:w="1040" w:type="pct"/>
                  <w:tcBorders>
                    <w:tl2br w:val="nil"/>
                    <w:tr2bl w:val="nil"/>
                  </w:tcBorders>
                  <w:vAlign w:val="center"/>
                </w:tcPr>
                <w:p w14:paraId="29E7ADF0">
                  <w:pPr>
                    <w:jc w:val="center"/>
                    <w:rPr>
                      <w:b/>
                      <w:color w:val="auto"/>
                      <w:szCs w:val="21"/>
                    </w:rPr>
                  </w:pPr>
                  <w:r>
                    <w:rPr>
                      <w:b/>
                      <w:color w:val="auto"/>
                      <w:szCs w:val="21"/>
                    </w:rPr>
                    <w:t>临界量Q（t）</w:t>
                  </w:r>
                </w:p>
              </w:tc>
              <w:tc>
                <w:tcPr>
                  <w:tcW w:w="1457" w:type="pct"/>
                  <w:tcBorders>
                    <w:tl2br w:val="nil"/>
                    <w:tr2bl w:val="nil"/>
                  </w:tcBorders>
                  <w:vAlign w:val="center"/>
                </w:tcPr>
                <w:p w14:paraId="15657835">
                  <w:pPr>
                    <w:jc w:val="center"/>
                    <w:rPr>
                      <w:b/>
                      <w:color w:val="auto"/>
                      <w:szCs w:val="21"/>
                    </w:rPr>
                  </w:pPr>
                  <w:r>
                    <w:rPr>
                      <w:b/>
                      <w:color w:val="auto"/>
                      <w:szCs w:val="21"/>
                    </w:rPr>
                    <w:t>最大实际储量q（t）</w:t>
                  </w:r>
                </w:p>
              </w:tc>
              <w:tc>
                <w:tcPr>
                  <w:tcW w:w="543" w:type="pct"/>
                  <w:tcBorders>
                    <w:tl2br w:val="nil"/>
                    <w:tr2bl w:val="nil"/>
                  </w:tcBorders>
                  <w:vAlign w:val="center"/>
                </w:tcPr>
                <w:p w14:paraId="5D618E9B">
                  <w:pPr>
                    <w:jc w:val="center"/>
                    <w:rPr>
                      <w:b/>
                      <w:color w:val="auto"/>
                      <w:szCs w:val="21"/>
                    </w:rPr>
                  </w:pPr>
                  <w:r>
                    <w:rPr>
                      <w:b/>
                      <w:color w:val="auto"/>
                      <w:szCs w:val="21"/>
                    </w:rPr>
                    <w:t>q/Q</w:t>
                  </w:r>
                </w:p>
              </w:tc>
            </w:tr>
            <w:tr w14:paraId="31D12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721" w:type="pct"/>
                  <w:tcBorders>
                    <w:tl2br w:val="nil"/>
                    <w:tr2bl w:val="nil"/>
                  </w:tcBorders>
                  <w:vAlign w:val="center"/>
                </w:tcPr>
                <w:p w14:paraId="5BBC5347">
                  <w:pPr>
                    <w:jc w:val="center"/>
                    <w:rPr>
                      <w:color w:val="auto"/>
                      <w:szCs w:val="21"/>
                    </w:rPr>
                  </w:pPr>
                  <w:r>
                    <w:rPr>
                      <w:color w:val="auto"/>
                      <w:szCs w:val="21"/>
                    </w:rPr>
                    <w:t>7681-52-9</w:t>
                  </w:r>
                </w:p>
              </w:tc>
              <w:tc>
                <w:tcPr>
                  <w:tcW w:w="1237" w:type="pct"/>
                  <w:tcBorders>
                    <w:tl2br w:val="nil"/>
                    <w:tr2bl w:val="nil"/>
                  </w:tcBorders>
                  <w:vAlign w:val="center"/>
                </w:tcPr>
                <w:p w14:paraId="1C4BF0C1">
                  <w:pPr>
                    <w:pStyle w:val="170"/>
                    <w:spacing w:line="240" w:lineRule="auto"/>
                    <w:ind w:right="-105" w:rightChars="-50"/>
                    <w:jc w:val="center"/>
                    <w:rPr>
                      <w:color w:val="auto"/>
                      <w:kern w:val="2"/>
                      <w:sz w:val="21"/>
                      <w:szCs w:val="21"/>
                    </w:rPr>
                  </w:pPr>
                  <w:r>
                    <w:rPr>
                      <w:color w:val="auto"/>
                      <w:kern w:val="2"/>
                      <w:sz w:val="21"/>
                      <w:szCs w:val="21"/>
                    </w:rPr>
                    <w:t>次氯酸钠</w:t>
                  </w:r>
                </w:p>
              </w:tc>
              <w:tc>
                <w:tcPr>
                  <w:tcW w:w="1040" w:type="pct"/>
                  <w:tcBorders>
                    <w:tl2br w:val="nil"/>
                    <w:tr2bl w:val="nil"/>
                  </w:tcBorders>
                  <w:vAlign w:val="center"/>
                </w:tcPr>
                <w:p w14:paraId="381DD8E9">
                  <w:pPr>
                    <w:jc w:val="center"/>
                    <w:rPr>
                      <w:color w:val="auto"/>
                      <w:szCs w:val="21"/>
                    </w:rPr>
                  </w:pPr>
                  <w:r>
                    <w:rPr>
                      <w:color w:val="auto"/>
                      <w:szCs w:val="21"/>
                    </w:rPr>
                    <w:t>5</w:t>
                  </w:r>
                </w:p>
              </w:tc>
              <w:tc>
                <w:tcPr>
                  <w:tcW w:w="1457" w:type="pct"/>
                  <w:tcBorders>
                    <w:tl2br w:val="nil"/>
                    <w:tr2bl w:val="nil"/>
                  </w:tcBorders>
                  <w:vAlign w:val="center"/>
                </w:tcPr>
                <w:p w14:paraId="5E48DDB2">
                  <w:pPr>
                    <w:jc w:val="center"/>
                    <w:rPr>
                      <w:color w:val="auto"/>
                      <w:szCs w:val="21"/>
                    </w:rPr>
                  </w:pPr>
                  <w:r>
                    <w:rPr>
                      <w:color w:val="auto"/>
                      <w:szCs w:val="21"/>
                    </w:rPr>
                    <w:t>0.4</w:t>
                  </w:r>
                </w:p>
              </w:tc>
              <w:tc>
                <w:tcPr>
                  <w:tcW w:w="543" w:type="pct"/>
                  <w:tcBorders>
                    <w:tl2br w:val="nil"/>
                    <w:tr2bl w:val="nil"/>
                  </w:tcBorders>
                </w:tcPr>
                <w:p w14:paraId="2A8348DF">
                  <w:pPr>
                    <w:jc w:val="center"/>
                    <w:rPr>
                      <w:color w:val="auto"/>
                      <w:szCs w:val="21"/>
                    </w:rPr>
                  </w:pPr>
                  <w:r>
                    <w:rPr>
                      <w:color w:val="auto"/>
                      <w:szCs w:val="21"/>
                    </w:rPr>
                    <w:t>0.08</w:t>
                  </w:r>
                </w:p>
              </w:tc>
            </w:tr>
          </w:tbl>
          <w:p w14:paraId="611C3FC5">
            <w:pPr>
              <w:spacing w:line="360" w:lineRule="auto"/>
              <w:ind w:firstLine="480" w:firstLineChars="200"/>
              <w:rPr>
                <w:bCs/>
                <w:color w:val="auto"/>
                <w:sz w:val="24"/>
              </w:rPr>
            </w:pPr>
            <w:r>
              <w:rPr>
                <w:bCs/>
                <w:color w:val="auto"/>
                <w:sz w:val="24"/>
              </w:rPr>
              <w:t>经计算：Q=q1/Q1+q2/Q2+qn/Qn=0.08&lt;1，项目站内q/Q值为0.08小于1，当Q＜1时，该项目环境风险潜势为Ⅰ。</w:t>
            </w:r>
          </w:p>
          <w:p w14:paraId="18806F9F">
            <w:pPr>
              <w:spacing w:line="360" w:lineRule="auto"/>
              <w:ind w:firstLine="482" w:firstLineChars="200"/>
              <w:rPr>
                <w:b/>
                <w:color w:val="auto"/>
                <w:sz w:val="24"/>
              </w:rPr>
            </w:pPr>
            <w:r>
              <w:rPr>
                <w:b/>
                <w:color w:val="auto"/>
                <w:sz w:val="24"/>
              </w:rPr>
              <w:t>5.3风险评价等级</w:t>
            </w:r>
          </w:p>
          <w:p w14:paraId="4F74F2E1">
            <w:pPr>
              <w:spacing w:line="360" w:lineRule="auto"/>
              <w:ind w:firstLine="480" w:firstLineChars="200"/>
              <w:rPr>
                <w:bCs/>
                <w:color w:val="auto"/>
                <w:sz w:val="24"/>
              </w:rPr>
            </w:pPr>
            <w:r>
              <w:rPr>
                <w:bCs/>
                <w:color w:val="auto"/>
                <w:sz w:val="24"/>
              </w:rPr>
              <w:t>《建设项目环境风险评价技术导则》(HJ169-2018)中推荐的环境风险划分依据见下表。</w:t>
            </w:r>
          </w:p>
          <w:p w14:paraId="3F6E6D7E">
            <w:pPr>
              <w:ind w:firstLine="156" w:firstLineChars="74"/>
              <w:jc w:val="center"/>
              <w:textAlignment w:val="bottom"/>
              <w:rPr>
                <w:b/>
                <w:color w:val="auto"/>
                <w:sz w:val="18"/>
                <w:szCs w:val="21"/>
              </w:rPr>
            </w:pPr>
            <w:r>
              <w:rPr>
                <w:b/>
                <w:color w:val="auto"/>
                <w:szCs w:val="21"/>
              </w:rPr>
              <w:t>表</w:t>
            </w:r>
            <w:r>
              <w:rPr>
                <w:rFonts w:hint="eastAsia"/>
                <w:b/>
                <w:color w:val="auto"/>
                <w:szCs w:val="21"/>
              </w:rPr>
              <w:t>4-1</w:t>
            </w:r>
            <w:r>
              <w:rPr>
                <w:rFonts w:hint="eastAsia"/>
                <w:b/>
                <w:color w:val="auto"/>
                <w:szCs w:val="21"/>
                <w:lang w:val="en-US" w:eastAsia="zh-CN"/>
              </w:rPr>
              <w:t>5</w:t>
            </w:r>
            <w:r>
              <w:rPr>
                <w:b/>
                <w:color w:val="auto"/>
                <w:szCs w:val="21"/>
              </w:rPr>
              <w:t xml:space="preserve"> </w:t>
            </w:r>
            <w:r>
              <w:rPr>
                <w:rFonts w:hint="eastAsia"/>
                <w:b/>
                <w:color w:val="auto"/>
                <w:szCs w:val="21"/>
              </w:rPr>
              <w:t xml:space="preserve"> </w:t>
            </w:r>
            <w:r>
              <w:rPr>
                <w:b/>
                <w:color w:val="auto"/>
                <w:szCs w:val="21"/>
              </w:rPr>
              <w:t>环境风险评价等级划分依据一览表</w:t>
            </w:r>
          </w:p>
          <w:tbl>
            <w:tblPr>
              <w:tblStyle w:val="31"/>
              <w:tblW w:w="4997"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04"/>
              <w:gridCol w:w="1417"/>
              <w:gridCol w:w="1629"/>
              <w:gridCol w:w="1629"/>
              <w:gridCol w:w="1854"/>
            </w:tblGrid>
            <w:tr w14:paraId="606C8C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 w:hRule="atLeast"/>
              </w:trPr>
              <w:tc>
                <w:tcPr>
                  <w:tcW w:w="936" w:type="pct"/>
                  <w:tcBorders>
                    <w:tl2br w:val="nil"/>
                    <w:tr2bl w:val="nil"/>
                  </w:tcBorders>
                  <w:vAlign w:val="center"/>
                </w:tcPr>
                <w:p w14:paraId="415496AE">
                  <w:pPr>
                    <w:autoSpaceDE w:val="0"/>
                    <w:autoSpaceDN w:val="0"/>
                    <w:spacing w:before="60" w:line="234" w:lineRule="exact"/>
                    <w:ind w:left="287" w:right="32" w:hanging="188"/>
                    <w:jc w:val="center"/>
                    <w:rPr>
                      <w:b/>
                      <w:bCs/>
                      <w:color w:val="auto"/>
                      <w:szCs w:val="21"/>
                    </w:rPr>
                  </w:pPr>
                  <w:r>
                    <w:rPr>
                      <w:b/>
                      <w:bCs/>
                      <w:color w:val="auto"/>
                      <w:szCs w:val="21"/>
                    </w:rPr>
                    <w:t>环境风险潜势</w:t>
                  </w:r>
                </w:p>
              </w:tc>
              <w:tc>
                <w:tcPr>
                  <w:tcW w:w="882" w:type="pct"/>
                  <w:tcBorders>
                    <w:tl2br w:val="nil"/>
                    <w:tr2bl w:val="nil"/>
                  </w:tcBorders>
                  <w:vAlign w:val="center"/>
                </w:tcPr>
                <w:p w14:paraId="090EC3D5">
                  <w:pPr>
                    <w:autoSpaceDE w:val="0"/>
                    <w:autoSpaceDN w:val="0"/>
                    <w:spacing w:before="60" w:line="234" w:lineRule="exact"/>
                    <w:ind w:left="287" w:right="32" w:hanging="188"/>
                    <w:jc w:val="center"/>
                    <w:rPr>
                      <w:color w:val="auto"/>
                      <w:szCs w:val="21"/>
                    </w:rPr>
                  </w:pPr>
                  <w:r>
                    <w:rPr>
                      <w:color w:val="auto"/>
                      <w:szCs w:val="21"/>
                    </w:rPr>
                    <w:t>Ⅳ、Ⅳ+</w:t>
                  </w:r>
                </w:p>
              </w:tc>
              <w:tc>
                <w:tcPr>
                  <w:tcW w:w="1014" w:type="pct"/>
                  <w:tcBorders>
                    <w:tl2br w:val="nil"/>
                    <w:tr2bl w:val="nil"/>
                  </w:tcBorders>
                  <w:vAlign w:val="center"/>
                </w:tcPr>
                <w:p w14:paraId="502B728F">
                  <w:pPr>
                    <w:autoSpaceDE w:val="0"/>
                    <w:autoSpaceDN w:val="0"/>
                    <w:spacing w:before="60" w:line="234" w:lineRule="exact"/>
                    <w:ind w:left="287" w:right="32" w:hanging="188"/>
                    <w:jc w:val="center"/>
                    <w:rPr>
                      <w:color w:val="auto"/>
                      <w:szCs w:val="21"/>
                    </w:rPr>
                  </w:pPr>
                  <w:r>
                    <w:rPr>
                      <w:color w:val="auto"/>
                      <w:szCs w:val="21"/>
                    </w:rPr>
                    <w:t>Ⅲ</w:t>
                  </w:r>
                </w:p>
              </w:tc>
              <w:tc>
                <w:tcPr>
                  <w:tcW w:w="1014" w:type="pct"/>
                  <w:tcBorders>
                    <w:tl2br w:val="nil"/>
                    <w:tr2bl w:val="nil"/>
                  </w:tcBorders>
                  <w:vAlign w:val="center"/>
                </w:tcPr>
                <w:p w14:paraId="6808AE87">
                  <w:pPr>
                    <w:autoSpaceDE w:val="0"/>
                    <w:autoSpaceDN w:val="0"/>
                    <w:spacing w:before="60" w:line="234" w:lineRule="exact"/>
                    <w:ind w:left="287" w:right="32" w:hanging="188"/>
                    <w:jc w:val="center"/>
                    <w:rPr>
                      <w:color w:val="auto"/>
                      <w:szCs w:val="21"/>
                    </w:rPr>
                  </w:pPr>
                  <w:r>
                    <w:rPr>
                      <w:color w:val="auto"/>
                      <w:szCs w:val="21"/>
                    </w:rPr>
                    <w:t>Ⅱ</w:t>
                  </w:r>
                </w:p>
              </w:tc>
              <w:tc>
                <w:tcPr>
                  <w:tcW w:w="1150" w:type="pct"/>
                  <w:tcBorders>
                    <w:tl2br w:val="nil"/>
                    <w:tr2bl w:val="nil"/>
                  </w:tcBorders>
                  <w:vAlign w:val="center"/>
                </w:tcPr>
                <w:p w14:paraId="1BCCB567">
                  <w:pPr>
                    <w:autoSpaceDE w:val="0"/>
                    <w:autoSpaceDN w:val="0"/>
                    <w:spacing w:before="60" w:line="234" w:lineRule="exact"/>
                    <w:ind w:left="287" w:right="32" w:hanging="188"/>
                    <w:jc w:val="center"/>
                    <w:rPr>
                      <w:color w:val="auto"/>
                      <w:szCs w:val="21"/>
                    </w:rPr>
                  </w:pPr>
                  <w:r>
                    <w:rPr>
                      <w:color w:val="auto"/>
                      <w:szCs w:val="21"/>
                    </w:rPr>
                    <w:t>Ⅰ</w:t>
                  </w:r>
                </w:p>
              </w:tc>
            </w:tr>
            <w:tr w14:paraId="170983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 w:hRule="atLeast"/>
              </w:trPr>
              <w:tc>
                <w:tcPr>
                  <w:tcW w:w="936" w:type="pct"/>
                  <w:tcBorders>
                    <w:tl2br w:val="nil"/>
                    <w:tr2bl w:val="nil"/>
                  </w:tcBorders>
                  <w:vAlign w:val="center"/>
                </w:tcPr>
                <w:p w14:paraId="444452FE">
                  <w:pPr>
                    <w:autoSpaceDE w:val="0"/>
                    <w:autoSpaceDN w:val="0"/>
                    <w:spacing w:before="60" w:line="234" w:lineRule="exact"/>
                    <w:ind w:left="287" w:right="32" w:hanging="188"/>
                    <w:jc w:val="center"/>
                    <w:rPr>
                      <w:b/>
                      <w:bCs/>
                      <w:color w:val="auto"/>
                      <w:szCs w:val="21"/>
                    </w:rPr>
                  </w:pPr>
                  <w:r>
                    <w:rPr>
                      <w:b/>
                      <w:bCs/>
                      <w:color w:val="auto"/>
                      <w:szCs w:val="21"/>
                    </w:rPr>
                    <w:t>评价工作等级</w:t>
                  </w:r>
                </w:p>
              </w:tc>
              <w:tc>
                <w:tcPr>
                  <w:tcW w:w="882" w:type="pct"/>
                  <w:tcBorders>
                    <w:tl2br w:val="nil"/>
                    <w:tr2bl w:val="nil"/>
                  </w:tcBorders>
                  <w:vAlign w:val="center"/>
                </w:tcPr>
                <w:p w14:paraId="332CD1BD">
                  <w:pPr>
                    <w:autoSpaceDE w:val="0"/>
                    <w:autoSpaceDN w:val="0"/>
                    <w:spacing w:before="60" w:line="234" w:lineRule="exact"/>
                    <w:ind w:left="287" w:right="32" w:hanging="188"/>
                    <w:jc w:val="center"/>
                    <w:rPr>
                      <w:color w:val="auto"/>
                      <w:szCs w:val="21"/>
                    </w:rPr>
                  </w:pPr>
                  <w:r>
                    <w:rPr>
                      <w:color w:val="auto"/>
                      <w:szCs w:val="21"/>
                    </w:rPr>
                    <w:t>一</w:t>
                  </w:r>
                </w:p>
              </w:tc>
              <w:tc>
                <w:tcPr>
                  <w:tcW w:w="1014" w:type="pct"/>
                  <w:tcBorders>
                    <w:tl2br w:val="nil"/>
                    <w:tr2bl w:val="nil"/>
                  </w:tcBorders>
                  <w:vAlign w:val="center"/>
                </w:tcPr>
                <w:p w14:paraId="0D8F66C5">
                  <w:pPr>
                    <w:autoSpaceDE w:val="0"/>
                    <w:autoSpaceDN w:val="0"/>
                    <w:spacing w:before="60" w:line="234" w:lineRule="exact"/>
                    <w:ind w:left="287" w:right="32" w:hanging="188"/>
                    <w:jc w:val="center"/>
                    <w:rPr>
                      <w:color w:val="auto"/>
                      <w:szCs w:val="21"/>
                    </w:rPr>
                  </w:pPr>
                  <w:r>
                    <w:rPr>
                      <w:color w:val="auto"/>
                      <w:szCs w:val="21"/>
                    </w:rPr>
                    <w:t>二</w:t>
                  </w:r>
                </w:p>
              </w:tc>
              <w:tc>
                <w:tcPr>
                  <w:tcW w:w="1014" w:type="pct"/>
                  <w:tcBorders>
                    <w:tl2br w:val="nil"/>
                    <w:tr2bl w:val="nil"/>
                  </w:tcBorders>
                  <w:vAlign w:val="center"/>
                </w:tcPr>
                <w:p w14:paraId="752D9C18">
                  <w:pPr>
                    <w:autoSpaceDE w:val="0"/>
                    <w:autoSpaceDN w:val="0"/>
                    <w:spacing w:before="60" w:line="234" w:lineRule="exact"/>
                    <w:ind w:left="287" w:right="32" w:hanging="188"/>
                    <w:jc w:val="center"/>
                    <w:rPr>
                      <w:color w:val="auto"/>
                      <w:szCs w:val="21"/>
                    </w:rPr>
                  </w:pPr>
                  <w:r>
                    <w:rPr>
                      <w:color w:val="auto"/>
                      <w:szCs w:val="21"/>
                    </w:rPr>
                    <w:t>三</w:t>
                  </w:r>
                </w:p>
              </w:tc>
              <w:tc>
                <w:tcPr>
                  <w:tcW w:w="1150" w:type="pct"/>
                  <w:tcBorders>
                    <w:tl2br w:val="nil"/>
                    <w:tr2bl w:val="nil"/>
                  </w:tcBorders>
                  <w:vAlign w:val="center"/>
                </w:tcPr>
                <w:p w14:paraId="5C18919D">
                  <w:pPr>
                    <w:autoSpaceDE w:val="0"/>
                    <w:autoSpaceDN w:val="0"/>
                    <w:spacing w:before="60" w:line="234" w:lineRule="exact"/>
                    <w:ind w:left="287" w:right="32" w:hanging="188"/>
                    <w:jc w:val="center"/>
                    <w:rPr>
                      <w:color w:val="auto"/>
                      <w:szCs w:val="21"/>
                    </w:rPr>
                  </w:pPr>
                  <w:r>
                    <w:rPr>
                      <w:color w:val="auto"/>
                      <w:szCs w:val="21"/>
                    </w:rPr>
                    <w:t>简单分析 a</w:t>
                  </w:r>
                </w:p>
              </w:tc>
            </w:tr>
            <w:tr w14:paraId="1BD733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 w:hRule="atLeast"/>
              </w:trPr>
              <w:tc>
                <w:tcPr>
                  <w:tcW w:w="5000" w:type="pct"/>
                  <w:gridSpan w:val="5"/>
                  <w:tcBorders>
                    <w:tl2br w:val="nil"/>
                    <w:tr2bl w:val="nil"/>
                  </w:tcBorders>
                  <w:vAlign w:val="center"/>
                </w:tcPr>
                <w:p w14:paraId="7DA0A65F">
                  <w:pPr>
                    <w:autoSpaceDE w:val="0"/>
                    <w:autoSpaceDN w:val="0"/>
                    <w:spacing w:before="60"/>
                    <w:ind w:left="287" w:right="32" w:hanging="188"/>
                    <w:jc w:val="center"/>
                    <w:rPr>
                      <w:color w:val="auto"/>
                      <w:szCs w:val="21"/>
                    </w:rPr>
                  </w:pPr>
                  <w:r>
                    <w:rPr>
                      <w:color w:val="auto"/>
                      <w:szCs w:val="21"/>
                    </w:rPr>
                    <w:t>a    是相对于详细评价工作内容而言，在描述危险物质、环境影响途径、环境危害后果、风险防范措施等方面给出定性的说明。见附录 A。</w:t>
                  </w:r>
                </w:p>
              </w:tc>
            </w:tr>
          </w:tbl>
          <w:p w14:paraId="53D0E82E">
            <w:pPr>
              <w:spacing w:line="360" w:lineRule="auto"/>
              <w:ind w:firstLine="480" w:firstLineChars="200"/>
              <w:rPr>
                <w:color w:val="auto"/>
                <w:sz w:val="24"/>
              </w:rPr>
            </w:pPr>
            <w:r>
              <w:rPr>
                <w:color w:val="auto"/>
                <w:sz w:val="24"/>
              </w:rPr>
              <w:t>根据风险评价章节可知，</w:t>
            </w:r>
            <w:r>
              <w:rPr>
                <w:bCs/>
                <w:color w:val="auto"/>
                <w:sz w:val="24"/>
              </w:rPr>
              <w:t>Q＜1时，</w:t>
            </w:r>
            <w:r>
              <w:rPr>
                <w:color w:val="auto"/>
                <w:sz w:val="24"/>
              </w:rPr>
              <w:t>本项目环境风险潜势为I，按照《建设项目环境风险评价技术导则》（HJ 169-2018）附录A要求，</w:t>
            </w:r>
            <w:r>
              <w:rPr>
                <w:rFonts w:hint="eastAsia"/>
                <w:color w:val="auto"/>
                <w:sz w:val="24"/>
                <w:lang w:eastAsia="zh-CN"/>
              </w:rPr>
              <w:t>进行</w:t>
            </w:r>
            <w:r>
              <w:rPr>
                <w:color w:val="auto"/>
                <w:sz w:val="24"/>
              </w:rPr>
              <w:t>简单分析，只对描述危险物质、环境影响途径、环境危害后果、风险防范措施等方面给出定性说明。</w:t>
            </w:r>
          </w:p>
          <w:p w14:paraId="103FAF93">
            <w:pPr>
              <w:spacing w:line="360" w:lineRule="auto"/>
              <w:ind w:firstLine="482" w:firstLineChars="200"/>
              <w:rPr>
                <w:b/>
                <w:bCs/>
                <w:color w:val="auto"/>
                <w:sz w:val="24"/>
              </w:rPr>
            </w:pPr>
            <w:r>
              <w:rPr>
                <w:b/>
                <w:bCs/>
                <w:color w:val="auto"/>
                <w:sz w:val="24"/>
              </w:rPr>
              <w:t>5.4环境风险分析</w:t>
            </w:r>
          </w:p>
          <w:p w14:paraId="7D4415A4">
            <w:pPr>
              <w:spacing w:line="360" w:lineRule="auto"/>
              <w:ind w:firstLine="480" w:firstLineChars="200"/>
              <w:rPr>
                <w:color w:val="auto"/>
                <w:sz w:val="24"/>
              </w:rPr>
            </w:pPr>
            <w:r>
              <w:rPr>
                <w:color w:val="auto"/>
                <w:sz w:val="24"/>
              </w:rPr>
              <w:t>根据《建设项目环境风险评价技术导则》（HJ 169-2018）附录A，简单分析按照表A.1填写简单分析表，见下表所示。</w:t>
            </w:r>
          </w:p>
          <w:p w14:paraId="60BBABB4">
            <w:pPr>
              <w:pStyle w:val="171"/>
              <w:rPr>
                <w:rFonts w:cs="Times New Roman"/>
                <w:color w:val="auto"/>
                <w:sz w:val="21"/>
                <w:szCs w:val="20"/>
              </w:rPr>
            </w:pPr>
            <w:r>
              <w:rPr>
                <w:rFonts w:cs="Times New Roman"/>
                <w:color w:val="auto"/>
                <w:sz w:val="21"/>
                <w:szCs w:val="20"/>
              </w:rPr>
              <w:t>表</w:t>
            </w:r>
            <w:r>
              <w:rPr>
                <w:rFonts w:hint="eastAsia" w:cs="Times New Roman"/>
                <w:color w:val="auto"/>
                <w:sz w:val="21"/>
                <w:szCs w:val="20"/>
              </w:rPr>
              <w:t>4-1</w:t>
            </w:r>
            <w:r>
              <w:rPr>
                <w:rFonts w:hint="eastAsia" w:cs="Times New Roman"/>
                <w:color w:val="auto"/>
                <w:sz w:val="21"/>
                <w:szCs w:val="20"/>
                <w:lang w:val="en-US" w:eastAsia="zh-CN"/>
              </w:rPr>
              <w:t>6</w:t>
            </w:r>
            <w:r>
              <w:rPr>
                <w:rFonts w:cs="Times New Roman"/>
                <w:color w:val="auto"/>
                <w:sz w:val="21"/>
                <w:szCs w:val="20"/>
              </w:rPr>
              <w:t xml:space="preserve">  建设项目环境风险简单分析内容表</w:t>
            </w:r>
          </w:p>
          <w:tbl>
            <w:tblPr>
              <w:tblStyle w:val="3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30"/>
              <w:gridCol w:w="898"/>
              <w:gridCol w:w="2128"/>
              <w:gridCol w:w="673"/>
              <w:gridCol w:w="2406"/>
            </w:tblGrid>
            <w:tr w14:paraId="75070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201" w:type="pct"/>
                  <w:tcBorders>
                    <w:tl2br w:val="nil"/>
                    <w:tr2bl w:val="nil"/>
                  </w:tcBorders>
                  <w:vAlign w:val="center"/>
                </w:tcPr>
                <w:p w14:paraId="34A775AE">
                  <w:pPr>
                    <w:pStyle w:val="169"/>
                    <w:rPr>
                      <w:b/>
                      <w:bCs/>
                      <w:color w:val="auto"/>
                    </w:rPr>
                  </w:pPr>
                  <w:r>
                    <w:rPr>
                      <w:b/>
                      <w:bCs/>
                      <w:color w:val="auto"/>
                    </w:rPr>
                    <w:t>建设项目名称</w:t>
                  </w:r>
                </w:p>
              </w:tc>
              <w:tc>
                <w:tcPr>
                  <w:tcW w:w="3798" w:type="pct"/>
                  <w:gridSpan w:val="4"/>
                  <w:tcBorders>
                    <w:tl2br w:val="nil"/>
                    <w:tr2bl w:val="nil"/>
                  </w:tcBorders>
                  <w:vAlign w:val="center"/>
                </w:tcPr>
                <w:p w14:paraId="4739400A">
                  <w:pPr>
                    <w:pStyle w:val="169"/>
                    <w:rPr>
                      <w:rFonts w:hint="eastAsia" w:eastAsia="宋体"/>
                      <w:color w:val="auto"/>
                      <w:sz w:val="18"/>
                      <w:szCs w:val="20"/>
                      <w:lang w:eastAsia="zh-CN"/>
                    </w:rPr>
                  </w:pPr>
                  <w:r>
                    <w:rPr>
                      <w:rFonts w:hint="eastAsia"/>
                      <w:color w:val="auto"/>
                      <w:szCs w:val="20"/>
                      <w:lang w:eastAsia="zh-CN"/>
                    </w:rPr>
                    <w:t>镶黄旗翁贡乌拉苏木查干淖尔嘎集体经济办的牛羊肉深加工(预</w:t>
                  </w:r>
                  <w:r>
                    <w:rPr>
                      <w:rFonts w:hint="eastAsia"/>
                      <w:color w:val="auto"/>
                      <w:szCs w:val="20"/>
                      <w:lang w:val="en-US" w:eastAsia="zh-CN"/>
                    </w:rPr>
                    <w:t>制</w:t>
                  </w:r>
                  <w:r>
                    <w:rPr>
                      <w:rFonts w:hint="eastAsia"/>
                      <w:color w:val="auto"/>
                      <w:szCs w:val="20"/>
                      <w:lang w:eastAsia="zh-CN"/>
                    </w:rPr>
                    <w:t>菜)项目</w:t>
                  </w:r>
                </w:p>
              </w:tc>
            </w:tr>
            <w:tr w14:paraId="3F374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201" w:type="pct"/>
                  <w:tcBorders>
                    <w:tl2br w:val="nil"/>
                    <w:tr2bl w:val="nil"/>
                  </w:tcBorders>
                  <w:vAlign w:val="center"/>
                </w:tcPr>
                <w:p w14:paraId="2393F6FB">
                  <w:pPr>
                    <w:pStyle w:val="169"/>
                    <w:rPr>
                      <w:b/>
                      <w:bCs/>
                      <w:color w:val="auto"/>
                    </w:rPr>
                  </w:pPr>
                  <w:r>
                    <w:rPr>
                      <w:b/>
                      <w:bCs/>
                      <w:color w:val="auto"/>
                    </w:rPr>
                    <w:t>建设地点</w:t>
                  </w:r>
                </w:p>
              </w:tc>
              <w:tc>
                <w:tcPr>
                  <w:tcW w:w="3798" w:type="pct"/>
                  <w:gridSpan w:val="4"/>
                  <w:tcBorders>
                    <w:tl2br w:val="nil"/>
                    <w:tr2bl w:val="nil"/>
                  </w:tcBorders>
                  <w:vAlign w:val="center"/>
                </w:tcPr>
                <w:p w14:paraId="435D75AE">
                  <w:pPr>
                    <w:pStyle w:val="169"/>
                    <w:rPr>
                      <w:color w:val="auto"/>
                    </w:rPr>
                  </w:pPr>
                  <w:r>
                    <w:rPr>
                      <w:color w:val="auto"/>
                    </w:rPr>
                    <w:t>内蒙古自治区</w:t>
                  </w:r>
                  <w:r>
                    <w:rPr>
                      <w:rFonts w:hint="eastAsia"/>
                      <w:color w:val="auto"/>
                      <w:lang w:val="en-US" w:eastAsia="zh-CN"/>
                    </w:rPr>
                    <w:t>锡林郭勒盟镶黄旗新宝拉格镇</w:t>
                  </w:r>
                </w:p>
              </w:tc>
            </w:tr>
            <w:tr w14:paraId="4F8A4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201" w:type="pct"/>
                  <w:tcBorders>
                    <w:tl2br w:val="nil"/>
                    <w:tr2bl w:val="nil"/>
                  </w:tcBorders>
                  <w:vAlign w:val="center"/>
                </w:tcPr>
                <w:p w14:paraId="445EC925">
                  <w:pPr>
                    <w:pStyle w:val="169"/>
                    <w:rPr>
                      <w:b/>
                      <w:bCs/>
                      <w:color w:val="auto"/>
                    </w:rPr>
                  </w:pPr>
                  <w:r>
                    <w:rPr>
                      <w:b/>
                      <w:bCs/>
                      <w:color w:val="auto"/>
                    </w:rPr>
                    <w:t>地理坐标</w:t>
                  </w:r>
                </w:p>
              </w:tc>
              <w:tc>
                <w:tcPr>
                  <w:tcW w:w="559" w:type="pct"/>
                  <w:tcBorders>
                    <w:tl2br w:val="nil"/>
                    <w:tr2bl w:val="nil"/>
                  </w:tcBorders>
                  <w:vAlign w:val="center"/>
                </w:tcPr>
                <w:p w14:paraId="4334AC7E">
                  <w:pPr>
                    <w:pStyle w:val="169"/>
                    <w:rPr>
                      <w:color w:val="auto"/>
                    </w:rPr>
                  </w:pPr>
                  <w:r>
                    <w:rPr>
                      <w:color w:val="auto"/>
                    </w:rPr>
                    <w:t>经度</w:t>
                  </w:r>
                </w:p>
              </w:tc>
              <w:tc>
                <w:tcPr>
                  <w:tcW w:w="1324" w:type="pct"/>
                  <w:tcBorders>
                    <w:tl2br w:val="nil"/>
                    <w:tr2bl w:val="nil"/>
                  </w:tcBorders>
                  <w:vAlign w:val="center"/>
                </w:tcPr>
                <w:p w14:paraId="32400A40">
                  <w:pPr>
                    <w:pStyle w:val="169"/>
                    <w:rPr>
                      <w:color w:val="auto"/>
                    </w:rPr>
                  </w:pPr>
                  <w:r>
                    <w:rPr>
                      <w:rFonts w:hint="default"/>
                      <w:color w:val="auto"/>
                    </w:rPr>
                    <w:t>113°50′46.05202″</w:t>
                  </w:r>
                  <w:r>
                    <w:rPr>
                      <w:color w:val="auto"/>
                    </w:rPr>
                    <w:t>E</w:t>
                  </w:r>
                </w:p>
              </w:tc>
              <w:tc>
                <w:tcPr>
                  <w:tcW w:w="419" w:type="pct"/>
                  <w:tcBorders>
                    <w:tl2br w:val="nil"/>
                    <w:tr2bl w:val="nil"/>
                  </w:tcBorders>
                  <w:vAlign w:val="center"/>
                </w:tcPr>
                <w:p w14:paraId="07C3D404">
                  <w:pPr>
                    <w:pStyle w:val="169"/>
                    <w:rPr>
                      <w:color w:val="auto"/>
                    </w:rPr>
                  </w:pPr>
                  <w:r>
                    <w:rPr>
                      <w:color w:val="auto"/>
                    </w:rPr>
                    <w:t>纬度</w:t>
                  </w:r>
                </w:p>
              </w:tc>
              <w:tc>
                <w:tcPr>
                  <w:tcW w:w="1494" w:type="pct"/>
                  <w:tcBorders>
                    <w:tl2br w:val="nil"/>
                    <w:tr2bl w:val="nil"/>
                  </w:tcBorders>
                  <w:vAlign w:val="center"/>
                </w:tcPr>
                <w:p w14:paraId="5FD698F3">
                  <w:pPr>
                    <w:pStyle w:val="169"/>
                    <w:rPr>
                      <w:color w:val="auto"/>
                    </w:rPr>
                  </w:pPr>
                  <w:r>
                    <w:rPr>
                      <w:rFonts w:hint="default"/>
                      <w:color w:val="auto"/>
                    </w:rPr>
                    <w:t>42°14′35.67167″</w:t>
                  </w:r>
                  <w:r>
                    <w:rPr>
                      <w:color w:val="auto"/>
                    </w:rPr>
                    <w:t>N</w:t>
                  </w:r>
                </w:p>
              </w:tc>
            </w:tr>
            <w:tr w14:paraId="218C8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201" w:type="pct"/>
                  <w:tcBorders>
                    <w:tl2br w:val="nil"/>
                    <w:tr2bl w:val="nil"/>
                  </w:tcBorders>
                  <w:vAlign w:val="center"/>
                </w:tcPr>
                <w:p w14:paraId="453D322F">
                  <w:pPr>
                    <w:pStyle w:val="169"/>
                    <w:rPr>
                      <w:b/>
                      <w:bCs/>
                      <w:color w:val="auto"/>
                    </w:rPr>
                  </w:pPr>
                  <w:r>
                    <w:rPr>
                      <w:b/>
                      <w:bCs/>
                      <w:color w:val="auto"/>
                    </w:rPr>
                    <w:t>主要危险物质及分布</w:t>
                  </w:r>
                </w:p>
              </w:tc>
              <w:tc>
                <w:tcPr>
                  <w:tcW w:w="3798" w:type="pct"/>
                  <w:gridSpan w:val="4"/>
                  <w:tcBorders>
                    <w:tl2br w:val="nil"/>
                    <w:tr2bl w:val="nil"/>
                  </w:tcBorders>
                  <w:vAlign w:val="center"/>
                </w:tcPr>
                <w:p w14:paraId="3556FE25">
                  <w:pPr>
                    <w:pStyle w:val="169"/>
                    <w:jc w:val="left"/>
                    <w:rPr>
                      <w:color w:val="auto"/>
                    </w:rPr>
                  </w:pPr>
                  <w:r>
                    <w:rPr>
                      <w:color w:val="auto"/>
                    </w:rPr>
                    <w:t>本项目存在的风险主要是废水、废气事故排放、消毒剂（次氯酸钠）泄漏存在的风险。</w:t>
                  </w:r>
                </w:p>
              </w:tc>
            </w:tr>
            <w:tr w14:paraId="034BD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201" w:type="pct"/>
                  <w:tcBorders>
                    <w:tl2br w:val="nil"/>
                    <w:tr2bl w:val="nil"/>
                  </w:tcBorders>
                  <w:vAlign w:val="center"/>
                </w:tcPr>
                <w:p w14:paraId="0012B548">
                  <w:pPr>
                    <w:pStyle w:val="169"/>
                    <w:rPr>
                      <w:b/>
                      <w:bCs/>
                      <w:color w:val="auto"/>
                    </w:rPr>
                  </w:pPr>
                  <w:r>
                    <w:rPr>
                      <w:b/>
                      <w:bCs/>
                      <w:color w:val="auto"/>
                    </w:rPr>
                    <w:t>环境影响途径及危害后果（大气、地表水、地下水等）</w:t>
                  </w:r>
                </w:p>
              </w:tc>
              <w:tc>
                <w:tcPr>
                  <w:tcW w:w="3798" w:type="pct"/>
                  <w:gridSpan w:val="4"/>
                  <w:tcBorders>
                    <w:tl2br w:val="nil"/>
                    <w:tr2bl w:val="nil"/>
                  </w:tcBorders>
                  <w:vAlign w:val="center"/>
                </w:tcPr>
                <w:p w14:paraId="378BAE15">
                  <w:pPr>
                    <w:pStyle w:val="169"/>
                    <w:jc w:val="both"/>
                    <w:rPr>
                      <w:color w:val="auto"/>
                    </w:rPr>
                  </w:pPr>
                  <w:r>
                    <w:rPr>
                      <w:color w:val="auto"/>
                    </w:rPr>
                    <w:t>（1）大气</w:t>
                  </w:r>
                </w:p>
                <w:p w14:paraId="60B03EFB">
                  <w:pPr>
                    <w:pStyle w:val="169"/>
                    <w:ind w:firstLine="420" w:firstLineChars="200"/>
                    <w:jc w:val="both"/>
                    <w:rPr>
                      <w:color w:val="auto"/>
                    </w:rPr>
                  </w:pPr>
                  <w:r>
                    <w:rPr>
                      <w:rFonts w:hint="eastAsia"/>
                      <w:color w:val="auto"/>
                      <w:lang w:val="en-US" w:eastAsia="zh-CN"/>
                    </w:rPr>
                    <w:t>生产车间产生的油烟</w:t>
                  </w:r>
                  <w:r>
                    <w:rPr>
                      <w:color w:val="auto"/>
                    </w:rPr>
                    <w:t>、污水处理站和</w:t>
                  </w:r>
                  <w:r>
                    <w:rPr>
                      <w:rFonts w:hint="eastAsia"/>
                      <w:color w:val="auto"/>
                      <w:lang w:val="en-US" w:eastAsia="zh-CN"/>
                    </w:rPr>
                    <w:t>生产车间</w:t>
                  </w:r>
                  <w:r>
                    <w:rPr>
                      <w:color w:val="auto"/>
                    </w:rPr>
                    <w:t>会挥发出氨、硫化氢</w:t>
                  </w:r>
                  <w:r>
                    <w:rPr>
                      <w:rFonts w:hint="eastAsia"/>
                      <w:color w:val="auto"/>
                      <w:lang w:eastAsia="zh-CN"/>
                    </w:rPr>
                    <w:t>等</w:t>
                  </w:r>
                  <w:r>
                    <w:rPr>
                      <w:color w:val="auto"/>
                    </w:rPr>
                    <w:t>恶臭物质，污染厂区及周边大气环境。</w:t>
                  </w:r>
                </w:p>
                <w:p w14:paraId="563390C3">
                  <w:pPr>
                    <w:pStyle w:val="169"/>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）水环境</w:t>
                  </w:r>
                </w:p>
                <w:p w14:paraId="1C40A77B">
                  <w:pPr>
                    <w:pStyle w:val="169"/>
                    <w:ind w:firstLine="420" w:firstLineChars="200"/>
                    <w:jc w:val="both"/>
                    <w:rPr>
                      <w:color w:val="auto"/>
                    </w:rPr>
                  </w:pPr>
                  <w:r>
                    <w:rPr>
                      <w:rFonts w:hint="eastAsia" w:ascii="Times New Roman" w:hAnsi="Times New Roman" w:eastAsia="宋体" w:cs="Times New Roman"/>
                      <w:color w:val="auto"/>
                    </w:rPr>
                    <w:t>生活污水和生产废水</w:t>
                  </w:r>
                  <w:r>
                    <w:rPr>
                      <w:rFonts w:hint="eastAsia" w:ascii="Times New Roman" w:hAnsi="Times New Roman" w:eastAsia="宋体" w:cs="Times New Roman"/>
                      <w:color w:val="auto"/>
                      <w:lang w:val="en-US" w:eastAsia="zh-CN"/>
                    </w:rPr>
                    <w:t>对随意乱排对地下水的影响</w:t>
                  </w:r>
                  <w:r>
                    <w:rPr>
                      <w:rFonts w:hint="eastAsia" w:ascii="Times New Roman" w:hAnsi="Times New Roman" w:eastAsia="宋体" w:cs="Times New Roman"/>
                      <w:color w:val="auto"/>
                    </w:rPr>
                    <w:t>。</w:t>
                  </w:r>
                </w:p>
              </w:tc>
            </w:tr>
            <w:tr w14:paraId="6FE8B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201" w:type="pct"/>
                  <w:tcBorders>
                    <w:tl2br w:val="nil"/>
                    <w:tr2bl w:val="nil"/>
                  </w:tcBorders>
                  <w:vAlign w:val="center"/>
                </w:tcPr>
                <w:p w14:paraId="4449EA81">
                  <w:pPr>
                    <w:pStyle w:val="169"/>
                    <w:rPr>
                      <w:b/>
                      <w:bCs/>
                      <w:color w:val="auto"/>
                    </w:rPr>
                  </w:pPr>
                  <w:r>
                    <w:rPr>
                      <w:color w:val="auto"/>
                    </w:rPr>
                    <w:t>风险防范措施要求</w:t>
                  </w:r>
                </w:p>
              </w:tc>
              <w:tc>
                <w:tcPr>
                  <w:tcW w:w="3798" w:type="pct"/>
                  <w:gridSpan w:val="4"/>
                  <w:tcBorders>
                    <w:tl2br w:val="nil"/>
                    <w:tr2bl w:val="nil"/>
                  </w:tcBorders>
                  <w:vAlign w:val="center"/>
                </w:tcPr>
                <w:p w14:paraId="01A01071">
                  <w:pPr>
                    <w:pStyle w:val="169"/>
                    <w:jc w:val="both"/>
                    <w:rPr>
                      <w:color w:val="auto"/>
                    </w:rPr>
                  </w:pPr>
                  <w:r>
                    <w:rPr>
                      <w:color w:val="auto"/>
                    </w:rPr>
                    <w:t>（1）大气环境风险防范措施</w:t>
                  </w:r>
                </w:p>
                <w:p w14:paraId="6D164021">
                  <w:pPr>
                    <w:pStyle w:val="169"/>
                    <w:ind w:firstLine="420" w:firstLineChars="200"/>
                    <w:jc w:val="both"/>
                    <w:rPr>
                      <w:color w:val="auto"/>
                    </w:rPr>
                  </w:pPr>
                  <w:r>
                    <w:rPr>
                      <w:rFonts w:hint="eastAsia" w:ascii="宋体" w:hAnsi="宋体" w:cs="宋体"/>
                      <w:color w:val="auto"/>
                    </w:rPr>
                    <w:t>①</w:t>
                  </w:r>
                  <w:r>
                    <w:rPr>
                      <w:color w:val="auto"/>
                    </w:rPr>
                    <w:t>污水处理站密闭收集后经</w:t>
                  </w:r>
                  <w:r>
                    <w:rPr>
                      <w:rFonts w:hint="eastAsia"/>
                      <w:color w:val="auto"/>
                      <w:lang w:val="en-US" w:eastAsia="zh-CN"/>
                    </w:rPr>
                    <w:t>活性炭吸附</w:t>
                  </w:r>
                  <w:r>
                    <w:rPr>
                      <w:color w:val="auto"/>
                    </w:rPr>
                    <w:t>后经15m高排气筒（</w:t>
                  </w:r>
                  <w:r>
                    <w:rPr>
                      <w:rFonts w:hint="eastAsia"/>
                      <w:color w:val="auto"/>
                      <w:lang w:val="en-US" w:eastAsia="zh-CN"/>
                    </w:rPr>
                    <w:t>DA001</w:t>
                  </w:r>
                  <w:r>
                    <w:rPr>
                      <w:color w:val="auto"/>
                    </w:rPr>
                    <w:t>）排放；</w:t>
                  </w:r>
                </w:p>
                <w:p w14:paraId="473DBE71">
                  <w:pPr>
                    <w:pStyle w:val="169"/>
                    <w:ind w:firstLine="420" w:firstLineChars="200"/>
                    <w:jc w:val="both"/>
                    <w:rPr>
                      <w:rFonts w:hint="eastAsia" w:ascii="宋体" w:hAnsi="宋体" w:eastAsia="宋体" w:cs="宋体"/>
                      <w:color w:val="auto"/>
                    </w:rPr>
                  </w:pPr>
                  <w:r>
                    <w:rPr>
                      <w:rFonts w:hint="eastAsia" w:ascii="宋体" w:hAnsi="宋体" w:cs="宋体"/>
                      <w:color w:val="auto"/>
                    </w:rPr>
                    <w:t>②</w:t>
                  </w:r>
                  <w:r>
                    <w:rPr>
                      <w:rFonts w:hint="eastAsia"/>
                      <w:color w:val="auto"/>
                      <w:lang w:val="en-US" w:eastAsia="zh-CN"/>
                    </w:rPr>
                    <w:t>腌制废气、</w:t>
                  </w:r>
                  <w:r>
                    <w:rPr>
                      <w:rFonts w:hint="eastAsia"/>
                      <w:color w:val="auto"/>
                    </w:rPr>
                    <w:t>蒸煮废气、烘烤废气</w:t>
                  </w:r>
                  <w:r>
                    <w:rPr>
                      <w:rFonts w:hint="eastAsia"/>
                      <w:color w:val="auto"/>
                      <w:lang w:val="en-US" w:eastAsia="zh-CN"/>
                    </w:rPr>
                    <w:t>集中收集后，经油烟净化装置处理后由屋顶排放DA002</w:t>
                  </w:r>
                  <w:r>
                    <w:rPr>
                      <w:rFonts w:hint="eastAsia" w:ascii="宋体" w:hAnsi="宋体" w:eastAsia="宋体" w:cs="宋体"/>
                      <w:color w:val="auto"/>
                    </w:rPr>
                    <w:t>。</w:t>
                  </w:r>
                </w:p>
                <w:p w14:paraId="3375061A">
                  <w:pPr>
                    <w:pStyle w:val="169"/>
                    <w:ind w:firstLine="420" w:firstLineChars="200"/>
                    <w:jc w:val="both"/>
                    <w:rPr>
                      <w:rFonts w:hint="eastAsia" w:ascii="宋体" w:hAnsi="宋体" w:eastAsia="宋体" w:cs="宋体"/>
                      <w:color w:val="auto"/>
                    </w:rPr>
                  </w:pPr>
                  <w:r>
                    <w:rPr>
                      <w:color w:val="auto"/>
                    </w:rPr>
                    <w:t>（</w:t>
                  </w:r>
                  <w:r>
                    <w:rPr>
                      <w:rFonts w:hint="eastAsia"/>
                      <w:color w:val="auto"/>
                      <w:lang w:val="en-US" w:eastAsia="zh-CN"/>
                    </w:rPr>
                    <w:t>2</w:t>
                  </w:r>
                  <w:r>
                    <w:rPr>
                      <w:color w:val="auto"/>
                    </w:rPr>
                    <w:t>）</w:t>
                  </w:r>
                  <w:r>
                    <w:rPr>
                      <w:rFonts w:hint="eastAsia" w:ascii="宋体" w:hAnsi="宋体" w:eastAsia="宋体" w:cs="宋体"/>
                      <w:color w:val="auto"/>
                    </w:rPr>
                    <w:t>水环境风险防范措施</w:t>
                  </w:r>
                </w:p>
                <w:p w14:paraId="370C0702">
                  <w:pPr>
                    <w:pStyle w:val="169"/>
                    <w:ind w:firstLine="420" w:firstLineChars="200"/>
                    <w:jc w:val="both"/>
                    <w:rPr>
                      <w:color w:val="auto"/>
                    </w:rPr>
                  </w:pPr>
                  <w:r>
                    <w:rPr>
                      <w:rFonts w:hint="eastAsia" w:ascii="宋体" w:hAnsi="宋体" w:eastAsia="宋体" w:cs="宋体"/>
                      <w:color w:val="auto"/>
                    </w:rPr>
                    <w:t>生</w:t>
                  </w:r>
                  <w:r>
                    <w:rPr>
                      <w:rFonts w:hint="eastAsia" w:ascii="宋体" w:hAnsi="宋体" w:eastAsia="宋体" w:cs="宋体"/>
                      <w:color w:val="auto"/>
                      <w:lang w:val="en-US" w:eastAsia="zh-CN"/>
                    </w:rPr>
                    <w:t>活</w:t>
                  </w:r>
                  <w:r>
                    <w:rPr>
                      <w:rFonts w:hint="eastAsia" w:ascii="宋体" w:hAnsi="宋体" w:eastAsia="宋体" w:cs="宋体"/>
                      <w:color w:val="auto"/>
                    </w:rPr>
                    <w:t>废水：经防渗化粪池沉淀、腐化处理后，</w:t>
                  </w:r>
                  <w:r>
                    <w:rPr>
                      <w:rFonts w:hint="eastAsia" w:ascii="宋体" w:hAnsi="宋体" w:eastAsia="宋体" w:cs="宋体"/>
                      <w:color w:val="auto"/>
                      <w:lang w:val="en-US" w:eastAsia="zh-CN"/>
                    </w:rPr>
                    <w:t>排</w:t>
                  </w:r>
                  <w:r>
                    <w:rPr>
                      <w:rFonts w:hint="eastAsia" w:ascii="宋体" w:hAnsi="宋体" w:eastAsia="宋体" w:cs="宋体"/>
                      <w:color w:val="auto"/>
                    </w:rPr>
                    <w:t>入</w:t>
                  </w:r>
                  <w:r>
                    <w:rPr>
                      <w:rFonts w:hint="eastAsia" w:ascii="宋体" w:hAnsi="宋体" w:eastAsia="宋体" w:cs="宋体"/>
                      <w:color w:val="auto"/>
                      <w:lang w:val="en-US" w:eastAsia="zh-CN"/>
                    </w:rPr>
                    <w:t>市政</w:t>
                  </w:r>
                  <w:r>
                    <w:rPr>
                      <w:rFonts w:hint="eastAsia" w:ascii="宋体" w:hAnsi="宋体" w:eastAsia="宋体" w:cs="宋体"/>
                      <w:color w:val="auto"/>
                    </w:rPr>
                    <w:t>污水管网。生产废水</w:t>
                  </w:r>
                  <w:r>
                    <w:rPr>
                      <w:rFonts w:hint="eastAsia" w:ascii="宋体" w:hAnsi="宋体" w:eastAsia="宋体" w:cs="宋体"/>
                      <w:color w:val="auto"/>
                      <w:lang w:val="en-US" w:eastAsia="zh-CN"/>
                    </w:rPr>
                    <w:t>经过</w:t>
                  </w:r>
                  <w:r>
                    <w:rPr>
                      <w:rFonts w:hint="eastAsia" w:ascii="宋体" w:hAnsi="宋体" w:eastAsia="宋体" w:cs="宋体"/>
                      <w:color w:val="auto"/>
                    </w:rPr>
                    <w:t>厂区内污水处理站</w:t>
                  </w:r>
                  <w:r>
                    <w:rPr>
                      <w:rFonts w:hint="eastAsia" w:ascii="宋体" w:hAnsi="宋体" w:eastAsia="宋体" w:cs="宋体"/>
                      <w:color w:val="auto"/>
                      <w:lang w:val="en-US" w:eastAsia="zh-CN"/>
                    </w:rPr>
                    <w:t>处理后</w:t>
                  </w:r>
                  <w:r>
                    <w:rPr>
                      <w:rFonts w:hint="eastAsia" w:ascii="宋体" w:hAnsi="宋体" w:eastAsia="宋体" w:cs="宋体"/>
                      <w:color w:val="auto"/>
                    </w:rPr>
                    <w:t>，</w:t>
                  </w:r>
                  <w:r>
                    <w:rPr>
                      <w:rFonts w:hint="eastAsia" w:ascii="宋体" w:hAnsi="宋体" w:eastAsia="宋体" w:cs="宋体"/>
                      <w:color w:val="auto"/>
                      <w:lang w:val="en-US" w:eastAsia="zh-CN"/>
                    </w:rPr>
                    <w:t>排</w:t>
                  </w:r>
                  <w:r>
                    <w:rPr>
                      <w:rFonts w:hint="eastAsia" w:ascii="宋体" w:hAnsi="宋体" w:eastAsia="宋体" w:cs="宋体"/>
                      <w:color w:val="auto"/>
                    </w:rPr>
                    <w:t>入</w:t>
                  </w:r>
                  <w:r>
                    <w:rPr>
                      <w:rFonts w:hint="eastAsia" w:ascii="宋体" w:hAnsi="宋体" w:eastAsia="宋体" w:cs="宋体"/>
                      <w:color w:val="auto"/>
                      <w:lang w:val="en-US" w:eastAsia="zh-CN"/>
                    </w:rPr>
                    <w:t>市政</w:t>
                  </w:r>
                  <w:r>
                    <w:rPr>
                      <w:rFonts w:hint="eastAsia" w:ascii="宋体" w:hAnsi="宋体" w:eastAsia="宋体" w:cs="宋体"/>
                      <w:color w:val="auto"/>
                    </w:rPr>
                    <w:t>污水管网。</w:t>
                  </w:r>
                </w:p>
              </w:tc>
            </w:tr>
            <w:tr w14:paraId="30537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000" w:type="pct"/>
                  <w:gridSpan w:val="5"/>
                  <w:tcBorders>
                    <w:tl2br w:val="nil"/>
                    <w:tr2bl w:val="nil"/>
                  </w:tcBorders>
                  <w:vAlign w:val="center"/>
                </w:tcPr>
                <w:p w14:paraId="76BB9040">
                  <w:pPr>
                    <w:pStyle w:val="169"/>
                    <w:jc w:val="both"/>
                    <w:rPr>
                      <w:b/>
                      <w:bCs/>
                      <w:color w:val="auto"/>
                    </w:rPr>
                  </w:pPr>
                  <w:r>
                    <w:rPr>
                      <w:b/>
                      <w:bCs/>
                      <w:color w:val="auto"/>
                    </w:rPr>
                    <w:t>填表说明（列出项目相关信息及评价说明）：</w:t>
                  </w:r>
                </w:p>
                <w:p w14:paraId="150D6ADD">
                  <w:pPr>
                    <w:pStyle w:val="169"/>
                    <w:jc w:val="both"/>
                    <w:rPr>
                      <w:b/>
                      <w:bCs/>
                      <w:iCs/>
                      <w:color w:val="auto"/>
                    </w:rPr>
                  </w:pPr>
                  <w:r>
                    <w:rPr>
                      <w:b/>
                      <w:bCs/>
                      <w:color w:val="auto"/>
                    </w:rPr>
                    <w:t>本项目环境风险较小，在严格落实各项风险防范措施后，环境风险可防可控。</w:t>
                  </w:r>
                </w:p>
              </w:tc>
            </w:tr>
          </w:tbl>
          <w:p w14:paraId="5BEBEC2C">
            <w:pPr>
              <w:spacing w:line="360" w:lineRule="auto"/>
              <w:ind w:firstLine="482" w:firstLineChars="200"/>
              <w:rPr>
                <w:b/>
                <w:bCs/>
                <w:color w:val="auto"/>
                <w:sz w:val="24"/>
              </w:rPr>
            </w:pPr>
            <w:r>
              <w:rPr>
                <w:b/>
                <w:bCs/>
                <w:color w:val="auto"/>
                <w:sz w:val="24"/>
              </w:rPr>
              <w:t>5.5环境风险防范措施及应急要求</w:t>
            </w:r>
          </w:p>
          <w:p w14:paraId="0A129AA1">
            <w:pPr>
              <w:spacing w:line="360" w:lineRule="auto"/>
              <w:ind w:firstLine="480" w:firstLineChars="200"/>
              <w:rPr>
                <w:color w:val="auto"/>
                <w:sz w:val="24"/>
              </w:rPr>
            </w:pPr>
            <w:r>
              <w:rPr>
                <w:rFonts w:hint="eastAsia"/>
                <w:color w:val="auto"/>
                <w:sz w:val="24"/>
                <w:lang w:val="en-US" w:eastAsia="zh-CN"/>
              </w:rPr>
              <w:t>1、</w:t>
            </w:r>
            <w:r>
              <w:rPr>
                <w:color w:val="auto"/>
                <w:sz w:val="24"/>
              </w:rPr>
              <w:t>化学品贮存风险防范措施</w:t>
            </w:r>
          </w:p>
          <w:p w14:paraId="10599EF3">
            <w:pPr>
              <w:spacing w:line="360" w:lineRule="auto"/>
              <w:ind w:firstLine="480" w:firstLineChars="200"/>
              <w:rPr>
                <w:color w:val="auto"/>
                <w:sz w:val="24"/>
              </w:rPr>
            </w:pPr>
            <w:r>
              <w:rPr>
                <w:color w:val="auto"/>
                <w:sz w:val="24"/>
              </w:rPr>
              <w:t>化学品贮存根据物料的理化性质选择相应材料的容器，并采取不同的保护措施。本项目次氯酸钠采用塑料容器存放于污水处理站配套的仓库内。</w:t>
            </w:r>
          </w:p>
          <w:p w14:paraId="154D2545">
            <w:pPr>
              <w:spacing w:line="360" w:lineRule="auto"/>
              <w:ind w:firstLine="480" w:firstLineChars="200"/>
              <w:rPr>
                <w:color w:val="auto"/>
                <w:sz w:val="24"/>
              </w:rPr>
            </w:pPr>
            <w:r>
              <w:rPr>
                <w:rFonts w:hint="eastAsia"/>
                <w:color w:val="auto"/>
                <w:sz w:val="24"/>
                <w:lang w:val="en-US" w:eastAsia="zh-CN"/>
              </w:rPr>
              <w:t>2、</w:t>
            </w:r>
            <w:r>
              <w:rPr>
                <w:color w:val="auto"/>
                <w:sz w:val="24"/>
              </w:rPr>
              <w:t>大气污染事故</w:t>
            </w:r>
            <w:r>
              <w:rPr>
                <w:rFonts w:hint="eastAsia"/>
                <w:color w:val="auto"/>
                <w:sz w:val="24"/>
              </w:rPr>
              <w:t>风险</w:t>
            </w:r>
          </w:p>
          <w:p w14:paraId="300F8A12">
            <w:pPr>
              <w:spacing w:line="360" w:lineRule="auto"/>
              <w:ind w:firstLine="480" w:firstLineChars="200"/>
              <w:rPr>
                <w:color w:val="auto"/>
                <w:sz w:val="24"/>
              </w:rPr>
            </w:pPr>
            <w:r>
              <w:rPr>
                <w:color w:val="auto"/>
                <w:sz w:val="24"/>
              </w:rPr>
              <w:t>项目大气污染事故风险主要是废气处理设施系统故障，导致废气处理效率下降或废气处理系统停止运转，大量未处理废气直接排入大气，对周边村庄产生污染影响，影响人体健康等。当废气处理设施失效时，H</w:t>
            </w:r>
            <w:r>
              <w:rPr>
                <w:color w:val="auto"/>
                <w:sz w:val="24"/>
                <w:vertAlign w:val="subscript"/>
              </w:rPr>
              <w:t>2</w:t>
            </w:r>
            <w:r>
              <w:rPr>
                <w:color w:val="auto"/>
                <w:sz w:val="24"/>
              </w:rPr>
              <w:t>S、NH</w:t>
            </w:r>
            <w:r>
              <w:rPr>
                <w:color w:val="auto"/>
                <w:sz w:val="24"/>
                <w:vertAlign w:val="subscript"/>
              </w:rPr>
              <w:t>3</w:t>
            </w:r>
            <w:r>
              <w:rPr>
                <w:color w:val="auto"/>
                <w:sz w:val="24"/>
              </w:rPr>
              <w:t>排放对外环境影响较大。因此，从项目环境管理上，加强对污染防治设施的日常运行管理和维护，以杜绝事故的发生。主要防范措施如下：</w:t>
            </w:r>
          </w:p>
          <w:p w14:paraId="25F8D959">
            <w:pPr>
              <w:spacing w:line="360" w:lineRule="auto"/>
              <w:ind w:firstLine="480" w:firstLineChars="200"/>
              <w:rPr>
                <w:color w:val="auto"/>
                <w:sz w:val="24"/>
              </w:rPr>
            </w:pPr>
            <w:r>
              <w:rPr>
                <w:rFonts w:hint="eastAsia"/>
                <w:color w:val="auto"/>
                <w:sz w:val="24"/>
                <w:lang w:eastAsia="zh-CN"/>
              </w:rPr>
              <w:t>（</w:t>
            </w:r>
            <w:r>
              <w:rPr>
                <w:rFonts w:hint="eastAsia"/>
                <w:color w:val="auto"/>
                <w:sz w:val="24"/>
                <w:lang w:val="en-US" w:eastAsia="zh-CN"/>
              </w:rPr>
              <w:t>1</w:t>
            </w:r>
            <w:r>
              <w:rPr>
                <w:rFonts w:hint="eastAsia"/>
                <w:color w:val="auto"/>
                <w:sz w:val="24"/>
                <w:lang w:eastAsia="zh-CN"/>
              </w:rPr>
              <w:t>）</w:t>
            </w:r>
            <w:r>
              <w:rPr>
                <w:color w:val="auto"/>
                <w:sz w:val="24"/>
              </w:rPr>
              <w:t>加强对设备的维修管理，建立定期维护的人员编制和相关制度，制定严格的规范操作规程，加强厂区恶臭污染源的清洁工作，以保证废气治理设施的正常运转。</w:t>
            </w:r>
          </w:p>
          <w:p w14:paraId="445BAA01">
            <w:pPr>
              <w:spacing w:line="360" w:lineRule="auto"/>
              <w:ind w:firstLine="480" w:firstLineChars="200"/>
              <w:rPr>
                <w:color w:val="auto"/>
                <w:sz w:val="24"/>
              </w:rPr>
            </w:pPr>
            <w:r>
              <w:rPr>
                <w:rFonts w:hint="eastAsia"/>
                <w:color w:val="auto"/>
                <w:sz w:val="24"/>
                <w:lang w:eastAsia="zh-CN"/>
              </w:rPr>
              <w:t>（</w:t>
            </w:r>
            <w:r>
              <w:rPr>
                <w:rFonts w:hint="eastAsia"/>
                <w:color w:val="auto"/>
                <w:sz w:val="24"/>
                <w:lang w:val="en-US" w:eastAsia="zh-CN"/>
              </w:rPr>
              <w:t>2</w:t>
            </w:r>
            <w:r>
              <w:rPr>
                <w:rFonts w:hint="eastAsia"/>
                <w:color w:val="auto"/>
                <w:sz w:val="24"/>
                <w:lang w:eastAsia="zh-CN"/>
              </w:rPr>
              <w:t>）</w:t>
            </w:r>
            <w:r>
              <w:rPr>
                <w:color w:val="auto"/>
                <w:sz w:val="24"/>
              </w:rPr>
              <w:t>企业应对例行监测数据进行日常的统计与分析，建立运行档案，及时发现恶臭废气处理设施的故障，如一旦确定故障，则应立即组织停炉检修，减少事故排放对环境的影响。</w:t>
            </w:r>
          </w:p>
          <w:p w14:paraId="2F1AD897">
            <w:pPr>
              <w:spacing w:line="360" w:lineRule="auto"/>
              <w:ind w:firstLine="480" w:firstLineChars="200"/>
              <w:rPr>
                <w:color w:val="auto"/>
                <w:sz w:val="24"/>
              </w:rPr>
            </w:pPr>
            <w:r>
              <w:rPr>
                <w:rFonts w:hint="eastAsia"/>
                <w:color w:val="auto"/>
                <w:sz w:val="24"/>
                <w:lang w:val="en-US" w:eastAsia="zh-CN"/>
              </w:rPr>
              <w:t>3、</w:t>
            </w:r>
            <w:r>
              <w:rPr>
                <w:color w:val="auto"/>
                <w:sz w:val="24"/>
              </w:rPr>
              <w:t>污水事故排放</w:t>
            </w:r>
            <w:r>
              <w:rPr>
                <w:rFonts w:hint="eastAsia"/>
                <w:color w:val="auto"/>
                <w:sz w:val="24"/>
              </w:rPr>
              <w:t>风险</w:t>
            </w:r>
          </w:p>
          <w:p w14:paraId="2B082B55">
            <w:pPr>
              <w:spacing w:line="360" w:lineRule="auto"/>
              <w:ind w:firstLine="480" w:firstLineChars="200"/>
              <w:rPr>
                <w:color w:val="auto"/>
                <w:sz w:val="24"/>
              </w:rPr>
            </w:pPr>
            <w:r>
              <w:rPr>
                <w:color w:val="auto"/>
                <w:sz w:val="24"/>
              </w:rPr>
              <w:t>污水事故系统出现故障的事故原因一般有：</w:t>
            </w:r>
          </w:p>
          <w:p w14:paraId="2A8BB902">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1</w:t>
            </w:r>
            <w:r>
              <w:rPr>
                <w:rFonts w:hint="default" w:ascii="Times New Roman" w:hAnsi="Times New Roman" w:cs="Times New Roman"/>
                <w:color w:val="auto"/>
                <w:sz w:val="24"/>
                <w:lang w:eastAsia="zh-CN"/>
              </w:rPr>
              <w:t>）</w:t>
            </w:r>
            <w:r>
              <w:rPr>
                <w:rFonts w:hint="default" w:ascii="Times New Roman" w:hAnsi="Times New Roman" w:cs="Times New Roman"/>
                <w:color w:val="auto"/>
                <w:sz w:val="24"/>
              </w:rPr>
              <w:t>污水管道由于堵塞、破裂和接头处的破损：</w:t>
            </w:r>
          </w:p>
          <w:p w14:paraId="4AD5D670">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2</w:t>
            </w:r>
            <w:r>
              <w:rPr>
                <w:rFonts w:hint="default" w:ascii="Times New Roman" w:hAnsi="Times New Roman" w:cs="Times New Roman"/>
                <w:color w:val="auto"/>
                <w:sz w:val="24"/>
                <w:lang w:eastAsia="zh-CN"/>
              </w:rPr>
              <w:t>）</w:t>
            </w:r>
            <w:r>
              <w:rPr>
                <w:rFonts w:hint="default" w:ascii="Times New Roman" w:hAnsi="Times New Roman" w:cs="Times New Roman"/>
                <w:color w:val="auto"/>
                <w:sz w:val="24"/>
              </w:rPr>
              <w:t>污水泵站由于长时间停电或污水水泵损坏，排水不畅时易引起污水浸溢：</w:t>
            </w:r>
          </w:p>
          <w:p w14:paraId="305B4CF7">
            <w:pPr>
              <w:spacing w:line="360" w:lineRule="auto"/>
              <w:ind w:firstLine="480" w:firstLineChars="200"/>
              <w:rPr>
                <w:color w:val="auto"/>
                <w:sz w:val="24"/>
              </w:rPr>
            </w:pP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3</w:t>
            </w:r>
            <w:r>
              <w:rPr>
                <w:rFonts w:hint="default" w:ascii="Times New Roman" w:hAnsi="Times New Roman" w:cs="Times New Roman"/>
                <w:color w:val="auto"/>
                <w:sz w:val="24"/>
                <w:lang w:eastAsia="zh-CN"/>
              </w:rPr>
              <w:t>）</w:t>
            </w:r>
            <w:r>
              <w:rPr>
                <w:rFonts w:hint="default" w:ascii="Times New Roman" w:hAnsi="Times New Roman" w:cs="Times New Roman"/>
                <w:color w:val="auto"/>
                <w:sz w:val="24"/>
              </w:rPr>
              <w:t>由于停电</w:t>
            </w:r>
            <w:r>
              <w:rPr>
                <w:color w:val="auto"/>
                <w:sz w:val="24"/>
              </w:rPr>
              <w:t>，设备损坏，污水设施运行不正常，停车检修等造成大量污水未经处理直接排放等。</w:t>
            </w:r>
          </w:p>
          <w:p w14:paraId="6DAB62A4">
            <w:pPr>
              <w:spacing w:line="360" w:lineRule="auto"/>
              <w:ind w:firstLine="480" w:firstLineChars="200"/>
              <w:rPr>
                <w:color w:val="auto"/>
                <w:sz w:val="24"/>
              </w:rPr>
            </w:pPr>
            <w:r>
              <w:rPr>
                <w:color w:val="auto"/>
                <w:sz w:val="24"/>
              </w:rPr>
              <w:t>废水在事故状况下直接进入环境，会对土壤及地下水产生直接危害。高浓度的有机物和氨氮会使土壤环境质量严重恶化。当废水排放超过了土壤的自净能力，便会出现降解不完全和厌氧腐解，产生恶臭物质和亚硝酸盐等有害物质，引起土壤的组成和性状发生改变，破坏其原有的基本功能：作物徒长、倒伏、晚熟或不熟，造成减产</w:t>
            </w:r>
            <w:r>
              <w:rPr>
                <w:rFonts w:hint="eastAsia"/>
                <w:color w:val="auto"/>
                <w:sz w:val="24"/>
                <w:lang w:eastAsia="zh-CN"/>
              </w:rPr>
              <w:t>，甚至</w:t>
            </w:r>
            <w:r>
              <w:rPr>
                <w:color w:val="auto"/>
                <w:sz w:val="24"/>
              </w:rPr>
              <w:t>毒害作物使之出现大面积腐烂。此外，土壤对病原微生物的自净能力下降，不仅增加了净化难度，而且易造成生物污染和疫病传播。</w:t>
            </w:r>
          </w:p>
          <w:p w14:paraId="7EE981AD">
            <w:pPr>
              <w:spacing w:line="360" w:lineRule="auto"/>
              <w:ind w:firstLine="480" w:firstLineChars="200"/>
              <w:rPr>
                <w:color w:val="auto"/>
                <w:sz w:val="24"/>
              </w:rPr>
            </w:pPr>
            <w:r>
              <w:rPr>
                <w:rFonts w:hint="eastAsia"/>
                <w:color w:val="auto"/>
                <w:sz w:val="24"/>
                <w:lang w:val="en-US" w:eastAsia="zh-CN"/>
              </w:rPr>
              <w:t>肉制品</w:t>
            </w:r>
            <w:r>
              <w:rPr>
                <w:color w:val="auto"/>
                <w:sz w:val="24"/>
              </w:rPr>
              <w:t>废水直接排入周边水体，部分氨、磷不仅随地表水或</w:t>
            </w:r>
            <w:r>
              <w:rPr>
                <w:rFonts w:hint="eastAsia"/>
                <w:color w:val="auto"/>
                <w:sz w:val="24"/>
                <w:lang w:eastAsia="zh-CN"/>
              </w:rPr>
              <w:t>水土流失</w:t>
            </w:r>
            <w:r>
              <w:rPr>
                <w:color w:val="auto"/>
                <w:sz w:val="24"/>
              </w:rPr>
              <w:t>流入江河污染地表水，且会渗入地下污染地下水。废水的有毒、有害成分进入地下水中，会使地下水溶解氧含量减少，水质中有毒成分增多，严重时使水体发黑、变臭、失去使用价值。一旦污染了地下水，将极难治理恢复，造成较持久性的污染。可见事故排污对环境的危害极大，应坚决杜绝工程废水事故排放的发生。以杜绝事故的发生。主要防范措施如下：</w:t>
            </w:r>
          </w:p>
          <w:p w14:paraId="4378B88E">
            <w:pPr>
              <w:spacing w:line="360" w:lineRule="auto"/>
              <w:ind w:firstLine="480" w:firstLineChars="200"/>
              <w:rPr>
                <w:color w:val="auto"/>
                <w:sz w:val="24"/>
              </w:rPr>
            </w:pPr>
            <w:r>
              <w:rPr>
                <w:color w:val="auto"/>
                <w:sz w:val="24"/>
              </w:rPr>
              <w:t>污水处理设施在设计时应有可靠的运行监控系统</w:t>
            </w:r>
            <w:r>
              <w:rPr>
                <w:rFonts w:hint="eastAsia"/>
                <w:color w:val="auto"/>
                <w:sz w:val="24"/>
                <w:lang w:eastAsia="zh-CN"/>
              </w:rPr>
              <w:t>，</w:t>
            </w:r>
            <w:r>
              <w:rPr>
                <w:color w:val="auto"/>
                <w:sz w:val="24"/>
              </w:rPr>
              <w:t>包括监测、报警等设施</w:t>
            </w:r>
            <w:r>
              <w:rPr>
                <w:rFonts w:hint="eastAsia"/>
                <w:color w:val="auto"/>
                <w:sz w:val="24"/>
                <w:lang w:eastAsia="zh-CN"/>
              </w:rPr>
              <w:t>。一旦</w:t>
            </w:r>
            <w:r>
              <w:rPr>
                <w:color w:val="auto"/>
                <w:sz w:val="24"/>
              </w:rPr>
              <w:t>发现异常情况</w:t>
            </w:r>
            <w:r>
              <w:rPr>
                <w:rFonts w:hint="eastAsia"/>
                <w:color w:val="auto"/>
                <w:sz w:val="24"/>
                <w:lang w:eastAsia="zh-CN"/>
              </w:rPr>
              <w:t>，</w:t>
            </w:r>
            <w:r>
              <w:rPr>
                <w:color w:val="auto"/>
                <w:sz w:val="24"/>
              </w:rPr>
              <w:t>应及时调整运行参数</w:t>
            </w:r>
            <w:r>
              <w:rPr>
                <w:rFonts w:hint="eastAsia"/>
                <w:color w:val="auto"/>
                <w:sz w:val="24"/>
                <w:lang w:eastAsia="zh-CN"/>
              </w:rPr>
              <w:t>，</w:t>
            </w:r>
            <w:r>
              <w:rPr>
                <w:color w:val="auto"/>
                <w:sz w:val="24"/>
              </w:rPr>
              <w:t>以控制和避免事故的发生。</w:t>
            </w:r>
          </w:p>
          <w:p w14:paraId="2A1B10ED">
            <w:pPr>
              <w:spacing w:line="360" w:lineRule="auto"/>
              <w:ind w:firstLine="480" w:firstLineChars="200"/>
              <w:rPr>
                <w:color w:val="auto"/>
                <w:sz w:val="24"/>
              </w:rPr>
            </w:pPr>
            <w:r>
              <w:rPr>
                <w:color w:val="auto"/>
                <w:sz w:val="24"/>
              </w:rPr>
              <w:t>加强设施的维护和管理</w:t>
            </w:r>
            <w:r>
              <w:rPr>
                <w:rFonts w:hint="eastAsia"/>
                <w:color w:val="auto"/>
                <w:sz w:val="24"/>
                <w:lang w:eastAsia="zh-CN"/>
              </w:rPr>
              <w:t>，</w:t>
            </w:r>
            <w:r>
              <w:rPr>
                <w:color w:val="auto"/>
                <w:sz w:val="24"/>
              </w:rPr>
              <w:t>提高设备的完好率。关键设备要配备足够的配件对</w:t>
            </w:r>
            <w:r>
              <w:rPr>
                <w:rFonts w:hint="eastAsia"/>
                <w:color w:val="auto"/>
                <w:sz w:val="24"/>
                <w:lang w:eastAsia="zh-CN"/>
              </w:rPr>
              <w:t>管道</w:t>
            </w:r>
            <w:r>
              <w:rPr>
                <w:color w:val="auto"/>
                <w:sz w:val="24"/>
              </w:rPr>
              <w:t>破裂等事故造成污水外流</w:t>
            </w:r>
            <w:r>
              <w:rPr>
                <w:rFonts w:hint="eastAsia"/>
                <w:color w:val="auto"/>
                <w:sz w:val="24"/>
                <w:lang w:eastAsia="zh-CN"/>
              </w:rPr>
              <w:t>，</w:t>
            </w:r>
            <w:r>
              <w:rPr>
                <w:color w:val="auto"/>
                <w:sz w:val="24"/>
              </w:rPr>
              <w:t>须及时组织人员抢修。</w:t>
            </w:r>
          </w:p>
          <w:p w14:paraId="5A344AAF">
            <w:pPr>
              <w:spacing w:line="360" w:lineRule="auto"/>
              <w:ind w:firstLine="480" w:firstLineChars="200"/>
              <w:rPr>
                <w:color w:val="auto"/>
                <w:sz w:val="24"/>
              </w:rPr>
            </w:pPr>
            <w:r>
              <w:rPr>
                <w:color w:val="auto"/>
                <w:sz w:val="24"/>
              </w:rPr>
              <w:t>保证电源双回路供电</w:t>
            </w:r>
            <w:r>
              <w:rPr>
                <w:rFonts w:hint="eastAsia"/>
                <w:color w:val="auto"/>
                <w:sz w:val="24"/>
              </w:rPr>
              <w:t>，</w:t>
            </w:r>
            <w:r>
              <w:rPr>
                <w:color w:val="auto"/>
                <w:sz w:val="24"/>
              </w:rPr>
              <w:t>避免因停电事故而使污水设施不能正常运行。</w:t>
            </w:r>
          </w:p>
          <w:p w14:paraId="2C0D9531">
            <w:pPr>
              <w:spacing w:line="360" w:lineRule="auto"/>
              <w:ind w:firstLine="480" w:firstLineChars="200"/>
              <w:rPr>
                <w:rFonts w:hint="default"/>
                <w:color w:val="auto"/>
                <w:sz w:val="24"/>
              </w:rPr>
            </w:pPr>
            <w:r>
              <w:rPr>
                <w:rFonts w:hint="default"/>
                <w:color w:val="auto"/>
                <w:sz w:val="24"/>
                <w:lang w:val="en-US" w:eastAsia="zh-CN"/>
              </w:rPr>
              <w:t xml:space="preserve">4、储运过程风险防范 </w:t>
            </w:r>
          </w:p>
          <w:p w14:paraId="6340609C">
            <w:pPr>
              <w:spacing w:line="360" w:lineRule="auto"/>
              <w:ind w:firstLine="480" w:firstLineChars="200"/>
              <w:rPr>
                <w:rFonts w:hint="default"/>
                <w:color w:val="auto"/>
                <w:sz w:val="24"/>
              </w:rPr>
            </w:pPr>
            <w:r>
              <w:rPr>
                <w:rFonts w:hint="default"/>
                <w:color w:val="auto"/>
                <w:sz w:val="24"/>
                <w:lang w:val="en-US" w:eastAsia="zh-CN"/>
              </w:rPr>
              <w:t xml:space="preserve">储存过程发生泄漏时，应消除所有点火源，一般固废暂存区内设置若干防泄漏托盘，小量泄漏时可以直接作为临时收集措施；同时，小量泄漏时用砂土或其它不燃材料吸收，使用洁净的无火花工具收集吸收材料。 </w:t>
            </w:r>
          </w:p>
          <w:p w14:paraId="5CEDA7C6">
            <w:pPr>
              <w:spacing w:line="360" w:lineRule="auto"/>
              <w:ind w:firstLine="480" w:firstLineChars="200"/>
              <w:rPr>
                <w:rFonts w:hint="default"/>
                <w:color w:val="auto"/>
                <w:sz w:val="24"/>
              </w:rPr>
            </w:pPr>
            <w:r>
              <w:rPr>
                <w:rFonts w:hint="default"/>
                <w:color w:val="auto"/>
                <w:sz w:val="24"/>
                <w:lang w:val="en-US" w:eastAsia="zh-CN"/>
              </w:rPr>
              <w:t xml:space="preserve">5、污染治理设施风险防范 </w:t>
            </w:r>
          </w:p>
          <w:p w14:paraId="10AB88F0">
            <w:pPr>
              <w:spacing w:line="360" w:lineRule="auto"/>
              <w:ind w:firstLine="480" w:firstLineChars="200"/>
              <w:rPr>
                <w:rFonts w:hint="default"/>
                <w:color w:val="auto"/>
                <w:sz w:val="24"/>
              </w:rPr>
            </w:pPr>
            <w:r>
              <w:rPr>
                <w:rFonts w:hint="default"/>
                <w:color w:val="auto"/>
                <w:sz w:val="24"/>
                <w:lang w:val="en-US" w:eastAsia="zh-CN"/>
              </w:rPr>
              <w:t xml:space="preserve">平时加强废气处理设施的维护保养，及时发现处理设备的隐患，并及时进行维修，确保废气处理系统正常运行；建立健全的环保机构，配置必要的监测仪器，对管理人员和技术人员进行岗位培训，对废气处理实行全过程跟踪控制。 </w:t>
            </w:r>
          </w:p>
          <w:p w14:paraId="39A42EDA">
            <w:pPr>
              <w:spacing w:line="360" w:lineRule="auto"/>
              <w:ind w:firstLine="480" w:firstLineChars="200"/>
              <w:rPr>
                <w:rFonts w:hint="default"/>
                <w:color w:val="auto"/>
                <w:sz w:val="24"/>
              </w:rPr>
            </w:pPr>
            <w:r>
              <w:rPr>
                <w:rFonts w:hint="default"/>
                <w:color w:val="auto"/>
                <w:sz w:val="24"/>
                <w:lang w:val="en-US" w:eastAsia="zh-CN"/>
              </w:rPr>
              <w:t xml:space="preserve">6、总图布置和建筑安全防范措施 </w:t>
            </w:r>
          </w:p>
          <w:p w14:paraId="10059081">
            <w:pPr>
              <w:spacing w:line="360" w:lineRule="auto"/>
              <w:ind w:firstLine="480" w:firstLineChars="200"/>
              <w:rPr>
                <w:rFonts w:hint="default"/>
                <w:color w:val="auto"/>
                <w:sz w:val="24"/>
              </w:rPr>
            </w:pPr>
            <w:r>
              <w:rPr>
                <w:rFonts w:hint="default"/>
                <w:color w:val="auto"/>
                <w:sz w:val="24"/>
                <w:lang w:val="en-US" w:eastAsia="zh-CN"/>
              </w:rPr>
              <w:t>厂区总平面布置严格执行相关规范要求，所有</w:t>
            </w:r>
            <w:r>
              <w:rPr>
                <w:rFonts w:hint="eastAsia"/>
                <w:color w:val="auto"/>
                <w:sz w:val="24"/>
                <w:lang w:val="en-US" w:eastAsia="zh-CN"/>
              </w:rPr>
              <w:t>建筑</w:t>
            </w:r>
            <w:r>
              <w:rPr>
                <w:rFonts w:hint="default"/>
                <w:color w:val="auto"/>
                <w:sz w:val="24"/>
                <w:lang w:val="en-US" w:eastAsia="zh-CN"/>
              </w:rPr>
              <w:t>构筑物之间或与</w:t>
            </w:r>
            <w:r>
              <w:rPr>
                <w:rFonts w:hint="eastAsia"/>
                <w:color w:val="auto"/>
                <w:sz w:val="24"/>
                <w:lang w:val="en-US" w:eastAsia="zh-CN"/>
              </w:rPr>
              <w:t>其他</w:t>
            </w:r>
            <w:r>
              <w:rPr>
                <w:rFonts w:hint="default"/>
                <w:color w:val="auto"/>
                <w:sz w:val="24"/>
                <w:lang w:val="en-US" w:eastAsia="zh-CN"/>
              </w:rPr>
              <w:t xml:space="preserve">场所之间留有足够的防火间距，防止在火灾或爆炸时相互影响。 </w:t>
            </w:r>
          </w:p>
          <w:p w14:paraId="33B90EC9">
            <w:pPr>
              <w:spacing w:line="360" w:lineRule="auto"/>
              <w:ind w:firstLine="480" w:firstLineChars="200"/>
              <w:rPr>
                <w:rFonts w:hint="default"/>
                <w:color w:val="auto"/>
                <w:sz w:val="24"/>
              </w:rPr>
            </w:pPr>
            <w:r>
              <w:rPr>
                <w:rFonts w:hint="default"/>
                <w:color w:val="auto"/>
                <w:sz w:val="24"/>
                <w:lang w:val="en-US" w:eastAsia="zh-CN"/>
              </w:rPr>
              <w:t xml:space="preserve">7、固废事故风险防范措施 </w:t>
            </w:r>
          </w:p>
          <w:p w14:paraId="5B61D51D">
            <w:pPr>
              <w:spacing w:line="360" w:lineRule="auto"/>
              <w:ind w:firstLine="480" w:firstLineChars="200"/>
              <w:rPr>
                <w:color w:val="auto"/>
                <w:sz w:val="24"/>
              </w:rPr>
            </w:pPr>
            <w:r>
              <w:rPr>
                <w:rFonts w:hint="default"/>
                <w:color w:val="auto"/>
                <w:sz w:val="24"/>
                <w:lang w:val="en-US" w:eastAsia="zh-CN"/>
              </w:rPr>
              <w:t>本项目各种固废分类收集、存放，临时存放室内固定场所，不被雨淋、风吹、专车运送，所有固废都得到合适的处置或综合利用，固废实现“零排放”是有保证的，不会对环境产生二次污染。</w:t>
            </w:r>
          </w:p>
          <w:p w14:paraId="7B3A3942">
            <w:pPr>
              <w:spacing w:line="360" w:lineRule="auto"/>
              <w:ind w:firstLine="480" w:firstLineChars="200"/>
              <w:rPr>
                <w:color w:val="auto"/>
                <w:sz w:val="24"/>
              </w:rPr>
            </w:pPr>
            <w:r>
              <w:rPr>
                <w:color w:val="auto"/>
                <w:sz w:val="24"/>
              </w:rPr>
              <w:t>综合以上分析</w:t>
            </w:r>
            <w:r>
              <w:rPr>
                <w:rFonts w:hint="eastAsia"/>
                <w:color w:val="auto"/>
                <w:sz w:val="24"/>
                <w:lang w:eastAsia="zh-CN"/>
              </w:rPr>
              <w:t>，</w:t>
            </w:r>
            <w:r>
              <w:rPr>
                <w:color w:val="auto"/>
                <w:sz w:val="24"/>
              </w:rPr>
              <w:t>本项目具有潜在的事故风险</w:t>
            </w:r>
            <w:r>
              <w:rPr>
                <w:rFonts w:hint="eastAsia"/>
                <w:color w:val="auto"/>
                <w:sz w:val="24"/>
                <w:lang w:eastAsia="zh-CN"/>
              </w:rPr>
              <w:t>，</w:t>
            </w:r>
            <w:r>
              <w:rPr>
                <w:color w:val="auto"/>
                <w:sz w:val="24"/>
              </w:rPr>
              <w:t>但风险概率较小。当出现事故时要采取紧急的工程应急措施</w:t>
            </w:r>
            <w:r>
              <w:rPr>
                <w:rFonts w:hint="eastAsia"/>
                <w:color w:val="auto"/>
                <w:sz w:val="24"/>
              </w:rPr>
              <w:t>，</w:t>
            </w:r>
            <w:r>
              <w:rPr>
                <w:color w:val="auto"/>
                <w:sz w:val="24"/>
              </w:rPr>
              <w:t>如必要时采取社会应急措施</w:t>
            </w:r>
            <w:r>
              <w:rPr>
                <w:rFonts w:hint="eastAsia"/>
                <w:color w:val="auto"/>
                <w:sz w:val="24"/>
                <w:lang w:eastAsia="zh-CN"/>
              </w:rPr>
              <w:t>，</w:t>
            </w:r>
            <w:r>
              <w:rPr>
                <w:color w:val="auto"/>
                <w:sz w:val="24"/>
              </w:rPr>
              <w:t>以控制</w:t>
            </w:r>
            <w:r>
              <w:rPr>
                <w:rFonts w:hint="eastAsia"/>
                <w:color w:val="auto"/>
                <w:sz w:val="24"/>
              </w:rPr>
              <w:t>释放</w:t>
            </w:r>
            <w:r>
              <w:rPr>
                <w:color w:val="auto"/>
                <w:sz w:val="24"/>
              </w:rPr>
              <w:t>和减少对环境及人群健康造成的危害。</w:t>
            </w:r>
          </w:p>
          <w:p w14:paraId="3AAFAA8F">
            <w:pPr>
              <w:spacing w:line="360" w:lineRule="auto"/>
              <w:ind w:firstLine="482" w:firstLineChars="200"/>
              <w:rPr>
                <w:rFonts w:hint="default" w:eastAsia="宋体"/>
                <w:b/>
                <w:bCs/>
                <w:color w:val="auto"/>
                <w:sz w:val="24"/>
                <w:lang w:val="en-US" w:eastAsia="zh-CN"/>
              </w:rPr>
            </w:pPr>
            <w:r>
              <w:rPr>
                <w:rFonts w:hint="eastAsia"/>
                <w:b/>
                <w:bCs/>
                <w:color w:val="auto"/>
                <w:sz w:val="24"/>
                <w:lang w:val="en-US" w:eastAsia="zh-CN"/>
              </w:rPr>
              <w:t>5.6土壤及地下水环境影响分析</w:t>
            </w:r>
          </w:p>
          <w:p w14:paraId="01185A2A">
            <w:pPr>
              <w:spacing w:line="360" w:lineRule="auto"/>
              <w:ind w:firstLine="480" w:firstLineChars="200"/>
              <w:rPr>
                <w:b/>
                <w:bCs/>
                <w:color w:val="auto"/>
                <w:sz w:val="24"/>
              </w:rPr>
            </w:pPr>
            <w:r>
              <w:rPr>
                <w:rFonts w:hint="eastAsia"/>
                <w:b w:val="0"/>
                <w:bCs w:val="0"/>
                <w:color w:val="auto"/>
                <w:sz w:val="24"/>
              </w:rPr>
              <w:t>根据《建设项目环境影响报告表编制技术指南（污染影响类）（试行）》中土壤及地下水环境影响分析的要求，本次评价从地下水、土壤污染源、污染类型、污染途径及防控措施的方面进行简单分析。</w:t>
            </w:r>
          </w:p>
          <w:p w14:paraId="59065D61">
            <w:pPr>
              <w:spacing w:line="360" w:lineRule="auto"/>
              <w:ind w:firstLine="482" w:firstLineChars="200"/>
              <w:rPr>
                <w:rFonts w:hint="default" w:eastAsia="宋体"/>
                <w:b/>
                <w:bCs/>
                <w:color w:val="auto"/>
                <w:sz w:val="24"/>
                <w:lang w:val="en-US" w:eastAsia="zh-CN"/>
              </w:rPr>
            </w:pPr>
            <w:r>
              <w:rPr>
                <w:rFonts w:hint="eastAsia"/>
                <w:b/>
                <w:bCs/>
                <w:color w:val="auto"/>
                <w:sz w:val="24"/>
                <w:lang w:val="en-US" w:eastAsia="zh-CN"/>
              </w:rPr>
              <w:t>5.6.1污染源、污染途径分析及污染防控措施</w:t>
            </w:r>
          </w:p>
          <w:p w14:paraId="1890E2D1">
            <w:pPr>
              <w:spacing w:line="360" w:lineRule="auto"/>
              <w:ind w:firstLine="480" w:firstLineChars="200"/>
              <w:rPr>
                <w:rFonts w:hint="eastAsia"/>
                <w:b w:val="0"/>
                <w:bCs w:val="0"/>
                <w:color w:val="auto"/>
                <w:sz w:val="24"/>
              </w:rPr>
            </w:pPr>
            <w:r>
              <w:rPr>
                <w:rFonts w:hint="eastAsia"/>
                <w:b w:val="0"/>
                <w:bCs w:val="0"/>
                <w:color w:val="auto"/>
                <w:sz w:val="24"/>
              </w:rPr>
              <w:t>1、污染源和污染途径分析</w:t>
            </w:r>
          </w:p>
          <w:p w14:paraId="08FE82A3">
            <w:pPr>
              <w:spacing w:line="360" w:lineRule="auto"/>
              <w:ind w:firstLine="480" w:firstLineChars="200"/>
              <w:rPr>
                <w:rFonts w:hint="eastAsia"/>
                <w:b w:val="0"/>
                <w:bCs w:val="0"/>
                <w:color w:val="auto"/>
                <w:sz w:val="24"/>
              </w:rPr>
            </w:pPr>
            <w:r>
              <w:rPr>
                <w:rFonts w:hint="eastAsia"/>
                <w:b w:val="0"/>
                <w:bCs w:val="0"/>
                <w:color w:val="auto"/>
                <w:sz w:val="24"/>
              </w:rPr>
              <w:t>本项目厂房地面均做水泥硬化处理，生产装置及公辅设备均不与天然土壤接触，</w:t>
            </w:r>
            <w:r>
              <w:rPr>
                <w:rFonts w:hint="eastAsia"/>
                <w:b w:val="0"/>
                <w:bCs w:val="0"/>
                <w:color w:val="auto"/>
                <w:sz w:val="24"/>
                <w:lang w:val="en-US" w:eastAsia="zh-CN"/>
              </w:rPr>
              <w:t>一般固废暂存</w:t>
            </w:r>
            <w:r>
              <w:rPr>
                <w:rFonts w:hint="eastAsia"/>
                <w:b w:val="0"/>
                <w:bCs w:val="0"/>
                <w:color w:val="auto"/>
                <w:sz w:val="24"/>
              </w:rPr>
              <w:t>于</w:t>
            </w:r>
            <w:r>
              <w:rPr>
                <w:rFonts w:hint="eastAsia"/>
                <w:b w:val="0"/>
                <w:bCs w:val="0"/>
                <w:color w:val="auto"/>
                <w:sz w:val="24"/>
                <w:lang w:val="en-US" w:eastAsia="zh-CN"/>
              </w:rPr>
              <w:t>固废</w:t>
            </w:r>
            <w:r>
              <w:rPr>
                <w:rFonts w:hint="eastAsia"/>
                <w:b w:val="0"/>
                <w:bCs w:val="0"/>
                <w:color w:val="auto"/>
                <w:sz w:val="24"/>
              </w:rPr>
              <w:t>暂存间内，本项目对地下水和土壤可能的污染源主要为：生产区、</w:t>
            </w:r>
            <w:r>
              <w:rPr>
                <w:rFonts w:hint="eastAsia"/>
                <w:b w:val="0"/>
                <w:bCs w:val="0"/>
                <w:color w:val="auto"/>
                <w:sz w:val="24"/>
                <w:lang w:val="en-US" w:eastAsia="zh-CN"/>
              </w:rPr>
              <w:t>一般固废</w:t>
            </w:r>
            <w:r>
              <w:rPr>
                <w:rFonts w:hint="eastAsia"/>
                <w:b w:val="0"/>
                <w:bCs w:val="0"/>
                <w:color w:val="auto"/>
                <w:sz w:val="24"/>
              </w:rPr>
              <w:t>暂存间、污水处理站等。</w:t>
            </w:r>
          </w:p>
          <w:p w14:paraId="24E39722">
            <w:pPr>
              <w:spacing w:line="360" w:lineRule="auto"/>
              <w:ind w:firstLine="480" w:firstLineChars="200"/>
              <w:rPr>
                <w:rFonts w:hint="eastAsia"/>
                <w:b w:val="0"/>
                <w:bCs w:val="0"/>
                <w:color w:val="auto"/>
                <w:sz w:val="24"/>
              </w:rPr>
            </w:pPr>
            <w:r>
              <w:rPr>
                <w:rFonts w:hint="eastAsia"/>
                <w:b w:val="0"/>
                <w:bCs w:val="0"/>
                <w:color w:val="auto"/>
                <w:sz w:val="24"/>
              </w:rPr>
              <w:t>污染物污染地下水的途径主要包括：生产区、</w:t>
            </w:r>
            <w:r>
              <w:rPr>
                <w:rFonts w:hint="eastAsia"/>
                <w:b w:val="0"/>
                <w:bCs w:val="0"/>
                <w:color w:val="auto"/>
                <w:sz w:val="24"/>
                <w:lang w:val="en-US" w:eastAsia="zh-CN"/>
              </w:rPr>
              <w:t>一般固废</w:t>
            </w:r>
            <w:r>
              <w:rPr>
                <w:rFonts w:hint="eastAsia"/>
                <w:b w:val="0"/>
                <w:bCs w:val="0"/>
                <w:color w:val="auto"/>
                <w:sz w:val="24"/>
              </w:rPr>
              <w:t>暂存间、污水处理站等防渗措施不到位，废水污染地下水及土壤环境。</w:t>
            </w:r>
          </w:p>
          <w:p w14:paraId="618CA51B">
            <w:pPr>
              <w:spacing w:line="360" w:lineRule="auto"/>
              <w:ind w:firstLine="480" w:firstLineChars="200"/>
              <w:rPr>
                <w:rFonts w:hint="eastAsia"/>
                <w:b w:val="0"/>
                <w:bCs w:val="0"/>
                <w:color w:val="auto"/>
                <w:sz w:val="24"/>
              </w:rPr>
            </w:pPr>
            <w:r>
              <w:rPr>
                <w:rFonts w:hint="eastAsia"/>
                <w:b w:val="0"/>
                <w:bCs w:val="0"/>
                <w:color w:val="auto"/>
                <w:sz w:val="24"/>
              </w:rPr>
              <w:t>2、防控措施</w:t>
            </w:r>
          </w:p>
          <w:p w14:paraId="3CF63F18">
            <w:pPr>
              <w:spacing w:line="360" w:lineRule="auto"/>
              <w:ind w:firstLine="480" w:firstLineChars="200"/>
              <w:rPr>
                <w:rFonts w:hint="eastAsia"/>
                <w:b w:val="0"/>
                <w:bCs w:val="0"/>
                <w:color w:val="auto"/>
                <w:sz w:val="24"/>
              </w:rPr>
            </w:pPr>
            <w:r>
              <w:rPr>
                <w:rFonts w:hint="eastAsia"/>
                <w:b w:val="0"/>
                <w:bCs w:val="0"/>
                <w:color w:val="auto"/>
                <w:sz w:val="24"/>
              </w:rPr>
              <w:t>（1）源头和过程控制措施</w:t>
            </w:r>
          </w:p>
          <w:p w14:paraId="527DC6DE">
            <w:pPr>
              <w:spacing w:line="360" w:lineRule="auto"/>
              <w:ind w:firstLine="480" w:firstLineChars="200"/>
              <w:rPr>
                <w:rFonts w:hint="eastAsia"/>
                <w:b w:val="0"/>
                <w:bCs w:val="0"/>
                <w:color w:val="auto"/>
                <w:sz w:val="24"/>
              </w:rPr>
            </w:pPr>
            <w:r>
              <w:rPr>
                <w:rFonts w:hint="eastAsia"/>
                <w:b w:val="0"/>
                <w:bCs w:val="0"/>
                <w:color w:val="auto"/>
                <w:sz w:val="24"/>
              </w:rPr>
              <w:t>为保护地下水环境和土壤环境，采取防控措施，从源头控制对地下水和土壤的污染。从原辅料和产品的储存、装卸、运输、生产过程、污染处理装置等全过程控制各种有害物质泄漏（含跑、冒、滴、漏），同时对有害物质可能泄漏到地面的区域采取防渗措施，阻止其进入土壤和地下水中，即从源头到末端全方位采取控制措施，防止项目的建设对土壤和地下水环境造成污染。</w:t>
            </w:r>
          </w:p>
          <w:p w14:paraId="69EFE47B">
            <w:pPr>
              <w:spacing w:line="360" w:lineRule="auto"/>
              <w:ind w:firstLine="480" w:firstLineChars="200"/>
              <w:rPr>
                <w:rFonts w:hint="eastAsia"/>
                <w:b w:val="0"/>
                <w:bCs w:val="0"/>
                <w:color w:val="auto"/>
                <w:sz w:val="24"/>
              </w:rPr>
            </w:pPr>
            <w:r>
              <w:rPr>
                <w:rFonts w:hint="eastAsia"/>
                <w:b w:val="0"/>
                <w:bCs w:val="0"/>
                <w:color w:val="auto"/>
                <w:sz w:val="24"/>
              </w:rPr>
              <w:t>从生产过程入手，在工艺、管道、设备、给排水等方面采取泄漏防控措施，从源头最大限度降低污染/危险物质泄漏的可能性和泄漏量，使项目区污染物对土壤和地下水环境的影响降至最低，一旦出现泄漏等事故，即可由区域内的各种配套应急措施进行收集，并安全处置，同时采用硬化处理的地面有效阻止污染物下渗。</w:t>
            </w:r>
          </w:p>
          <w:p w14:paraId="07B20FE8">
            <w:pPr>
              <w:spacing w:line="360" w:lineRule="auto"/>
              <w:ind w:firstLine="480" w:firstLineChars="200"/>
              <w:rPr>
                <w:rFonts w:hint="eastAsia"/>
                <w:b w:val="0"/>
                <w:bCs w:val="0"/>
                <w:color w:val="auto"/>
                <w:sz w:val="24"/>
              </w:rPr>
            </w:pPr>
            <w:r>
              <w:rPr>
                <w:rFonts w:hint="eastAsia"/>
                <w:b w:val="0"/>
                <w:bCs w:val="0"/>
                <w:color w:val="auto"/>
                <w:sz w:val="24"/>
              </w:rPr>
              <w:t>（2）污染防治分区</w:t>
            </w:r>
          </w:p>
          <w:p w14:paraId="7017460E">
            <w:pPr>
              <w:spacing w:line="360" w:lineRule="auto"/>
              <w:ind w:firstLine="480" w:firstLineChars="200"/>
              <w:rPr>
                <w:b/>
                <w:bCs/>
                <w:color w:val="auto"/>
                <w:sz w:val="24"/>
              </w:rPr>
            </w:pPr>
            <w:r>
              <w:rPr>
                <w:rFonts w:hint="eastAsia"/>
                <w:b w:val="0"/>
                <w:bCs w:val="0"/>
                <w:color w:val="auto"/>
                <w:sz w:val="24"/>
              </w:rPr>
              <w:t>根据《环境影响评价技术导则 地下水环境》（HJ610-2016）中要求项目地下水防渗应达到的要求，本项目在设计、施工阶段按以下要求落实本项目的防渗方案。污染区按照不同分区要求，采取不同等级的防渗措施，并确保其可靠性和有效性。</w:t>
            </w:r>
          </w:p>
          <w:p w14:paraId="4DE89E3D">
            <w:pPr>
              <w:spacing w:line="360" w:lineRule="auto"/>
              <w:ind w:firstLine="422" w:firstLineChars="200"/>
              <w:jc w:val="center"/>
              <w:rPr>
                <w:rFonts w:hint="default" w:eastAsia="宋体"/>
                <w:b/>
                <w:bCs/>
                <w:color w:val="0000FF"/>
                <w:sz w:val="24"/>
                <w:lang w:val="en-US" w:eastAsia="zh-CN"/>
              </w:rPr>
            </w:pPr>
            <w:r>
              <w:rPr>
                <w:rFonts w:cs="Times New Roman"/>
                <w:b/>
                <w:bCs/>
                <w:color w:val="0000FF"/>
                <w:sz w:val="21"/>
                <w:szCs w:val="20"/>
              </w:rPr>
              <w:t>表</w:t>
            </w:r>
            <w:r>
              <w:rPr>
                <w:rFonts w:hint="eastAsia" w:cs="Times New Roman"/>
                <w:b/>
                <w:bCs/>
                <w:color w:val="0000FF"/>
                <w:sz w:val="21"/>
                <w:szCs w:val="20"/>
              </w:rPr>
              <w:t>4-1</w:t>
            </w:r>
            <w:r>
              <w:rPr>
                <w:rFonts w:hint="eastAsia" w:cs="Times New Roman"/>
                <w:b/>
                <w:bCs/>
                <w:color w:val="0000FF"/>
                <w:sz w:val="21"/>
                <w:szCs w:val="20"/>
                <w:lang w:val="en-US" w:eastAsia="zh-CN"/>
              </w:rPr>
              <w:t>7</w:t>
            </w:r>
            <w:r>
              <w:rPr>
                <w:rFonts w:cs="Times New Roman"/>
                <w:b/>
                <w:bCs/>
                <w:color w:val="0000FF"/>
                <w:sz w:val="21"/>
                <w:szCs w:val="20"/>
              </w:rPr>
              <w:t xml:space="preserve">  </w:t>
            </w:r>
            <w:r>
              <w:rPr>
                <w:rFonts w:hint="eastAsia" w:cs="Times New Roman"/>
                <w:b/>
                <w:bCs/>
                <w:color w:val="0000FF"/>
                <w:sz w:val="21"/>
                <w:szCs w:val="20"/>
                <w:lang w:val="en-US" w:eastAsia="zh-CN"/>
              </w:rPr>
              <w:t>污染区划分及防渗等级一览表</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9"/>
              <w:gridCol w:w="2278"/>
              <w:gridCol w:w="1854"/>
              <w:gridCol w:w="2572"/>
            </w:tblGrid>
            <w:tr w14:paraId="63AFE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79" w:type="dxa"/>
                  <w:vAlign w:val="center"/>
                </w:tcPr>
                <w:p w14:paraId="5531793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FF"/>
                      <w:sz w:val="21"/>
                      <w:szCs w:val="21"/>
                      <w:vertAlign w:val="baseline"/>
                      <w:lang w:val="en-US" w:eastAsia="zh-CN"/>
                    </w:rPr>
                  </w:pPr>
                  <w:r>
                    <w:rPr>
                      <w:rFonts w:hint="default" w:ascii="Times New Roman" w:hAnsi="Times New Roman" w:eastAsia="宋体" w:cs="Times New Roman"/>
                      <w:b/>
                      <w:bCs/>
                      <w:color w:val="0000FF"/>
                      <w:sz w:val="21"/>
                      <w:szCs w:val="21"/>
                      <w:vertAlign w:val="baseline"/>
                      <w:lang w:val="en-US" w:eastAsia="zh-CN"/>
                    </w:rPr>
                    <w:t>防渗分区</w:t>
                  </w:r>
                </w:p>
              </w:tc>
              <w:tc>
                <w:tcPr>
                  <w:tcW w:w="2278" w:type="dxa"/>
                  <w:vAlign w:val="center"/>
                </w:tcPr>
                <w:p w14:paraId="4F8EF3DD">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FF"/>
                      <w:sz w:val="21"/>
                      <w:szCs w:val="21"/>
                      <w:vertAlign w:val="baseline"/>
                      <w:lang w:val="en-US" w:eastAsia="zh-CN"/>
                    </w:rPr>
                  </w:pPr>
                  <w:r>
                    <w:rPr>
                      <w:rFonts w:hint="default" w:ascii="Times New Roman" w:hAnsi="Times New Roman" w:eastAsia="宋体" w:cs="Times New Roman"/>
                      <w:b/>
                      <w:bCs/>
                      <w:color w:val="0000FF"/>
                      <w:sz w:val="21"/>
                      <w:szCs w:val="21"/>
                      <w:vertAlign w:val="baseline"/>
                      <w:lang w:val="en-US" w:eastAsia="zh-CN"/>
                    </w:rPr>
                    <w:t>定义</w:t>
                  </w:r>
                </w:p>
              </w:tc>
              <w:tc>
                <w:tcPr>
                  <w:tcW w:w="1854" w:type="dxa"/>
                  <w:vAlign w:val="center"/>
                </w:tcPr>
                <w:p w14:paraId="48AC047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FF"/>
                      <w:sz w:val="21"/>
                      <w:szCs w:val="21"/>
                      <w:vertAlign w:val="baseline"/>
                      <w:lang w:val="en-US" w:eastAsia="zh-CN"/>
                    </w:rPr>
                  </w:pPr>
                  <w:r>
                    <w:rPr>
                      <w:rFonts w:hint="default" w:ascii="Times New Roman" w:hAnsi="Times New Roman" w:eastAsia="宋体" w:cs="Times New Roman"/>
                      <w:b/>
                      <w:bCs/>
                      <w:color w:val="0000FF"/>
                      <w:sz w:val="21"/>
                      <w:szCs w:val="21"/>
                      <w:vertAlign w:val="baseline"/>
                      <w:lang w:val="en-US" w:eastAsia="zh-CN"/>
                    </w:rPr>
                    <w:t>厂内分区</w:t>
                  </w:r>
                </w:p>
              </w:tc>
              <w:tc>
                <w:tcPr>
                  <w:tcW w:w="2572" w:type="dxa"/>
                  <w:vAlign w:val="center"/>
                </w:tcPr>
                <w:p w14:paraId="24A1E23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FF"/>
                      <w:sz w:val="21"/>
                      <w:szCs w:val="21"/>
                      <w:vertAlign w:val="baseline"/>
                      <w:lang w:val="en-US" w:eastAsia="zh-CN"/>
                    </w:rPr>
                  </w:pPr>
                  <w:r>
                    <w:rPr>
                      <w:rFonts w:hint="default" w:ascii="Times New Roman" w:hAnsi="Times New Roman" w:eastAsia="宋体" w:cs="Times New Roman"/>
                      <w:b/>
                      <w:bCs/>
                      <w:color w:val="0000FF"/>
                      <w:sz w:val="21"/>
                      <w:szCs w:val="21"/>
                      <w:vertAlign w:val="baseline"/>
                      <w:lang w:val="en-US" w:eastAsia="zh-CN"/>
                    </w:rPr>
                    <w:t>防渗等级</w:t>
                  </w:r>
                </w:p>
              </w:tc>
            </w:tr>
            <w:tr w14:paraId="50A66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79" w:type="dxa"/>
                  <w:vAlign w:val="center"/>
                </w:tcPr>
                <w:p w14:paraId="4A72698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FF"/>
                      <w:sz w:val="21"/>
                      <w:szCs w:val="21"/>
                      <w:vertAlign w:val="baseline"/>
                    </w:rPr>
                  </w:pPr>
                  <w:r>
                    <w:rPr>
                      <w:rFonts w:hint="default" w:ascii="Times New Roman" w:hAnsi="Times New Roman" w:eastAsia="宋体" w:cs="Times New Roman"/>
                      <w:b/>
                      <w:bCs/>
                      <w:color w:val="0000FF"/>
                      <w:sz w:val="21"/>
                      <w:szCs w:val="21"/>
                      <w:vertAlign w:val="baseline"/>
                      <w:lang w:val="en-US" w:eastAsia="zh-CN"/>
                    </w:rPr>
                    <w:t>一般防渗区</w:t>
                  </w:r>
                </w:p>
              </w:tc>
              <w:tc>
                <w:tcPr>
                  <w:tcW w:w="2278" w:type="dxa"/>
                  <w:vAlign w:val="center"/>
                </w:tcPr>
                <w:p w14:paraId="38C406E3">
                  <w:pPr>
                    <w:keepNext w:val="0"/>
                    <w:keepLines w:val="0"/>
                    <w:pageBreakBefore w:val="0"/>
                    <w:widowControl w:val="0"/>
                    <w:kinsoku/>
                    <w:wordWrap w:val="0"/>
                    <w:overflowPunct/>
                    <w:topLinePunct/>
                    <w:autoSpaceDE/>
                    <w:autoSpaceDN/>
                    <w:bidi w:val="0"/>
                    <w:adjustRightInd w:val="0"/>
                    <w:snapToGrid w:val="0"/>
                    <w:spacing w:line="240" w:lineRule="auto"/>
                    <w:jc w:val="both"/>
                    <w:textAlignment w:val="auto"/>
                    <w:rPr>
                      <w:rFonts w:hint="default" w:ascii="Times New Roman" w:hAnsi="Times New Roman" w:eastAsia="宋体" w:cs="Times New Roman"/>
                      <w:b w:val="0"/>
                      <w:bCs w:val="0"/>
                      <w:color w:val="0000FF"/>
                      <w:sz w:val="21"/>
                      <w:szCs w:val="21"/>
                      <w:vertAlign w:val="baseline"/>
                    </w:rPr>
                  </w:pPr>
                  <w:r>
                    <w:rPr>
                      <w:rFonts w:hint="default" w:ascii="Times New Roman" w:hAnsi="Times New Roman" w:eastAsia="宋体" w:cs="Times New Roman"/>
                      <w:b w:val="0"/>
                      <w:bCs w:val="0"/>
                      <w:color w:val="0000FF"/>
                      <w:sz w:val="21"/>
                      <w:szCs w:val="21"/>
                      <w:vertAlign w:val="baseline"/>
                    </w:rPr>
                    <w:t>无毒性或毒性小的生产装置区、装置区域外的管廊区等</w:t>
                  </w:r>
                </w:p>
              </w:tc>
              <w:tc>
                <w:tcPr>
                  <w:tcW w:w="1854" w:type="dxa"/>
                  <w:vAlign w:val="center"/>
                </w:tcPr>
                <w:p w14:paraId="6B96878C">
                  <w:pPr>
                    <w:keepNext w:val="0"/>
                    <w:keepLines w:val="0"/>
                    <w:pageBreakBefore w:val="0"/>
                    <w:widowControl w:val="0"/>
                    <w:kinsoku/>
                    <w:wordWrap w:val="0"/>
                    <w:overflowPunct/>
                    <w:topLinePunct/>
                    <w:autoSpaceDE/>
                    <w:autoSpaceDN/>
                    <w:bidi w:val="0"/>
                    <w:adjustRightInd w:val="0"/>
                    <w:snapToGrid w:val="0"/>
                    <w:spacing w:line="240" w:lineRule="auto"/>
                    <w:jc w:val="both"/>
                    <w:textAlignment w:val="auto"/>
                    <w:rPr>
                      <w:rFonts w:hint="default" w:ascii="Times New Roman" w:hAnsi="Times New Roman" w:eastAsia="宋体" w:cs="Times New Roman"/>
                      <w:b w:val="0"/>
                      <w:bCs w:val="0"/>
                      <w:color w:val="0000FF"/>
                      <w:sz w:val="21"/>
                      <w:szCs w:val="21"/>
                      <w:vertAlign w:val="baseline"/>
                    </w:rPr>
                  </w:pPr>
                  <w:r>
                    <w:rPr>
                      <w:rFonts w:hint="default" w:ascii="Times New Roman" w:hAnsi="Times New Roman" w:eastAsia="宋体" w:cs="Times New Roman"/>
                      <w:b w:val="0"/>
                      <w:bCs w:val="0"/>
                      <w:color w:val="0000FF"/>
                      <w:sz w:val="21"/>
                      <w:szCs w:val="21"/>
                      <w:vertAlign w:val="baseline"/>
                    </w:rPr>
                    <w:t>生产车间、污水处理站</w:t>
                  </w:r>
                  <w:r>
                    <w:rPr>
                      <w:rFonts w:hint="eastAsia" w:eastAsia="宋体" w:cs="Times New Roman"/>
                      <w:b w:val="0"/>
                      <w:bCs w:val="0"/>
                      <w:color w:val="0000FF"/>
                      <w:sz w:val="21"/>
                      <w:szCs w:val="21"/>
                      <w:vertAlign w:val="baseline"/>
                      <w:lang w:eastAsia="zh-CN"/>
                    </w:rPr>
                    <w:t>、</w:t>
                  </w:r>
                  <w:r>
                    <w:rPr>
                      <w:rFonts w:hint="eastAsia" w:eastAsia="宋体" w:cs="Times New Roman"/>
                      <w:b w:val="0"/>
                      <w:bCs w:val="0"/>
                      <w:color w:val="0000FF"/>
                      <w:sz w:val="21"/>
                      <w:szCs w:val="21"/>
                      <w:vertAlign w:val="baseline"/>
                      <w:lang w:val="en-US" w:eastAsia="zh-CN"/>
                    </w:rPr>
                    <w:t>化粪池、</w:t>
                  </w:r>
                  <w:r>
                    <w:rPr>
                      <w:rFonts w:hint="eastAsia"/>
                      <w:color w:val="0000FF"/>
                      <w:kern w:val="2"/>
                      <w:sz w:val="21"/>
                      <w:szCs w:val="21"/>
                      <w:lang w:val="en-US" w:eastAsia="zh-CN"/>
                    </w:rPr>
                    <w:t>一般固废暂存间</w:t>
                  </w:r>
                  <w:r>
                    <w:rPr>
                      <w:rFonts w:hint="default" w:ascii="Times New Roman" w:hAnsi="Times New Roman" w:eastAsia="宋体" w:cs="Times New Roman"/>
                      <w:b w:val="0"/>
                      <w:bCs w:val="0"/>
                      <w:color w:val="0000FF"/>
                      <w:sz w:val="21"/>
                      <w:szCs w:val="21"/>
                      <w:vertAlign w:val="baseline"/>
                    </w:rPr>
                    <w:t>等区域</w:t>
                  </w:r>
                </w:p>
              </w:tc>
              <w:tc>
                <w:tcPr>
                  <w:tcW w:w="2572" w:type="dxa"/>
                  <w:vAlign w:val="center"/>
                </w:tcPr>
                <w:p w14:paraId="0335E361">
                  <w:pPr>
                    <w:keepNext w:val="0"/>
                    <w:keepLines w:val="0"/>
                    <w:pageBreakBefore w:val="0"/>
                    <w:widowControl w:val="0"/>
                    <w:kinsoku/>
                    <w:wordWrap w:val="0"/>
                    <w:overflowPunct/>
                    <w:topLinePunct/>
                    <w:autoSpaceDE/>
                    <w:autoSpaceDN/>
                    <w:bidi w:val="0"/>
                    <w:adjustRightInd w:val="0"/>
                    <w:snapToGrid w:val="0"/>
                    <w:spacing w:line="240" w:lineRule="auto"/>
                    <w:jc w:val="both"/>
                    <w:textAlignment w:val="auto"/>
                    <w:rPr>
                      <w:rFonts w:hint="default" w:ascii="Times New Roman" w:hAnsi="Times New Roman" w:eastAsia="宋体" w:cs="Times New Roman"/>
                      <w:b w:val="0"/>
                      <w:bCs w:val="0"/>
                      <w:color w:val="0000FF"/>
                      <w:sz w:val="21"/>
                      <w:szCs w:val="21"/>
                      <w:vertAlign w:val="baseline"/>
                    </w:rPr>
                  </w:pPr>
                  <w:r>
                    <w:rPr>
                      <w:rFonts w:hint="eastAsia" w:cs="Times New Roman"/>
                      <w:b w:val="0"/>
                      <w:bCs w:val="0"/>
                      <w:color w:val="0000FF"/>
                      <w:sz w:val="21"/>
                      <w:szCs w:val="21"/>
                      <w:vertAlign w:val="baseline"/>
                      <w:lang w:val="en-US" w:eastAsia="zh-CN"/>
                    </w:rPr>
                    <w:t>等效黏土防渗层Mb≥1.5m，K≤1.0×10</w:t>
                  </w:r>
                  <w:r>
                    <w:rPr>
                      <w:rFonts w:hint="eastAsia" w:cs="Times New Roman"/>
                      <w:b w:val="0"/>
                      <w:bCs w:val="0"/>
                      <w:color w:val="0000FF"/>
                      <w:sz w:val="21"/>
                      <w:szCs w:val="21"/>
                      <w:vertAlign w:val="superscript"/>
                      <w:lang w:val="en-US" w:eastAsia="zh-CN"/>
                    </w:rPr>
                    <w:t>-7</w:t>
                  </w:r>
                  <w:r>
                    <w:rPr>
                      <w:rFonts w:hint="eastAsia" w:cs="Times New Roman"/>
                      <w:b w:val="0"/>
                      <w:bCs w:val="0"/>
                      <w:color w:val="0000FF"/>
                      <w:sz w:val="21"/>
                      <w:szCs w:val="21"/>
                      <w:vertAlign w:val="baseline"/>
                      <w:lang w:val="en-US" w:eastAsia="zh-CN"/>
                    </w:rPr>
                    <w:t>cm/s</w:t>
                  </w:r>
                </w:p>
              </w:tc>
            </w:tr>
            <w:tr w14:paraId="0519B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79" w:type="dxa"/>
                  <w:vAlign w:val="center"/>
                </w:tcPr>
                <w:p w14:paraId="2B60EC2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FF"/>
                      <w:sz w:val="21"/>
                      <w:szCs w:val="21"/>
                      <w:vertAlign w:val="baseline"/>
                    </w:rPr>
                  </w:pPr>
                  <w:r>
                    <w:rPr>
                      <w:rFonts w:hint="default" w:ascii="Times New Roman" w:hAnsi="Times New Roman" w:eastAsia="宋体" w:cs="Times New Roman"/>
                      <w:b/>
                      <w:bCs/>
                      <w:color w:val="0000FF"/>
                      <w:sz w:val="21"/>
                      <w:szCs w:val="21"/>
                      <w:vertAlign w:val="baseline"/>
                      <w:lang w:val="en-US" w:eastAsia="zh-CN"/>
                    </w:rPr>
                    <w:t>简单防渗区</w:t>
                  </w:r>
                </w:p>
              </w:tc>
              <w:tc>
                <w:tcPr>
                  <w:tcW w:w="2278" w:type="dxa"/>
                  <w:vAlign w:val="center"/>
                </w:tcPr>
                <w:p w14:paraId="40192483">
                  <w:pPr>
                    <w:keepNext w:val="0"/>
                    <w:keepLines w:val="0"/>
                    <w:pageBreakBefore w:val="0"/>
                    <w:widowControl/>
                    <w:suppressLineNumbers w:val="0"/>
                    <w:kinsoku/>
                    <w:wordWrap w:val="0"/>
                    <w:overflowPunct/>
                    <w:topLinePunct/>
                    <w:autoSpaceDE/>
                    <w:autoSpaceDN/>
                    <w:bidi w:val="0"/>
                    <w:adjustRightInd w:val="0"/>
                    <w:snapToGrid w:val="0"/>
                    <w:jc w:val="both"/>
                    <w:textAlignment w:val="auto"/>
                    <w:rPr>
                      <w:rFonts w:hint="default" w:ascii="Times New Roman" w:hAnsi="Times New Roman" w:eastAsia="宋体" w:cs="Times New Roman"/>
                      <w:b w:val="0"/>
                      <w:bCs w:val="0"/>
                      <w:color w:val="0000FF"/>
                      <w:sz w:val="21"/>
                      <w:szCs w:val="21"/>
                      <w:vertAlign w:val="baseline"/>
                    </w:rPr>
                  </w:pPr>
                  <w:r>
                    <w:rPr>
                      <w:rFonts w:hint="default" w:ascii="Times New Roman" w:hAnsi="Times New Roman" w:eastAsia="宋体" w:cs="Times New Roman"/>
                      <w:b w:val="0"/>
                      <w:bCs w:val="0"/>
                      <w:color w:val="0000FF"/>
                      <w:kern w:val="0"/>
                      <w:sz w:val="21"/>
                      <w:szCs w:val="21"/>
                      <w:lang w:val="en-US" w:eastAsia="zh-CN" w:bidi="ar"/>
                    </w:rPr>
                    <w:t>除污染区的其余区域</w:t>
                  </w:r>
                </w:p>
              </w:tc>
              <w:tc>
                <w:tcPr>
                  <w:tcW w:w="1854" w:type="dxa"/>
                  <w:vAlign w:val="center"/>
                </w:tcPr>
                <w:p w14:paraId="2D5BF3C8">
                  <w:pPr>
                    <w:keepNext w:val="0"/>
                    <w:keepLines w:val="0"/>
                    <w:pageBreakBefore w:val="0"/>
                    <w:widowControl w:val="0"/>
                    <w:kinsoku/>
                    <w:wordWrap w:val="0"/>
                    <w:overflowPunct/>
                    <w:topLinePunct/>
                    <w:autoSpaceDE/>
                    <w:autoSpaceDN/>
                    <w:bidi w:val="0"/>
                    <w:adjustRightInd w:val="0"/>
                    <w:snapToGrid w:val="0"/>
                    <w:spacing w:line="240" w:lineRule="auto"/>
                    <w:jc w:val="both"/>
                    <w:textAlignment w:val="auto"/>
                    <w:rPr>
                      <w:rFonts w:hint="default" w:ascii="Times New Roman" w:hAnsi="Times New Roman" w:eastAsia="宋体" w:cs="Times New Roman"/>
                      <w:b w:val="0"/>
                      <w:bCs w:val="0"/>
                      <w:color w:val="0000FF"/>
                      <w:sz w:val="21"/>
                      <w:szCs w:val="21"/>
                      <w:vertAlign w:val="baseline"/>
                      <w:lang w:val="en-US" w:eastAsia="zh-CN"/>
                    </w:rPr>
                  </w:pPr>
                  <w:r>
                    <w:rPr>
                      <w:rFonts w:hint="default" w:ascii="Times New Roman" w:hAnsi="Times New Roman" w:eastAsia="宋体" w:cs="Times New Roman"/>
                      <w:b w:val="0"/>
                      <w:bCs w:val="0"/>
                      <w:color w:val="0000FF"/>
                      <w:sz w:val="21"/>
                      <w:szCs w:val="21"/>
                      <w:vertAlign w:val="baseline"/>
                      <w:lang w:val="en-US" w:eastAsia="zh-CN"/>
                    </w:rPr>
                    <w:t>办公区等</w:t>
                  </w:r>
                </w:p>
              </w:tc>
              <w:tc>
                <w:tcPr>
                  <w:tcW w:w="2572" w:type="dxa"/>
                  <w:vAlign w:val="center"/>
                </w:tcPr>
                <w:p w14:paraId="40B4F748">
                  <w:pPr>
                    <w:keepNext w:val="0"/>
                    <w:keepLines w:val="0"/>
                    <w:pageBreakBefore w:val="0"/>
                    <w:widowControl w:val="0"/>
                    <w:kinsoku/>
                    <w:wordWrap w:val="0"/>
                    <w:overflowPunct/>
                    <w:topLinePunct/>
                    <w:autoSpaceDE/>
                    <w:autoSpaceDN/>
                    <w:bidi w:val="0"/>
                    <w:adjustRightInd w:val="0"/>
                    <w:snapToGrid w:val="0"/>
                    <w:spacing w:line="240" w:lineRule="auto"/>
                    <w:jc w:val="both"/>
                    <w:textAlignment w:val="auto"/>
                    <w:rPr>
                      <w:rFonts w:hint="default" w:ascii="Times New Roman" w:hAnsi="Times New Roman" w:eastAsia="宋体" w:cs="Times New Roman"/>
                      <w:b w:val="0"/>
                      <w:bCs w:val="0"/>
                      <w:color w:val="0000FF"/>
                      <w:sz w:val="21"/>
                      <w:szCs w:val="21"/>
                      <w:vertAlign w:val="baseline"/>
                      <w:lang w:val="en-US" w:eastAsia="zh-CN"/>
                    </w:rPr>
                  </w:pPr>
                  <w:r>
                    <w:rPr>
                      <w:rFonts w:hint="default" w:ascii="Times New Roman" w:hAnsi="Times New Roman" w:eastAsia="宋体" w:cs="Times New Roman"/>
                      <w:b w:val="0"/>
                      <w:bCs w:val="0"/>
                      <w:color w:val="0000FF"/>
                      <w:sz w:val="21"/>
                      <w:szCs w:val="21"/>
                      <w:vertAlign w:val="baseline"/>
                      <w:lang w:val="en-US" w:eastAsia="zh-CN"/>
                    </w:rPr>
                    <w:t>一般地面硬化</w:t>
                  </w:r>
                </w:p>
              </w:tc>
            </w:tr>
          </w:tbl>
          <w:p w14:paraId="0B1EEBE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eastAsia="宋体"/>
                <w:b/>
                <w:bCs/>
                <w:color w:val="0000FF"/>
                <w:sz w:val="24"/>
                <w:lang w:val="en-US" w:eastAsia="zh-CN"/>
              </w:rPr>
            </w:pPr>
            <w:r>
              <w:rPr>
                <w:rFonts w:hint="eastAsia"/>
                <w:b w:val="0"/>
                <w:bCs w:val="0"/>
                <w:color w:val="0000FF"/>
                <w:sz w:val="24"/>
              </w:rPr>
              <w:t>本项目针对污染特点设置地下水、土壤的简单防渗区、一般防渗区。本项目办公区为简单防渗区，采取一般地面硬化即可。厂区生产车间、污水处理站</w:t>
            </w:r>
            <w:r>
              <w:rPr>
                <w:rFonts w:hint="eastAsia" w:eastAsia="宋体"/>
                <w:b w:val="0"/>
                <w:bCs w:val="0"/>
                <w:color w:val="0000FF"/>
                <w:sz w:val="24"/>
              </w:rPr>
              <w:t>、</w:t>
            </w:r>
            <w:r>
              <w:rPr>
                <w:rFonts w:hint="eastAsia" w:eastAsia="宋体"/>
                <w:b w:val="0"/>
                <w:bCs w:val="0"/>
                <w:color w:val="0000FF"/>
                <w:sz w:val="24"/>
                <w:lang w:val="en-US" w:eastAsia="zh-CN"/>
              </w:rPr>
              <w:t>化粪池、</w:t>
            </w:r>
            <w:r>
              <w:rPr>
                <w:rFonts w:hint="eastAsia" w:eastAsia="宋体"/>
                <w:b w:val="0"/>
                <w:bCs w:val="0"/>
                <w:color w:val="0000FF"/>
                <w:sz w:val="24"/>
              </w:rPr>
              <w:t>一般固废暂存间等为</w:t>
            </w:r>
            <w:r>
              <w:rPr>
                <w:rFonts w:hint="eastAsia"/>
                <w:b w:val="0"/>
                <w:bCs w:val="0"/>
                <w:color w:val="0000FF"/>
                <w:sz w:val="24"/>
              </w:rPr>
              <w:t>一般防渗区；一般防渗区</w:t>
            </w:r>
            <w:r>
              <w:rPr>
                <w:rFonts w:hint="eastAsia"/>
                <w:b w:val="0"/>
                <w:bCs w:val="0"/>
                <w:color w:val="0000FF"/>
                <w:sz w:val="24"/>
                <w:lang w:val="en-US" w:eastAsia="zh-CN"/>
              </w:rPr>
              <w:t>地面</w:t>
            </w:r>
            <w:r>
              <w:rPr>
                <w:rFonts w:hint="eastAsia"/>
                <w:b w:val="0"/>
                <w:bCs w:val="0"/>
                <w:color w:val="0000FF"/>
                <w:sz w:val="24"/>
              </w:rPr>
              <w:t>等效黏土防渗层 Mb≥1.5m，K≤1.0×10</w:t>
            </w:r>
            <w:r>
              <w:rPr>
                <w:rFonts w:hint="eastAsia"/>
                <w:b w:val="0"/>
                <w:bCs w:val="0"/>
                <w:color w:val="0000FF"/>
                <w:sz w:val="24"/>
                <w:vertAlign w:val="superscript"/>
              </w:rPr>
              <w:t>-7</w:t>
            </w:r>
            <w:r>
              <w:rPr>
                <w:rFonts w:hint="eastAsia"/>
                <w:b w:val="0"/>
                <w:bCs w:val="0"/>
                <w:color w:val="0000FF"/>
                <w:sz w:val="24"/>
              </w:rPr>
              <w:t>cm/s进行建设，确保不污染地下水。</w:t>
            </w:r>
            <w:r>
              <w:commentReference w:id="3"/>
            </w:r>
          </w:p>
          <w:p w14:paraId="7E6CB074">
            <w:pPr>
              <w:spacing w:line="360" w:lineRule="auto"/>
              <w:ind w:firstLine="482" w:firstLineChars="200"/>
              <w:rPr>
                <w:rFonts w:hint="eastAsia"/>
                <w:b/>
                <w:bCs/>
                <w:color w:val="auto"/>
                <w:sz w:val="24"/>
              </w:rPr>
            </w:pPr>
            <w:r>
              <w:rPr>
                <w:rFonts w:hint="eastAsia"/>
                <w:b/>
                <w:bCs/>
                <w:color w:val="auto"/>
                <w:sz w:val="24"/>
                <w:lang w:val="en-US" w:eastAsia="zh-CN"/>
              </w:rPr>
              <w:t>5</w:t>
            </w:r>
            <w:r>
              <w:rPr>
                <w:rFonts w:hint="eastAsia"/>
                <w:b/>
                <w:bCs/>
                <w:color w:val="auto"/>
                <w:sz w:val="24"/>
              </w:rPr>
              <w:t>.</w:t>
            </w:r>
            <w:r>
              <w:rPr>
                <w:rFonts w:hint="eastAsia"/>
                <w:b/>
                <w:bCs/>
                <w:color w:val="auto"/>
                <w:sz w:val="24"/>
                <w:lang w:val="en-US" w:eastAsia="zh-CN"/>
              </w:rPr>
              <w:t>6</w:t>
            </w:r>
            <w:r>
              <w:rPr>
                <w:rFonts w:hint="eastAsia"/>
                <w:b/>
                <w:bCs/>
                <w:color w:val="auto"/>
                <w:sz w:val="24"/>
              </w:rPr>
              <w:t>.2 结论</w:t>
            </w:r>
          </w:p>
          <w:p w14:paraId="6F866200">
            <w:pPr>
              <w:spacing w:line="360" w:lineRule="auto"/>
              <w:ind w:firstLine="480" w:firstLineChars="200"/>
              <w:rPr>
                <w:rFonts w:hint="eastAsia"/>
                <w:b/>
                <w:bCs/>
                <w:color w:val="auto"/>
                <w:sz w:val="24"/>
              </w:rPr>
            </w:pPr>
            <w:r>
              <w:rPr>
                <w:rFonts w:hint="eastAsia"/>
                <w:b w:val="0"/>
                <w:bCs w:val="0"/>
                <w:color w:val="auto"/>
                <w:sz w:val="24"/>
              </w:rPr>
              <w:t>本项目采取源头和过程控制措施以及地面分区防渗等污染防治措施后，可有效防止和避免污染土壤及地下水环境，本项目对土壤及地下水环境的影响是可接受的。</w:t>
            </w:r>
          </w:p>
          <w:p w14:paraId="1D18B5AD">
            <w:pPr>
              <w:spacing w:line="360" w:lineRule="auto"/>
              <w:ind w:firstLine="482" w:firstLineChars="200"/>
              <w:rPr>
                <w:rFonts w:hint="eastAsia"/>
                <w:b/>
                <w:bCs/>
                <w:color w:val="auto"/>
                <w:sz w:val="24"/>
              </w:rPr>
            </w:pPr>
            <w:r>
              <w:rPr>
                <w:rFonts w:hint="eastAsia"/>
                <w:b/>
                <w:bCs/>
                <w:color w:val="auto"/>
                <w:sz w:val="24"/>
                <w:lang w:val="en-US" w:eastAsia="zh-CN"/>
              </w:rPr>
              <w:t>5</w:t>
            </w:r>
            <w:r>
              <w:rPr>
                <w:rFonts w:hint="eastAsia"/>
                <w:b/>
                <w:bCs/>
                <w:color w:val="auto"/>
                <w:sz w:val="24"/>
              </w:rPr>
              <w:t>.</w:t>
            </w:r>
            <w:r>
              <w:rPr>
                <w:rFonts w:hint="eastAsia"/>
                <w:b/>
                <w:bCs/>
                <w:color w:val="auto"/>
                <w:sz w:val="24"/>
                <w:lang w:val="en-US" w:eastAsia="zh-CN"/>
              </w:rPr>
              <w:t>6</w:t>
            </w:r>
            <w:r>
              <w:rPr>
                <w:rFonts w:hint="eastAsia"/>
                <w:b/>
                <w:bCs/>
                <w:color w:val="auto"/>
                <w:sz w:val="24"/>
              </w:rPr>
              <w:t>.3 监测要求</w:t>
            </w:r>
          </w:p>
          <w:p w14:paraId="4CE89672">
            <w:pPr>
              <w:spacing w:line="360" w:lineRule="auto"/>
              <w:ind w:firstLine="480" w:firstLineChars="200"/>
              <w:rPr>
                <w:rFonts w:hint="eastAsia"/>
                <w:b/>
                <w:bCs/>
                <w:color w:val="auto"/>
                <w:sz w:val="24"/>
              </w:rPr>
            </w:pPr>
            <w:r>
              <w:rPr>
                <w:rFonts w:hint="eastAsia"/>
                <w:b w:val="0"/>
                <w:bCs w:val="0"/>
                <w:color w:val="auto"/>
                <w:sz w:val="24"/>
              </w:rPr>
              <w:t>根据《环境影响评价技术导则 地下水环境（HJ610-2016）》、《环境影响评价技术导则 土壤环境（试行）》（HJ964-2018），本项目无需进行土壤、地下水的跟踪检测。</w:t>
            </w:r>
          </w:p>
          <w:p w14:paraId="2B50360A">
            <w:pPr>
              <w:spacing w:line="360" w:lineRule="auto"/>
              <w:ind w:firstLine="482" w:firstLineChars="200"/>
              <w:rPr>
                <w:rFonts w:hint="eastAsia"/>
                <w:b/>
                <w:bCs/>
                <w:color w:val="auto"/>
                <w:sz w:val="24"/>
              </w:rPr>
            </w:pPr>
            <w:r>
              <w:rPr>
                <w:rFonts w:hint="eastAsia"/>
                <w:b/>
                <w:bCs/>
                <w:color w:val="auto"/>
                <w:sz w:val="24"/>
                <w:lang w:val="en-US" w:eastAsia="zh-CN"/>
              </w:rPr>
              <w:t>5</w:t>
            </w:r>
            <w:r>
              <w:rPr>
                <w:rFonts w:hint="eastAsia"/>
                <w:b/>
                <w:bCs/>
                <w:color w:val="auto"/>
                <w:sz w:val="24"/>
              </w:rPr>
              <w:t>.</w:t>
            </w:r>
            <w:r>
              <w:rPr>
                <w:rFonts w:hint="eastAsia"/>
                <w:b/>
                <w:bCs/>
                <w:color w:val="auto"/>
                <w:sz w:val="24"/>
                <w:lang w:val="en-US" w:eastAsia="zh-CN"/>
              </w:rPr>
              <w:t>7</w:t>
            </w:r>
            <w:r>
              <w:rPr>
                <w:rFonts w:hint="eastAsia"/>
                <w:b/>
                <w:bCs/>
                <w:color w:val="auto"/>
                <w:sz w:val="24"/>
              </w:rPr>
              <w:t>、生态环境影响</w:t>
            </w:r>
          </w:p>
          <w:p w14:paraId="074CC9FE">
            <w:pPr>
              <w:spacing w:line="360" w:lineRule="auto"/>
              <w:ind w:firstLine="480" w:firstLineChars="200"/>
              <w:rPr>
                <w:b/>
                <w:bCs/>
                <w:color w:val="auto"/>
                <w:sz w:val="24"/>
              </w:rPr>
            </w:pPr>
            <w:r>
              <w:rPr>
                <w:rFonts w:hint="eastAsia"/>
                <w:b w:val="0"/>
                <w:bCs w:val="0"/>
                <w:color w:val="auto"/>
                <w:sz w:val="24"/>
              </w:rPr>
              <w:t>本项目</w:t>
            </w:r>
            <w:r>
              <w:rPr>
                <w:rFonts w:hint="eastAsia"/>
                <w:b w:val="0"/>
                <w:bCs w:val="0"/>
                <w:color w:val="auto"/>
                <w:sz w:val="24"/>
                <w:lang w:val="en-US" w:eastAsia="zh-CN"/>
              </w:rPr>
              <w:t>用地范围</w:t>
            </w:r>
            <w:r>
              <w:rPr>
                <w:rFonts w:hint="eastAsia"/>
                <w:b w:val="0"/>
                <w:bCs w:val="0"/>
                <w:color w:val="auto"/>
                <w:sz w:val="24"/>
              </w:rPr>
              <w:t>周围无生态环境保护目标，因此，项目不会对生态环境产生影响。</w:t>
            </w:r>
          </w:p>
          <w:p w14:paraId="5AAAB46D">
            <w:pPr>
              <w:spacing w:line="360" w:lineRule="auto"/>
              <w:ind w:firstLine="482" w:firstLineChars="200"/>
              <w:rPr>
                <w:b/>
                <w:bCs/>
                <w:color w:val="auto"/>
                <w:sz w:val="24"/>
              </w:rPr>
            </w:pPr>
            <w:r>
              <w:rPr>
                <w:b/>
                <w:bCs/>
                <w:color w:val="auto"/>
                <w:sz w:val="24"/>
              </w:rPr>
              <w:t>5.</w:t>
            </w:r>
            <w:r>
              <w:rPr>
                <w:rFonts w:hint="eastAsia"/>
                <w:b/>
                <w:bCs/>
                <w:color w:val="auto"/>
                <w:sz w:val="24"/>
                <w:lang w:val="en-US" w:eastAsia="zh-CN"/>
              </w:rPr>
              <w:t>8</w:t>
            </w:r>
            <w:r>
              <w:rPr>
                <w:b/>
                <w:bCs/>
                <w:color w:val="auto"/>
                <w:sz w:val="24"/>
              </w:rPr>
              <w:t>风险管理措施</w:t>
            </w:r>
          </w:p>
          <w:p w14:paraId="31C63CAD">
            <w:pPr>
              <w:spacing w:line="360" w:lineRule="auto"/>
              <w:ind w:firstLine="480" w:firstLineChars="200"/>
              <w:rPr>
                <w:color w:val="auto"/>
                <w:sz w:val="24"/>
              </w:rPr>
            </w:pPr>
            <w:r>
              <w:rPr>
                <w:color w:val="auto"/>
                <w:sz w:val="24"/>
              </w:rPr>
              <w:t>针对项目可能产生的突发环境事件制定相应的风险防范措施</w:t>
            </w:r>
            <w:r>
              <w:rPr>
                <w:rFonts w:hint="eastAsia"/>
                <w:color w:val="auto"/>
                <w:sz w:val="24"/>
              </w:rPr>
              <w:t>，</w:t>
            </w:r>
            <w:r>
              <w:rPr>
                <w:color w:val="auto"/>
                <w:sz w:val="24"/>
              </w:rPr>
              <w:t>纳入全场环境风险防范与应急管理体系。</w:t>
            </w:r>
          </w:p>
          <w:p w14:paraId="3F49F033">
            <w:pPr>
              <w:spacing w:line="360" w:lineRule="auto"/>
              <w:ind w:firstLine="480" w:firstLineChars="200"/>
              <w:rPr>
                <w:color w:val="auto"/>
                <w:sz w:val="24"/>
              </w:rPr>
            </w:pPr>
            <w:r>
              <w:rPr>
                <w:color w:val="auto"/>
                <w:sz w:val="24"/>
              </w:rPr>
              <w:t>制定相应的工艺规程</w:t>
            </w:r>
            <w:r>
              <w:rPr>
                <w:rFonts w:hint="eastAsia"/>
                <w:color w:val="auto"/>
                <w:sz w:val="24"/>
              </w:rPr>
              <w:t>，</w:t>
            </w:r>
            <w:r>
              <w:rPr>
                <w:color w:val="auto"/>
                <w:sz w:val="24"/>
              </w:rPr>
              <w:t>安全操作规程以及设备检修、维护保养制度。</w:t>
            </w:r>
          </w:p>
          <w:p w14:paraId="4117D39D">
            <w:pPr>
              <w:spacing w:line="360" w:lineRule="auto"/>
              <w:ind w:firstLine="480" w:firstLineChars="200"/>
              <w:rPr>
                <w:color w:val="auto"/>
                <w:sz w:val="24"/>
              </w:rPr>
            </w:pPr>
            <w:r>
              <w:rPr>
                <w:color w:val="auto"/>
                <w:sz w:val="24"/>
              </w:rPr>
              <w:t>编制突发环境事件应急预案</w:t>
            </w:r>
            <w:r>
              <w:rPr>
                <w:rFonts w:hint="eastAsia"/>
                <w:color w:val="auto"/>
                <w:sz w:val="24"/>
              </w:rPr>
              <w:t>，</w:t>
            </w:r>
            <w:r>
              <w:rPr>
                <w:color w:val="auto"/>
                <w:sz w:val="24"/>
              </w:rPr>
              <w:t>制定相应的应急处理措施</w:t>
            </w:r>
            <w:r>
              <w:rPr>
                <w:rFonts w:hint="eastAsia"/>
                <w:color w:val="auto"/>
                <w:sz w:val="24"/>
              </w:rPr>
              <w:t>，</w:t>
            </w:r>
            <w:r>
              <w:rPr>
                <w:color w:val="auto"/>
                <w:sz w:val="24"/>
              </w:rPr>
              <w:t>并配备相应的人力、设备、通讯等应急处理的必备条件</w:t>
            </w:r>
            <w:r>
              <w:rPr>
                <w:rFonts w:hint="eastAsia"/>
                <w:color w:val="auto"/>
                <w:sz w:val="24"/>
                <w:lang w:eastAsia="zh-CN"/>
              </w:rPr>
              <w:t>，</w:t>
            </w:r>
            <w:r>
              <w:rPr>
                <w:color w:val="auto"/>
                <w:sz w:val="24"/>
              </w:rPr>
              <w:t>组织员工学习</w:t>
            </w:r>
            <w:r>
              <w:rPr>
                <w:rFonts w:hint="eastAsia"/>
                <w:color w:val="auto"/>
                <w:sz w:val="24"/>
              </w:rPr>
              <w:t>，</w:t>
            </w:r>
            <w:r>
              <w:rPr>
                <w:color w:val="auto"/>
                <w:sz w:val="24"/>
              </w:rPr>
              <w:t>定期开展环境应急演练。</w:t>
            </w:r>
          </w:p>
          <w:p w14:paraId="01034596">
            <w:pPr>
              <w:spacing w:line="360" w:lineRule="auto"/>
              <w:ind w:firstLine="480" w:firstLineChars="200"/>
              <w:rPr>
                <w:color w:val="auto"/>
                <w:sz w:val="24"/>
              </w:rPr>
            </w:pPr>
            <w:r>
              <w:rPr>
                <w:color w:val="auto"/>
                <w:sz w:val="24"/>
              </w:rPr>
              <w:t>建立环境风险隐患巡查制度</w:t>
            </w:r>
            <w:r>
              <w:rPr>
                <w:rFonts w:hint="eastAsia"/>
                <w:color w:val="auto"/>
                <w:sz w:val="24"/>
              </w:rPr>
              <w:t>，</w:t>
            </w:r>
            <w:r>
              <w:rPr>
                <w:color w:val="auto"/>
                <w:sz w:val="24"/>
              </w:rPr>
              <w:t>加强对各工程环保设施等的日常巡查。</w:t>
            </w:r>
          </w:p>
          <w:p w14:paraId="070B120C">
            <w:pPr>
              <w:spacing w:line="360" w:lineRule="auto"/>
              <w:ind w:firstLine="482" w:firstLineChars="200"/>
              <w:rPr>
                <w:b/>
                <w:bCs/>
                <w:color w:val="auto"/>
                <w:sz w:val="24"/>
              </w:rPr>
            </w:pPr>
            <w:r>
              <w:rPr>
                <w:b/>
                <w:bCs/>
                <w:color w:val="auto"/>
                <w:sz w:val="24"/>
              </w:rPr>
              <w:t>5.</w:t>
            </w:r>
            <w:r>
              <w:rPr>
                <w:rFonts w:hint="eastAsia"/>
                <w:b/>
                <w:bCs/>
                <w:color w:val="auto"/>
                <w:sz w:val="24"/>
                <w:lang w:val="en-US" w:eastAsia="zh-CN"/>
              </w:rPr>
              <w:t>9</w:t>
            </w:r>
            <w:r>
              <w:rPr>
                <w:b/>
                <w:bCs/>
                <w:color w:val="auto"/>
                <w:sz w:val="24"/>
              </w:rPr>
              <w:t>应急预案编制要求</w:t>
            </w:r>
          </w:p>
          <w:p w14:paraId="124B3D22">
            <w:pPr>
              <w:spacing w:line="360" w:lineRule="auto"/>
              <w:ind w:firstLine="480" w:firstLineChars="20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lang w:val="en-US" w:eastAsia="zh-CN"/>
              </w:rPr>
              <w:t>1、</w:t>
            </w:r>
            <w:r>
              <w:rPr>
                <w:rFonts w:hint="default" w:ascii="Times New Roman" w:hAnsi="Times New Roman" w:eastAsia="宋体" w:cs="Times New Roman"/>
                <w:color w:val="auto"/>
                <w:sz w:val="24"/>
              </w:rPr>
              <w:t>成立环境应急预案编制组</w:t>
            </w:r>
            <w:r>
              <w:rPr>
                <w:rFonts w:hint="eastAsia" w:cs="Times New Roman"/>
                <w:color w:val="auto"/>
                <w:sz w:val="24"/>
                <w:lang w:eastAsia="zh-CN"/>
              </w:rPr>
              <w:t>，</w:t>
            </w:r>
            <w:r>
              <w:rPr>
                <w:rFonts w:hint="default" w:ascii="Times New Roman" w:hAnsi="Times New Roman" w:eastAsia="宋体" w:cs="Times New Roman"/>
                <w:color w:val="auto"/>
                <w:sz w:val="24"/>
              </w:rPr>
              <w:t>明确编制组组长和成员组成、工作任务、编制计划和经费预算。</w:t>
            </w:r>
          </w:p>
          <w:p w14:paraId="332CA7F0">
            <w:pPr>
              <w:spacing w:line="360" w:lineRule="auto"/>
              <w:ind w:firstLine="480" w:firstLineChars="20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lang w:val="en-US" w:eastAsia="zh-CN"/>
              </w:rPr>
              <w:t>2、</w:t>
            </w:r>
            <w:r>
              <w:rPr>
                <w:rFonts w:hint="default" w:ascii="Times New Roman" w:hAnsi="Times New Roman" w:eastAsia="宋体" w:cs="Times New Roman"/>
                <w:color w:val="auto"/>
                <w:sz w:val="24"/>
              </w:rPr>
              <w:t>开展环境风险评估和应急资源调查。环境风险评估包括但不限于：分析种类事故衍化规律、自然灾害影响程度</w:t>
            </w:r>
            <w:r>
              <w:rPr>
                <w:rFonts w:hint="eastAsia" w:cs="Times New Roman"/>
                <w:color w:val="auto"/>
                <w:sz w:val="24"/>
                <w:lang w:eastAsia="zh-CN"/>
              </w:rPr>
              <w:t>，</w:t>
            </w:r>
            <w:r>
              <w:rPr>
                <w:rFonts w:hint="default" w:ascii="Times New Roman" w:hAnsi="Times New Roman" w:eastAsia="宋体" w:cs="Times New Roman"/>
                <w:color w:val="auto"/>
                <w:sz w:val="24"/>
              </w:rPr>
              <w:t>识别环境危害因素</w:t>
            </w:r>
            <w:r>
              <w:rPr>
                <w:rFonts w:hint="eastAsia" w:cs="Times New Roman"/>
                <w:color w:val="auto"/>
                <w:sz w:val="24"/>
                <w:lang w:eastAsia="zh-CN"/>
              </w:rPr>
              <w:t>，</w:t>
            </w:r>
            <w:r>
              <w:rPr>
                <w:rFonts w:hint="default" w:ascii="Times New Roman" w:hAnsi="Times New Roman" w:eastAsia="宋体" w:cs="Times New Roman"/>
                <w:color w:val="auto"/>
                <w:sz w:val="24"/>
              </w:rPr>
              <w:t>分析与周边可能受影响的居民、单位、区域环境的关系</w:t>
            </w:r>
            <w:r>
              <w:rPr>
                <w:rFonts w:hint="eastAsia" w:cs="Times New Roman"/>
                <w:color w:val="auto"/>
                <w:sz w:val="24"/>
                <w:lang w:eastAsia="zh-CN"/>
              </w:rPr>
              <w:t>，</w:t>
            </w:r>
            <w:r>
              <w:rPr>
                <w:rFonts w:hint="default" w:ascii="Times New Roman" w:hAnsi="Times New Roman" w:eastAsia="宋体" w:cs="Times New Roman"/>
                <w:color w:val="auto"/>
                <w:sz w:val="24"/>
              </w:rPr>
              <w:t>构建突发环境事件及其后果情景</w:t>
            </w:r>
            <w:r>
              <w:rPr>
                <w:rFonts w:hint="eastAsia" w:cs="Times New Roman"/>
                <w:color w:val="auto"/>
                <w:sz w:val="24"/>
                <w:lang w:eastAsia="zh-CN"/>
              </w:rPr>
              <w:t>，</w:t>
            </w:r>
            <w:r>
              <w:rPr>
                <w:rFonts w:hint="default" w:ascii="Times New Roman" w:hAnsi="Times New Roman" w:eastAsia="宋体" w:cs="Times New Roman"/>
                <w:color w:val="auto"/>
                <w:sz w:val="24"/>
              </w:rPr>
              <w:t>确定环境风险等级。应急资源调套包括但不限于：调在企业第一时间可调用的环境应急队伍、装备、物资场所等应急资源状况和可请求援助或协议援助的应急资源状况。</w:t>
            </w:r>
          </w:p>
          <w:p w14:paraId="6AF373BD">
            <w:pPr>
              <w:spacing w:line="360" w:lineRule="auto"/>
              <w:ind w:firstLine="480" w:firstLineChars="20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lang w:val="en-US" w:eastAsia="zh-CN"/>
              </w:rPr>
              <w:t>3、</w:t>
            </w:r>
            <w:r>
              <w:rPr>
                <w:rFonts w:hint="default" w:ascii="Times New Roman" w:hAnsi="Times New Roman" w:eastAsia="宋体" w:cs="Times New Roman"/>
                <w:color w:val="auto"/>
                <w:sz w:val="24"/>
              </w:rPr>
              <w:t>编制环境应急预案。合理选择类别</w:t>
            </w:r>
            <w:r>
              <w:rPr>
                <w:rFonts w:hint="eastAsia" w:cs="Times New Roman"/>
                <w:color w:val="auto"/>
                <w:sz w:val="24"/>
                <w:lang w:eastAsia="zh-CN"/>
              </w:rPr>
              <w:t>，</w:t>
            </w:r>
            <w:r>
              <w:rPr>
                <w:rFonts w:hint="default" w:ascii="Times New Roman" w:hAnsi="Times New Roman" w:eastAsia="宋体" w:cs="Times New Roman"/>
                <w:color w:val="auto"/>
                <w:sz w:val="24"/>
              </w:rPr>
              <w:t>确定内容</w:t>
            </w:r>
            <w:r>
              <w:rPr>
                <w:rFonts w:hint="eastAsia" w:cs="Times New Roman"/>
                <w:color w:val="auto"/>
                <w:sz w:val="24"/>
                <w:lang w:eastAsia="zh-CN"/>
              </w:rPr>
              <w:t>，</w:t>
            </w:r>
            <w:r>
              <w:rPr>
                <w:rFonts w:hint="default" w:ascii="Times New Roman" w:hAnsi="Times New Roman" w:eastAsia="宋体" w:cs="Times New Roman"/>
                <w:color w:val="auto"/>
                <w:sz w:val="24"/>
              </w:rPr>
              <w:t>重点说明可能的突发环境事件情景下需要采取的处置措施、向可能受影响的居民和单位通报的内容与方式、向环境保护主管部门和有关部门报告的内容与方式</w:t>
            </w:r>
            <w:r>
              <w:rPr>
                <w:rFonts w:hint="eastAsia" w:cs="Times New Roman"/>
                <w:color w:val="auto"/>
                <w:sz w:val="24"/>
                <w:lang w:eastAsia="zh-CN"/>
              </w:rPr>
              <w:t>，</w:t>
            </w:r>
            <w:r>
              <w:rPr>
                <w:rFonts w:hint="default" w:ascii="Times New Roman" w:hAnsi="Times New Roman" w:eastAsia="宋体" w:cs="Times New Roman"/>
                <w:color w:val="auto"/>
                <w:sz w:val="24"/>
              </w:rPr>
              <w:t>以及与当地突发环境事件应急预案的衔接方式</w:t>
            </w:r>
            <w:r>
              <w:rPr>
                <w:rFonts w:hint="eastAsia" w:cs="Times New Roman"/>
                <w:color w:val="auto"/>
                <w:sz w:val="24"/>
                <w:lang w:eastAsia="zh-CN"/>
              </w:rPr>
              <w:t>，</w:t>
            </w:r>
            <w:r>
              <w:rPr>
                <w:rFonts w:hint="default" w:ascii="Times New Roman" w:hAnsi="Times New Roman" w:eastAsia="宋体" w:cs="Times New Roman"/>
                <w:color w:val="auto"/>
                <w:sz w:val="24"/>
              </w:rPr>
              <w:t>形成环境应急预案。</w:t>
            </w:r>
          </w:p>
          <w:p w14:paraId="55149AD7">
            <w:pPr>
              <w:spacing w:line="360" w:lineRule="auto"/>
              <w:ind w:firstLine="480" w:firstLineChars="200"/>
              <w:rPr>
                <w:color w:val="auto"/>
                <w:sz w:val="24"/>
              </w:rPr>
            </w:pPr>
            <w:r>
              <w:rPr>
                <w:rFonts w:hint="eastAsia"/>
                <w:color w:val="auto"/>
                <w:sz w:val="24"/>
                <w:lang w:val="en-US" w:eastAsia="zh-CN"/>
              </w:rPr>
              <w:t>4、</w:t>
            </w:r>
            <w:r>
              <w:rPr>
                <w:color w:val="auto"/>
                <w:sz w:val="24"/>
              </w:rPr>
              <w:t>评审和演练环境应急预案。</w:t>
            </w:r>
          </w:p>
          <w:p w14:paraId="4C7B98B2">
            <w:pPr>
              <w:spacing w:line="360" w:lineRule="auto"/>
              <w:ind w:firstLine="480" w:firstLineChars="200"/>
              <w:rPr>
                <w:color w:val="auto"/>
                <w:sz w:val="24"/>
              </w:rPr>
            </w:pPr>
            <w:r>
              <w:rPr>
                <w:rFonts w:hint="eastAsia"/>
                <w:color w:val="auto"/>
                <w:sz w:val="24"/>
                <w:lang w:val="en-US" w:eastAsia="zh-CN"/>
              </w:rPr>
              <w:t>5、</w:t>
            </w:r>
            <w:r>
              <w:rPr>
                <w:color w:val="auto"/>
                <w:sz w:val="24"/>
              </w:rPr>
              <w:t>签署发布环境应急预案。环境应急预案经企业有关会议审议</w:t>
            </w:r>
            <w:r>
              <w:rPr>
                <w:rFonts w:hint="eastAsia"/>
                <w:color w:val="auto"/>
                <w:sz w:val="24"/>
                <w:lang w:eastAsia="zh-CN"/>
              </w:rPr>
              <w:t>，</w:t>
            </w:r>
            <w:r>
              <w:rPr>
                <w:color w:val="auto"/>
                <w:sz w:val="24"/>
              </w:rPr>
              <w:t>由企业主要负责人签署发布。</w:t>
            </w:r>
          </w:p>
          <w:p w14:paraId="29B068C2">
            <w:pPr>
              <w:spacing w:line="360" w:lineRule="auto"/>
              <w:ind w:firstLine="480" w:firstLineChars="200"/>
              <w:rPr>
                <w:color w:val="auto"/>
                <w:sz w:val="24"/>
              </w:rPr>
            </w:pPr>
            <w:r>
              <w:rPr>
                <w:color w:val="auto"/>
                <w:sz w:val="24"/>
              </w:rPr>
              <w:t>环境</w:t>
            </w:r>
            <w:r>
              <w:rPr>
                <w:rFonts w:hint="eastAsia"/>
                <w:color w:val="auto"/>
                <w:sz w:val="24"/>
                <w:lang w:eastAsia="zh-CN"/>
              </w:rPr>
              <w:t>应急预案</w:t>
            </w:r>
            <w:r>
              <w:rPr>
                <w:color w:val="auto"/>
                <w:sz w:val="24"/>
              </w:rPr>
              <w:t>内容项目环境风险的突发性事故应急预案的内容应详见下表。</w:t>
            </w:r>
          </w:p>
          <w:p w14:paraId="104DF371">
            <w:pPr>
              <w:pStyle w:val="68"/>
              <w:spacing w:line="240" w:lineRule="auto"/>
              <w:ind w:firstLine="0" w:firstLineChars="0"/>
              <w:jc w:val="center"/>
              <w:rPr>
                <w:b/>
                <w:color w:val="auto"/>
                <w:kern w:val="2"/>
                <w:sz w:val="21"/>
                <w:szCs w:val="21"/>
              </w:rPr>
            </w:pPr>
            <w:r>
              <w:rPr>
                <w:b/>
                <w:color w:val="auto"/>
                <w:sz w:val="21"/>
                <w:szCs w:val="21"/>
              </w:rPr>
              <w:t>表</w:t>
            </w:r>
            <w:r>
              <w:rPr>
                <w:rFonts w:hint="eastAsia"/>
                <w:b/>
                <w:color w:val="auto"/>
                <w:sz w:val="21"/>
                <w:szCs w:val="21"/>
              </w:rPr>
              <w:t>4-1</w:t>
            </w:r>
            <w:r>
              <w:rPr>
                <w:rFonts w:hint="eastAsia"/>
                <w:b/>
                <w:color w:val="auto"/>
                <w:sz w:val="21"/>
                <w:szCs w:val="21"/>
                <w:lang w:val="en-US" w:eastAsia="zh-CN"/>
              </w:rPr>
              <w:t>8</w:t>
            </w:r>
            <w:r>
              <w:rPr>
                <w:b/>
                <w:color w:val="auto"/>
                <w:sz w:val="21"/>
                <w:szCs w:val="21"/>
              </w:rPr>
              <w:t xml:space="preserve">   项目应急预案主要内容</w:t>
            </w:r>
          </w:p>
          <w:tbl>
            <w:tblPr>
              <w:tblStyle w:val="31"/>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1"/>
              <w:gridCol w:w="2502"/>
              <w:gridCol w:w="4643"/>
            </w:tblGrid>
            <w:tr w14:paraId="3A109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54" w:type="pct"/>
                  <w:tcBorders>
                    <w:tl2br w:val="nil"/>
                    <w:tr2bl w:val="nil"/>
                  </w:tcBorders>
                  <w:vAlign w:val="center"/>
                </w:tcPr>
                <w:p w14:paraId="0531D6C3">
                  <w:pPr>
                    <w:spacing w:line="0" w:lineRule="atLeast"/>
                    <w:jc w:val="center"/>
                    <w:rPr>
                      <w:b/>
                      <w:bCs/>
                      <w:snapToGrid w:val="0"/>
                      <w:color w:val="auto"/>
                      <w:kern w:val="0"/>
                      <w:szCs w:val="21"/>
                    </w:rPr>
                  </w:pPr>
                  <w:r>
                    <w:rPr>
                      <w:b/>
                      <w:bCs/>
                      <w:snapToGrid w:val="0"/>
                      <w:color w:val="auto"/>
                      <w:kern w:val="0"/>
                      <w:szCs w:val="21"/>
                    </w:rPr>
                    <w:t>序号</w:t>
                  </w:r>
                </w:p>
              </w:tc>
              <w:tc>
                <w:tcPr>
                  <w:tcW w:w="1556" w:type="pct"/>
                  <w:tcBorders>
                    <w:tl2br w:val="nil"/>
                    <w:tr2bl w:val="nil"/>
                  </w:tcBorders>
                  <w:vAlign w:val="center"/>
                </w:tcPr>
                <w:p w14:paraId="414B4341">
                  <w:pPr>
                    <w:spacing w:line="0" w:lineRule="atLeast"/>
                    <w:jc w:val="center"/>
                    <w:rPr>
                      <w:b/>
                      <w:bCs/>
                      <w:snapToGrid w:val="0"/>
                      <w:color w:val="auto"/>
                      <w:kern w:val="0"/>
                      <w:szCs w:val="21"/>
                    </w:rPr>
                  </w:pPr>
                  <w:r>
                    <w:rPr>
                      <w:b/>
                      <w:bCs/>
                      <w:snapToGrid w:val="0"/>
                      <w:color w:val="auto"/>
                      <w:kern w:val="0"/>
                      <w:szCs w:val="21"/>
                    </w:rPr>
                    <w:t>项目</w:t>
                  </w:r>
                </w:p>
              </w:tc>
              <w:tc>
                <w:tcPr>
                  <w:tcW w:w="2888" w:type="pct"/>
                  <w:tcBorders>
                    <w:tl2br w:val="nil"/>
                    <w:tr2bl w:val="nil"/>
                  </w:tcBorders>
                  <w:vAlign w:val="center"/>
                </w:tcPr>
                <w:p w14:paraId="6A440933">
                  <w:pPr>
                    <w:spacing w:line="0" w:lineRule="atLeast"/>
                    <w:jc w:val="center"/>
                    <w:rPr>
                      <w:b/>
                      <w:bCs/>
                      <w:snapToGrid w:val="0"/>
                      <w:color w:val="auto"/>
                      <w:kern w:val="0"/>
                      <w:szCs w:val="21"/>
                    </w:rPr>
                  </w:pPr>
                  <w:r>
                    <w:rPr>
                      <w:b/>
                      <w:bCs/>
                      <w:snapToGrid w:val="0"/>
                      <w:color w:val="auto"/>
                      <w:kern w:val="0"/>
                      <w:szCs w:val="21"/>
                    </w:rPr>
                    <w:t>内容及要求</w:t>
                  </w:r>
                </w:p>
              </w:tc>
            </w:tr>
            <w:tr w14:paraId="0E44D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54" w:type="pct"/>
                  <w:tcBorders>
                    <w:tl2br w:val="nil"/>
                    <w:tr2bl w:val="nil"/>
                  </w:tcBorders>
                  <w:vAlign w:val="center"/>
                </w:tcPr>
                <w:p w14:paraId="5CD2E36D">
                  <w:pPr>
                    <w:spacing w:line="0" w:lineRule="atLeast"/>
                    <w:jc w:val="center"/>
                    <w:rPr>
                      <w:snapToGrid w:val="0"/>
                      <w:color w:val="auto"/>
                      <w:kern w:val="0"/>
                      <w:szCs w:val="21"/>
                    </w:rPr>
                  </w:pPr>
                  <w:r>
                    <w:rPr>
                      <w:snapToGrid w:val="0"/>
                      <w:color w:val="auto"/>
                      <w:kern w:val="0"/>
                      <w:szCs w:val="21"/>
                    </w:rPr>
                    <w:t>1</w:t>
                  </w:r>
                </w:p>
              </w:tc>
              <w:tc>
                <w:tcPr>
                  <w:tcW w:w="1556" w:type="pct"/>
                  <w:tcBorders>
                    <w:tl2br w:val="nil"/>
                    <w:tr2bl w:val="nil"/>
                  </w:tcBorders>
                  <w:vAlign w:val="center"/>
                </w:tcPr>
                <w:p w14:paraId="299D1CEC">
                  <w:pPr>
                    <w:spacing w:line="0" w:lineRule="atLeast"/>
                    <w:jc w:val="center"/>
                    <w:rPr>
                      <w:snapToGrid w:val="0"/>
                      <w:color w:val="auto"/>
                      <w:kern w:val="0"/>
                      <w:szCs w:val="21"/>
                    </w:rPr>
                  </w:pPr>
                  <w:r>
                    <w:rPr>
                      <w:snapToGrid w:val="0"/>
                      <w:color w:val="auto"/>
                      <w:kern w:val="0"/>
                      <w:szCs w:val="21"/>
                    </w:rPr>
                    <w:t>应急计划区</w:t>
                  </w:r>
                </w:p>
              </w:tc>
              <w:tc>
                <w:tcPr>
                  <w:tcW w:w="2888" w:type="pct"/>
                  <w:tcBorders>
                    <w:tl2br w:val="nil"/>
                    <w:tr2bl w:val="nil"/>
                  </w:tcBorders>
                  <w:vAlign w:val="center"/>
                </w:tcPr>
                <w:p w14:paraId="6B34C3E3">
                  <w:pPr>
                    <w:spacing w:line="0" w:lineRule="atLeast"/>
                    <w:jc w:val="center"/>
                    <w:rPr>
                      <w:snapToGrid w:val="0"/>
                      <w:color w:val="auto"/>
                      <w:kern w:val="0"/>
                      <w:szCs w:val="21"/>
                    </w:rPr>
                  </w:pPr>
                  <w:r>
                    <w:rPr>
                      <w:snapToGrid w:val="0"/>
                      <w:color w:val="auto"/>
                      <w:kern w:val="0"/>
                      <w:szCs w:val="21"/>
                    </w:rPr>
                    <w:t>生产区、环境保护目标等</w:t>
                  </w:r>
                </w:p>
              </w:tc>
            </w:tr>
            <w:tr w14:paraId="74D0A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54" w:type="pct"/>
                  <w:tcBorders>
                    <w:tl2br w:val="nil"/>
                    <w:tr2bl w:val="nil"/>
                  </w:tcBorders>
                  <w:vAlign w:val="center"/>
                </w:tcPr>
                <w:p w14:paraId="70AC9DFB">
                  <w:pPr>
                    <w:spacing w:line="0" w:lineRule="atLeast"/>
                    <w:jc w:val="center"/>
                    <w:rPr>
                      <w:snapToGrid w:val="0"/>
                      <w:color w:val="auto"/>
                      <w:kern w:val="0"/>
                      <w:szCs w:val="21"/>
                    </w:rPr>
                  </w:pPr>
                  <w:r>
                    <w:rPr>
                      <w:snapToGrid w:val="0"/>
                      <w:color w:val="auto"/>
                      <w:kern w:val="0"/>
                      <w:szCs w:val="21"/>
                    </w:rPr>
                    <w:t>2</w:t>
                  </w:r>
                </w:p>
              </w:tc>
              <w:tc>
                <w:tcPr>
                  <w:tcW w:w="1556" w:type="pct"/>
                  <w:tcBorders>
                    <w:tl2br w:val="nil"/>
                    <w:tr2bl w:val="nil"/>
                  </w:tcBorders>
                  <w:vAlign w:val="center"/>
                </w:tcPr>
                <w:p w14:paraId="1444B9FE">
                  <w:pPr>
                    <w:spacing w:line="0" w:lineRule="atLeast"/>
                    <w:jc w:val="center"/>
                    <w:rPr>
                      <w:snapToGrid w:val="0"/>
                      <w:color w:val="auto"/>
                      <w:kern w:val="0"/>
                      <w:szCs w:val="21"/>
                    </w:rPr>
                  </w:pPr>
                  <w:r>
                    <w:rPr>
                      <w:snapToGrid w:val="0"/>
                      <w:color w:val="auto"/>
                      <w:kern w:val="0"/>
                      <w:szCs w:val="21"/>
                    </w:rPr>
                    <w:t>应急组织机构、人员</w:t>
                  </w:r>
                </w:p>
              </w:tc>
              <w:tc>
                <w:tcPr>
                  <w:tcW w:w="2888" w:type="pct"/>
                  <w:tcBorders>
                    <w:tl2br w:val="nil"/>
                    <w:tr2bl w:val="nil"/>
                  </w:tcBorders>
                  <w:vAlign w:val="center"/>
                </w:tcPr>
                <w:p w14:paraId="7671F16B">
                  <w:pPr>
                    <w:spacing w:line="0" w:lineRule="atLeast"/>
                    <w:jc w:val="center"/>
                    <w:rPr>
                      <w:snapToGrid w:val="0"/>
                      <w:color w:val="auto"/>
                      <w:kern w:val="0"/>
                      <w:szCs w:val="21"/>
                    </w:rPr>
                  </w:pPr>
                  <w:r>
                    <w:rPr>
                      <w:snapToGrid w:val="0"/>
                      <w:color w:val="auto"/>
                      <w:kern w:val="0"/>
                      <w:szCs w:val="21"/>
                    </w:rPr>
                    <w:t>企业、地区应急组织机构、人员</w:t>
                  </w:r>
                </w:p>
              </w:tc>
            </w:tr>
            <w:tr w14:paraId="6B15A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54" w:type="pct"/>
                  <w:tcBorders>
                    <w:tl2br w:val="nil"/>
                    <w:tr2bl w:val="nil"/>
                  </w:tcBorders>
                  <w:vAlign w:val="center"/>
                </w:tcPr>
                <w:p w14:paraId="50ED0017">
                  <w:pPr>
                    <w:spacing w:line="0" w:lineRule="atLeast"/>
                    <w:jc w:val="center"/>
                    <w:rPr>
                      <w:snapToGrid w:val="0"/>
                      <w:color w:val="auto"/>
                      <w:kern w:val="0"/>
                      <w:szCs w:val="21"/>
                    </w:rPr>
                  </w:pPr>
                  <w:r>
                    <w:rPr>
                      <w:snapToGrid w:val="0"/>
                      <w:color w:val="auto"/>
                      <w:kern w:val="0"/>
                      <w:szCs w:val="21"/>
                    </w:rPr>
                    <w:t>3</w:t>
                  </w:r>
                </w:p>
              </w:tc>
              <w:tc>
                <w:tcPr>
                  <w:tcW w:w="1556" w:type="pct"/>
                  <w:tcBorders>
                    <w:tl2br w:val="nil"/>
                    <w:tr2bl w:val="nil"/>
                  </w:tcBorders>
                  <w:vAlign w:val="center"/>
                </w:tcPr>
                <w:p w14:paraId="6F0F4729">
                  <w:pPr>
                    <w:spacing w:line="0" w:lineRule="atLeast"/>
                    <w:jc w:val="center"/>
                    <w:rPr>
                      <w:snapToGrid w:val="0"/>
                      <w:color w:val="auto"/>
                      <w:kern w:val="0"/>
                      <w:szCs w:val="21"/>
                    </w:rPr>
                  </w:pPr>
                  <w:r>
                    <w:rPr>
                      <w:snapToGrid w:val="0"/>
                      <w:color w:val="auto"/>
                      <w:kern w:val="0"/>
                      <w:szCs w:val="21"/>
                    </w:rPr>
                    <w:t>预案分级响应条件</w:t>
                  </w:r>
                </w:p>
              </w:tc>
              <w:tc>
                <w:tcPr>
                  <w:tcW w:w="2888" w:type="pct"/>
                  <w:tcBorders>
                    <w:tl2br w:val="nil"/>
                    <w:tr2bl w:val="nil"/>
                  </w:tcBorders>
                  <w:vAlign w:val="center"/>
                </w:tcPr>
                <w:p w14:paraId="610F352D">
                  <w:pPr>
                    <w:spacing w:line="0" w:lineRule="atLeast"/>
                    <w:jc w:val="center"/>
                    <w:rPr>
                      <w:snapToGrid w:val="0"/>
                      <w:color w:val="auto"/>
                      <w:kern w:val="0"/>
                      <w:szCs w:val="21"/>
                    </w:rPr>
                  </w:pPr>
                  <w:r>
                    <w:rPr>
                      <w:snapToGrid w:val="0"/>
                      <w:color w:val="auto"/>
                      <w:kern w:val="0"/>
                      <w:szCs w:val="21"/>
                    </w:rPr>
                    <w:t>规定预案的级别及分级响应程序</w:t>
                  </w:r>
                </w:p>
              </w:tc>
            </w:tr>
            <w:tr w14:paraId="08928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54" w:type="pct"/>
                  <w:tcBorders>
                    <w:tl2br w:val="nil"/>
                    <w:tr2bl w:val="nil"/>
                  </w:tcBorders>
                  <w:vAlign w:val="center"/>
                </w:tcPr>
                <w:p w14:paraId="484E3FC8">
                  <w:pPr>
                    <w:spacing w:line="0" w:lineRule="atLeast"/>
                    <w:jc w:val="center"/>
                    <w:rPr>
                      <w:snapToGrid w:val="0"/>
                      <w:color w:val="auto"/>
                      <w:kern w:val="0"/>
                      <w:szCs w:val="21"/>
                    </w:rPr>
                  </w:pPr>
                  <w:r>
                    <w:rPr>
                      <w:snapToGrid w:val="0"/>
                      <w:color w:val="auto"/>
                      <w:kern w:val="0"/>
                      <w:szCs w:val="21"/>
                    </w:rPr>
                    <w:t>4</w:t>
                  </w:r>
                </w:p>
              </w:tc>
              <w:tc>
                <w:tcPr>
                  <w:tcW w:w="1556" w:type="pct"/>
                  <w:tcBorders>
                    <w:tl2br w:val="nil"/>
                    <w:tr2bl w:val="nil"/>
                  </w:tcBorders>
                  <w:vAlign w:val="center"/>
                </w:tcPr>
                <w:p w14:paraId="52D3D43D">
                  <w:pPr>
                    <w:spacing w:line="0" w:lineRule="atLeast"/>
                    <w:jc w:val="center"/>
                    <w:rPr>
                      <w:snapToGrid w:val="0"/>
                      <w:color w:val="auto"/>
                      <w:kern w:val="0"/>
                      <w:szCs w:val="21"/>
                    </w:rPr>
                  </w:pPr>
                  <w:r>
                    <w:rPr>
                      <w:snapToGrid w:val="0"/>
                      <w:color w:val="auto"/>
                      <w:kern w:val="0"/>
                      <w:szCs w:val="21"/>
                    </w:rPr>
                    <w:t>应急救援保障</w:t>
                  </w:r>
                </w:p>
              </w:tc>
              <w:tc>
                <w:tcPr>
                  <w:tcW w:w="2888" w:type="pct"/>
                  <w:tcBorders>
                    <w:tl2br w:val="nil"/>
                    <w:tr2bl w:val="nil"/>
                  </w:tcBorders>
                  <w:vAlign w:val="center"/>
                </w:tcPr>
                <w:p w14:paraId="4A483145">
                  <w:pPr>
                    <w:spacing w:line="0" w:lineRule="atLeast"/>
                    <w:jc w:val="center"/>
                    <w:rPr>
                      <w:snapToGrid w:val="0"/>
                      <w:color w:val="auto"/>
                      <w:kern w:val="0"/>
                      <w:szCs w:val="21"/>
                    </w:rPr>
                  </w:pPr>
                  <w:r>
                    <w:rPr>
                      <w:snapToGrid w:val="0"/>
                      <w:color w:val="auto"/>
                      <w:kern w:val="0"/>
                      <w:szCs w:val="21"/>
                    </w:rPr>
                    <w:t>应急设施、设备、器材等</w:t>
                  </w:r>
                </w:p>
              </w:tc>
            </w:tr>
            <w:tr w14:paraId="4F4A4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54" w:type="pct"/>
                  <w:tcBorders>
                    <w:tl2br w:val="nil"/>
                    <w:tr2bl w:val="nil"/>
                  </w:tcBorders>
                  <w:vAlign w:val="center"/>
                </w:tcPr>
                <w:p w14:paraId="0488E799">
                  <w:pPr>
                    <w:spacing w:line="0" w:lineRule="atLeast"/>
                    <w:jc w:val="center"/>
                    <w:rPr>
                      <w:snapToGrid w:val="0"/>
                      <w:color w:val="auto"/>
                      <w:kern w:val="0"/>
                      <w:szCs w:val="21"/>
                    </w:rPr>
                  </w:pPr>
                  <w:r>
                    <w:rPr>
                      <w:snapToGrid w:val="0"/>
                      <w:color w:val="auto"/>
                      <w:kern w:val="0"/>
                      <w:szCs w:val="21"/>
                    </w:rPr>
                    <w:t>5</w:t>
                  </w:r>
                </w:p>
              </w:tc>
              <w:tc>
                <w:tcPr>
                  <w:tcW w:w="1556" w:type="pct"/>
                  <w:tcBorders>
                    <w:tl2br w:val="nil"/>
                    <w:tr2bl w:val="nil"/>
                  </w:tcBorders>
                  <w:vAlign w:val="center"/>
                </w:tcPr>
                <w:p w14:paraId="587EF356">
                  <w:pPr>
                    <w:spacing w:line="0" w:lineRule="atLeast"/>
                    <w:jc w:val="center"/>
                    <w:rPr>
                      <w:snapToGrid w:val="0"/>
                      <w:color w:val="auto"/>
                      <w:kern w:val="0"/>
                      <w:szCs w:val="21"/>
                    </w:rPr>
                  </w:pPr>
                  <w:r>
                    <w:rPr>
                      <w:snapToGrid w:val="0"/>
                      <w:color w:val="auto"/>
                      <w:kern w:val="0"/>
                      <w:szCs w:val="21"/>
                    </w:rPr>
                    <w:t>报价、通讯联络方式</w:t>
                  </w:r>
                </w:p>
              </w:tc>
              <w:tc>
                <w:tcPr>
                  <w:tcW w:w="2888" w:type="pct"/>
                  <w:tcBorders>
                    <w:tl2br w:val="nil"/>
                    <w:tr2bl w:val="nil"/>
                  </w:tcBorders>
                  <w:vAlign w:val="center"/>
                </w:tcPr>
                <w:p w14:paraId="1364DB4B">
                  <w:pPr>
                    <w:spacing w:line="0" w:lineRule="atLeast"/>
                    <w:jc w:val="center"/>
                    <w:rPr>
                      <w:snapToGrid w:val="0"/>
                      <w:color w:val="auto"/>
                      <w:kern w:val="0"/>
                      <w:szCs w:val="21"/>
                    </w:rPr>
                  </w:pPr>
                  <w:r>
                    <w:rPr>
                      <w:snapToGrid w:val="0"/>
                      <w:color w:val="auto"/>
                      <w:kern w:val="0"/>
                      <w:szCs w:val="21"/>
                    </w:rPr>
                    <w:t>规定应急状态下的报警电话、通知方式和交通保障、管制</w:t>
                  </w:r>
                </w:p>
              </w:tc>
            </w:tr>
            <w:tr w14:paraId="19FC2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54" w:type="pct"/>
                  <w:tcBorders>
                    <w:tl2br w:val="nil"/>
                    <w:tr2bl w:val="nil"/>
                  </w:tcBorders>
                  <w:vAlign w:val="center"/>
                </w:tcPr>
                <w:p w14:paraId="54AC2406">
                  <w:pPr>
                    <w:spacing w:line="0" w:lineRule="atLeast"/>
                    <w:jc w:val="center"/>
                    <w:rPr>
                      <w:snapToGrid w:val="0"/>
                      <w:color w:val="auto"/>
                      <w:kern w:val="0"/>
                      <w:szCs w:val="21"/>
                    </w:rPr>
                  </w:pPr>
                  <w:r>
                    <w:rPr>
                      <w:snapToGrid w:val="0"/>
                      <w:color w:val="auto"/>
                      <w:kern w:val="0"/>
                      <w:szCs w:val="21"/>
                    </w:rPr>
                    <w:t>6</w:t>
                  </w:r>
                </w:p>
              </w:tc>
              <w:tc>
                <w:tcPr>
                  <w:tcW w:w="1556" w:type="pct"/>
                  <w:tcBorders>
                    <w:tl2br w:val="nil"/>
                    <w:tr2bl w:val="nil"/>
                  </w:tcBorders>
                  <w:vAlign w:val="center"/>
                </w:tcPr>
                <w:p w14:paraId="18C77619">
                  <w:pPr>
                    <w:spacing w:line="0" w:lineRule="atLeast"/>
                    <w:jc w:val="center"/>
                    <w:rPr>
                      <w:snapToGrid w:val="0"/>
                      <w:color w:val="auto"/>
                      <w:kern w:val="0"/>
                      <w:szCs w:val="21"/>
                    </w:rPr>
                  </w:pPr>
                  <w:r>
                    <w:rPr>
                      <w:snapToGrid w:val="0"/>
                      <w:color w:val="auto"/>
                      <w:kern w:val="0"/>
                      <w:szCs w:val="21"/>
                    </w:rPr>
                    <w:t>应急环境监测、抢险、救援及控制措施</w:t>
                  </w:r>
                </w:p>
              </w:tc>
              <w:tc>
                <w:tcPr>
                  <w:tcW w:w="2888" w:type="pct"/>
                  <w:tcBorders>
                    <w:tl2br w:val="nil"/>
                    <w:tr2bl w:val="nil"/>
                  </w:tcBorders>
                  <w:vAlign w:val="center"/>
                </w:tcPr>
                <w:p w14:paraId="17453C06">
                  <w:pPr>
                    <w:spacing w:line="0" w:lineRule="atLeast"/>
                    <w:jc w:val="center"/>
                    <w:rPr>
                      <w:snapToGrid w:val="0"/>
                      <w:color w:val="auto"/>
                      <w:kern w:val="0"/>
                      <w:szCs w:val="21"/>
                    </w:rPr>
                  </w:pPr>
                  <w:r>
                    <w:rPr>
                      <w:snapToGrid w:val="0"/>
                      <w:color w:val="auto"/>
                      <w:kern w:val="0"/>
                      <w:szCs w:val="21"/>
                    </w:rPr>
                    <w:t>由专业队伍负责对事故现场进行监测，对事故性质、参数与后果进行评估，为指挥部门提供决策依据</w:t>
                  </w:r>
                </w:p>
              </w:tc>
            </w:tr>
            <w:tr w14:paraId="7E7DD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54" w:type="pct"/>
                  <w:tcBorders>
                    <w:tl2br w:val="nil"/>
                    <w:tr2bl w:val="nil"/>
                  </w:tcBorders>
                  <w:vAlign w:val="center"/>
                </w:tcPr>
                <w:p w14:paraId="24C48865">
                  <w:pPr>
                    <w:spacing w:line="0" w:lineRule="atLeast"/>
                    <w:jc w:val="center"/>
                    <w:rPr>
                      <w:snapToGrid w:val="0"/>
                      <w:color w:val="auto"/>
                      <w:kern w:val="0"/>
                      <w:szCs w:val="21"/>
                    </w:rPr>
                  </w:pPr>
                  <w:r>
                    <w:rPr>
                      <w:snapToGrid w:val="0"/>
                      <w:color w:val="auto"/>
                      <w:kern w:val="0"/>
                      <w:szCs w:val="21"/>
                    </w:rPr>
                    <w:t>7</w:t>
                  </w:r>
                </w:p>
              </w:tc>
              <w:tc>
                <w:tcPr>
                  <w:tcW w:w="1556" w:type="pct"/>
                  <w:tcBorders>
                    <w:tl2br w:val="nil"/>
                    <w:tr2bl w:val="nil"/>
                  </w:tcBorders>
                  <w:vAlign w:val="center"/>
                </w:tcPr>
                <w:p w14:paraId="44AF40E1">
                  <w:pPr>
                    <w:spacing w:line="0" w:lineRule="atLeast"/>
                    <w:jc w:val="center"/>
                    <w:rPr>
                      <w:snapToGrid w:val="0"/>
                      <w:color w:val="auto"/>
                      <w:kern w:val="0"/>
                      <w:szCs w:val="21"/>
                    </w:rPr>
                  </w:pPr>
                  <w:r>
                    <w:rPr>
                      <w:snapToGrid w:val="0"/>
                      <w:color w:val="auto"/>
                      <w:kern w:val="0"/>
                      <w:szCs w:val="21"/>
                    </w:rPr>
                    <w:t>应急监测、防护措施、清除泄露措施和器材</w:t>
                  </w:r>
                </w:p>
              </w:tc>
              <w:tc>
                <w:tcPr>
                  <w:tcW w:w="2888" w:type="pct"/>
                  <w:tcBorders>
                    <w:tl2br w:val="nil"/>
                    <w:tr2bl w:val="nil"/>
                  </w:tcBorders>
                  <w:vAlign w:val="center"/>
                </w:tcPr>
                <w:p w14:paraId="39DCCDCF">
                  <w:pPr>
                    <w:spacing w:line="0" w:lineRule="atLeast"/>
                    <w:jc w:val="center"/>
                    <w:rPr>
                      <w:snapToGrid w:val="0"/>
                      <w:color w:val="auto"/>
                      <w:kern w:val="0"/>
                      <w:szCs w:val="21"/>
                    </w:rPr>
                  </w:pPr>
                  <w:r>
                    <w:rPr>
                      <w:snapToGrid w:val="0"/>
                      <w:color w:val="auto"/>
                      <w:kern w:val="0"/>
                      <w:szCs w:val="21"/>
                    </w:rPr>
                    <w:t>事故现场、邻近区域、控制防火区域，控制和清除污染措施及相应设备</w:t>
                  </w:r>
                </w:p>
              </w:tc>
            </w:tr>
            <w:tr w14:paraId="55183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54" w:type="pct"/>
                  <w:tcBorders>
                    <w:tl2br w:val="nil"/>
                    <w:tr2bl w:val="nil"/>
                  </w:tcBorders>
                  <w:vAlign w:val="center"/>
                </w:tcPr>
                <w:p w14:paraId="79AD69F4">
                  <w:pPr>
                    <w:spacing w:line="0" w:lineRule="atLeast"/>
                    <w:jc w:val="center"/>
                    <w:rPr>
                      <w:snapToGrid w:val="0"/>
                      <w:color w:val="auto"/>
                      <w:kern w:val="0"/>
                      <w:szCs w:val="21"/>
                    </w:rPr>
                  </w:pPr>
                  <w:r>
                    <w:rPr>
                      <w:snapToGrid w:val="0"/>
                      <w:color w:val="auto"/>
                      <w:kern w:val="0"/>
                      <w:szCs w:val="21"/>
                    </w:rPr>
                    <w:t>8</w:t>
                  </w:r>
                </w:p>
              </w:tc>
              <w:tc>
                <w:tcPr>
                  <w:tcW w:w="1556" w:type="pct"/>
                  <w:tcBorders>
                    <w:tl2br w:val="nil"/>
                    <w:tr2bl w:val="nil"/>
                  </w:tcBorders>
                  <w:vAlign w:val="center"/>
                </w:tcPr>
                <w:p w14:paraId="2995A2FC">
                  <w:pPr>
                    <w:spacing w:line="0" w:lineRule="atLeast"/>
                    <w:jc w:val="center"/>
                    <w:rPr>
                      <w:snapToGrid w:val="0"/>
                      <w:color w:val="auto"/>
                      <w:kern w:val="0"/>
                      <w:szCs w:val="21"/>
                    </w:rPr>
                  </w:pPr>
                  <w:r>
                    <w:rPr>
                      <w:snapToGrid w:val="0"/>
                      <w:color w:val="auto"/>
                      <w:kern w:val="0"/>
                      <w:szCs w:val="21"/>
                    </w:rPr>
                    <w:t>人员紧急撤离、疏散，应急剂量控制、撤离组织计划</w:t>
                  </w:r>
                </w:p>
              </w:tc>
              <w:tc>
                <w:tcPr>
                  <w:tcW w:w="2888" w:type="pct"/>
                  <w:tcBorders>
                    <w:tl2br w:val="nil"/>
                    <w:tr2bl w:val="nil"/>
                  </w:tcBorders>
                  <w:vAlign w:val="center"/>
                </w:tcPr>
                <w:p w14:paraId="295C5F77">
                  <w:pPr>
                    <w:spacing w:line="0" w:lineRule="atLeast"/>
                    <w:jc w:val="center"/>
                    <w:rPr>
                      <w:snapToGrid w:val="0"/>
                      <w:color w:val="auto"/>
                      <w:kern w:val="0"/>
                      <w:szCs w:val="21"/>
                    </w:rPr>
                  </w:pPr>
                  <w:r>
                    <w:rPr>
                      <w:snapToGrid w:val="0"/>
                      <w:color w:val="auto"/>
                      <w:kern w:val="0"/>
                      <w:szCs w:val="21"/>
                    </w:rPr>
                    <w:t>事故现场、工厂邻近区、受事故影响的区域人员及公众对毒物应急剂量控制规定、撤离组织计划及救护，医疗救护与公众健康</w:t>
                  </w:r>
                </w:p>
              </w:tc>
            </w:tr>
            <w:tr w14:paraId="2B560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54" w:type="pct"/>
                  <w:tcBorders>
                    <w:tl2br w:val="nil"/>
                    <w:tr2bl w:val="nil"/>
                  </w:tcBorders>
                  <w:vAlign w:val="center"/>
                </w:tcPr>
                <w:p w14:paraId="4629B10B">
                  <w:pPr>
                    <w:spacing w:line="0" w:lineRule="atLeast"/>
                    <w:jc w:val="center"/>
                    <w:rPr>
                      <w:snapToGrid w:val="0"/>
                      <w:color w:val="auto"/>
                      <w:kern w:val="0"/>
                      <w:szCs w:val="21"/>
                    </w:rPr>
                  </w:pPr>
                  <w:r>
                    <w:rPr>
                      <w:snapToGrid w:val="0"/>
                      <w:color w:val="auto"/>
                      <w:kern w:val="0"/>
                      <w:szCs w:val="21"/>
                    </w:rPr>
                    <w:t>9</w:t>
                  </w:r>
                </w:p>
              </w:tc>
              <w:tc>
                <w:tcPr>
                  <w:tcW w:w="1556" w:type="pct"/>
                  <w:tcBorders>
                    <w:tl2br w:val="nil"/>
                    <w:tr2bl w:val="nil"/>
                  </w:tcBorders>
                  <w:vAlign w:val="center"/>
                </w:tcPr>
                <w:p w14:paraId="0930D5DF">
                  <w:pPr>
                    <w:spacing w:line="0" w:lineRule="atLeast"/>
                    <w:jc w:val="center"/>
                    <w:rPr>
                      <w:snapToGrid w:val="0"/>
                      <w:color w:val="auto"/>
                      <w:kern w:val="0"/>
                      <w:szCs w:val="21"/>
                    </w:rPr>
                  </w:pPr>
                  <w:r>
                    <w:rPr>
                      <w:snapToGrid w:val="0"/>
                      <w:color w:val="auto"/>
                      <w:kern w:val="0"/>
                      <w:szCs w:val="21"/>
                    </w:rPr>
                    <w:t>事故应急救援关闭程序与恢复措施</w:t>
                  </w:r>
                </w:p>
              </w:tc>
              <w:tc>
                <w:tcPr>
                  <w:tcW w:w="2888" w:type="pct"/>
                  <w:tcBorders>
                    <w:tl2br w:val="nil"/>
                    <w:tr2bl w:val="nil"/>
                  </w:tcBorders>
                  <w:vAlign w:val="center"/>
                </w:tcPr>
                <w:p w14:paraId="056958D2">
                  <w:pPr>
                    <w:spacing w:line="0" w:lineRule="atLeast"/>
                    <w:jc w:val="center"/>
                    <w:rPr>
                      <w:snapToGrid w:val="0"/>
                      <w:color w:val="auto"/>
                      <w:kern w:val="0"/>
                      <w:szCs w:val="21"/>
                    </w:rPr>
                  </w:pPr>
                  <w:r>
                    <w:rPr>
                      <w:snapToGrid w:val="0"/>
                      <w:color w:val="auto"/>
                      <w:kern w:val="0"/>
                      <w:szCs w:val="21"/>
                    </w:rPr>
                    <w:t>规定应急状态终止程序事故现场善后处理，恢复措施邻近区域解除事故警戒及善后恢复措施</w:t>
                  </w:r>
                </w:p>
              </w:tc>
            </w:tr>
            <w:tr w14:paraId="18040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54" w:type="pct"/>
                  <w:tcBorders>
                    <w:tl2br w:val="nil"/>
                    <w:tr2bl w:val="nil"/>
                  </w:tcBorders>
                  <w:vAlign w:val="center"/>
                </w:tcPr>
                <w:p w14:paraId="77A6F413">
                  <w:pPr>
                    <w:spacing w:line="0" w:lineRule="atLeast"/>
                    <w:jc w:val="center"/>
                    <w:rPr>
                      <w:snapToGrid w:val="0"/>
                      <w:color w:val="auto"/>
                      <w:kern w:val="0"/>
                      <w:szCs w:val="21"/>
                    </w:rPr>
                  </w:pPr>
                  <w:r>
                    <w:rPr>
                      <w:snapToGrid w:val="0"/>
                      <w:color w:val="auto"/>
                      <w:kern w:val="0"/>
                      <w:szCs w:val="21"/>
                    </w:rPr>
                    <w:t>10</w:t>
                  </w:r>
                </w:p>
              </w:tc>
              <w:tc>
                <w:tcPr>
                  <w:tcW w:w="1556" w:type="pct"/>
                  <w:tcBorders>
                    <w:tl2br w:val="nil"/>
                    <w:tr2bl w:val="nil"/>
                  </w:tcBorders>
                  <w:vAlign w:val="center"/>
                </w:tcPr>
                <w:p w14:paraId="29BDEED3">
                  <w:pPr>
                    <w:spacing w:line="0" w:lineRule="atLeast"/>
                    <w:jc w:val="center"/>
                    <w:rPr>
                      <w:snapToGrid w:val="0"/>
                      <w:color w:val="auto"/>
                      <w:kern w:val="0"/>
                      <w:szCs w:val="21"/>
                    </w:rPr>
                  </w:pPr>
                  <w:r>
                    <w:rPr>
                      <w:snapToGrid w:val="0"/>
                      <w:color w:val="auto"/>
                      <w:kern w:val="0"/>
                      <w:szCs w:val="21"/>
                    </w:rPr>
                    <w:t>应急培训计划</w:t>
                  </w:r>
                </w:p>
              </w:tc>
              <w:tc>
                <w:tcPr>
                  <w:tcW w:w="2888" w:type="pct"/>
                  <w:tcBorders>
                    <w:tl2br w:val="nil"/>
                    <w:tr2bl w:val="nil"/>
                  </w:tcBorders>
                  <w:vAlign w:val="center"/>
                </w:tcPr>
                <w:p w14:paraId="365B5884">
                  <w:pPr>
                    <w:spacing w:line="0" w:lineRule="atLeast"/>
                    <w:jc w:val="center"/>
                    <w:rPr>
                      <w:snapToGrid w:val="0"/>
                      <w:color w:val="auto"/>
                      <w:kern w:val="0"/>
                      <w:szCs w:val="21"/>
                    </w:rPr>
                  </w:pPr>
                  <w:r>
                    <w:rPr>
                      <w:snapToGrid w:val="0"/>
                      <w:color w:val="auto"/>
                      <w:kern w:val="0"/>
                      <w:szCs w:val="21"/>
                    </w:rPr>
                    <w:t>应急计划规定后，平时安排</w:t>
                  </w:r>
                  <w:r>
                    <w:rPr>
                      <w:rFonts w:hint="eastAsia"/>
                      <w:snapToGrid w:val="0"/>
                      <w:color w:val="auto"/>
                      <w:kern w:val="0"/>
                      <w:szCs w:val="21"/>
                      <w:lang w:eastAsia="zh-CN"/>
                    </w:rPr>
                    <w:t>人员</w:t>
                  </w:r>
                  <w:r>
                    <w:rPr>
                      <w:snapToGrid w:val="0"/>
                      <w:color w:val="auto"/>
                      <w:kern w:val="0"/>
                      <w:szCs w:val="21"/>
                    </w:rPr>
                    <w:t>培训和演练</w:t>
                  </w:r>
                </w:p>
              </w:tc>
            </w:tr>
            <w:tr w14:paraId="16356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54" w:type="pct"/>
                  <w:tcBorders>
                    <w:tl2br w:val="nil"/>
                    <w:tr2bl w:val="nil"/>
                  </w:tcBorders>
                  <w:vAlign w:val="center"/>
                </w:tcPr>
                <w:p w14:paraId="2A87E5A1">
                  <w:pPr>
                    <w:spacing w:line="0" w:lineRule="atLeast"/>
                    <w:jc w:val="center"/>
                    <w:rPr>
                      <w:snapToGrid w:val="0"/>
                      <w:color w:val="auto"/>
                      <w:kern w:val="0"/>
                      <w:szCs w:val="21"/>
                    </w:rPr>
                  </w:pPr>
                  <w:r>
                    <w:rPr>
                      <w:snapToGrid w:val="0"/>
                      <w:color w:val="auto"/>
                      <w:kern w:val="0"/>
                      <w:szCs w:val="21"/>
                    </w:rPr>
                    <w:t>11</w:t>
                  </w:r>
                </w:p>
              </w:tc>
              <w:tc>
                <w:tcPr>
                  <w:tcW w:w="1556" w:type="pct"/>
                  <w:tcBorders>
                    <w:tl2br w:val="nil"/>
                    <w:tr2bl w:val="nil"/>
                  </w:tcBorders>
                  <w:vAlign w:val="center"/>
                </w:tcPr>
                <w:p w14:paraId="61AD2C21">
                  <w:pPr>
                    <w:spacing w:line="0" w:lineRule="atLeast"/>
                    <w:jc w:val="center"/>
                    <w:rPr>
                      <w:snapToGrid w:val="0"/>
                      <w:color w:val="auto"/>
                      <w:kern w:val="0"/>
                      <w:szCs w:val="21"/>
                    </w:rPr>
                  </w:pPr>
                  <w:r>
                    <w:rPr>
                      <w:snapToGrid w:val="0"/>
                      <w:color w:val="auto"/>
                      <w:kern w:val="0"/>
                      <w:szCs w:val="21"/>
                    </w:rPr>
                    <w:t>公众教育和信息</w:t>
                  </w:r>
                </w:p>
              </w:tc>
              <w:tc>
                <w:tcPr>
                  <w:tcW w:w="2888" w:type="pct"/>
                  <w:tcBorders>
                    <w:tl2br w:val="nil"/>
                    <w:tr2bl w:val="nil"/>
                  </w:tcBorders>
                  <w:vAlign w:val="center"/>
                </w:tcPr>
                <w:p w14:paraId="4117FA07">
                  <w:pPr>
                    <w:spacing w:line="0" w:lineRule="atLeast"/>
                    <w:jc w:val="center"/>
                    <w:rPr>
                      <w:snapToGrid w:val="0"/>
                      <w:color w:val="auto"/>
                      <w:kern w:val="0"/>
                      <w:szCs w:val="21"/>
                    </w:rPr>
                  </w:pPr>
                  <w:r>
                    <w:rPr>
                      <w:snapToGrid w:val="0"/>
                      <w:color w:val="auto"/>
                      <w:kern w:val="0"/>
                      <w:szCs w:val="21"/>
                    </w:rPr>
                    <w:t>对工厂邻近地区展开公众教育、培训及发布有关信息</w:t>
                  </w:r>
                </w:p>
              </w:tc>
            </w:tr>
          </w:tbl>
          <w:p w14:paraId="16FC4B70">
            <w:pPr>
              <w:spacing w:line="360" w:lineRule="auto"/>
              <w:ind w:firstLine="480" w:firstLineChars="200"/>
              <w:rPr>
                <w:color w:val="auto"/>
                <w:sz w:val="24"/>
              </w:rPr>
            </w:pPr>
            <w:r>
              <w:rPr>
                <w:color w:val="auto"/>
                <w:sz w:val="24"/>
              </w:rPr>
              <w:t>项目根据有关规定制定了企业的环境突发事件应急救援预案，并定期进行演练。当出现事故时，要采取紧急的工程应急措施，如有必要，要采取社会应急措施，以控制事故和减少对环境造成的危害。</w:t>
            </w:r>
          </w:p>
          <w:p w14:paraId="04D9836F">
            <w:pPr>
              <w:spacing w:line="360" w:lineRule="auto"/>
              <w:ind w:firstLine="482" w:firstLineChars="200"/>
              <w:rPr>
                <w:b/>
                <w:color w:val="auto"/>
                <w:sz w:val="24"/>
              </w:rPr>
            </w:pPr>
            <w:r>
              <w:rPr>
                <w:b/>
                <w:color w:val="auto"/>
                <w:sz w:val="24"/>
              </w:rPr>
              <w:t>6环境监测</w:t>
            </w:r>
            <w:r>
              <w:rPr>
                <w:rFonts w:hint="eastAsia"/>
                <w:b/>
                <w:color w:val="auto"/>
                <w:sz w:val="24"/>
              </w:rPr>
              <w:t>计划</w:t>
            </w:r>
          </w:p>
          <w:p w14:paraId="382F056E">
            <w:pPr>
              <w:spacing w:line="360" w:lineRule="auto"/>
              <w:ind w:firstLine="480" w:firstLineChars="200"/>
              <w:rPr>
                <w:color w:val="auto"/>
                <w:sz w:val="24"/>
              </w:rPr>
            </w:pPr>
            <w:r>
              <w:rPr>
                <w:bCs/>
                <w:color w:val="auto"/>
                <w:sz w:val="24"/>
              </w:rPr>
              <w:t>根据</w:t>
            </w:r>
            <w:bookmarkStart w:id="19" w:name="OLE_LINK12"/>
            <w:r>
              <w:rPr>
                <w:bCs/>
                <w:color w:val="auto"/>
                <w:sz w:val="24"/>
              </w:rPr>
              <w:t>《</w:t>
            </w:r>
            <w:r>
              <w:rPr>
                <w:rFonts w:hint="eastAsia"/>
                <w:bCs/>
                <w:color w:val="auto"/>
                <w:sz w:val="24"/>
                <w:lang w:val="en-US" w:eastAsia="zh-CN"/>
              </w:rPr>
              <w:t>排污单位自行监测技术指南 农副食品加工工业</w:t>
            </w:r>
            <w:r>
              <w:rPr>
                <w:bCs/>
                <w:color w:val="auto"/>
                <w:sz w:val="24"/>
              </w:rPr>
              <w:t>》（HJ</w:t>
            </w:r>
            <w:r>
              <w:rPr>
                <w:rFonts w:hint="eastAsia"/>
                <w:bCs/>
                <w:color w:val="auto"/>
                <w:sz w:val="24"/>
                <w:lang w:val="en-US" w:eastAsia="zh-CN"/>
              </w:rPr>
              <w:t>986</w:t>
            </w:r>
            <w:r>
              <w:rPr>
                <w:bCs/>
                <w:color w:val="auto"/>
                <w:sz w:val="24"/>
              </w:rPr>
              <w:t>-201</w:t>
            </w:r>
            <w:r>
              <w:rPr>
                <w:rFonts w:hint="eastAsia"/>
                <w:bCs/>
                <w:color w:val="auto"/>
                <w:sz w:val="24"/>
                <w:lang w:val="en-US" w:eastAsia="zh-CN"/>
              </w:rPr>
              <w:t>8</w:t>
            </w:r>
            <w:r>
              <w:rPr>
                <w:bCs/>
                <w:color w:val="auto"/>
                <w:sz w:val="24"/>
              </w:rPr>
              <w:t>）</w:t>
            </w:r>
            <w:bookmarkEnd w:id="19"/>
            <w:r>
              <w:rPr>
                <w:bCs/>
                <w:color w:val="auto"/>
                <w:sz w:val="24"/>
              </w:rPr>
              <w:t>和《</w:t>
            </w:r>
            <w:r>
              <w:rPr>
                <w:rFonts w:hint="eastAsia"/>
                <w:bCs/>
                <w:color w:val="auto"/>
                <w:sz w:val="24"/>
              </w:rPr>
              <w:t>排污单位自行监测技术指南 食品制造</w:t>
            </w:r>
            <w:r>
              <w:rPr>
                <w:bCs/>
                <w:color w:val="auto"/>
                <w:sz w:val="24"/>
              </w:rPr>
              <w:t>》（HJ</w:t>
            </w:r>
            <w:r>
              <w:rPr>
                <w:rFonts w:hint="eastAsia"/>
                <w:bCs/>
                <w:color w:val="auto"/>
                <w:sz w:val="24"/>
                <w:lang w:val="en-US" w:eastAsia="zh-CN"/>
              </w:rPr>
              <w:t>1084</w:t>
            </w:r>
            <w:r>
              <w:rPr>
                <w:bCs/>
                <w:color w:val="auto"/>
                <w:sz w:val="24"/>
              </w:rPr>
              <w:t>-20</w:t>
            </w:r>
            <w:r>
              <w:rPr>
                <w:rFonts w:hint="eastAsia"/>
                <w:bCs/>
                <w:color w:val="auto"/>
                <w:sz w:val="24"/>
                <w:lang w:val="en-US" w:eastAsia="zh-CN"/>
              </w:rPr>
              <w:t>20</w:t>
            </w:r>
            <w:r>
              <w:rPr>
                <w:bCs/>
                <w:color w:val="auto"/>
                <w:sz w:val="24"/>
              </w:rPr>
              <w:t>）的要求，本项目污染源监测计划见下表。</w:t>
            </w:r>
          </w:p>
          <w:p w14:paraId="5968A30C">
            <w:pPr>
              <w:widowControl/>
              <w:jc w:val="center"/>
              <w:rPr>
                <w:b/>
                <w:color w:val="auto"/>
                <w:szCs w:val="21"/>
              </w:rPr>
            </w:pPr>
            <w:r>
              <w:rPr>
                <w:b/>
                <w:color w:val="auto"/>
                <w:szCs w:val="21"/>
              </w:rPr>
              <w:t>表</w:t>
            </w:r>
            <w:r>
              <w:rPr>
                <w:rFonts w:hint="eastAsia"/>
                <w:b/>
                <w:color w:val="auto"/>
                <w:szCs w:val="21"/>
              </w:rPr>
              <w:t>4-</w:t>
            </w:r>
            <w:r>
              <w:rPr>
                <w:rFonts w:hint="eastAsia"/>
                <w:b/>
                <w:color w:val="auto"/>
                <w:szCs w:val="21"/>
                <w:lang w:val="en-US" w:eastAsia="zh-CN"/>
              </w:rPr>
              <w:t>19</w:t>
            </w:r>
            <w:r>
              <w:rPr>
                <w:b/>
                <w:color w:val="auto"/>
                <w:szCs w:val="21"/>
              </w:rPr>
              <w:t xml:space="preserve">    环境监测计划一览表</w:t>
            </w:r>
          </w:p>
          <w:tbl>
            <w:tblPr>
              <w:tblStyle w:val="3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3"/>
              <w:gridCol w:w="873"/>
              <w:gridCol w:w="2291"/>
              <w:gridCol w:w="2735"/>
              <w:gridCol w:w="1413"/>
            </w:tblGrid>
            <w:tr w14:paraId="709FF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50" w:type="pct"/>
                  <w:tcBorders>
                    <w:tl2br w:val="nil"/>
                    <w:tr2bl w:val="nil"/>
                  </w:tcBorders>
                  <w:vAlign w:val="center"/>
                </w:tcPr>
                <w:p w14:paraId="61187274">
                  <w:pPr>
                    <w:jc w:val="center"/>
                    <w:rPr>
                      <w:b/>
                      <w:color w:val="auto"/>
                      <w:szCs w:val="21"/>
                    </w:rPr>
                  </w:pPr>
                  <w:r>
                    <w:rPr>
                      <w:b/>
                      <w:color w:val="auto"/>
                      <w:szCs w:val="21"/>
                    </w:rPr>
                    <w:t>类别</w:t>
                  </w:r>
                </w:p>
              </w:tc>
              <w:tc>
                <w:tcPr>
                  <w:tcW w:w="1968" w:type="pct"/>
                  <w:gridSpan w:val="2"/>
                  <w:tcBorders>
                    <w:tl2br w:val="nil"/>
                    <w:tr2bl w:val="nil"/>
                  </w:tcBorders>
                  <w:vAlign w:val="center"/>
                </w:tcPr>
                <w:p w14:paraId="1143C3C1">
                  <w:pPr>
                    <w:jc w:val="center"/>
                    <w:rPr>
                      <w:b/>
                      <w:color w:val="auto"/>
                      <w:szCs w:val="21"/>
                    </w:rPr>
                  </w:pPr>
                  <w:r>
                    <w:rPr>
                      <w:b/>
                      <w:color w:val="auto"/>
                      <w:szCs w:val="21"/>
                    </w:rPr>
                    <w:t>监测点位</w:t>
                  </w:r>
                </w:p>
              </w:tc>
              <w:tc>
                <w:tcPr>
                  <w:tcW w:w="1701" w:type="pct"/>
                  <w:tcBorders>
                    <w:tl2br w:val="nil"/>
                    <w:tr2bl w:val="nil"/>
                  </w:tcBorders>
                  <w:vAlign w:val="center"/>
                </w:tcPr>
                <w:p w14:paraId="49A41893">
                  <w:pPr>
                    <w:jc w:val="center"/>
                    <w:rPr>
                      <w:b/>
                      <w:color w:val="auto"/>
                      <w:szCs w:val="21"/>
                    </w:rPr>
                  </w:pPr>
                  <w:r>
                    <w:rPr>
                      <w:b/>
                      <w:color w:val="auto"/>
                      <w:szCs w:val="21"/>
                    </w:rPr>
                    <w:t>监测项目</w:t>
                  </w:r>
                </w:p>
              </w:tc>
              <w:tc>
                <w:tcPr>
                  <w:tcW w:w="879" w:type="pct"/>
                  <w:tcBorders>
                    <w:tl2br w:val="nil"/>
                    <w:tr2bl w:val="nil"/>
                  </w:tcBorders>
                  <w:vAlign w:val="center"/>
                </w:tcPr>
                <w:p w14:paraId="4A479A23">
                  <w:pPr>
                    <w:jc w:val="center"/>
                    <w:rPr>
                      <w:b/>
                      <w:color w:val="auto"/>
                      <w:szCs w:val="21"/>
                    </w:rPr>
                  </w:pPr>
                  <w:r>
                    <w:rPr>
                      <w:b/>
                      <w:color w:val="auto"/>
                      <w:szCs w:val="21"/>
                    </w:rPr>
                    <w:t>监测频次</w:t>
                  </w:r>
                </w:p>
              </w:tc>
            </w:tr>
            <w:tr w14:paraId="66684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50" w:type="pct"/>
                  <w:vMerge w:val="restart"/>
                  <w:tcBorders>
                    <w:tl2br w:val="nil"/>
                    <w:tr2bl w:val="nil"/>
                  </w:tcBorders>
                  <w:vAlign w:val="center"/>
                </w:tcPr>
                <w:p w14:paraId="40D08139">
                  <w:pPr>
                    <w:jc w:val="center"/>
                    <w:rPr>
                      <w:color w:val="auto"/>
                      <w:szCs w:val="21"/>
                    </w:rPr>
                  </w:pPr>
                  <w:r>
                    <w:rPr>
                      <w:color w:val="auto"/>
                      <w:szCs w:val="21"/>
                    </w:rPr>
                    <w:t>废气</w:t>
                  </w:r>
                </w:p>
              </w:tc>
              <w:tc>
                <w:tcPr>
                  <w:tcW w:w="543" w:type="pct"/>
                  <w:tcBorders>
                    <w:tl2br w:val="nil"/>
                    <w:tr2bl w:val="nil"/>
                  </w:tcBorders>
                  <w:vAlign w:val="center"/>
                </w:tcPr>
                <w:p w14:paraId="39F45169">
                  <w:pPr>
                    <w:jc w:val="center"/>
                    <w:rPr>
                      <w:color w:val="auto"/>
                      <w:szCs w:val="21"/>
                    </w:rPr>
                  </w:pPr>
                  <w:r>
                    <w:rPr>
                      <w:color w:val="auto"/>
                      <w:szCs w:val="21"/>
                    </w:rPr>
                    <w:t>无组织</w:t>
                  </w:r>
                </w:p>
              </w:tc>
              <w:tc>
                <w:tcPr>
                  <w:tcW w:w="1424" w:type="pct"/>
                  <w:tcBorders>
                    <w:tl2br w:val="nil"/>
                    <w:tr2bl w:val="nil"/>
                  </w:tcBorders>
                  <w:vAlign w:val="center"/>
                </w:tcPr>
                <w:p w14:paraId="7C3AC7C8">
                  <w:pPr>
                    <w:jc w:val="center"/>
                    <w:rPr>
                      <w:color w:val="auto"/>
                      <w:szCs w:val="21"/>
                    </w:rPr>
                  </w:pPr>
                  <w:r>
                    <w:rPr>
                      <w:color w:val="auto"/>
                      <w:szCs w:val="21"/>
                    </w:rPr>
                    <w:t>厂界</w:t>
                  </w:r>
                </w:p>
              </w:tc>
              <w:tc>
                <w:tcPr>
                  <w:tcW w:w="1701" w:type="pct"/>
                  <w:tcBorders>
                    <w:tl2br w:val="nil"/>
                    <w:tr2bl w:val="nil"/>
                  </w:tcBorders>
                  <w:vAlign w:val="center"/>
                </w:tcPr>
                <w:p w14:paraId="5DB52FFF">
                  <w:pPr>
                    <w:jc w:val="center"/>
                    <w:rPr>
                      <w:color w:val="auto"/>
                      <w:szCs w:val="21"/>
                    </w:rPr>
                  </w:pPr>
                  <w:r>
                    <w:rPr>
                      <w:color w:val="auto"/>
                      <w:szCs w:val="21"/>
                    </w:rPr>
                    <w:t>NH</w:t>
                  </w:r>
                  <w:r>
                    <w:rPr>
                      <w:color w:val="auto"/>
                      <w:szCs w:val="21"/>
                      <w:vertAlign w:val="subscript"/>
                    </w:rPr>
                    <w:t>3</w:t>
                  </w:r>
                  <w:r>
                    <w:rPr>
                      <w:color w:val="auto"/>
                      <w:szCs w:val="21"/>
                    </w:rPr>
                    <w:t>、H</w:t>
                  </w:r>
                  <w:r>
                    <w:rPr>
                      <w:color w:val="auto"/>
                      <w:szCs w:val="21"/>
                      <w:vertAlign w:val="subscript"/>
                    </w:rPr>
                    <w:t>2</w:t>
                  </w:r>
                  <w:r>
                    <w:rPr>
                      <w:color w:val="auto"/>
                      <w:szCs w:val="21"/>
                    </w:rPr>
                    <w:t>S、臭气浓度</w:t>
                  </w:r>
                </w:p>
              </w:tc>
              <w:tc>
                <w:tcPr>
                  <w:tcW w:w="879" w:type="pct"/>
                  <w:tcBorders>
                    <w:tl2br w:val="nil"/>
                    <w:tr2bl w:val="nil"/>
                  </w:tcBorders>
                  <w:vAlign w:val="center"/>
                </w:tcPr>
                <w:p w14:paraId="0EEDB31E">
                  <w:pPr>
                    <w:jc w:val="center"/>
                    <w:rPr>
                      <w:color w:val="auto"/>
                      <w:szCs w:val="21"/>
                    </w:rPr>
                  </w:pPr>
                  <w:r>
                    <w:rPr>
                      <w:color w:val="auto"/>
                      <w:szCs w:val="21"/>
                    </w:rPr>
                    <w:t>1次/半年</w:t>
                  </w:r>
                </w:p>
              </w:tc>
            </w:tr>
            <w:tr w14:paraId="26E03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50" w:type="pct"/>
                  <w:vMerge w:val="continue"/>
                  <w:tcBorders>
                    <w:tl2br w:val="nil"/>
                    <w:tr2bl w:val="nil"/>
                  </w:tcBorders>
                  <w:vAlign w:val="center"/>
                </w:tcPr>
                <w:p w14:paraId="47BA1CEE">
                  <w:pPr>
                    <w:jc w:val="center"/>
                    <w:rPr>
                      <w:color w:val="auto"/>
                      <w:szCs w:val="21"/>
                    </w:rPr>
                  </w:pPr>
                </w:p>
              </w:tc>
              <w:tc>
                <w:tcPr>
                  <w:tcW w:w="543" w:type="pct"/>
                  <w:tcBorders>
                    <w:tl2br w:val="nil"/>
                    <w:tr2bl w:val="nil"/>
                  </w:tcBorders>
                  <w:vAlign w:val="center"/>
                </w:tcPr>
                <w:p w14:paraId="79DC3BFE">
                  <w:pPr>
                    <w:jc w:val="center"/>
                    <w:rPr>
                      <w:color w:val="auto"/>
                      <w:szCs w:val="21"/>
                    </w:rPr>
                  </w:pPr>
                  <w:r>
                    <w:rPr>
                      <w:color w:val="auto"/>
                      <w:szCs w:val="21"/>
                    </w:rPr>
                    <w:t>有组织</w:t>
                  </w:r>
                </w:p>
              </w:tc>
              <w:tc>
                <w:tcPr>
                  <w:tcW w:w="1424" w:type="pct"/>
                  <w:tcBorders>
                    <w:tl2br w:val="nil"/>
                    <w:tr2bl w:val="nil"/>
                  </w:tcBorders>
                  <w:vAlign w:val="center"/>
                </w:tcPr>
                <w:p w14:paraId="3D6A00C8">
                  <w:pPr>
                    <w:jc w:val="center"/>
                    <w:rPr>
                      <w:color w:val="auto"/>
                      <w:szCs w:val="21"/>
                    </w:rPr>
                  </w:pPr>
                  <w:r>
                    <w:rPr>
                      <w:rFonts w:hint="eastAsia"/>
                      <w:color w:val="auto"/>
                      <w:szCs w:val="21"/>
                      <w:lang w:val="en-US" w:eastAsia="zh-CN"/>
                    </w:rPr>
                    <w:t>生产车间</w:t>
                  </w:r>
                  <w:r>
                    <w:rPr>
                      <w:color w:val="auto"/>
                      <w:szCs w:val="21"/>
                    </w:rPr>
                    <w:t>废气处理设施排气筒</w:t>
                  </w:r>
                </w:p>
              </w:tc>
              <w:tc>
                <w:tcPr>
                  <w:tcW w:w="1701" w:type="pct"/>
                  <w:tcBorders>
                    <w:tl2br w:val="nil"/>
                    <w:tr2bl w:val="nil"/>
                  </w:tcBorders>
                  <w:vAlign w:val="center"/>
                </w:tcPr>
                <w:p w14:paraId="0C00B72E">
                  <w:pPr>
                    <w:jc w:val="center"/>
                    <w:rPr>
                      <w:rFonts w:hint="eastAsia" w:eastAsia="宋体"/>
                      <w:color w:val="auto"/>
                      <w:szCs w:val="21"/>
                      <w:lang w:eastAsia="zh-CN"/>
                    </w:rPr>
                  </w:pPr>
                  <w:r>
                    <w:rPr>
                      <w:rFonts w:hint="eastAsia"/>
                      <w:color w:val="auto"/>
                      <w:szCs w:val="21"/>
                      <w:lang w:val="en-US" w:eastAsia="zh-CN"/>
                    </w:rPr>
                    <w:t>油烟</w:t>
                  </w:r>
                </w:p>
              </w:tc>
              <w:tc>
                <w:tcPr>
                  <w:tcW w:w="879" w:type="pct"/>
                  <w:tcBorders>
                    <w:tl2br w:val="nil"/>
                    <w:tr2bl w:val="nil"/>
                  </w:tcBorders>
                  <w:vAlign w:val="center"/>
                </w:tcPr>
                <w:p w14:paraId="75F3D501">
                  <w:pPr>
                    <w:jc w:val="center"/>
                    <w:rPr>
                      <w:color w:val="auto"/>
                      <w:szCs w:val="21"/>
                    </w:rPr>
                  </w:pPr>
                  <w:r>
                    <w:rPr>
                      <w:color w:val="auto"/>
                      <w:szCs w:val="21"/>
                    </w:rPr>
                    <w:t>1次/半年</w:t>
                  </w:r>
                </w:p>
              </w:tc>
            </w:tr>
            <w:tr w14:paraId="3F36B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50" w:type="pct"/>
                  <w:vMerge w:val="continue"/>
                  <w:tcBorders>
                    <w:tl2br w:val="nil"/>
                    <w:tr2bl w:val="nil"/>
                  </w:tcBorders>
                  <w:vAlign w:val="center"/>
                </w:tcPr>
                <w:p w14:paraId="24B47900">
                  <w:pPr>
                    <w:jc w:val="center"/>
                    <w:rPr>
                      <w:color w:val="auto"/>
                      <w:szCs w:val="21"/>
                    </w:rPr>
                  </w:pPr>
                </w:p>
              </w:tc>
              <w:tc>
                <w:tcPr>
                  <w:tcW w:w="543" w:type="pct"/>
                  <w:tcBorders>
                    <w:tl2br w:val="nil"/>
                    <w:tr2bl w:val="nil"/>
                  </w:tcBorders>
                  <w:vAlign w:val="center"/>
                </w:tcPr>
                <w:p w14:paraId="29DBF52E">
                  <w:pPr>
                    <w:jc w:val="center"/>
                    <w:rPr>
                      <w:color w:val="auto"/>
                      <w:szCs w:val="21"/>
                    </w:rPr>
                  </w:pPr>
                  <w:r>
                    <w:rPr>
                      <w:color w:val="auto"/>
                      <w:szCs w:val="21"/>
                    </w:rPr>
                    <w:t>有组织</w:t>
                  </w:r>
                </w:p>
              </w:tc>
              <w:tc>
                <w:tcPr>
                  <w:tcW w:w="1424" w:type="pct"/>
                  <w:tcBorders>
                    <w:tl2br w:val="nil"/>
                    <w:tr2bl w:val="nil"/>
                  </w:tcBorders>
                  <w:vAlign w:val="center"/>
                </w:tcPr>
                <w:p w14:paraId="4BEBD3DE">
                  <w:pPr>
                    <w:jc w:val="center"/>
                    <w:rPr>
                      <w:color w:val="auto"/>
                      <w:szCs w:val="21"/>
                    </w:rPr>
                  </w:pPr>
                  <w:r>
                    <w:rPr>
                      <w:rFonts w:hint="eastAsia"/>
                      <w:color w:val="auto"/>
                      <w:szCs w:val="21"/>
                    </w:rPr>
                    <w:t>污水处理站</w:t>
                  </w:r>
                  <w:r>
                    <w:rPr>
                      <w:color w:val="auto"/>
                      <w:szCs w:val="21"/>
                    </w:rPr>
                    <w:t>废气处理设施排气筒</w:t>
                  </w:r>
                  <w:r>
                    <w:rPr>
                      <w:rFonts w:hint="eastAsia"/>
                      <w:color w:val="auto"/>
                      <w:szCs w:val="21"/>
                    </w:rPr>
                    <w:t>（</w:t>
                  </w:r>
                  <w:r>
                    <w:rPr>
                      <w:rFonts w:hint="eastAsia"/>
                      <w:color w:val="auto"/>
                      <w:szCs w:val="21"/>
                      <w:lang w:val="en-US" w:eastAsia="zh-CN"/>
                    </w:rPr>
                    <w:t>DA001</w:t>
                  </w:r>
                  <w:r>
                    <w:rPr>
                      <w:rFonts w:hint="eastAsia"/>
                      <w:color w:val="auto"/>
                      <w:szCs w:val="21"/>
                    </w:rPr>
                    <w:t>)</w:t>
                  </w:r>
                </w:p>
              </w:tc>
              <w:tc>
                <w:tcPr>
                  <w:tcW w:w="1701" w:type="pct"/>
                  <w:tcBorders>
                    <w:tl2br w:val="nil"/>
                    <w:tr2bl w:val="nil"/>
                  </w:tcBorders>
                  <w:vAlign w:val="center"/>
                </w:tcPr>
                <w:p w14:paraId="37E6B902">
                  <w:pPr>
                    <w:jc w:val="center"/>
                    <w:rPr>
                      <w:rFonts w:hint="default" w:eastAsia="宋体"/>
                      <w:color w:val="auto"/>
                      <w:szCs w:val="21"/>
                      <w:lang w:val="en-US" w:eastAsia="zh-CN"/>
                    </w:rPr>
                  </w:pPr>
                  <w:r>
                    <w:rPr>
                      <w:color w:val="auto"/>
                      <w:szCs w:val="21"/>
                    </w:rPr>
                    <w:t>NH</w:t>
                  </w:r>
                  <w:r>
                    <w:rPr>
                      <w:color w:val="auto"/>
                      <w:szCs w:val="21"/>
                      <w:vertAlign w:val="subscript"/>
                    </w:rPr>
                    <w:t>3</w:t>
                  </w:r>
                  <w:r>
                    <w:rPr>
                      <w:color w:val="auto"/>
                      <w:szCs w:val="21"/>
                    </w:rPr>
                    <w:t>、H</w:t>
                  </w:r>
                  <w:r>
                    <w:rPr>
                      <w:color w:val="auto"/>
                      <w:szCs w:val="21"/>
                      <w:vertAlign w:val="subscript"/>
                    </w:rPr>
                    <w:t>2</w:t>
                  </w:r>
                  <w:r>
                    <w:rPr>
                      <w:color w:val="auto"/>
                      <w:szCs w:val="21"/>
                    </w:rPr>
                    <w:t>S</w:t>
                  </w:r>
                  <w:r>
                    <w:rPr>
                      <w:rFonts w:hint="eastAsia"/>
                      <w:color w:val="auto"/>
                      <w:szCs w:val="21"/>
                      <w:lang w:eastAsia="zh-CN"/>
                    </w:rPr>
                    <w:t>、</w:t>
                  </w:r>
                  <w:r>
                    <w:rPr>
                      <w:rFonts w:hint="eastAsia"/>
                      <w:color w:val="auto"/>
                      <w:szCs w:val="21"/>
                      <w:lang w:val="en-US" w:eastAsia="zh-CN"/>
                    </w:rPr>
                    <w:t>臭气浓度</w:t>
                  </w:r>
                </w:p>
              </w:tc>
              <w:tc>
                <w:tcPr>
                  <w:tcW w:w="879" w:type="pct"/>
                  <w:tcBorders>
                    <w:tl2br w:val="nil"/>
                    <w:tr2bl w:val="nil"/>
                  </w:tcBorders>
                  <w:vAlign w:val="center"/>
                </w:tcPr>
                <w:p w14:paraId="202E664A">
                  <w:pPr>
                    <w:jc w:val="center"/>
                    <w:rPr>
                      <w:rFonts w:hint="eastAsia" w:eastAsia="宋体"/>
                      <w:color w:val="auto"/>
                      <w:szCs w:val="21"/>
                      <w:lang w:eastAsia="zh-CN"/>
                    </w:rPr>
                  </w:pPr>
                  <w:r>
                    <w:rPr>
                      <w:color w:val="auto"/>
                      <w:szCs w:val="21"/>
                    </w:rPr>
                    <w:t>1次/</w:t>
                  </w:r>
                  <w:r>
                    <w:rPr>
                      <w:rFonts w:hint="eastAsia"/>
                      <w:color w:val="auto"/>
                      <w:szCs w:val="21"/>
                      <w:lang w:val="en-US" w:eastAsia="zh-CN"/>
                    </w:rPr>
                    <w:t>季度</w:t>
                  </w:r>
                </w:p>
              </w:tc>
            </w:tr>
            <w:tr w14:paraId="376F7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50" w:type="pct"/>
                  <w:tcBorders>
                    <w:tl2br w:val="nil"/>
                    <w:tr2bl w:val="nil"/>
                  </w:tcBorders>
                  <w:vAlign w:val="center"/>
                </w:tcPr>
                <w:p w14:paraId="095D3FE1">
                  <w:pPr>
                    <w:jc w:val="center"/>
                    <w:rPr>
                      <w:color w:val="auto"/>
                      <w:szCs w:val="21"/>
                    </w:rPr>
                  </w:pPr>
                  <w:r>
                    <w:rPr>
                      <w:color w:val="auto"/>
                      <w:szCs w:val="21"/>
                    </w:rPr>
                    <w:t>废水</w:t>
                  </w:r>
                </w:p>
              </w:tc>
              <w:tc>
                <w:tcPr>
                  <w:tcW w:w="1968" w:type="pct"/>
                  <w:gridSpan w:val="2"/>
                  <w:tcBorders>
                    <w:tl2br w:val="nil"/>
                    <w:tr2bl w:val="nil"/>
                  </w:tcBorders>
                  <w:vAlign w:val="center"/>
                </w:tcPr>
                <w:p w14:paraId="02773D26">
                  <w:pPr>
                    <w:jc w:val="center"/>
                    <w:rPr>
                      <w:color w:val="auto"/>
                      <w:szCs w:val="21"/>
                    </w:rPr>
                  </w:pPr>
                  <w:r>
                    <w:rPr>
                      <w:color w:val="auto"/>
                      <w:szCs w:val="21"/>
                    </w:rPr>
                    <w:t>废水总排口</w:t>
                  </w:r>
                </w:p>
              </w:tc>
              <w:tc>
                <w:tcPr>
                  <w:tcW w:w="1701" w:type="pct"/>
                  <w:tcBorders>
                    <w:tl2br w:val="nil"/>
                    <w:tr2bl w:val="nil"/>
                  </w:tcBorders>
                  <w:vAlign w:val="center"/>
                </w:tcPr>
                <w:p w14:paraId="056E50DD">
                  <w:pPr>
                    <w:jc w:val="center"/>
                    <w:rPr>
                      <w:rFonts w:hint="default" w:eastAsia="宋体"/>
                      <w:color w:val="auto"/>
                      <w:szCs w:val="21"/>
                      <w:lang w:val="en-US" w:eastAsia="zh-CN"/>
                    </w:rPr>
                  </w:pPr>
                  <w:r>
                    <w:rPr>
                      <w:color w:val="auto"/>
                      <w:szCs w:val="21"/>
                    </w:rPr>
                    <w:t>流量、pH值、化学需氧量、氨氮、</w:t>
                  </w:r>
                  <w:r>
                    <w:rPr>
                      <w:rFonts w:hint="eastAsia"/>
                      <w:color w:val="auto"/>
                      <w:szCs w:val="21"/>
                      <w:lang w:val="en-US" w:eastAsia="zh-CN"/>
                    </w:rPr>
                    <w:t>总氮、总磷、</w:t>
                  </w:r>
                  <w:r>
                    <w:rPr>
                      <w:color w:val="auto"/>
                      <w:szCs w:val="21"/>
                    </w:rPr>
                    <w:t>悬浮物、五日生化需氧量、动植物油、</w:t>
                  </w:r>
                  <w:r>
                    <w:rPr>
                      <w:rFonts w:hint="eastAsia"/>
                      <w:color w:val="auto"/>
                      <w:szCs w:val="21"/>
                      <w:lang w:val="en-US" w:eastAsia="zh-CN"/>
                    </w:rPr>
                    <w:t>大肠菌群数、</w:t>
                  </w:r>
                </w:p>
              </w:tc>
              <w:tc>
                <w:tcPr>
                  <w:tcW w:w="879" w:type="pct"/>
                  <w:tcBorders>
                    <w:tl2br w:val="nil"/>
                    <w:tr2bl w:val="nil"/>
                  </w:tcBorders>
                  <w:vAlign w:val="center"/>
                </w:tcPr>
                <w:p w14:paraId="668B6840">
                  <w:pPr>
                    <w:jc w:val="center"/>
                    <w:rPr>
                      <w:color w:val="auto"/>
                      <w:szCs w:val="21"/>
                    </w:rPr>
                  </w:pPr>
                  <w:r>
                    <w:rPr>
                      <w:color w:val="auto"/>
                      <w:szCs w:val="21"/>
                    </w:rPr>
                    <w:t>1次/半年</w:t>
                  </w:r>
                </w:p>
              </w:tc>
            </w:tr>
            <w:tr w14:paraId="18BFC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50" w:type="pct"/>
                  <w:tcBorders>
                    <w:tl2br w:val="nil"/>
                    <w:tr2bl w:val="nil"/>
                  </w:tcBorders>
                  <w:vAlign w:val="center"/>
                </w:tcPr>
                <w:p w14:paraId="67C18747">
                  <w:pPr>
                    <w:jc w:val="center"/>
                    <w:rPr>
                      <w:color w:val="auto"/>
                      <w:szCs w:val="21"/>
                    </w:rPr>
                  </w:pPr>
                  <w:r>
                    <w:rPr>
                      <w:color w:val="auto"/>
                      <w:szCs w:val="21"/>
                    </w:rPr>
                    <w:t>噪声</w:t>
                  </w:r>
                </w:p>
              </w:tc>
              <w:tc>
                <w:tcPr>
                  <w:tcW w:w="1968" w:type="pct"/>
                  <w:gridSpan w:val="2"/>
                  <w:tcBorders>
                    <w:tl2br w:val="nil"/>
                    <w:tr2bl w:val="nil"/>
                  </w:tcBorders>
                  <w:vAlign w:val="center"/>
                </w:tcPr>
                <w:p w14:paraId="0AAD9869">
                  <w:pPr>
                    <w:jc w:val="center"/>
                    <w:rPr>
                      <w:color w:val="auto"/>
                      <w:szCs w:val="21"/>
                    </w:rPr>
                  </w:pPr>
                  <w:r>
                    <w:rPr>
                      <w:color w:val="auto"/>
                      <w:szCs w:val="21"/>
                    </w:rPr>
                    <w:t>厂界</w:t>
                  </w:r>
                </w:p>
              </w:tc>
              <w:tc>
                <w:tcPr>
                  <w:tcW w:w="1701" w:type="pct"/>
                  <w:tcBorders>
                    <w:tl2br w:val="nil"/>
                    <w:tr2bl w:val="nil"/>
                  </w:tcBorders>
                  <w:vAlign w:val="center"/>
                </w:tcPr>
                <w:p w14:paraId="106F39B4">
                  <w:pPr>
                    <w:jc w:val="center"/>
                    <w:rPr>
                      <w:color w:val="auto"/>
                      <w:szCs w:val="21"/>
                    </w:rPr>
                  </w:pPr>
                  <w:r>
                    <w:rPr>
                      <w:color w:val="auto"/>
                      <w:szCs w:val="21"/>
                    </w:rPr>
                    <w:t>等效A声级</w:t>
                  </w:r>
                </w:p>
              </w:tc>
              <w:tc>
                <w:tcPr>
                  <w:tcW w:w="879" w:type="pct"/>
                  <w:tcBorders>
                    <w:tl2br w:val="nil"/>
                    <w:tr2bl w:val="nil"/>
                  </w:tcBorders>
                  <w:vAlign w:val="center"/>
                </w:tcPr>
                <w:p w14:paraId="12689CE2">
                  <w:pPr>
                    <w:jc w:val="center"/>
                    <w:rPr>
                      <w:rFonts w:hint="eastAsia" w:eastAsia="宋体"/>
                      <w:color w:val="auto"/>
                      <w:szCs w:val="21"/>
                      <w:lang w:eastAsia="zh-CN"/>
                    </w:rPr>
                  </w:pPr>
                  <w:r>
                    <w:rPr>
                      <w:color w:val="auto"/>
                      <w:szCs w:val="21"/>
                    </w:rPr>
                    <w:t>1次/</w:t>
                  </w:r>
                  <w:r>
                    <w:rPr>
                      <w:rFonts w:hint="eastAsia"/>
                      <w:color w:val="auto"/>
                      <w:szCs w:val="21"/>
                      <w:lang w:val="en-US" w:eastAsia="zh-CN"/>
                    </w:rPr>
                    <w:t>季度</w:t>
                  </w:r>
                </w:p>
              </w:tc>
            </w:tr>
          </w:tbl>
          <w:p w14:paraId="034F6DEB">
            <w:pPr>
              <w:pStyle w:val="68"/>
              <w:spacing w:before="120" w:beforeLines="50"/>
              <w:ind w:firstLine="460"/>
              <w:jc w:val="left"/>
              <w:rPr>
                <w:rFonts w:cs="Times New Roman"/>
                <w:bCs/>
                <w:color w:val="auto"/>
                <w:spacing w:val="-10"/>
              </w:rPr>
            </w:pPr>
          </w:p>
        </w:tc>
      </w:tr>
    </w:tbl>
    <w:p w14:paraId="618799DF">
      <w:pPr>
        <w:spacing w:line="360" w:lineRule="auto"/>
        <w:rPr>
          <w:b/>
          <w:color w:val="auto"/>
          <w:kern w:val="0"/>
          <w:sz w:val="28"/>
          <w:szCs w:val="28"/>
        </w:rPr>
        <w:sectPr>
          <w:pgSz w:w="11907" w:h="16840"/>
          <w:pgMar w:top="1440" w:right="1800" w:bottom="1440" w:left="1800" w:header="851" w:footer="851" w:gutter="0"/>
          <w:pgBorders>
            <w:top w:val="none" w:sz="0" w:space="0"/>
            <w:left w:val="none" w:sz="0" w:space="0"/>
            <w:bottom w:val="none" w:sz="0" w:space="0"/>
            <w:right w:val="none" w:sz="0" w:space="0"/>
          </w:pgBorders>
          <w:cols w:space="720" w:num="1"/>
          <w:docGrid w:linePitch="312" w:charSpace="0"/>
        </w:sectPr>
      </w:pPr>
    </w:p>
    <w:p w14:paraId="5328B168">
      <w:pPr>
        <w:pStyle w:val="27"/>
        <w:spacing w:after="120"/>
        <w:jc w:val="both"/>
        <w:outlineLvl w:val="0"/>
        <w:rPr>
          <w:rFonts w:eastAsiaTheme="minorEastAsia"/>
          <w:snapToGrid w:val="0"/>
          <w:color w:val="auto"/>
          <w:sz w:val="30"/>
          <w:szCs w:val="30"/>
        </w:rPr>
      </w:pPr>
      <w:r>
        <w:rPr>
          <w:rFonts w:eastAsiaTheme="minorEastAsia"/>
          <w:snapToGrid w:val="0"/>
          <w:color w:val="auto"/>
          <w:sz w:val="30"/>
          <w:szCs w:val="30"/>
        </w:rPr>
        <w:t>五、</w:t>
      </w:r>
      <w:bookmarkStart w:id="20" w:name="_Hlk54167917"/>
      <w:r>
        <w:rPr>
          <w:rFonts w:eastAsiaTheme="minorEastAsia"/>
          <w:snapToGrid w:val="0"/>
          <w:color w:val="auto"/>
          <w:sz w:val="30"/>
          <w:szCs w:val="30"/>
        </w:rPr>
        <w:t>环境保护措施监督检查清单</w:t>
      </w:r>
      <w:bookmarkEnd w:id="20"/>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1"/>
        <w:gridCol w:w="451"/>
        <w:gridCol w:w="1389"/>
        <w:gridCol w:w="1363"/>
        <w:gridCol w:w="2865"/>
        <w:gridCol w:w="2003"/>
      </w:tblGrid>
      <w:tr w14:paraId="7CAB6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8" w:type="pct"/>
            <w:gridSpan w:val="2"/>
            <w:tcBorders>
              <w:tl2br w:val="single" w:color="auto" w:sz="4" w:space="0"/>
            </w:tcBorders>
            <w:vAlign w:val="center"/>
          </w:tcPr>
          <w:p w14:paraId="7BB37E46">
            <w:pPr>
              <w:jc w:val="center"/>
              <w:rPr>
                <w:color w:val="auto"/>
                <w:sz w:val="24"/>
              </w:rPr>
            </w:pPr>
            <w:r>
              <w:rPr>
                <w:color w:val="auto"/>
                <w:sz w:val="24"/>
              </w:rPr>
              <w:t>内容</w:t>
            </w:r>
          </w:p>
          <w:p w14:paraId="5E447150">
            <w:pPr>
              <w:jc w:val="center"/>
              <w:rPr>
                <w:color w:val="auto"/>
                <w:sz w:val="24"/>
              </w:rPr>
            </w:pPr>
            <w:r>
              <w:rPr>
                <w:color w:val="auto"/>
                <w:sz w:val="24"/>
              </w:rPr>
              <w:t>要素</w:t>
            </w:r>
          </w:p>
        </w:tc>
        <w:tc>
          <w:tcPr>
            <w:tcW w:w="829" w:type="pct"/>
            <w:vAlign w:val="center"/>
          </w:tcPr>
          <w:p w14:paraId="176ED9AE">
            <w:pPr>
              <w:jc w:val="center"/>
              <w:rPr>
                <w:color w:val="auto"/>
                <w:sz w:val="24"/>
              </w:rPr>
            </w:pPr>
            <w:r>
              <w:rPr>
                <w:color w:val="auto"/>
                <w:sz w:val="24"/>
              </w:rPr>
              <w:t>排放口（编号、名称）/污染源</w:t>
            </w:r>
          </w:p>
        </w:tc>
        <w:tc>
          <w:tcPr>
            <w:tcW w:w="813" w:type="pct"/>
            <w:vAlign w:val="center"/>
          </w:tcPr>
          <w:p w14:paraId="0578B5AE">
            <w:pPr>
              <w:jc w:val="center"/>
              <w:rPr>
                <w:color w:val="auto"/>
                <w:sz w:val="24"/>
              </w:rPr>
            </w:pPr>
            <w:r>
              <w:rPr>
                <w:color w:val="auto"/>
                <w:sz w:val="24"/>
              </w:rPr>
              <w:t>污染物项目</w:t>
            </w:r>
          </w:p>
        </w:tc>
        <w:tc>
          <w:tcPr>
            <w:tcW w:w="1713" w:type="pct"/>
            <w:vAlign w:val="center"/>
          </w:tcPr>
          <w:p w14:paraId="7A956BFC">
            <w:pPr>
              <w:jc w:val="center"/>
              <w:rPr>
                <w:color w:val="auto"/>
                <w:sz w:val="24"/>
              </w:rPr>
            </w:pPr>
            <w:r>
              <w:rPr>
                <w:color w:val="auto"/>
                <w:sz w:val="24"/>
              </w:rPr>
              <w:t>环境保护措施</w:t>
            </w:r>
          </w:p>
        </w:tc>
        <w:tc>
          <w:tcPr>
            <w:tcW w:w="1195" w:type="pct"/>
            <w:vAlign w:val="center"/>
          </w:tcPr>
          <w:p w14:paraId="134F8BCA">
            <w:pPr>
              <w:jc w:val="center"/>
              <w:rPr>
                <w:color w:val="auto"/>
                <w:sz w:val="24"/>
              </w:rPr>
            </w:pPr>
            <w:r>
              <w:rPr>
                <w:color w:val="auto"/>
                <w:sz w:val="24"/>
              </w:rPr>
              <w:t>执行标准</w:t>
            </w:r>
          </w:p>
        </w:tc>
      </w:tr>
      <w:tr w14:paraId="1E731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8" w:type="pct"/>
            <w:gridSpan w:val="2"/>
            <w:vMerge w:val="restart"/>
            <w:vAlign w:val="center"/>
          </w:tcPr>
          <w:p w14:paraId="3C57B8E9">
            <w:pPr>
              <w:jc w:val="center"/>
              <w:rPr>
                <w:color w:val="auto"/>
                <w:sz w:val="24"/>
              </w:rPr>
            </w:pPr>
            <w:r>
              <w:rPr>
                <w:color w:val="auto"/>
                <w:sz w:val="24"/>
              </w:rPr>
              <w:t>大气环境</w:t>
            </w:r>
          </w:p>
        </w:tc>
        <w:tc>
          <w:tcPr>
            <w:tcW w:w="829" w:type="pct"/>
            <w:shd w:val="clear" w:color="auto" w:fill="auto"/>
            <w:vAlign w:val="center"/>
          </w:tcPr>
          <w:p w14:paraId="765ADCFB">
            <w:pPr>
              <w:jc w:val="center"/>
              <w:rPr>
                <w:rFonts w:hint="eastAsia" w:ascii="Times New Roman" w:hAnsi="Times New Roman" w:eastAsia="宋体" w:cs="Times New Roman"/>
                <w:color w:val="auto"/>
                <w:kern w:val="2"/>
                <w:sz w:val="24"/>
                <w:szCs w:val="24"/>
                <w:lang w:val="en-US" w:eastAsia="zh-CN" w:bidi="ar-SA"/>
              </w:rPr>
            </w:pPr>
            <w:r>
              <w:rPr>
                <w:color w:val="auto"/>
                <w:sz w:val="24"/>
              </w:rPr>
              <w:t>污水处理站</w:t>
            </w:r>
          </w:p>
        </w:tc>
        <w:tc>
          <w:tcPr>
            <w:tcW w:w="813" w:type="pct"/>
            <w:shd w:val="clear" w:color="auto" w:fill="auto"/>
            <w:vAlign w:val="center"/>
          </w:tcPr>
          <w:p w14:paraId="2BC128EB">
            <w:pPr>
              <w:jc w:val="center"/>
              <w:rPr>
                <w:rFonts w:hint="eastAsia" w:ascii="Times New Roman" w:hAnsi="Times New Roman" w:eastAsia="宋体" w:cs="Times New Roman"/>
                <w:color w:val="auto"/>
                <w:kern w:val="2"/>
                <w:sz w:val="24"/>
                <w:szCs w:val="24"/>
                <w:lang w:val="en-US" w:eastAsia="zh-CN" w:bidi="ar-SA"/>
              </w:rPr>
            </w:pPr>
            <w:r>
              <w:rPr>
                <w:color w:val="auto"/>
                <w:sz w:val="24"/>
              </w:rPr>
              <w:t>NH</w:t>
            </w:r>
            <w:r>
              <w:rPr>
                <w:color w:val="auto"/>
                <w:sz w:val="24"/>
                <w:vertAlign w:val="subscript"/>
              </w:rPr>
              <w:t>3</w:t>
            </w:r>
            <w:r>
              <w:rPr>
                <w:color w:val="auto"/>
                <w:sz w:val="24"/>
              </w:rPr>
              <w:t>、H</w:t>
            </w:r>
            <w:r>
              <w:rPr>
                <w:color w:val="auto"/>
                <w:sz w:val="24"/>
                <w:vertAlign w:val="subscript"/>
              </w:rPr>
              <w:t>2</w:t>
            </w:r>
            <w:r>
              <w:rPr>
                <w:color w:val="auto"/>
                <w:sz w:val="24"/>
              </w:rPr>
              <w:t>S、臭气浓度</w:t>
            </w:r>
          </w:p>
        </w:tc>
        <w:tc>
          <w:tcPr>
            <w:tcW w:w="1713" w:type="pct"/>
            <w:shd w:val="clear" w:color="auto" w:fill="auto"/>
            <w:vAlign w:val="center"/>
          </w:tcPr>
          <w:p w14:paraId="38AF5EB9">
            <w:pPr>
              <w:jc w:val="left"/>
              <w:rPr>
                <w:rFonts w:hint="eastAsia" w:ascii="Times New Roman" w:hAnsi="Times New Roman" w:eastAsia="宋体" w:cs="Times New Roman"/>
                <w:color w:val="auto"/>
                <w:kern w:val="2"/>
                <w:sz w:val="24"/>
                <w:szCs w:val="24"/>
                <w:lang w:val="en-US" w:eastAsia="zh-CN" w:bidi="ar-SA"/>
              </w:rPr>
            </w:pPr>
            <w:r>
              <w:rPr>
                <w:rFonts w:hint="eastAsia"/>
                <w:color w:val="auto"/>
                <w:sz w:val="24"/>
              </w:rPr>
              <w:t>污水处理单元除臭采取</w:t>
            </w:r>
            <w:r>
              <w:rPr>
                <w:rFonts w:hint="eastAsia"/>
                <w:color w:val="auto"/>
                <w:sz w:val="24"/>
                <w:lang w:val="en-US" w:eastAsia="zh-CN"/>
              </w:rPr>
              <w:t>活性炭吸附</w:t>
            </w:r>
            <w:r>
              <w:rPr>
                <w:rFonts w:hint="eastAsia"/>
                <w:color w:val="auto"/>
                <w:sz w:val="24"/>
              </w:rPr>
              <w:t>的措施</w:t>
            </w:r>
            <w:r>
              <w:rPr>
                <w:color w:val="auto"/>
                <w:sz w:val="24"/>
              </w:rPr>
              <w:t>，集中收集废气</w:t>
            </w:r>
            <w:r>
              <w:rPr>
                <w:rFonts w:hint="eastAsia"/>
                <w:color w:val="auto"/>
                <w:sz w:val="24"/>
                <w:lang w:val="en-US" w:eastAsia="zh-CN"/>
              </w:rPr>
              <w:t>由</w:t>
            </w:r>
            <w:r>
              <w:rPr>
                <w:color w:val="auto"/>
                <w:sz w:val="24"/>
              </w:rPr>
              <w:t>15m高排气筒排放（</w:t>
            </w:r>
            <w:r>
              <w:rPr>
                <w:rFonts w:hint="eastAsia"/>
                <w:color w:val="auto"/>
                <w:sz w:val="24"/>
                <w:lang w:val="en-US" w:eastAsia="zh-CN"/>
              </w:rPr>
              <w:t>DA001</w:t>
            </w:r>
            <w:r>
              <w:rPr>
                <w:color w:val="auto"/>
                <w:sz w:val="24"/>
              </w:rPr>
              <w:t>）</w:t>
            </w:r>
          </w:p>
        </w:tc>
        <w:tc>
          <w:tcPr>
            <w:tcW w:w="1195" w:type="pct"/>
            <w:shd w:val="clear" w:color="auto" w:fill="auto"/>
            <w:vAlign w:val="center"/>
          </w:tcPr>
          <w:p w14:paraId="164449A1">
            <w:pPr>
              <w:rPr>
                <w:rFonts w:hint="eastAsia" w:ascii="Times New Roman" w:hAnsi="Times New Roman" w:eastAsia="宋体" w:cs="Times New Roman"/>
                <w:color w:val="auto"/>
                <w:kern w:val="0"/>
                <w:sz w:val="24"/>
                <w:szCs w:val="24"/>
                <w:lang w:val="en-US" w:eastAsia="zh-CN" w:bidi="ar-SA"/>
              </w:rPr>
            </w:pPr>
            <w:r>
              <w:rPr>
                <w:rFonts w:hint="eastAsia"/>
                <w:color w:val="auto"/>
                <w:sz w:val="24"/>
                <w:szCs w:val="32"/>
              </w:rPr>
              <w:t>执行《恶臭污染物排放标准》（GB14554-93）表2标准限值</w:t>
            </w:r>
          </w:p>
        </w:tc>
      </w:tr>
      <w:tr w14:paraId="34F13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8" w:type="pct"/>
            <w:gridSpan w:val="2"/>
            <w:vMerge w:val="continue"/>
            <w:vAlign w:val="center"/>
          </w:tcPr>
          <w:p w14:paraId="54BDE333">
            <w:pPr>
              <w:jc w:val="center"/>
              <w:rPr>
                <w:color w:val="auto"/>
                <w:sz w:val="24"/>
              </w:rPr>
            </w:pPr>
          </w:p>
        </w:tc>
        <w:tc>
          <w:tcPr>
            <w:tcW w:w="829" w:type="pct"/>
            <w:vAlign w:val="center"/>
          </w:tcPr>
          <w:p w14:paraId="1043CBFA">
            <w:pPr>
              <w:jc w:val="center"/>
              <w:rPr>
                <w:rFonts w:hint="eastAsia" w:eastAsia="宋体"/>
                <w:color w:val="auto"/>
                <w:sz w:val="24"/>
                <w:lang w:eastAsia="zh-CN"/>
              </w:rPr>
            </w:pPr>
            <w:r>
              <w:rPr>
                <w:rFonts w:hint="eastAsia"/>
                <w:color w:val="auto"/>
                <w:sz w:val="24"/>
                <w:lang w:val="en-US" w:eastAsia="zh-CN"/>
              </w:rPr>
              <w:t>生产车间</w:t>
            </w:r>
          </w:p>
        </w:tc>
        <w:tc>
          <w:tcPr>
            <w:tcW w:w="813" w:type="pct"/>
            <w:vAlign w:val="center"/>
          </w:tcPr>
          <w:p w14:paraId="1AA0B4FC">
            <w:pPr>
              <w:jc w:val="center"/>
              <w:rPr>
                <w:rFonts w:hint="default" w:eastAsia="宋体"/>
                <w:color w:val="auto"/>
                <w:sz w:val="24"/>
                <w:lang w:val="en-US" w:eastAsia="zh-CN"/>
              </w:rPr>
            </w:pPr>
            <w:r>
              <w:rPr>
                <w:rFonts w:hint="eastAsia"/>
                <w:color w:val="auto"/>
                <w:sz w:val="24"/>
                <w:lang w:val="en-US" w:eastAsia="zh-CN"/>
              </w:rPr>
              <w:t>油烟</w:t>
            </w:r>
          </w:p>
        </w:tc>
        <w:tc>
          <w:tcPr>
            <w:tcW w:w="1713" w:type="pct"/>
            <w:vAlign w:val="center"/>
          </w:tcPr>
          <w:p w14:paraId="717CA912">
            <w:pPr>
              <w:jc w:val="both"/>
              <w:rPr>
                <w:color w:val="auto"/>
                <w:sz w:val="24"/>
              </w:rPr>
            </w:pPr>
            <w:r>
              <w:rPr>
                <w:rFonts w:hint="eastAsia"/>
                <w:color w:val="auto"/>
                <w:sz w:val="24"/>
                <w:lang w:val="en-US" w:eastAsia="zh-CN"/>
              </w:rPr>
              <w:t>车间设置排烟系统，并设置集气罩收集，生产过程产生的异味通过车间排烟系统收集后，通过静电式油烟净化器处理后（处理效率为</w:t>
            </w:r>
            <w:r>
              <w:rPr>
                <w:rFonts w:hint="default"/>
                <w:color w:val="auto"/>
                <w:sz w:val="24"/>
                <w:lang w:val="en-US" w:eastAsia="zh-CN"/>
              </w:rPr>
              <w:t>90%</w:t>
            </w:r>
            <w:r>
              <w:rPr>
                <w:rFonts w:hint="eastAsia"/>
                <w:color w:val="auto"/>
                <w:sz w:val="24"/>
                <w:lang w:val="en-US" w:eastAsia="zh-CN"/>
              </w:rPr>
              <w:t>），经屋顶排气筒排放</w:t>
            </w:r>
          </w:p>
        </w:tc>
        <w:tc>
          <w:tcPr>
            <w:tcW w:w="1195" w:type="pct"/>
            <w:vAlign w:val="center"/>
          </w:tcPr>
          <w:p w14:paraId="2189F296">
            <w:pPr>
              <w:keepNext w:val="0"/>
              <w:keepLines w:val="0"/>
              <w:pageBreakBefore w:val="0"/>
              <w:widowControl w:val="0"/>
              <w:kinsoku/>
              <w:wordWrap w:val="0"/>
              <w:overflowPunct/>
              <w:topLinePunct/>
              <w:autoSpaceDE/>
              <w:autoSpaceDN/>
              <w:bidi w:val="0"/>
              <w:adjustRightInd w:val="0"/>
              <w:snapToGrid w:val="0"/>
              <w:textAlignment w:val="auto"/>
              <w:rPr>
                <w:color w:val="auto"/>
                <w:sz w:val="24"/>
              </w:rPr>
            </w:pPr>
            <w:r>
              <w:rPr>
                <w:rFonts w:hint="eastAsia"/>
                <w:color w:val="auto"/>
                <w:sz w:val="24"/>
                <w:lang w:val="en-US" w:eastAsia="zh-CN"/>
              </w:rPr>
              <w:t>执行《饮食业油烟排放标准（试行）》（GB18483-2001）中表2标准</w:t>
            </w:r>
          </w:p>
        </w:tc>
      </w:tr>
      <w:tr w14:paraId="2514E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 w:hRule="atLeast"/>
          <w:jc w:val="center"/>
        </w:trPr>
        <w:tc>
          <w:tcPr>
            <w:tcW w:w="448" w:type="pct"/>
            <w:gridSpan w:val="2"/>
            <w:vMerge w:val="restart"/>
            <w:vAlign w:val="center"/>
          </w:tcPr>
          <w:p w14:paraId="4C679CDA">
            <w:pPr>
              <w:jc w:val="center"/>
              <w:rPr>
                <w:color w:val="auto"/>
                <w:sz w:val="24"/>
              </w:rPr>
            </w:pPr>
            <w:r>
              <w:rPr>
                <w:color w:val="auto"/>
                <w:sz w:val="24"/>
              </w:rPr>
              <w:t>地表水环境</w:t>
            </w:r>
          </w:p>
        </w:tc>
        <w:tc>
          <w:tcPr>
            <w:tcW w:w="829" w:type="pct"/>
            <w:vAlign w:val="center"/>
          </w:tcPr>
          <w:p w14:paraId="2A9BBA81">
            <w:pPr>
              <w:jc w:val="center"/>
              <w:rPr>
                <w:rFonts w:hint="eastAsia" w:eastAsia="宋体"/>
                <w:color w:val="auto"/>
                <w:sz w:val="24"/>
                <w:lang w:eastAsia="zh-CN"/>
              </w:rPr>
            </w:pPr>
            <w:r>
              <w:rPr>
                <w:rFonts w:hint="eastAsia"/>
                <w:color w:val="auto"/>
                <w:sz w:val="24"/>
                <w:lang w:val="en-US" w:eastAsia="zh-CN"/>
              </w:rPr>
              <w:t>生活废水</w:t>
            </w:r>
          </w:p>
        </w:tc>
        <w:tc>
          <w:tcPr>
            <w:tcW w:w="813" w:type="pct"/>
            <w:vAlign w:val="center"/>
          </w:tcPr>
          <w:p w14:paraId="4A0A04A9">
            <w:pPr>
              <w:jc w:val="center"/>
              <w:rPr>
                <w:rFonts w:hint="eastAsia" w:ascii="Times New Roman" w:hAnsi="Times New Roman" w:eastAsia="宋体" w:cs="Times New Roman"/>
                <w:color w:val="auto"/>
                <w:sz w:val="24"/>
              </w:rPr>
            </w:pPr>
            <w:r>
              <w:rPr>
                <w:rFonts w:hint="eastAsia"/>
                <w:color w:val="auto"/>
                <w:sz w:val="24"/>
                <w:lang w:val="en-US" w:eastAsia="zh-CN"/>
              </w:rPr>
              <w:t>p</w:t>
            </w:r>
            <w:r>
              <w:rPr>
                <w:rFonts w:hint="eastAsia"/>
                <w:color w:val="auto"/>
                <w:sz w:val="24"/>
              </w:rPr>
              <w:t>H值</w:t>
            </w:r>
            <w:r>
              <w:rPr>
                <w:rFonts w:hint="eastAsia"/>
                <w:color w:val="auto"/>
                <w:sz w:val="24"/>
                <w:lang w:eastAsia="zh-CN"/>
              </w:rPr>
              <w:t>、</w:t>
            </w:r>
            <w:r>
              <w:rPr>
                <w:rFonts w:hint="eastAsia"/>
                <w:color w:val="auto"/>
                <w:sz w:val="24"/>
              </w:rPr>
              <w:t>悬浮物</w:t>
            </w:r>
            <w:r>
              <w:rPr>
                <w:rFonts w:hint="eastAsia"/>
                <w:color w:val="auto"/>
                <w:sz w:val="24"/>
                <w:lang w:eastAsia="zh-CN"/>
              </w:rPr>
              <w:t>、</w:t>
            </w:r>
            <w:r>
              <w:rPr>
                <w:rFonts w:hint="eastAsia"/>
                <w:color w:val="auto"/>
                <w:sz w:val="24"/>
              </w:rPr>
              <w:t>化学需氧量</w:t>
            </w:r>
            <w:r>
              <w:rPr>
                <w:rFonts w:hint="eastAsia"/>
                <w:color w:val="auto"/>
                <w:sz w:val="24"/>
                <w:lang w:eastAsia="zh-CN"/>
              </w:rPr>
              <w:t>、</w:t>
            </w:r>
            <w:r>
              <w:rPr>
                <w:rFonts w:hint="eastAsia"/>
                <w:color w:val="auto"/>
                <w:sz w:val="24"/>
              </w:rPr>
              <w:t>五日生化需氧量</w:t>
            </w:r>
            <w:r>
              <w:rPr>
                <w:rFonts w:hint="eastAsia"/>
                <w:color w:val="auto"/>
                <w:sz w:val="24"/>
                <w:lang w:eastAsia="zh-CN"/>
              </w:rPr>
              <w:t>、</w:t>
            </w:r>
            <w:r>
              <w:rPr>
                <w:rFonts w:hint="eastAsia"/>
                <w:color w:val="auto"/>
                <w:sz w:val="24"/>
              </w:rPr>
              <w:t>氨氮</w:t>
            </w:r>
            <w:r>
              <w:rPr>
                <w:rFonts w:hint="eastAsia"/>
                <w:color w:val="auto"/>
                <w:sz w:val="24"/>
                <w:lang w:eastAsia="zh-CN"/>
              </w:rPr>
              <w:t>、</w:t>
            </w:r>
            <w:r>
              <w:rPr>
                <w:rFonts w:hint="eastAsia"/>
                <w:color w:val="auto"/>
                <w:sz w:val="24"/>
              </w:rPr>
              <w:t>动植物油</w:t>
            </w:r>
          </w:p>
        </w:tc>
        <w:tc>
          <w:tcPr>
            <w:tcW w:w="1713" w:type="pct"/>
            <w:vAlign w:val="center"/>
          </w:tcPr>
          <w:p w14:paraId="312A87FF">
            <w:pPr>
              <w:rPr>
                <w:color w:val="auto"/>
                <w:sz w:val="24"/>
              </w:rPr>
            </w:pPr>
            <w:r>
              <w:rPr>
                <w:rFonts w:hint="eastAsia"/>
                <w:color w:val="auto"/>
                <w:sz w:val="24"/>
                <w:lang w:eastAsia="zh-CN"/>
              </w:rPr>
              <w:t>生</w:t>
            </w:r>
            <w:r>
              <w:rPr>
                <w:rFonts w:hint="eastAsia"/>
                <w:color w:val="auto"/>
                <w:sz w:val="24"/>
                <w:lang w:val="en-US" w:eastAsia="zh-CN"/>
              </w:rPr>
              <w:t>活</w:t>
            </w:r>
            <w:r>
              <w:rPr>
                <w:rFonts w:hint="eastAsia"/>
                <w:color w:val="auto"/>
                <w:sz w:val="24"/>
                <w:lang w:eastAsia="zh-CN"/>
              </w:rPr>
              <w:t>废水：经防渗化粪池沉淀、腐化处理后，</w:t>
            </w:r>
            <w:r>
              <w:rPr>
                <w:rFonts w:hint="eastAsia"/>
                <w:color w:val="auto"/>
                <w:sz w:val="24"/>
                <w:lang w:val="en-US" w:eastAsia="zh-CN"/>
              </w:rPr>
              <w:t>排</w:t>
            </w:r>
            <w:r>
              <w:rPr>
                <w:rFonts w:hint="eastAsia"/>
                <w:color w:val="auto"/>
                <w:sz w:val="24"/>
                <w:lang w:eastAsia="zh-CN"/>
              </w:rPr>
              <w:t>入</w:t>
            </w:r>
            <w:r>
              <w:rPr>
                <w:rFonts w:hint="eastAsia"/>
                <w:bCs/>
                <w:color w:val="auto"/>
                <w:sz w:val="24"/>
                <w:lang w:val="en-US" w:eastAsia="zh-CN"/>
              </w:rPr>
              <w:t>市政</w:t>
            </w:r>
            <w:r>
              <w:rPr>
                <w:rFonts w:hint="eastAsia"/>
                <w:color w:val="auto"/>
                <w:sz w:val="24"/>
                <w:lang w:eastAsia="zh-CN"/>
              </w:rPr>
              <w:t>污水管网</w:t>
            </w:r>
          </w:p>
        </w:tc>
        <w:tc>
          <w:tcPr>
            <w:tcW w:w="1195" w:type="pct"/>
            <w:vAlign w:val="center"/>
          </w:tcPr>
          <w:p w14:paraId="0753F429">
            <w:pPr>
              <w:keepNext w:val="0"/>
              <w:keepLines w:val="0"/>
              <w:pageBreakBefore w:val="0"/>
              <w:widowControl w:val="0"/>
              <w:kinsoku/>
              <w:wordWrap w:val="0"/>
              <w:overflowPunct/>
              <w:topLinePunct/>
              <w:autoSpaceDE/>
              <w:autoSpaceDN/>
              <w:bidi w:val="0"/>
              <w:adjustRightInd w:val="0"/>
              <w:snapToGrid w:val="0"/>
              <w:textAlignment w:val="auto"/>
              <w:rPr>
                <w:color w:val="auto"/>
                <w:sz w:val="24"/>
              </w:rPr>
            </w:pPr>
            <w:r>
              <w:rPr>
                <w:rFonts w:hint="eastAsia"/>
                <w:bCs/>
                <w:color w:val="auto"/>
                <w:sz w:val="24"/>
                <w:szCs w:val="24"/>
                <w:lang w:val="en-US" w:eastAsia="zh-CN"/>
              </w:rPr>
              <w:t>《污水综合排放标准》（GB8978-1996）三级标准</w:t>
            </w:r>
          </w:p>
        </w:tc>
      </w:tr>
      <w:tr w14:paraId="46389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 w:hRule="atLeast"/>
          <w:jc w:val="center"/>
        </w:trPr>
        <w:tc>
          <w:tcPr>
            <w:tcW w:w="448" w:type="pct"/>
            <w:gridSpan w:val="2"/>
            <w:vMerge w:val="continue"/>
            <w:vAlign w:val="center"/>
          </w:tcPr>
          <w:p w14:paraId="3FCE7B5A">
            <w:pPr>
              <w:rPr>
                <w:color w:val="auto"/>
              </w:rPr>
            </w:pPr>
          </w:p>
        </w:tc>
        <w:tc>
          <w:tcPr>
            <w:tcW w:w="829" w:type="pct"/>
            <w:vAlign w:val="center"/>
          </w:tcPr>
          <w:p w14:paraId="1387A6B5">
            <w:pPr>
              <w:jc w:val="center"/>
              <w:rPr>
                <w:rFonts w:hint="eastAsia" w:eastAsia="宋体"/>
                <w:color w:val="auto"/>
                <w:sz w:val="24"/>
                <w:lang w:val="en-US" w:eastAsia="zh-CN"/>
              </w:rPr>
            </w:pPr>
            <w:r>
              <w:rPr>
                <w:rFonts w:hint="eastAsia"/>
                <w:color w:val="auto"/>
                <w:sz w:val="24"/>
                <w:lang w:val="en-US" w:eastAsia="zh-CN"/>
              </w:rPr>
              <w:t>生产废水</w:t>
            </w:r>
          </w:p>
        </w:tc>
        <w:tc>
          <w:tcPr>
            <w:tcW w:w="813" w:type="pct"/>
            <w:vAlign w:val="center"/>
          </w:tcPr>
          <w:p w14:paraId="2821A1B7">
            <w:pPr>
              <w:jc w:val="center"/>
              <w:rPr>
                <w:rFonts w:hint="eastAsia"/>
                <w:color w:val="auto"/>
                <w:sz w:val="24"/>
              </w:rPr>
            </w:pPr>
            <w:r>
              <w:rPr>
                <w:rFonts w:hint="eastAsia"/>
                <w:color w:val="auto"/>
                <w:sz w:val="24"/>
                <w:lang w:val="en-US" w:eastAsia="zh-CN"/>
              </w:rPr>
              <w:t>p</w:t>
            </w:r>
            <w:r>
              <w:rPr>
                <w:rFonts w:hint="eastAsia"/>
                <w:color w:val="auto"/>
                <w:sz w:val="24"/>
              </w:rPr>
              <w:t>H值</w:t>
            </w:r>
            <w:r>
              <w:rPr>
                <w:rFonts w:hint="eastAsia"/>
                <w:color w:val="auto"/>
                <w:sz w:val="24"/>
                <w:lang w:eastAsia="zh-CN"/>
              </w:rPr>
              <w:t>、</w:t>
            </w:r>
            <w:r>
              <w:rPr>
                <w:rFonts w:hint="eastAsia"/>
                <w:color w:val="auto"/>
                <w:sz w:val="24"/>
              </w:rPr>
              <w:t>悬浮物</w:t>
            </w:r>
            <w:r>
              <w:rPr>
                <w:rFonts w:hint="eastAsia"/>
                <w:color w:val="auto"/>
                <w:sz w:val="24"/>
                <w:lang w:eastAsia="zh-CN"/>
              </w:rPr>
              <w:t>、</w:t>
            </w:r>
            <w:r>
              <w:rPr>
                <w:rFonts w:hint="eastAsia"/>
                <w:color w:val="auto"/>
                <w:sz w:val="24"/>
              </w:rPr>
              <w:t>化学需氧量</w:t>
            </w:r>
            <w:r>
              <w:rPr>
                <w:rFonts w:hint="eastAsia"/>
                <w:color w:val="auto"/>
                <w:sz w:val="24"/>
                <w:lang w:eastAsia="zh-CN"/>
              </w:rPr>
              <w:t>、</w:t>
            </w:r>
            <w:r>
              <w:rPr>
                <w:rFonts w:hint="eastAsia"/>
                <w:color w:val="auto"/>
                <w:sz w:val="24"/>
              </w:rPr>
              <w:t>五日生化需氧量</w:t>
            </w:r>
            <w:r>
              <w:rPr>
                <w:rFonts w:hint="eastAsia"/>
                <w:color w:val="auto"/>
                <w:sz w:val="24"/>
                <w:lang w:eastAsia="zh-CN"/>
              </w:rPr>
              <w:t>、</w:t>
            </w:r>
            <w:r>
              <w:rPr>
                <w:rFonts w:hint="eastAsia"/>
                <w:color w:val="auto"/>
                <w:sz w:val="24"/>
              </w:rPr>
              <w:t>氨氮</w:t>
            </w:r>
            <w:r>
              <w:rPr>
                <w:rFonts w:hint="eastAsia"/>
                <w:color w:val="auto"/>
                <w:sz w:val="24"/>
                <w:lang w:eastAsia="zh-CN"/>
              </w:rPr>
              <w:t>、</w:t>
            </w:r>
            <w:r>
              <w:rPr>
                <w:rFonts w:hint="eastAsia"/>
                <w:color w:val="auto"/>
                <w:sz w:val="24"/>
              </w:rPr>
              <w:t>动植物油</w:t>
            </w:r>
            <w:r>
              <w:rPr>
                <w:rFonts w:hint="eastAsia"/>
                <w:color w:val="auto"/>
                <w:sz w:val="24"/>
                <w:lang w:eastAsia="zh-CN"/>
              </w:rPr>
              <w:t>、</w:t>
            </w:r>
            <w:r>
              <w:rPr>
                <w:rFonts w:hint="eastAsia"/>
                <w:color w:val="auto"/>
                <w:sz w:val="24"/>
              </w:rPr>
              <w:t>大肠菌群数</w:t>
            </w:r>
          </w:p>
        </w:tc>
        <w:tc>
          <w:tcPr>
            <w:tcW w:w="1713" w:type="pct"/>
            <w:vAlign w:val="center"/>
          </w:tcPr>
          <w:p w14:paraId="068CC678">
            <w:pPr>
              <w:rPr>
                <w:rFonts w:hint="eastAsia"/>
                <w:color w:val="auto"/>
                <w:sz w:val="24"/>
                <w:lang w:eastAsia="zh-CN"/>
              </w:rPr>
            </w:pPr>
            <w:r>
              <w:rPr>
                <w:color w:val="auto"/>
                <w:sz w:val="24"/>
                <w:lang w:eastAsia="zh-CN"/>
              </w:rPr>
              <w:t>生产废水主要为</w:t>
            </w:r>
            <w:r>
              <w:rPr>
                <w:rFonts w:hint="eastAsia"/>
                <w:color w:val="auto"/>
                <w:sz w:val="24"/>
                <w:lang w:val="en-US" w:eastAsia="zh-CN"/>
              </w:rPr>
              <w:t>清洗、分割、搅拌、蒸煮、沥水甩干、滚揉腌制过程产生</w:t>
            </w:r>
            <w:r>
              <w:rPr>
                <w:rFonts w:hint="eastAsia"/>
                <w:color w:val="auto"/>
                <w:sz w:val="24"/>
                <w:lang w:eastAsia="zh-CN"/>
              </w:rPr>
              <w:t>，生产废水</w:t>
            </w:r>
            <w:r>
              <w:rPr>
                <w:rFonts w:hint="eastAsia"/>
                <w:color w:val="auto"/>
                <w:sz w:val="24"/>
                <w:lang w:val="en-US" w:eastAsia="zh-CN"/>
              </w:rPr>
              <w:t>经过</w:t>
            </w:r>
            <w:r>
              <w:rPr>
                <w:rFonts w:hint="eastAsia"/>
                <w:color w:val="auto"/>
                <w:sz w:val="24"/>
                <w:lang w:eastAsia="zh-CN"/>
              </w:rPr>
              <w:t>厂区内污水处理站</w:t>
            </w:r>
            <w:r>
              <w:rPr>
                <w:rFonts w:hint="eastAsia"/>
                <w:color w:val="auto"/>
                <w:sz w:val="24"/>
                <w:lang w:val="en-US" w:eastAsia="zh-CN"/>
              </w:rPr>
              <w:t>处理后</w:t>
            </w:r>
            <w:r>
              <w:rPr>
                <w:rFonts w:hint="eastAsia"/>
                <w:color w:val="auto"/>
                <w:sz w:val="24"/>
                <w:lang w:eastAsia="zh-CN"/>
              </w:rPr>
              <w:t>，</w:t>
            </w:r>
            <w:r>
              <w:rPr>
                <w:rFonts w:hint="eastAsia"/>
                <w:color w:val="auto"/>
                <w:sz w:val="24"/>
                <w:lang w:val="en-US" w:eastAsia="zh-CN"/>
              </w:rPr>
              <w:t>排</w:t>
            </w:r>
            <w:r>
              <w:rPr>
                <w:rFonts w:hint="eastAsia"/>
                <w:color w:val="auto"/>
                <w:sz w:val="24"/>
                <w:lang w:eastAsia="zh-CN"/>
              </w:rPr>
              <w:t>入</w:t>
            </w:r>
            <w:r>
              <w:rPr>
                <w:rFonts w:hint="eastAsia"/>
                <w:bCs/>
                <w:color w:val="auto"/>
                <w:sz w:val="24"/>
                <w:lang w:val="en-US" w:eastAsia="zh-CN"/>
              </w:rPr>
              <w:t>市政</w:t>
            </w:r>
            <w:r>
              <w:rPr>
                <w:rFonts w:hint="eastAsia"/>
                <w:color w:val="auto"/>
                <w:sz w:val="24"/>
                <w:lang w:eastAsia="zh-CN"/>
              </w:rPr>
              <w:t>污水管网</w:t>
            </w:r>
          </w:p>
        </w:tc>
        <w:tc>
          <w:tcPr>
            <w:tcW w:w="1195" w:type="pct"/>
            <w:vAlign w:val="center"/>
          </w:tcPr>
          <w:p w14:paraId="025FE8B9">
            <w:pPr>
              <w:rPr>
                <w:rFonts w:hint="eastAsia"/>
                <w:color w:val="auto"/>
                <w:sz w:val="24"/>
                <w:lang w:eastAsia="zh-CN"/>
              </w:rPr>
            </w:pPr>
            <w:r>
              <w:rPr>
                <w:rFonts w:hint="eastAsia"/>
                <w:color w:val="auto"/>
                <w:sz w:val="24"/>
              </w:rPr>
              <w:t>达到《肉类加工工业水污染物排放标准》（GB13457-92）三级标准</w:t>
            </w:r>
          </w:p>
        </w:tc>
      </w:tr>
      <w:tr w14:paraId="76B4A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8" w:type="pct"/>
            <w:gridSpan w:val="2"/>
            <w:vAlign w:val="center"/>
          </w:tcPr>
          <w:p w14:paraId="253E469B">
            <w:pPr>
              <w:jc w:val="center"/>
              <w:rPr>
                <w:color w:val="auto"/>
                <w:sz w:val="24"/>
              </w:rPr>
            </w:pPr>
            <w:r>
              <w:rPr>
                <w:color w:val="auto"/>
                <w:sz w:val="24"/>
              </w:rPr>
              <w:t>声环境</w:t>
            </w:r>
          </w:p>
        </w:tc>
        <w:tc>
          <w:tcPr>
            <w:tcW w:w="829" w:type="pct"/>
            <w:vAlign w:val="center"/>
          </w:tcPr>
          <w:p w14:paraId="2ECC102B">
            <w:pPr>
              <w:jc w:val="center"/>
              <w:rPr>
                <w:color w:val="auto"/>
                <w:sz w:val="24"/>
              </w:rPr>
            </w:pPr>
            <w:r>
              <w:rPr>
                <w:bCs/>
                <w:color w:val="auto"/>
                <w:sz w:val="24"/>
              </w:rPr>
              <w:t>主要来自</w:t>
            </w:r>
            <w:r>
              <w:rPr>
                <w:rFonts w:hint="eastAsia"/>
                <w:bCs/>
                <w:color w:val="auto"/>
                <w:sz w:val="24"/>
                <w:lang w:val="en-US" w:eastAsia="zh-CN"/>
              </w:rPr>
              <w:t>生产</w:t>
            </w:r>
            <w:r>
              <w:rPr>
                <w:bCs/>
                <w:color w:val="auto"/>
                <w:sz w:val="24"/>
              </w:rPr>
              <w:t>设备运行时产生的噪声</w:t>
            </w:r>
          </w:p>
        </w:tc>
        <w:tc>
          <w:tcPr>
            <w:tcW w:w="813" w:type="pct"/>
            <w:vAlign w:val="center"/>
          </w:tcPr>
          <w:p w14:paraId="4A880C1E">
            <w:pPr>
              <w:pStyle w:val="78"/>
              <w:autoSpaceDE/>
              <w:autoSpaceDN/>
              <w:rPr>
                <w:color w:val="auto"/>
                <w:spacing w:val="4"/>
                <w:sz w:val="24"/>
                <w:szCs w:val="24"/>
              </w:rPr>
            </w:pPr>
            <w:r>
              <w:rPr>
                <w:color w:val="auto"/>
                <w:spacing w:val="4"/>
                <w:sz w:val="24"/>
                <w:szCs w:val="24"/>
              </w:rPr>
              <w:t>工业企业噪声</w:t>
            </w:r>
          </w:p>
        </w:tc>
        <w:tc>
          <w:tcPr>
            <w:tcW w:w="1713" w:type="pct"/>
            <w:vAlign w:val="center"/>
          </w:tcPr>
          <w:p w14:paraId="22C74D5F">
            <w:pPr>
              <w:pStyle w:val="78"/>
              <w:autoSpaceDE/>
              <w:autoSpaceDN/>
              <w:rPr>
                <w:color w:val="auto"/>
                <w:spacing w:val="4"/>
                <w:sz w:val="24"/>
                <w:szCs w:val="24"/>
              </w:rPr>
            </w:pPr>
            <w:r>
              <w:rPr>
                <w:rFonts w:hint="eastAsia"/>
                <w:color w:val="auto"/>
                <w:spacing w:val="4"/>
                <w:sz w:val="24"/>
                <w:szCs w:val="24"/>
                <w:lang w:val="en-US" w:eastAsia="zh-CN"/>
              </w:rPr>
              <w:t>厂房隔声、</w:t>
            </w:r>
            <w:r>
              <w:rPr>
                <w:rFonts w:hint="eastAsia"/>
                <w:color w:val="auto"/>
                <w:spacing w:val="4"/>
                <w:sz w:val="24"/>
                <w:szCs w:val="24"/>
              </w:rPr>
              <w:t>低噪声设备隔音、降噪</w:t>
            </w:r>
          </w:p>
        </w:tc>
        <w:tc>
          <w:tcPr>
            <w:tcW w:w="1195" w:type="pct"/>
            <w:vAlign w:val="center"/>
          </w:tcPr>
          <w:p w14:paraId="1C7BB452">
            <w:pPr>
              <w:pStyle w:val="78"/>
              <w:autoSpaceDE/>
              <w:autoSpaceDN/>
              <w:rPr>
                <w:rFonts w:eastAsiaTheme="minorEastAsia"/>
                <w:color w:val="auto"/>
                <w:sz w:val="24"/>
                <w:szCs w:val="24"/>
              </w:rPr>
            </w:pPr>
            <w:r>
              <w:rPr>
                <w:snapToGrid w:val="0"/>
                <w:color w:val="auto"/>
                <w:sz w:val="24"/>
                <w:szCs w:val="24"/>
              </w:rPr>
              <w:t>《工业企业厂界环境噪声排放标准》（GB12348-2008）</w:t>
            </w:r>
            <w:r>
              <w:rPr>
                <w:rFonts w:hint="eastAsia"/>
                <w:snapToGrid w:val="0"/>
                <w:color w:val="auto"/>
                <w:sz w:val="24"/>
                <w:szCs w:val="24"/>
              </w:rPr>
              <w:t>3</w:t>
            </w:r>
            <w:r>
              <w:rPr>
                <w:snapToGrid w:val="0"/>
                <w:color w:val="auto"/>
                <w:sz w:val="24"/>
                <w:szCs w:val="24"/>
              </w:rPr>
              <w:t>类标准</w:t>
            </w:r>
          </w:p>
        </w:tc>
      </w:tr>
      <w:tr w14:paraId="44269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67" w:type="pct"/>
            <w:vMerge w:val="restart"/>
            <w:vAlign w:val="center"/>
          </w:tcPr>
          <w:p w14:paraId="12E26295">
            <w:pPr>
              <w:jc w:val="center"/>
              <w:rPr>
                <w:color w:val="auto"/>
                <w:sz w:val="24"/>
              </w:rPr>
            </w:pPr>
            <w:r>
              <w:rPr>
                <w:color w:val="auto"/>
                <w:sz w:val="24"/>
              </w:rPr>
              <w:t>固体废物</w:t>
            </w:r>
          </w:p>
        </w:tc>
        <w:tc>
          <w:tcPr>
            <w:tcW w:w="181" w:type="pct"/>
            <w:vMerge w:val="restart"/>
            <w:vAlign w:val="center"/>
          </w:tcPr>
          <w:p w14:paraId="59726730">
            <w:pPr>
              <w:jc w:val="center"/>
              <w:rPr>
                <w:rFonts w:hint="eastAsia" w:eastAsia="宋体"/>
                <w:color w:val="auto"/>
                <w:sz w:val="24"/>
                <w:lang w:val="en-US" w:eastAsia="zh-CN"/>
              </w:rPr>
            </w:pPr>
            <w:r>
              <w:rPr>
                <w:rFonts w:hint="eastAsia"/>
                <w:color w:val="auto"/>
                <w:sz w:val="24"/>
                <w:lang w:val="en-US" w:eastAsia="zh-CN"/>
              </w:rPr>
              <w:t>一般固体废物</w:t>
            </w:r>
          </w:p>
        </w:tc>
        <w:tc>
          <w:tcPr>
            <w:tcW w:w="829" w:type="pct"/>
            <w:vAlign w:val="center"/>
          </w:tcPr>
          <w:p w14:paraId="10B63415">
            <w:pPr>
              <w:jc w:val="center"/>
              <w:rPr>
                <w:color w:val="auto"/>
                <w:kern w:val="0"/>
                <w:sz w:val="24"/>
              </w:rPr>
            </w:pPr>
            <w:r>
              <w:rPr>
                <w:color w:val="auto"/>
                <w:sz w:val="24"/>
              </w:rPr>
              <w:t>生活垃圾</w:t>
            </w:r>
          </w:p>
        </w:tc>
        <w:tc>
          <w:tcPr>
            <w:tcW w:w="3722" w:type="pct"/>
            <w:gridSpan w:val="3"/>
            <w:vAlign w:val="center"/>
          </w:tcPr>
          <w:p w14:paraId="532B7BEC">
            <w:pPr>
              <w:widowControl/>
              <w:jc w:val="left"/>
              <w:rPr>
                <w:color w:val="auto"/>
                <w:sz w:val="24"/>
              </w:rPr>
            </w:pPr>
            <w:r>
              <w:rPr>
                <w:rStyle w:val="37"/>
                <w:color w:val="auto"/>
                <w:kern w:val="0"/>
                <w:sz w:val="24"/>
              </w:rPr>
              <w:t>项目设有垃圾收集箱，生活垃圾统一收集后由环卫部门清运</w:t>
            </w:r>
            <w:r>
              <w:rPr>
                <w:rStyle w:val="37"/>
                <w:rFonts w:hint="eastAsia"/>
                <w:color w:val="auto"/>
                <w:kern w:val="0"/>
                <w:sz w:val="24"/>
              </w:rPr>
              <w:t>。</w:t>
            </w:r>
          </w:p>
        </w:tc>
      </w:tr>
      <w:tr w14:paraId="2E177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67" w:type="pct"/>
            <w:vMerge w:val="continue"/>
            <w:vAlign w:val="center"/>
          </w:tcPr>
          <w:p w14:paraId="5501CD22">
            <w:pPr>
              <w:jc w:val="left"/>
              <w:rPr>
                <w:color w:val="auto"/>
                <w:sz w:val="24"/>
              </w:rPr>
            </w:pPr>
          </w:p>
        </w:tc>
        <w:tc>
          <w:tcPr>
            <w:tcW w:w="181" w:type="pct"/>
            <w:vMerge w:val="continue"/>
            <w:vAlign w:val="center"/>
          </w:tcPr>
          <w:p w14:paraId="7F3B4B83">
            <w:pPr>
              <w:jc w:val="left"/>
              <w:rPr>
                <w:color w:val="auto"/>
                <w:sz w:val="24"/>
              </w:rPr>
            </w:pPr>
          </w:p>
        </w:tc>
        <w:tc>
          <w:tcPr>
            <w:tcW w:w="829" w:type="pct"/>
            <w:vAlign w:val="center"/>
          </w:tcPr>
          <w:p w14:paraId="3B0809AB">
            <w:pPr>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eastAsia" w:eastAsia="宋体"/>
                <w:color w:val="auto"/>
                <w:sz w:val="24"/>
                <w:szCs w:val="24"/>
                <w:lang w:eastAsia="zh-CN"/>
              </w:rPr>
            </w:pPr>
            <w:r>
              <w:rPr>
                <w:rFonts w:hint="eastAsia"/>
                <w:bCs/>
                <w:color w:val="auto"/>
                <w:sz w:val="24"/>
                <w:szCs w:val="24"/>
                <w:lang w:val="en-US" w:eastAsia="zh-CN"/>
              </w:rPr>
              <w:t>废包装材料</w:t>
            </w:r>
          </w:p>
        </w:tc>
        <w:tc>
          <w:tcPr>
            <w:tcW w:w="3722" w:type="pct"/>
            <w:gridSpan w:val="3"/>
            <w:vAlign w:val="center"/>
          </w:tcPr>
          <w:p w14:paraId="4D141C64">
            <w:pPr>
              <w:jc w:val="left"/>
              <w:rPr>
                <w:color w:val="auto"/>
                <w:sz w:val="24"/>
              </w:rPr>
            </w:pPr>
            <w:r>
              <w:rPr>
                <w:rFonts w:hint="eastAsia"/>
                <w:color w:val="auto"/>
                <w:sz w:val="24"/>
                <w:szCs w:val="32"/>
                <w:lang w:val="en-US" w:eastAsia="zh-CN"/>
              </w:rPr>
              <w:t>统一收集后由环卫部门清运</w:t>
            </w:r>
          </w:p>
        </w:tc>
      </w:tr>
      <w:tr w14:paraId="410D1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67" w:type="pct"/>
            <w:vMerge w:val="continue"/>
            <w:vAlign w:val="center"/>
          </w:tcPr>
          <w:p w14:paraId="1C652E48">
            <w:pPr>
              <w:jc w:val="left"/>
              <w:rPr>
                <w:color w:val="auto"/>
                <w:sz w:val="24"/>
              </w:rPr>
            </w:pPr>
          </w:p>
        </w:tc>
        <w:tc>
          <w:tcPr>
            <w:tcW w:w="181" w:type="pct"/>
            <w:vMerge w:val="continue"/>
            <w:vAlign w:val="center"/>
          </w:tcPr>
          <w:p w14:paraId="27D3A92D">
            <w:pPr>
              <w:jc w:val="left"/>
              <w:rPr>
                <w:color w:val="auto"/>
                <w:sz w:val="24"/>
              </w:rPr>
            </w:pPr>
          </w:p>
        </w:tc>
        <w:tc>
          <w:tcPr>
            <w:tcW w:w="829" w:type="pct"/>
            <w:vAlign w:val="center"/>
          </w:tcPr>
          <w:p w14:paraId="6CCCBE5B">
            <w:pPr>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eastAsia" w:eastAsia="宋体"/>
                <w:color w:val="auto"/>
                <w:sz w:val="24"/>
                <w:szCs w:val="24"/>
                <w:lang w:eastAsia="zh-CN"/>
              </w:rPr>
            </w:pPr>
            <w:r>
              <w:rPr>
                <w:rFonts w:hint="eastAsia"/>
                <w:color w:val="auto"/>
                <w:sz w:val="24"/>
                <w:szCs w:val="24"/>
                <w:lang w:val="en-US" w:eastAsia="zh-CN"/>
              </w:rPr>
              <w:t>污水处理站污泥</w:t>
            </w:r>
          </w:p>
        </w:tc>
        <w:tc>
          <w:tcPr>
            <w:tcW w:w="3722" w:type="pct"/>
            <w:gridSpan w:val="3"/>
            <w:vAlign w:val="center"/>
          </w:tcPr>
          <w:p w14:paraId="35059F13">
            <w:pPr>
              <w:widowControl/>
              <w:jc w:val="left"/>
              <w:rPr>
                <w:rFonts w:hint="eastAsia" w:eastAsia="宋体"/>
                <w:color w:val="auto"/>
                <w:sz w:val="24"/>
                <w:lang w:eastAsia="zh-CN"/>
              </w:rPr>
            </w:pPr>
            <w:r>
              <w:rPr>
                <w:rFonts w:hint="eastAsia"/>
                <w:color w:val="auto"/>
                <w:sz w:val="24"/>
                <w:szCs w:val="22"/>
              </w:rPr>
              <w:t>污泥经压滤机压滤收集后</w:t>
            </w:r>
            <w:r>
              <w:rPr>
                <w:rFonts w:hint="eastAsia"/>
                <w:color w:val="auto"/>
                <w:sz w:val="24"/>
                <w:szCs w:val="22"/>
                <w:lang w:eastAsia="zh-CN"/>
              </w:rPr>
              <w:t>送至有机肥生产企业堆肥场堆肥或镶黄旗生活垃圾焚烧场进行合理化处理</w:t>
            </w:r>
          </w:p>
        </w:tc>
      </w:tr>
      <w:tr w14:paraId="7B732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67" w:type="pct"/>
            <w:vMerge w:val="continue"/>
            <w:vAlign w:val="center"/>
          </w:tcPr>
          <w:p w14:paraId="64A25A24">
            <w:pPr>
              <w:jc w:val="left"/>
              <w:rPr>
                <w:color w:val="auto"/>
                <w:sz w:val="24"/>
              </w:rPr>
            </w:pPr>
          </w:p>
        </w:tc>
        <w:tc>
          <w:tcPr>
            <w:tcW w:w="181" w:type="pct"/>
            <w:vMerge w:val="continue"/>
            <w:vAlign w:val="center"/>
          </w:tcPr>
          <w:p w14:paraId="76769B00">
            <w:pPr>
              <w:jc w:val="left"/>
              <w:rPr>
                <w:color w:val="auto"/>
                <w:sz w:val="24"/>
              </w:rPr>
            </w:pPr>
          </w:p>
        </w:tc>
        <w:tc>
          <w:tcPr>
            <w:tcW w:w="829" w:type="pct"/>
            <w:vAlign w:val="center"/>
          </w:tcPr>
          <w:p w14:paraId="6EF53FC6">
            <w:pPr>
              <w:jc w:val="center"/>
              <w:rPr>
                <w:color w:val="auto"/>
                <w:sz w:val="24"/>
              </w:rPr>
            </w:pPr>
            <w:r>
              <w:rPr>
                <w:rFonts w:hint="eastAsia"/>
                <w:bCs/>
                <w:color w:val="auto"/>
                <w:sz w:val="24"/>
                <w:szCs w:val="32"/>
                <w:lang w:val="en-US" w:eastAsia="zh-CN"/>
              </w:rPr>
              <w:t>肉渣</w:t>
            </w:r>
          </w:p>
        </w:tc>
        <w:tc>
          <w:tcPr>
            <w:tcW w:w="3722" w:type="pct"/>
            <w:gridSpan w:val="3"/>
            <w:vAlign w:val="center"/>
          </w:tcPr>
          <w:p w14:paraId="4FB872CE">
            <w:pPr>
              <w:jc w:val="left"/>
              <w:rPr>
                <w:color w:val="auto"/>
                <w:sz w:val="24"/>
              </w:rPr>
            </w:pPr>
            <w:r>
              <w:rPr>
                <w:rFonts w:hint="default"/>
                <w:bCs/>
                <w:color w:val="auto"/>
                <w:sz w:val="24"/>
                <w:szCs w:val="40"/>
                <w:highlight w:val="none"/>
                <w:lang w:val="en-US" w:eastAsia="zh-CN"/>
              </w:rPr>
              <w:t>集中收集后</w:t>
            </w:r>
            <w:r>
              <w:rPr>
                <w:rFonts w:hint="eastAsia"/>
                <w:bCs/>
                <w:color w:val="auto"/>
                <w:sz w:val="24"/>
                <w:szCs w:val="40"/>
                <w:highlight w:val="none"/>
                <w:lang w:val="en-US" w:eastAsia="zh-CN"/>
              </w:rPr>
              <w:t>送至有机肥生产企业堆肥场堆肥或镶黄旗生活垃圾焚烧场进行合理化处理</w:t>
            </w:r>
          </w:p>
        </w:tc>
      </w:tr>
      <w:tr w14:paraId="1751F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67" w:type="pct"/>
            <w:vMerge w:val="continue"/>
            <w:vAlign w:val="center"/>
          </w:tcPr>
          <w:p w14:paraId="13290FF3">
            <w:pPr>
              <w:jc w:val="left"/>
              <w:rPr>
                <w:color w:val="auto"/>
                <w:sz w:val="24"/>
              </w:rPr>
            </w:pPr>
          </w:p>
        </w:tc>
        <w:tc>
          <w:tcPr>
            <w:tcW w:w="181" w:type="pct"/>
            <w:vMerge w:val="continue"/>
            <w:vAlign w:val="center"/>
          </w:tcPr>
          <w:p w14:paraId="3E0368EB">
            <w:pPr>
              <w:jc w:val="left"/>
              <w:rPr>
                <w:color w:val="auto"/>
                <w:sz w:val="24"/>
              </w:rPr>
            </w:pPr>
          </w:p>
        </w:tc>
        <w:tc>
          <w:tcPr>
            <w:tcW w:w="829" w:type="pct"/>
            <w:vAlign w:val="center"/>
          </w:tcPr>
          <w:p w14:paraId="0BDE16A1">
            <w:pPr>
              <w:jc w:val="center"/>
              <w:rPr>
                <w:color w:val="auto"/>
                <w:sz w:val="24"/>
              </w:rPr>
            </w:pPr>
            <w:r>
              <w:rPr>
                <w:rFonts w:hint="eastAsia"/>
                <w:bCs/>
                <w:color w:val="auto"/>
                <w:sz w:val="24"/>
                <w:szCs w:val="40"/>
                <w:lang w:val="en-US" w:eastAsia="zh-CN"/>
              </w:rPr>
              <w:t>不合格原料</w:t>
            </w:r>
          </w:p>
        </w:tc>
        <w:tc>
          <w:tcPr>
            <w:tcW w:w="3722" w:type="pct"/>
            <w:gridSpan w:val="3"/>
            <w:vAlign w:val="center"/>
          </w:tcPr>
          <w:p w14:paraId="2F2E775A">
            <w:pPr>
              <w:widowControl/>
              <w:jc w:val="left"/>
              <w:rPr>
                <w:color w:val="auto"/>
                <w:sz w:val="24"/>
              </w:rPr>
            </w:pPr>
            <w:r>
              <w:rPr>
                <w:rFonts w:hint="eastAsia"/>
                <w:bCs/>
                <w:color w:val="auto"/>
                <w:sz w:val="24"/>
                <w:szCs w:val="32"/>
                <w:lang w:val="en-US" w:eastAsia="zh-CN"/>
              </w:rPr>
              <w:t>收集后委托专门收集厨余垃圾部门清运</w:t>
            </w:r>
          </w:p>
        </w:tc>
      </w:tr>
      <w:tr w14:paraId="44C6B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67" w:type="pct"/>
            <w:vMerge w:val="continue"/>
            <w:vAlign w:val="center"/>
          </w:tcPr>
          <w:p w14:paraId="3C71D1F7">
            <w:pPr>
              <w:jc w:val="left"/>
              <w:rPr>
                <w:color w:val="auto"/>
                <w:sz w:val="24"/>
              </w:rPr>
            </w:pPr>
          </w:p>
        </w:tc>
        <w:tc>
          <w:tcPr>
            <w:tcW w:w="181" w:type="pct"/>
            <w:vMerge w:val="continue"/>
            <w:vAlign w:val="center"/>
          </w:tcPr>
          <w:p w14:paraId="6F841160">
            <w:pPr>
              <w:jc w:val="left"/>
              <w:rPr>
                <w:color w:val="auto"/>
                <w:sz w:val="24"/>
              </w:rPr>
            </w:pPr>
          </w:p>
        </w:tc>
        <w:tc>
          <w:tcPr>
            <w:tcW w:w="829" w:type="pct"/>
            <w:vAlign w:val="center"/>
          </w:tcPr>
          <w:p w14:paraId="547789D6">
            <w:pPr>
              <w:jc w:val="center"/>
              <w:rPr>
                <w:bCs/>
                <w:color w:val="auto"/>
                <w:sz w:val="24"/>
              </w:rPr>
            </w:pPr>
            <w:r>
              <w:rPr>
                <w:rFonts w:hint="eastAsia"/>
                <w:bCs/>
                <w:color w:val="auto"/>
                <w:sz w:val="24"/>
                <w:szCs w:val="40"/>
                <w:lang w:val="en-US" w:eastAsia="zh-CN"/>
              </w:rPr>
              <w:t>废油脂</w:t>
            </w:r>
          </w:p>
        </w:tc>
        <w:tc>
          <w:tcPr>
            <w:tcW w:w="3722" w:type="pct"/>
            <w:gridSpan w:val="3"/>
            <w:vAlign w:val="center"/>
          </w:tcPr>
          <w:p w14:paraId="397E114A">
            <w:pPr>
              <w:pStyle w:val="10"/>
              <w:rPr>
                <w:bCs/>
                <w:color w:val="auto"/>
                <w:sz w:val="24"/>
              </w:rPr>
            </w:pPr>
            <w:r>
              <w:rPr>
                <w:rFonts w:hint="eastAsia"/>
                <w:bCs/>
                <w:color w:val="auto"/>
                <w:sz w:val="24"/>
                <w:szCs w:val="40"/>
                <w:lang w:val="en-US" w:eastAsia="zh-CN"/>
              </w:rPr>
              <w:t>收集后委托专门收集厨余垃圾部门清运</w:t>
            </w:r>
          </w:p>
        </w:tc>
      </w:tr>
      <w:tr w14:paraId="4D0C7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267" w:type="pct"/>
            <w:vMerge w:val="continue"/>
            <w:vAlign w:val="center"/>
          </w:tcPr>
          <w:p w14:paraId="1A537B62">
            <w:pPr>
              <w:jc w:val="left"/>
              <w:rPr>
                <w:color w:val="auto"/>
                <w:sz w:val="24"/>
              </w:rPr>
            </w:pPr>
          </w:p>
        </w:tc>
        <w:tc>
          <w:tcPr>
            <w:tcW w:w="181" w:type="pct"/>
            <w:vMerge w:val="continue"/>
            <w:vAlign w:val="center"/>
          </w:tcPr>
          <w:p w14:paraId="723125D1">
            <w:pPr>
              <w:jc w:val="left"/>
              <w:rPr>
                <w:color w:val="auto"/>
                <w:sz w:val="24"/>
              </w:rPr>
            </w:pPr>
          </w:p>
        </w:tc>
        <w:tc>
          <w:tcPr>
            <w:tcW w:w="829" w:type="pct"/>
            <w:vAlign w:val="center"/>
          </w:tcPr>
          <w:p w14:paraId="4D7C3388">
            <w:pPr>
              <w:jc w:val="center"/>
              <w:rPr>
                <w:bCs/>
                <w:color w:val="auto"/>
                <w:sz w:val="24"/>
              </w:rPr>
            </w:pPr>
            <w:r>
              <w:rPr>
                <w:rFonts w:hint="eastAsia"/>
                <w:color w:val="auto"/>
                <w:kern w:val="2"/>
                <w:sz w:val="24"/>
                <w:szCs w:val="24"/>
                <w:lang w:val="en-US" w:eastAsia="zh-CN"/>
              </w:rPr>
              <w:t>格栅垃圾</w:t>
            </w:r>
          </w:p>
        </w:tc>
        <w:tc>
          <w:tcPr>
            <w:tcW w:w="3722" w:type="pct"/>
            <w:gridSpan w:val="3"/>
            <w:vAlign w:val="center"/>
          </w:tcPr>
          <w:p w14:paraId="2AFEEAE3">
            <w:pPr>
              <w:jc w:val="left"/>
              <w:rPr>
                <w:rFonts w:hint="eastAsia" w:eastAsia="宋体"/>
                <w:bCs/>
                <w:color w:val="auto"/>
                <w:sz w:val="24"/>
                <w:lang w:eastAsia="zh-CN"/>
              </w:rPr>
            </w:pPr>
            <w:r>
              <w:rPr>
                <w:rFonts w:hint="eastAsia"/>
                <w:color w:val="auto"/>
                <w:sz w:val="24"/>
                <w:szCs w:val="22"/>
                <w:lang w:eastAsia="zh-CN"/>
              </w:rPr>
              <w:t>送至有机肥生产企业堆肥场堆肥或镶黄旗生活垃圾焚烧场进行合理化处理</w:t>
            </w:r>
          </w:p>
        </w:tc>
      </w:tr>
      <w:tr w14:paraId="1E52E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267" w:type="pct"/>
            <w:vMerge w:val="continue"/>
            <w:vAlign w:val="center"/>
          </w:tcPr>
          <w:p w14:paraId="41778DED">
            <w:pPr>
              <w:jc w:val="left"/>
              <w:rPr>
                <w:color w:val="auto"/>
                <w:sz w:val="24"/>
              </w:rPr>
            </w:pPr>
          </w:p>
        </w:tc>
        <w:tc>
          <w:tcPr>
            <w:tcW w:w="181" w:type="pct"/>
            <w:vMerge w:val="continue"/>
            <w:vAlign w:val="center"/>
          </w:tcPr>
          <w:p w14:paraId="4921A9D2">
            <w:pPr>
              <w:jc w:val="left"/>
              <w:rPr>
                <w:color w:val="auto"/>
                <w:sz w:val="24"/>
              </w:rPr>
            </w:pPr>
          </w:p>
        </w:tc>
        <w:tc>
          <w:tcPr>
            <w:tcW w:w="829" w:type="pct"/>
            <w:vAlign w:val="center"/>
          </w:tcPr>
          <w:p w14:paraId="0C90C04B">
            <w:pPr>
              <w:jc w:val="center"/>
              <w:rPr>
                <w:rFonts w:hint="eastAsia"/>
                <w:color w:val="auto"/>
                <w:kern w:val="2"/>
                <w:sz w:val="24"/>
                <w:szCs w:val="24"/>
                <w:lang w:val="en-US" w:eastAsia="zh-CN"/>
              </w:rPr>
            </w:pPr>
            <w:r>
              <w:rPr>
                <w:rFonts w:hint="eastAsia"/>
                <w:color w:val="auto"/>
                <w:kern w:val="2"/>
                <w:sz w:val="24"/>
                <w:szCs w:val="24"/>
                <w:lang w:val="en-US" w:eastAsia="zh-CN"/>
              </w:rPr>
              <w:t>废反渗透膜</w:t>
            </w:r>
          </w:p>
        </w:tc>
        <w:tc>
          <w:tcPr>
            <w:tcW w:w="3722" w:type="pct"/>
            <w:gridSpan w:val="3"/>
            <w:vAlign w:val="center"/>
          </w:tcPr>
          <w:p w14:paraId="37F20490">
            <w:pPr>
              <w:jc w:val="center"/>
              <w:rPr>
                <w:rFonts w:hint="eastAsia"/>
                <w:color w:val="auto"/>
                <w:kern w:val="2"/>
                <w:sz w:val="24"/>
                <w:szCs w:val="24"/>
                <w:lang w:val="en-US" w:eastAsia="zh-CN"/>
              </w:rPr>
            </w:pPr>
            <w:r>
              <w:rPr>
                <w:rFonts w:hint="eastAsia"/>
                <w:color w:val="auto"/>
                <w:kern w:val="2"/>
                <w:sz w:val="24"/>
                <w:szCs w:val="24"/>
                <w:lang w:val="en-US" w:eastAsia="zh-CN"/>
              </w:rPr>
              <w:t>项目产生的废反渗透膜直接由厂家进行更换，不在厂内储存</w:t>
            </w:r>
          </w:p>
        </w:tc>
      </w:tr>
      <w:tr w14:paraId="1EDDF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267" w:type="pct"/>
            <w:vMerge w:val="continue"/>
            <w:vAlign w:val="center"/>
          </w:tcPr>
          <w:p w14:paraId="264CEE39">
            <w:pPr>
              <w:jc w:val="left"/>
              <w:rPr>
                <w:color w:val="auto"/>
                <w:sz w:val="24"/>
              </w:rPr>
            </w:pPr>
          </w:p>
        </w:tc>
        <w:tc>
          <w:tcPr>
            <w:tcW w:w="181" w:type="pct"/>
            <w:vAlign w:val="center"/>
          </w:tcPr>
          <w:p w14:paraId="10FF16ED">
            <w:pPr>
              <w:jc w:val="left"/>
              <w:rPr>
                <w:rFonts w:hint="eastAsia" w:eastAsia="宋体"/>
                <w:color w:val="auto"/>
                <w:sz w:val="24"/>
                <w:lang w:val="en-US" w:eastAsia="zh-CN"/>
              </w:rPr>
            </w:pPr>
            <w:r>
              <w:rPr>
                <w:rFonts w:hint="eastAsia"/>
                <w:color w:val="auto"/>
                <w:sz w:val="24"/>
                <w:lang w:val="en-US" w:eastAsia="zh-CN"/>
              </w:rPr>
              <w:t>危险废物</w:t>
            </w:r>
          </w:p>
        </w:tc>
        <w:tc>
          <w:tcPr>
            <w:tcW w:w="829" w:type="pct"/>
            <w:vAlign w:val="center"/>
          </w:tcPr>
          <w:p w14:paraId="7A5D3FC2">
            <w:pPr>
              <w:jc w:val="center"/>
              <w:rPr>
                <w:rFonts w:hint="eastAsia"/>
                <w:color w:val="auto"/>
                <w:kern w:val="2"/>
                <w:sz w:val="24"/>
                <w:szCs w:val="24"/>
                <w:lang w:val="en-US" w:eastAsia="zh-CN"/>
              </w:rPr>
            </w:pPr>
            <w:r>
              <w:rPr>
                <w:rFonts w:hint="eastAsia"/>
                <w:color w:val="auto"/>
                <w:kern w:val="2"/>
                <w:sz w:val="24"/>
                <w:szCs w:val="24"/>
                <w:lang w:val="en-US" w:eastAsia="zh-CN"/>
              </w:rPr>
              <w:t>废活性炭</w:t>
            </w:r>
          </w:p>
        </w:tc>
        <w:tc>
          <w:tcPr>
            <w:tcW w:w="3722" w:type="pct"/>
            <w:gridSpan w:val="3"/>
            <w:vAlign w:val="center"/>
          </w:tcPr>
          <w:p w14:paraId="0E555D14">
            <w:pPr>
              <w:jc w:val="center"/>
              <w:rPr>
                <w:rFonts w:hint="eastAsia"/>
                <w:color w:val="auto"/>
                <w:kern w:val="2"/>
                <w:sz w:val="24"/>
                <w:szCs w:val="24"/>
                <w:lang w:val="en-US" w:eastAsia="zh-CN"/>
              </w:rPr>
            </w:pPr>
            <w:r>
              <w:rPr>
                <w:rFonts w:hint="eastAsia"/>
                <w:color w:val="auto"/>
                <w:kern w:val="2"/>
                <w:sz w:val="24"/>
                <w:szCs w:val="24"/>
                <w:lang w:val="en-US" w:eastAsia="zh-CN"/>
              </w:rPr>
              <w:t>废活性炭由厂家定期进行更换，不在厂内储存</w:t>
            </w:r>
          </w:p>
        </w:tc>
      </w:tr>
      <w:tr w14:paraId="4FEEE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jc w:val="center"/>
        </w:trPr>
        <w:tc>
          <w:tcPr>
            <w:tcW w:w="448" w:type="pct"/>
            <w:gridSpan w:val="2"/>
            <w:vAlign w:val="center"/>
          </w:tcPr>
          <w:p w14:paraId="3D8AA8EE">
            <w:pPr>
              <w:jc w:val="center"/>
              <w:rPr>
                <w:bCs/>
                <w:color w:val="auto"/>
                <w:sz w:val="24"/>
              </w:rPr>
            </w:pPr>
            <w:r>
              <w:rPr>
                <w:rFonts w:hint="eastAsia"/>
                <w:bCs/>
                <w:color w:val="auto"/>
                <w:sz w:val="24"/>
              </w:rPr>
              <w:t>土壤及地下水污染防治措施</w:t>
            </w:r>
          </w:p>
        </w:tc>
        <w:tc>
          <w:tcPr>
            <w:tcW w:w="4551" w:type="pct"/>
            <w:gridSpan w:val="4"/>
            <w:vAlign w:val="center"/>
          </w:tcPr>
          <w:p w14:paraId="6BB01983">
            <w:pPr>
              <w:spacing w:line="240" w:lineRule="auto"/>
              <w:ind w:firstLine="480" w:firstLineChars="200"/>
              <w:jc w:val="left"/>
              <w:rPr>
                <w:rFonts w:hint="eastAsia"/>
                <w:bCs/>
                <w:color w:val="auto"/>
                <w:sz w:val="24"/>
              </w:rPr>
            </w:pPr>
            <w:r>
              <w:rPr>
                <w:rFonts w:hint="eastAsia"/>
                <w:bCs/>
                <w:color w:val="auto"/>
                <w:sz w:val="24"/>
              </w:rPr>
              <w:t>本项目针对污染特点设置地下水、土壤的简单防渗区</w:t>
            </w:r>
            <w:r>
              <w:rPr>
                <w:rFonts w:hint="eastAsia"/>
                <w:bCs/>
                <w:color w:val="auto"/>
                <w:sz w:val="24"/>
                <w:lang w:val="en-US" w:eastAsia="zh-CN"/>
              </w:rPr>
              <w:t>和</w:t>
            </w:r>
            <w:r>
              <w:rPr>
                <w:rFonts w:hint="eastAsia"/>
                <w:bCs/>
                <w:color w:val="auto"/>
                <w:sz w:val="24"/>
              </w:rPr>
              <w:t>一般防渗区。</w:t>
            </w:r>
          </w:p>
          <w:p w14:paraId="517F0D91">
            <w:pPr>
              <w:spacing w:line="240" w:lineRule="auto"/>
              <w:ind w:firstLine="480" w:firstLineChars="200"/>
              <w:jc w:val="left"/>
              <w:rPr>
                <w:rFonts w:hint="eastAsia"/>
                <w:bCs/>
                <w:color w:val="auto"/>
                <w:sz w:val="24"/>
              </w:rPr>
            </w:pPr>
            <w:r>
              <w:rPr>
                <w:rFonts w:hint="eastAsia"/>
                <w:bCs/>
                <w:color w:val="auto"/>
                <w:sz w:val="24"/>
              </w:rPr>
              <w:t>本项目办公区为简单防渗区，采取一般地面硬化即可。</w:t>
            </w:r>
          </w:p>
          <w:p w14:paraId="74A22A0C">
            <w:pPr>
              <w:spacing w:line="240" w:lineRule="auto"/>
              <w:ind w:firstLine="480" w:firstLineChars="200"/>
              <w:jc w:val="left"/>
              <w:rPr>
                <w:bCs/>
                <w:color w:val="auto"/>
                <w:sz w:val="24"/>
              </w:rPr>
            </w:pPr>
            <w:r>
              <w:rPr>
                <w:rFonts w:hint="eastAsia"/>
                <w:bCs/>
                <w:color w:val="auto"/>
                <w:sz w:val="24"/>
              </w:rPr>
              <w:t>厂区生产车间、污水处理站、化粪池、一般固废暂存间等为一般防渗区；一般防渗区地面等效黏土防渗层 Mb≥1.5m，K≤1.0×10</w:t>
            </w:r>
            <w:r>
              <w:rPr>
                <w:rFonts w:hint="eastAsia"/>
                <w:bCs/>
                <w:color w:val="auto"/>
                <w:sz w:val="24"/>
                <w:vertAlign w:val="superscript"/>
              </w:rPr>
              <w:t>-7</w:t>
            </w:r>
            <w:r>
              <w:rPr>
                <w:rFonts w:hint="eastAsia"/>
                <w:bCs/>
                <w:color w:val="auto"/>
                <w:sz w:val="24"/>
              </w:rPr>
              <w:t>cm/s进行建设，确保不污染地下水</w:t>
            </w:r>
            <w:r>
              <w:rPr>
                <w:rFonts w:hint="eastAsia"/>
                <w:bCs/>
                <w:color w:val="auto"/>
                <w:sz w:val="24"/>
                <w:lang w:eastAsia="zh-CN"/>
              </w:rPr>
              <w:t>。</w:t>
            </w:r>
          </w:p>
        </w:tc>
      </w:tr>
      <w:tr w14:paraId="16A90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8" w:type="pct"/>
            <w:gridSpan w:val="2"/>
            <w:vAlign w:val="center"/>
          </w:tcPr>
          <w:p w14:paraId="151DFF49">
            <w:pPr>
              <w:jc w:val="left"/>
              <w:rPr>
                <w:bCs/>
                <w:color w:val="auto"/>
                <w:kern w:val="44"/>
                <w:sz w:val="24"/>
              </w:rPr>
            </w:pPr>
            <w:r>
              <w:rPr>
                <w:bCs/>
                <w:color w:val="auto"/>
                <w:kern w:val="44"/>
                <w:sz w:val="24"/>
              </w:rPr>
              <w:t>生态保护措施</w:t>
            </w:r>
          </w:p>
        </w:tc>
        <w:tc>
          <w:tcPr>
            <w:tcW w:w="4551" w:type="pct"/>
            <w:gridSpan w:val="4"/>
            <w:vAlign w:val="center"/>
          </w:tcPr>
          <w:p w14:paraId="64A80AFE">
            <w:pPr>
              <w:spacing w:line="240" w:lineRule="auto"/>
              <w:ind w:firstLine="480" w:firstLineChars="200"/>
              <w:jc w:val="left"/>
              <w:rPr>
                <w:bCs/>
                <w:color w:val="auto"/>
                <w:kern w:val="44"/>
                <w:sz w:val="24"/>
              </w:rPr>
            </w:pPr>
            <w:r>
              <w:rPr>
                <w:rFonts w:hint="eastAsia"/>
                <w:bCs/>
                <w:color w:val="auto"/>
                <w:kern w:val="44"/>
                <w:sz w:val="24"/>
              </w:rPr>
              <w:t>项目运营期各类环境影响因素得到有效控制，该项目的建设对区域生态环境不会产生不利影响。</w:t>
            </w:r>
          </w:p>
        </w:tc>
      </w:tr>
      <w:tr w14:paraId="68612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8" w:type="pct"/>
            <w:gridSpan w:val="2"/>
            <w:vAlign w:val="center"/>
          </w:tcPr>
          <w:p w14:paraId="52C83423">
            <w:pPr>
              <w:jc w:val="left"/>
              <w:rPr>
                <w:bCs/>
                <w:color w:val="auto"/>
                <w:kern w:val="44"/>
                <w:sz w:val="24"/>
              </w:rPr>
            </w:pPr>
            <w:r>
              <w:rPr>
                <w:bCs/>
                <w:color w:val="auto"/>
                <w:kern w:val="44"/>
                <w:sz w:val="24"/>
              </w:rPr>
              <w:t>环境风险防范措施</w:t>
            </w:r>
          </w:p>
        </w:tc>
        <w:tc>
          <w:tcPr>
            <w:tcW w:w="4551" w:type="pct"/>
            <w:gridSpan w:val="4"/>
            <w:vAlign w:val="center"/>
          </w:tcPr>
          <w:p w14:paraId="2F5F9489">
            <w:pPr>
              <w:pStyle w:val="169"/>
              <w:spacing w:line="240" w:lineRule="auto"/>
              <w:ind w:firstLine="480" w:firstLineChars="200"/>
              <w:jc w:val="both"/>
              <w:rPr>
                <w:color w:val="auto"/>
                <w:sz w:val="24"/>
                <w:szCs w:val="24"/>
              </w:rPr>
            </w:pPr>
            <w:r>
              <w:rPr>
                <w:color w:val="auto"/>
                <w:sz w:val="24"/>
                <w:szCs w:val="24"/>
              </w:rPr>
              <w:t>1</w:t>
            </w:r>
            <w:r>
              <w:rPr>
                <w:rFonts w:hint="eastAsia"/>
                <w:color w:val="auto"/>
                <w:sz w:val="24"/>
                <w:szCs w:val="24"/>
              </w:rPr>
              <w:t>、</w:t>
            </w:r>
            <w:r>
              <w:rPr>
                <w:color w:val="auto"/>
                <w:sz w:val="24"/>
                <w:szCs w:val="24"/>
              </w:rPr>
              <w:t>大气环境风险防范措施</w:t>
            </w:r>
          </w:p>
          <w:p w14:paraId="32AFFA4E">
            <w:pPr>
              <w:pStyle w:val="169"/>
              <w:keepNext w:val="0"/>
              <w:keepLines w:val="0"/>
              <w:pageBreakBefore w:val="0"/>
              <w:widowControl w:val="0"/>
              <w:kinsoku/>
              <w:wordWrap/>
              <w:overflowPunct/>
              <w:topLinePunct w:val="0"/>
              <w:autoSpaceDE/>
              <w:autoSpaceDN/>
              <w:bidi w:val="0"/>
              <w:adjustRightInd w:val="0"/>
              <w:snapToGrid w:val="0"/>
              <w:spacing w:line="240" w:lineRule="auto"/>
              <w:ind w:firstLine="480" w:firstLineChars="200"/>
              <w:jc w:val="both"/>
              <w:textAlignment w:val="auto"/>
              <w:rPr>
                <w:rFonts w:hint="eastAsia"/>
                <w:color w:val="auto"/>
                <w:sz w:val="24"/>
                <w:szCs w:val="24"/>
              </w:rPr>
            </w:pPr>
            <w:r>
              <w:rPr>
                <w:rFonts w:hint="eastAsia"/>
                <w:color w:val="auto"/>
                <w:sz w:val="24"/>
                <w:szCs w:val="24"/>
              </w:rPr>
              <w:t>污水处理单元除臭采取</w:t>
            </w:r>
            <w:r>
              <w:rPr>
                <w:rFonts w:hint="eastAsia"/>
                <w:color w:val="auto"/>
                <w:sz w:val="24"/>
                <w:szCs w:val="24"/>
                <w:lang w:val="en-US" w:eastAsia="zh-CN"/>
              </w:rPr>
              <w:t>活性炭吸附</w:t>
            </w:r>
            <w:r>
              <w:rPr>
                <w:rFonts w:hint="eastAsia"/>
                <w:color w:val="auto"/>
                <w:sz w:val="24"/>
                <w:szCs w:val="24"/>
              </w:rPr>
              <w:t>措施</w:t>
            </w:r>
            <w:r>
              <w:rPr>
                <w:rFonts w:hint="eastAsia"/>
                <w:color w:val="auto"/>
                <w:sz w:val="24"/>
                <w:szCs w:val="24"/>
                <w:lang w:eastAsia="zh-CN"/>
              </w:rPr>
              <w:t>；</w:t>
            </w:r>
            <w:r>
              <w:rPr>
                <w:color w:val="auto"/>
                <w:sz w:val="24"/>
                <w:szCs w:val="24"/>
              </w:rPr>
              <w:t>污水处理站密闭收集后经</w:t>
            </w:r>
            <w:r>
              <w:rPr>
                <w:rFonts w:hint="eastAsia"/>
                <w:color w:val="auto"/>
                <w:sz w:val="24"/>
                <w:szCs w:val="24"/>
                <w:lang w:val="en-US" w:eastAsia="zh-CN"/>
              </w:rPr>
              <w:t>物理</w:t>
            </w:r>
            <w:r>
              <w:rPr>
                <w:color w:val="auto"/>
                <w:sz w:val="24"/>
                <w:szCs w:val="24"/>
              </w:rPr>
              <w:t>除臭后</w:t>
            </w:r>
            <w:r>
              <w:rPr>
                <w:rFonts w:hint="eastAsia"/>
                <w:color w:val="auto"/>
                <w:sz w:val="24"/>
                <w:szCs w:val="24"/>
                <w:lang w:val="en-US" w:eastAsia="zh-CN"/>
              </w:rPr>
              <w:t>由</w:t>
            </w:r>
            <w:r>
              <w:rPr>
                <w:color w:val="auto"/>
                <w:sz w:val="24"/>
                <w:szCs w:val="24"/>
              </w:rPr>
              <w:t>15m高排气筒（</w:t>
            </w:r>
            <w:r>
              <w:rPr>
                <w:rFonts w:hint="eastAsia"/>
                <w:color w:val="auto"/>
                <w:sz w:val="24"/>
                <w:szCs w:val="24"/>
                <w:lang w:val="en-US" w:eastAsia="zh-CN"/>
              </w:rPr>
              <w:t>DA001</w:t>
            </w:r>
            <w:r>
              <w:rPr>
                <w:color w:val="auto"/>
                <w:sz w:val="24"/>
                <w:szCs w:val="24"/>
              </w:rPr>
              <w:t>）排放；</w:t>
            </w:r>
            <w:r>
              <w:rPr>
                <w:rFonts w:hint="eastAsia"/>
                <w:color w:val="auto"/>
                <w:sz w:val="24"/>
                <w:szCs w:val="24"/>
                <w:lang w:val="en-US" w:eastAsia="zh-CN"/>
              </w:rPr>
              <w:t>腌制废气、</w:t>
            </w:r>
            <w:r>
              <w:rPr>
                <w:rFonts w:hint="eastAsia"/>
                <w:color w:val="auto"/>
                <w:sz w:val="24"/>
                <w:szCs w:val="24"/>
              </w:rPr>
              <w:t>蒸煮废气、烘烤废气</w:t>
            </w:r>
            <w:r>
              <w:rPr>
                <w:rFonts w:hint="eastAsia"/>
                <w:color w:val="auto"/>
                <w:sz w:val="24"/>
                <w:szCs w:val="24"/>
                <w:lang w:val="en-US" w:eastAsia="zh-CN"/>
              </w:rPr>
              <w:t>集中收集后，经油烟净化装置处理后由屋顶排放DA002</w:t>
            </w:r>
            <w:r>
              <w:rPr>
                <w:rFonts w:hint="eastAsia"/>
                <w:color w:val="auto"/>
                <w:sz w:val="24"/>
                <w:szCs w:val="24"/>
              </w:rPr>
              <w:t>。</w:t>
            </w:r>
          </w:p>
          <w:p w14:paraId="1D4071FF">
            <w:pPr>
              <w:pStyle w:val="169"/>
              <w:keepNext w:val="0"/>
              <w:keepLines w:val="0"/>
              <w:pageBreakBefore w:val="0"/>
              <w:widowControl w:val="0"/>
              <w:kinsoku/>
              <w:wordWrap w:val="0"/>
              <w:overflowPunct/>
              <w:topLinePunct/>
              <w:autoSpaceDE/>
              <w:autoSpaceDN/>
              <w:bidi w:val="0"/>
              <w:adjustRightInd w:val="0"/>
              <w:snapToGrid w:val="0"/>
              <w:spacing w:line="240" w:lineRule="auto"/>
              <w:ind w:firstLine="480" w:firstLineChars="200"/>
              <w:jc w:val="both"/>
              <w:textAlignment w:val="auto"/>
              <w:rPr>
                <w:rFonts w:hint="eastAsia"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平时加强废气处理设施的维护保养，及时发现处理设备的隐患，并及时进行维修，确保废气处理系统正常运行</w:t>
            </w:r>
            <w:r>
              <w:rPr>
                <w:rFonts w:hint="eastAsia" w:ascii="Times New Roman" w:hAnsi="Times New Roman" w:eastAsia="宋体" w:cs="Times New Roman"/>
                <w:color w:val="auto"/>
                <w:sz w:val="24"/>
                <w:szCs w:val="24"/>
                <w:lang w:eastAsia="zh-CN"/>
              </w:rPr>
              <w:t>。</w:t>
            </w:r>
          </w:p>
          <w:p w14:paraId="0CAC3606">
            <w:pPr>
              <w:pStyle w:val="169"/>
              <w:keepNext w:val="0"/>
              <w:keepLines w:val="0"/>
              <w:pageBreakBefore w:val="0"/>
              <w:widowControl w:val="0"/>
              <w:kinsoku/>
              <w:wordWrap w:val="0"/>
              <w:overflowPunct/>
              <w:topLinePunct/>
              <w:autoSpaceDE/>
              <w:autoSpaceDN/>
              <w:bidi w:val="0"/>
              <w:adjustRightInd w:val="0"/>
              <w:snapToGrid w:val="0"/>
              <w:spacing w:line="240" w:lineRule="auto"/>
              <w:ind w:firstLine="480" w:firstLineChars="20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2、水环境风险防范措施</w:t>
            </w:r>
          </w:p>
          <w:p w14:paraId="4830F35D">
            <w:pPr>
              <w:pStyle w:val="169"/>
              <w:keepNext w:val="0"/>
              <w:keepLines w:val="0"/>
              <w:pageBreakBefore w:val="0"/>
              <w:widowControl w:val="0"/>
              <w:kinsoku/>
              <w:wordWrap w:val="0"/>
              <w:overflowPunct/>
              <w:topLinePunct/>
              <w:autoSpaceDE/>
              <w:autoSpaceDN/>
              <w:bidi w:val="0"/>
              <w:adjustRightInd w:val="0"/>
              <w:snapToGrid w:val="0"/>
              <w:spacing w:line="240" w:lineRule="auto"/>
              <w:ind w:firstLine="480" w:firstLineChars="20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8"/>
              </w:rPr>
              <w:t>生</w:t>
            </w:r>
            <w:r>
              <w:rPr>
                <w:rFonts w:hint="default" w:ascii="Times New Roman" w:hAnsi="Times New Roman" w:eastAsia="宋体" w:cs="Times New Roman"/>
                <w:color w:val="auto"/>
                <w:sz w:val="24"/>
                <w:szCs w:val="24"/>
              </w:rPr>
              <w:t>活污水：经防渗化粪池沉淀、腐化处理后，</w:t>
            </w:r>
            <w:r>
              <w:rPr>
                <w:rFonts w:hint="default" w:ascii="Times New Roman" w:hAnsi="Times New Roman" w:eastAsia="宋体" w:cs="Times New Roman"/>
                <w:color w:val="auto"/>
                <w:sz w:val="24"/>
                <w:szCs w:val="24"/>
                <w:lang w:val="en-US" w:eastAsia="zh-CN"/>
              </w:rPr>
              <w:t>排入市政</w:t>
            </w:r>
            <w:r>
              <w:rPr>
                <w:rFonts w:hint="default" w:ascii="Times New Roman" w:hAnsi="Times New Roman" w:eastAsia="宋体" w:cs="Times New Roman"/>
                <w:color w:val="auto"/>
                <w:sz w:val="24"/>
                <w:szCs w:val="24"/>
              </w:rPr>
              <w:t>污水管网。</w:t>
            </w:r>
          </w:p>
          <w:p w14:paraId="663B66B9">
            <w:pPr>
              <w:pStyle w:val="169"/>
              <w:keepNext w:val="0"/>
              <w:keepLines w:val="0"/>
              <w:pageBreakBefore w:val="0"/>
              <w:widowControl w:val="0"/>
              <w:kinsoku/>
              <w:wordWrap w:val="0"/>
              <w:overflowPunct/>
              <w:topLinePunct/>
              <w:autoSpaceDE/>
              <w:autoSpaceDN/>
              <w:bidi w:val="0"/>
              <w:adjustRightInd w:val="0"/>
              <w:snapToGrid w:val="0"/>
              <w:spacing w:line="240" w:lineRule="auto"/>
              <w:ind w:firstLine="480" w:firstLineChars="20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生产</w:t>
            </w:r>
            <w:r>
              <w:rPr>
                <w:rFonts w:hint="default" w:ascii="Times New Roman" w:hAnsi="Times New Roman" w:eastAsia="宋体" w:cs="Times New Roman"/>
                <w:color w:val="auto"/>
                <w:sz w:val="24"/>
                <w:szCs w:val="24"/>
                <w:lang w:val="en-US" w:eastAsia="zh-CN"/>
              </w:rPr>
              <w:t>废</w:t>
            </w:r>
            <w:r>
              <w:rPr>
                <w:rFonts w:hint="default" w:ascii="Times New Roman" w:hAnsi="Times New Roman" w:eastAsia="宋体" w:cs="Times New Roman"/>
                <w:color w:val="auto"/>
                <w:sz w:val="24"/>
                <w:szCs w:val="24"/>
              </w:rPr>
              <w:t>水：进入厂区内污水处理站，</w:t>
            </w:r>
            <w:r>
              <w:rPr>
                <w:rFonts w:hint="default" w:ascii="Times New Roman" w:hAnsi="Times New Roman" w:eastAsia="宋体" w:cs="Times New Roman"/>
                <w:color w:val="auto"/>
                <w:sz w:val="24"/>
                <w:szCs w:val="24"/>
                <w:lang w:val="en-US" w:eastAsia="zh-CN"/>
              </w:rPr>
              <w:t>排入市政</w:t>
            </w:r>
            <w:r>
              <w:rPr>
                <w:rFonts w:hint="default" w:ascii="Times New Roman" w:hAnsi="Times New Roman" w:eastAsia="宋体" w:cs="Times New Roman"/>
                <w:color w:val="auto"/>
                <w:sz w:val="24"/>
                <w:szCs w:val="24"/>
              </w:rPr>
              <w:t>污水管网。</w:t>
            </w:r>
          </w:p>
          <w:p w14:paraId="1B5EA63C">
            <w:pPr>
              <w:pStyle w:val="169"/>
              <w:keepNext w:val="0"/>
              <w:keepLines w:val="0"/>
              <w:pageBreakBefore w:val="0"/>
              <w:widowControl w:val="0"/>
              <w:kinsoku/>
              <w:wordWrap w:val="0"/>
              <w:overflowPunct/>
              <w:topLinePunct/>
              <w:autoSpaceDE/>
              <w:autoSpaceDN/>
              <w:bidi w:val="0"/>
              <w:adjustRightInd w:val="0"/>
              <w:snapToGrid w:val="0"/>
              <w:spacing w:line="240" w:lineRule="auto"/>
              <w:ind w:firstLine="480" w:firstLineChars="200"/>
              <w:jc w:val="both"/>
              <w:textAlignment w:val="auto"/>
              <w:rPr>
                <w:rFonts w:hint="eastAsia"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3、储运过程风险防范</w:t>
            </w:r>
          </w:p>
          <w:p w14:paraId="39F9B1A3">
            <w:pPr>
              <w:pStyle w:val="169"/>
              <w:keepNext w:val="0"/>
              <w:keepLines w:val="0"/>
              <w:pageBreakBefore w:val="0"/>
              <w:widowControl w:val="0"/>
              <w:kinsoku/>
              <w:wordWrap w:val="0"/>
              <w:overflowPunct/>
              <w:topLinePunct/>
              <w:autoSpaceDE/>
              <w:autoSpaceDN/>
              <w:bidi w:val="0"/>
              <w:adjustRightInd w:val="0"/>
              <w:snapToGrid w:val="0"/>
              <w:spacing w:line="240" w:lineRule="auto"/>
              <w:ind w:firstLine="480" w:firstLineChars="200"/>
              <w:jc w:val="both"/>
              <w:textAlignment w:val="auto"/>
              <w:rPr>
                <w:rFonts w:hint="eastAsia"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加强火源监管、制定安全操作规程、制定消防安全管理制度、加强消防知识教育培训和演练、配备完善的消防急救器材、按消防管理部门要求做好火灾等事故的防范和应急措施、安排专人定期检查。</w:t>
            </w:r>
          </w:p>
          <w:p w14:paraId="203B382A">
            <w:pPr>
              <w:pStyle w:val="169"/>
              <w:spacing w:line="240" w:lineRule="auto"/>
              <w:ind w:firstLine="480" w:firstLineChars="200"/>
              <w:jc w:val="both"/>
              <w:rPr>
                <w:rFonts w:hint="eastAsia" w:ascii="宋体" w:hAnsi="宋体" w:cs="宋体"/>
                <w:color w:val="auto"/>
                <w:sz w:val="24"/>
                <w:szCs w:val="28"/>
              </w:rPr>
            </w:pPr>
            <w:r>
              <w:rPr>
                <w:rFonts w:hint="eastAsia" w:ascii="Times New Roman" w:hAnsi="Times New Roman" w:eastAsia="宋体" w:cs="Times New Roman"/>
                <w:color w:val="auto"/>
                <w:sz w:val="24"/>
                <w:szCs w:val="24"/>
                <w:lang w:val="en-US" w:eastAsia="zh-CN"/>
              </w:rPr>
              <w:t>4、</w:t>
            </w:r>
            <w:r>
              <w:rPr>
                <w:rFonts w:hint="eastAsia" w:ascii="宋体" w:hAnsi="宋体" w:cs="宋体"/>
                <w:color w:val="auto"/>
                <w:sz w:val="24"/>
                <w:szCs w:val="28"/>
              </w:rPr>
              <w:t>总图布置和建筑安全防范措施</w:t>
            </w:r>
          </w:p>
          <w:p w14:paraId="15003D48">
            <w:pPr>
              <w:pStyle w:val="169"/>
              <w:keepNext w:val="0"/>
              <w:keepLines w:val="0"/>
              <w:pageBreakBefore w:val="0"/>
              <w:widowControl w:val="0"/>
              <w:kinsoku/>
              <w:wordWrap w:val="0"/>
              <w:overflowPunct/>
              <w:topLinePunct/>
              <w:autoSpaceDE/>
              <w:autoSpaceDN/>
              <w:bidi w:val="0"/>
              <w:adjustRightInd w:val="0"/>
              <w:snapToGrid w:val="0"/>
              <w:spacing w:line="240" w:lineRule="auto"/>
              <w:ind w:firstLine="480" w:firstLineChars="200"/>
              <w:jc w:val="both"/>
              <w:textAlignment w:val="auto"/>
              <w:rPr>
                <w:rFonts w:hint="eastAsia" w:ascii="Times New Roman" w:hAnsi="Times New Roman" w:eastAsia="宋体" w:cs="Times New Roman"/>
                <w:color w:val="auto"/>
                <w:sz w:val="24"/>
                <w:szCs w:val="24"/>
                <w:lang w:val="en-US" w:eastAsia="zh-CN"/>
              </w:rPr>
            </w:pPr>
            <w:r>
              <w:rPr>
                <w:rFonts w:hint="eastAsia" w:ascii="宋体" w:hAnsi="宋体" w:cs="宋体"/>
                <w:color w:val="auto"/>
                <w:sz w:val="24"/>
                <w:szCs w:val="28"/>
              </w:rPr>
              <w:t>厂区总平面布置严格执行相关规范要求，所有</w:t>
            </w:r>
            <w:r>
              <w:rPr>
                <w:rFonts w:hint="eastAsia" w:ascii="宋体" w:hAnsi="宋体" w:cs="宋体"/>
                <w:color w:val="auto"/>
                <w:sz w:val="24"/>
                <w:szCs w:val="28"/>
                <w:lang w:val="en-US" w:eastAsia="zh-CN"/>
              </w:rPr>
              <w:t>建筑</w:t>
            </w:r>
            <w:r>
              <w:rPr>
                <w:rFonts w:hint="eastAsia" w:ascii="宋体" w:hAnsi="宋体" w:cs="宋体"/>
                <w:color w:val="auto"/>
                <w:sz w:val="24"/>
                <w:szCs w:val="28"/>
              </w:rPr>
              <w:t>构筑物之间或与其它场所之间留有足够的防火间距，防止在火灾或爆炸时相互影响。</w:t>
            </w:r>
          </w:p>
          <w:p w14:paraId="6106501F">
            <w:pPr>
              <w:pStyle w:val="169"/>
              <w:keepNext w:val="0"/>
              <w:keepLines w:val="0"/>
              <w:pageBreakBefore w:val="0"/>
              <w:widowControl w:val="0"/>
              <w:kinsoku/>
              <w:wordWrap w:val="0"/>
              <w:overflowPunct/>
              <w:topLinePunct/>
              <w:autoSpaceDE/>
              <w:autoSpaceDN/>
              <w:bidi w:val="0"/>
              <w:adjustRightInd w:val="0"/>
              <w:snapToGrid w:val="0"/>
              <w:spacing w:line="240" w:lineRule="auto"/>
              <w:ind w:firstLine="480" w:firstLineChars="200"/>
              <w:jc w:val="both"/>
              <w:textAlignment w:val="auto"/>
              <w:rPr>
                <w:rFonts w:hint="default" w:ascii="Times New Roman" w:hAnsi="Times New Roman" w:eastAsia="宋体" w:cs="Times New Roman"/>
                <w:color w:val="auto"/>
                <w:sz w:val="24"/>
                <w:szCs w:val="24"/>
                <w:lang w:val="en-US" w:eastAsia="zh-CN"/>
              </w:rPr>
            </w:pPr>
            <w:r>
              <w:rPr>
                <w:rFonts w:hint="eastAsia" w:cs="Times New Roman"/>
                <w:color w:val="auto"/>
                <w:sz w:val="24"/>
                <w:szCs w:val="24"/>
                <w:lang w:val="en-US" w:eastAsia="zh-CN"/>
              </w:rPr>
              <w:t>5、</w:t>
            </w:r>
            <w:r>
              <w:rPr>
                <w:rFonts w:hint="eastAsia" w:ascii="Times New Roman" w:hAnsi="Times New Roman" w:eastAsia="宋体" w:cs="Times New Roman"/>
                <w:color w:val="auto"/>
                <w:sz w:val="24"/>
                <w:szCs w:val="24"/>
                <w:lang w:val="en-US" w:eastAsia="zh-CN"/>
              </w:rPr>
              <w:t>其他环境风险防范措施</w:t>
            </w:r>
          </w:p>
          <w:p w14:paraId="4FEB7D26">
            <w:pPr>
              <w:pStyle w:val="169"/>
              <w:spacing w:line="240" w:lineRule="auto"/>
              <w:ind w:firstLine="480" w:firstLineChars="200"/>
              <w:jc w:val="both"/>
              <w:rPr>
                <w:rFonts w:hint="eastAsia" w:ascii="宋体" w:hAnsi="宋体" w:cs="宋体"/>
                <w:color w:val="auto"/>
                <w:sz w:val="24"/>
                <w:szCs w:val="28"/>
              </w:rPr>
            </w:pPr>
            <w:r>
              <w:rPr>
                <w:rFonts w:hint="eastAsia" w:ascii="宋体" w:hAnsi="宋体" w:cs="宋体"/>
                <w:color w:val="auto"/>
                <w:sz w:val="24"/>
                <w:szCs w:val="28"/>
              </w:rPr>
              <w:t xml:space="preserve">加强对设备的日常维修和管理，制定环保管理制度和责任制，使其在良好的情况下运行，严格按照规范操作，杜绝事故性排放。 </w:t>
            </w:r>
          </w:p>
          <w:p w14:paraId="1B875BF7">
            <w:pPr>
              <w:pStyle w:val="169"/>
              <w:spacing w:line="240" w:lineRule="auto"/>
              <w:ind w:firstLine="480" w:firstLineChars="200"/>
              <w:jc w:val="both"/>
              <w:rPr>
                <w:rFonts w:hint="eastAsia" w:ascii="宋体" w:hAnsi="宋体" w:cs="宋体"/>
                <w:color w:val="auto"/>
                <w:sz w:val="24"/>
                <w:szCs w:val="28"/>
              </w:rPr>
            </w:pPr>
            <w:r>
              <w:rPr>
                <w:rFonts w:hint="eastAsia" w:ascii="宋体" w:hAnsi="宋体" w:cs="宋体"/>
                <w:color w:val="auto"/>
                <w:sz w:val="24"/>
                <w:szCs w:val="28"/>
              </w:rPr>
              <w:t>加强管理，明确岗位责任制，定期检查、维修、保养设备及构件，确保各种工艺、电气、除尘设备的正常运行，以及消防系统的可靠性。</w:t>
            </w:r>
          </w:p>
        </w:tc>
      </w:tr>
      <w:tr w14:paraId="656FC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8" w:type="pct"/>
            <w:gridSpan w:val="2"/>
            <w:vAlign w:val="center"/>
          </w:tcPr>
          <w:p w14:paraId="6B0947EF">
            <w:pPr>
              <w:jc w:val="left"/>
              <w:rPr>
                <w:color w:val="auto"/>
                <w:spacing w:val="-8"/>
                <w:sz w:val="24"/>
              </w:rPr>
            </w:pPr>
            <w:r>
              <w:rPr>
                <w:color w:val="auto"/>
                <w:spacing w:val="-8"/>
                <w:sz w:val="24"/>
              </w:rPr>
              <w:t>其他环境管理要求</w:t>
            </w:r>
          </w:p>
        </w:tc>
        <w:tc>
          <w:tcPr>
            <w:tcW w:w="4551" w:type="pct"/>
            <w:gridSpan w:val="4"/>
            <w:vAlign w:val="center"/>
          </w:tcPr>
          <w:p w14:paraId="308CE5E4">
            <w:pPr>
              <w:pStyle w:val="68"/>
              <w:ind w:firstLine="480"/>
              <w:jc w:val="left"/>
              <w:rPr>
                <w:rFonts w:cs="Times New Roman"/>
                <w:color w:val="auto"/>
              </w:rPr>
            </w:pPr>
            <w:r>
              <w:rPr>
                <w:rFonts w:cs="Times New Roman"/>
                <w:color w:val="auto"/>
              </w:rPr>
              <w:t>1、环保投资估算和“三同时”验收</w:t>
            </w:r>
          </w:p>
          <w:p w14:paraId="39532336">
            <w:pPr>
              <w:pStyle w:val="68"/>
              <w:ind w:firstLine="480"/>
              <w:jc w:val="both"/>
              <w:rPr>
                <w:rFonts w:cs="Times New Roman"/>
                <w:color w:val="auto"/>
              </w:rPr>
            </w:pPr>
            <w:r>
              <w:rPr>
                <w:rFonts w:cs="Times New Roman"/>
                <w:color w:val="auto"/>
              </w:rPr>
              <w:t>该项目总投资</w:t>
            </w:r>
            <w:r>
              <w:rPr>
                <w:rFonts w:hint="eastAsia" w:cs="Times New Roman"/>
                <w:color w:val="auto"/>
                <w:lang w:val="en-US" w:eastAsia="zh-CN"/>
              </w:rPr>
              <w:t>460</w:t>
            </w:r>
            <w:r>
              <w:rPr>
                <w:rFonts w:hint="eastAsia" w:cs="Times New Roman"/>
                <w:color w:val="auto"/>
              </w:rPr>
              <w:t>万元</w:t>
            </w:r>
            <w:r>
              <w:rPr>
                <w:rFonts w:cs="Times New Roman"/>
                <w:color w:val="auto"/>
              </w:rPr>
              <w:t>，其中环保投资</w:t>
            </w:r>
            <w:r>
              <w:rPr>
                <w:rFonts w:hint="eastAsia" w:cs="Times New Roman"/>
                <w:color w:val="auto"/>
                <w:lang w:val="en-US" w:eastAsia="zh-CN"/>
              </w:rPr>
              <w:t>13</w:t>
            </w:r>
            <w:r>
              <w:rPr>
                <w:rFonts w:cs="Times New Roman"/>
                <w:color w:val="auto"/>
              </w:rPr>
              <w:t>万元，占总体投资的</w:t>
            </w:r>
            <w:r>
              <w:rPr>
                <w:rFonts w:hint="eastAsia" w:cs="Times New Roman"/>
                <w:color w:val="auto"/>
                <w:lang w:val="en-US" w:eastAsia="zh-CN"/>
              </w:rPr>
              <w:t>2</w:t>
            </w:r>
            <w:r>
              <w:rPr>
                <w:rFonts w:hint="eastAsia" w:cs="Times New Roman"/>
                <w:color w:val="auto"/>
              </w:rPr>
              <w:t>.8%</w:t>
            </w:r>
            <w:r>
              <w:rPr>
                <w:rFonts w:cs="Times New Roman"/>
                <w:color w:val="auto"/>
              </w:rPr>
              <w:t>。</w:t>
            </w:r>
          </w:p>
          <w:p w14:paraId="7AAC0883">
            <w:pPr>
              <w:widowControl/>
              <w:adjustRightInd/>
              <w:snapToGrid/>
              <w:jc w:val="center"/>
              <w:rPr>
                <w:b/>
                <w:color w:val="auto"/>
                <w:kern w:val="0"/>
                <w:szCs w:val="21"/>
              </w:rPr>
            </w:pPr>
            <w:r>
              <w:rPr>
                <w:b/>
                <w:color w:val="auto"/>
                <w:kern w:val="0"/>
                <w:szCs w:val="21"/>
              </w:rPr>
              <w:t>表5-1环保投资估算一览表</w:t>
            </w:r>
          </w:p>
          <w:tbl>
            <w:tblPr>
              <w:tblStyle w:val="31"/>
              <w:tblW w:w="75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426"/>
              <w:gridCol w:w="5666"/>
              <w:gridCol w:w="1012"/>
            </w:tblGrid>
            <w:tr w14:paraId="222FC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5" w:type="pct"/>
                  <w:gridSpan w:val="2"/>
                  <w:tcBorders>
                    <w:tl2br w:val="nil"/>
                    <w:tr2bl w:val="nil"/>
                  </w:tcBorders>
                  <w:vAlign w:val="center"/>
                </w:tcPr>
                <w:p w14:paraId="6B84EE98">
                  <w:pPr>
                    <w:adjustRightInd/>
                    <w:snapToGrid/>
                    <w:jc w:val="center"/>
                    <w:rPr>
                      <w:color w:val="auto"/>
                      <w:sz w:val="21"/>
                      <w:szCs w:val="21"/>
                    </w:rPr>
                  </w:pPr>
                  <w:r>
                    <w:rPr>
                      <w:color w:val="auto"/>
                      <w:sz w:val="21"/>
                      <w:szCs w:val="21"/>
                    </w:rPr>
                    <w:t>项目</w:t>
                  </w:r>
                </w:p>
              </w:tc>
              <w:tc>
                <w:tcPr>
                  <w:tcW w:w="3761" w:type="pct"/>
                  <w:tcBorders>
                    <w:tl2br w:val="nil"/>
                    <w:tr2bl w:val="nil"/>
                  </w:tcBorders>
                  <w:vAlign w:val="center"/>
                </w:tcPr>
                <w:p w14:paraId="5F4FA20C">
                  <w:pPr>
                    <w:adjustRightInd/>
                    <w:snapToGrid/>
                    <w:jc w:val="center"/>
                    <w:rPr>
                      <w:color w:val="auto"/>
                      <w:sz w:val="21"/>
                      <w:szCs w:val="21"/>
                    </w:rPr>
                  </w:pPr>
                  <w:r>
                    <w:rPr>
                      <w:color w:val="auto"/>
                      <w:sz w:val="21"/>
                      <w:szCs w:val="21"/>
                    </w:rPr>
                    <w:t>处理措施及设施</w:t>
                  </w:r>
                </w:p>
              </w:tc>
              <w:tc>
                <w:tcPr>
                  <w:tcW w:w="672" w:type="pct"/>
                  <w:tcBorders>
                    <w:tl2br w:val="nil"/>
                    <w:tr2bl w:val="nil"/>
                  </w:tcBorders>
                  <w:vAlign w:val="center"/>
                </w:tcPr>
                <w:p w14:paraId="17BA2E8A">
                  <w:pPr>
                    <w:adjustRightInd/>
                    <w:snapToGrid/>
                    <w:jc w:val="center"/>
                    <w:rPr>
                      <w:color w:val="auto"/>
                      <w:sz w:val="21"/>
                      <w:szCs w:val="21"/>
                    </w:rPr>
                  </w:pPr>
                  <w:r>
                    <w:rPr>
                      <w:color w:val="auto"/>
                      <w:sz w:val="21"/>
                      <w:szCs w:val="21"/>
                    </w:rPr>
                    <w:t>环保投资（万元）</w:t>
                  </w:r>
                </w:p>
              </w:tc>
            </w:tr>
            <w:tr w14:paraId="6D12F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5" w:type="pct"/>
                  <w:gridSpan w:val="2"/>
                  <w:vMerge w:val="restart"/>
                  <w:tcBorders>
                    <w:tl2br w:val="nil"/>
                    <w:tr2bl w:val="nil"/>
                  </w:tcBorders>
                  <w:vAlign w:val="center"/>
                </w:tcPr>
                <w:p w14:paraId="5EEDAF1C">
                  <w:pPr>
                    <w:adjustRightInd/>
                    <w:snapToGrid/>
                    <w:jc w:val="center"/>
                    <w:rPr>
                      <w:color w:val="auto"/>
                      <w:sz w:val="21"/>
                      <w:szCs w:val="21"/>
                    </w:rPr>
                  </w:pPr>
                  <w:r>
                    <w:rPr>
                      <w:color w:val="auto"/>
                      <w:sz w:val="21"/>
                      <w:szCs w:val="21"/>
                    </w:rPr>
                    <w:t>废气</w:t>
                  </w:r>
                </w:p>
              </w:tc>
              <w:tc>
                <w:tcPr>
                  <w:tcW w:w="3761" w:type="pct"/>
                  <w:tcBorders>
                    <w:tl2br w:val="nil"/>
                    <w:tr2bl w:val="nil"/>
                  </w:tcBorders>
                  <w:vAlign w:val="center"/>
                </w:tcPr>
                <w:p w14:paraId="1696DBED">
                  <w:pPr>
                    <w:pStyle w:val="169"/>
                    <w:jc w:val="both"/>
                    <w:rPr>
                      <w:color w:val="auto"/>
                      <w:sz w:val="21"/>
                      <w:szCs w:val="21"/>
                    </w:rPr>
                  </w:pPr>
                  <w:r>
                    <w:rPr>
                      <w:rFonts w:hint="eastAsia"/>
                      <w:color w:val="auto"/>
                      <w:sz w:val="21"/>
                      <w:szCs w:val="21"/>
                    </w:rPr>
                    <w:t>污水处理站</w:t>
                  </w:r>
                  <w:r>
                    <w:rPr>
                      <w:rFonts w:hint="eastAsia"/>
                      <w:color w:val="auto"/>
                      <w:sz w:val="21"/>
                      <w:szCs w:val="21"/>
                      <w:lang w:val="en-US" w:eastAsia="zh-CN"/>
                    </w:rPr>
                    <w:t>废气</w:t>
                  </w:r>
                  <w:r>
                    <w:rPr>
                      <w:rFonts w:hint="eastAsia"/>
                      <w:color w:val="auto"/>
                      <w:sz w:val="21"/>
                      <w:szCs w:val="21"/>
                    </w:rPr>
                    <w:t>密闭收集后经</w:t>
                  </w:r>
                  <w:r>
                    <w:rPr>
                      <w:rFonts w:hint="eastAsia"/>
                      <w:color w:val="auto"/>
                      <w:sz w:val="21"/>
                      <w:szCs w:val="21"/>
                      <w:lang w:val="en-US" w:eastAsia="zh-CN"/>
                    </w:rPr>
                    <w:t>活性炭吸附</w:t>
                  </w:r>
                  <w:r>
                    <w:rPr>
                      <w:rFonts w:hint="eastAsia"/>
                      <w:color w:val="auto"/>
                      <w:sz w:val="21"/>
                      <w:szCs w:val="21"/>
                    </w:rPr>
                    <w:t>后</w:t>
                  </w:r>
                  <w:r>
                    <w:rPr>
                      <w:rFonts w:hint="eastAsia"/>
                      <w:color w:val="auto"/>
                      <w:sz w:val="21"/>
                      <w:szCs w:val="21"/>
                      <w:lang w:val="en-US" w:eastAsia="zh-CN"/>
                    </w:rPr>
                    <w:t>由</w:t>
                  </w:r>
                  <w:r>
                    <w:rPr>
                      <w:rFonts w:hint="eastAsia"/>
                      <w:color w:val="auto"/>
                      <w:sz w:val="21"/>
                      <w:szCs w:val="21"/>
                    </w:rPr>
                    <w:t>15m高排气筒（</w:t>
                  </w:r>
                  <w:r>
                    <w:rPr>
                      <w:rFonts w:hint="eastAsia"/>
                      <w:color w:val="auto"/>
                      <w:sz w:val="21"/>
                      <w:szCs w:val="21"/>
                      <w:lang w:val="en-US" w:eastAsia="zh-CN"/>
                    </w:rPr>
                    <w:t>DA001</w:t>
                  </w:r>
                  <w:r>
                    <w:rPr>
                      <w:rFonts w:hint="eastAsia"/>
                      <w:color w:val="auto"/>
                      <w:sz w:val="21"/>
                      <w:szCs w:val="21"/>
                    </w:rPr>
                    <w:t>）排放；</w:t>
                  </w:r>
                </w:p>
              </w:tc>
              <w:tc>
                <w:tcPr>
                  <w:tcW w:w="672" w:type="pct"/>
                  <w:tcBorders>
                    <w:tl2br w:val="nil"/>
                    <w:tr2bl w:val="nil"/>
                  </w:tcBorders>
                  <w:vAlign w:val="center"/>
                </w:tcPr>
                <w:p w14:paraId="1927D6E4">
                  <w:pPr>
                    <w:widowControl/>
                    <w:jc w:val="center"/>
                    <w:textAlignment w:val="center"/>
                    <w:rPr>
                      <w:rFonts w:hint="eastAsia" w:eastAsia="宋体"/>
                      <w:color w:val="auto"/>
                      <w:sz w:val="21"/>
                      <w:szCs w:val="21"/>
                      <w:lang w:eastAsia="zh-CN"/>
                    </w:rPr>
                  </w:pPr>
                  <w:r>
                    <w:rPr>
                      <w:rFonts w:hint="eastAsia"/>
                      <w:color w:val="auto"/>
                      <w:kern w:val="0"/>
                      <w:sz w:val="21"/>
                      <w:szCs w:val="21"/>
                      <w:lang w:val="en-US" w:eastAsia="zh-CN" w:bidi="ar"/>
                    </w:rPr>
                    <w:t>2</w:t>
                  </w:r>
                </w:p>
              </w:tc>
            </w:tr>
            <w:tr w14:paraId="3EF23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5" w:type="pct"/>
                  <w:gridSpan w:val="2"/>
                  <w:vMerge w:val="continue"/>
                  <w:tcBorders>
                    <w:tl2br w:val="nil"/>
                    <w:tr2bl w:val="nil"/>
                  </w:tcBorders>
                  <w:vAlign w:val="center"/>
                </w:tcPr>
                <w:p w14:paraId="1BD52F64">
                  <w:pPr>
                    <w:adjustRightInd/>
                    <w:snapToGrid/>
                    <w:jc w:val="center"/>
                    <w:rPr>
                      <w:color w:val="auto"/>
                      <w:sz w:val="21"/>
                      <w:szCs w:val="21"/>
                    </w:rPr>
                  </w:pPr>
                </w:p>
              </w:tc>
              <w:tc>
                <w:tcPr>
                  <w:tcW w:w="3761" w:type="pct"/>
                  <w:tcBorders>
                    <w:tl2br w:val="nil"/>
                    <w:tr2bl w:val="nil"/>
                  </w:tcBorders>
                  <w:vAlign w:val="center"/>
                </w:tcPr>
                <w:p w14:paraId="34B538A2">
                  <w:pPr>
                    <w:pStyle w:val="169"/>
                    <w:jc w:val="both"/>
                    <w:rPr>
                      <w:color w:val="auto"/>
                      <w:sz w:val="21"/>
                      <w:szCs w:val="21"/>
                    </w:rPr>
                  </w:pPr>
                  <w:r>
                    <w:rPr>
                      <w:rFonts w:hint="eastAsia"/>
                      <w:color w:val="auto"/>
                      <w:sz w:val="21"/>
                      <w:szCs w:val="21"/>
                      <w:lang w:val="en-US" w:eastAsia="zh-CN"/>
                    </w:rPr>
                    <w:t>腌制废气、</w:t>
                  </w:r>
                  <w:r>
                    <w:rPr>
                      <w:rFonts w:hint="eastAsia"/>
                      <w:color w:val="auto"/>
                      <w:sz w:val="21"/>
                      <w:szCs w:val="21"/>
                    </w:rPr>
                    <w:t>蒸煮废气、烘烤废气</w:t>
                  </w:r>
                  <w:r>
                    <w:rPr>
                      <w:rFonts w:hint="eastAsia"/>
                      <w:color w:val="auto"/>
                      <w:sz w:val="21"/>
                      <w:szCs w:val="21"/>
                      <w:lang w:val="en-US" w:eastAsia="zh-CN"/>
                    </w:rPr>
                    <w:t>集中收集后，经油烟净化装置处理后由屋顶排气筒排放</w:t>
                  </w:r>
                  <w:r>
                    <w:rPr>
                      <w:rFonts w:hint="eastAsia"/>
                      <w:color w:val="auto"/>
                      <w:sz w:val="21"/>
                      <w:szCs w:val="21"/>
                    </w:rPr>
                    <w:t>。</w:t>
                  </w:r>
                </w:p>
              </w:tc>
              <w:tc>
                <w:tcPr>
                  <w:tcW w:w="672" w:type="pct"/>
                  <w:tcBorders>
                    <w:tl2br w:val="nil"/>
                    <w:tr2bl w:val="nil"/>
                  </w:tcBorders>
                  <w:vAlign w:val="center"/>
                </w:tcPr>
                <w:p w14:paraId="57CA93B7">
                  <w:pPr>
                    <w:widowControl/>
                    <w:jc w:val="center"/>
                    <w:textAlignment w:val="center"/>
                    <w:rPr>
                      <w:rFonts w:hint="eastAsia" w:eastAsia="宋体"/>
                      <w:color w:val="auto"/>
                      <w:kern w:val="0"/>
                      <w:sz w:val="21"/>
                      <w:szCs w:val="21"/>
                      <w:lang w:eastAsia="zh-CN" w:bidi="ar"/>
                    </w:rPr>
                  </w:pPr>
                  <w:r>
                    <w:rPr>
                      <w:rFonts w:hint="eastAsia"/>
                      <w:color w:val="auto"/>
                      <w:kern w:val="0"/>
                      <w:sz w:val="21"/>
                      <w:szCs w:val="21"/>
                      <w:lang w:val="en-US" w:eastAsia="zh-CN" w:bidi="ar"/>
                    </w:rPr>
                    <w:t>1</w:t>
                  </w:r>
                </w:p>
              </w:tc>
            </w:tr>
            <w:tr w14:paraId="39009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5" w:type="pct"/>
                  <w:gridSpan w:val="2"/>
                  <w:vMerge w:val="restart"/>
                  <w:tcBorders>
                    <w:tl2br w:val="nil"/>
                    <w:tr2bl w:val="nil"/>
                  </w:tcBorders>
                  <w:vAlign w:val="center"/>
                </w:tcPr>
                <w:p w14:paraId="651AECB7">
                  <w:pPr>
                    <w:adjustRightInd/>
                    <w:snapToGrid/>
                    <w:jc w:val="center"/>
                    <w:rPr>
                      <w:color w:val="auto"/>
                      <w:sz w:val="21"/>
                      <w:szCs w:val="21"/>
                    </w:rPr>
                  </w:pPr>
                  <w:r>
                    <w:rPr>
                      <w:color w:val="auto"/>
                      <w:sz w:val="21"/>
                      <w:szCs w:val="21"/>
                    </w:rPr>
                    <w:t>废水</w:t>
                  </w:r>
                </w:p>
              </w:tc>
              <w:tc>
                <w:tcPr>
                  <w:tcW w:w="3761" w:type="pct"/>
                  <w:tcBorders>
                    <w:tl2br w:val="nil"/>
                    <w:tr2bl w:val="nil"/>
                  </w:tcBorders>
                  <w:vAlign w:val="center"/>
                </w:tcPr>
                <w:p w14:paraId="36E39358">
                  <w:pPr>
                    <w:pStyle w:val="169"/>
                    <w:jc w:val="both"/>
                    <w:rPr>
                      <w:color w:val="auto"/>
                      <w:sz w:val="21"/>
                      <w:szCs w:val="21"/>
                    </w:rPr>
                  </w:pPr>
                  <w:r>
                    <w:rPr>
                      <w:color w:val="auto"/>
                      <w:sz w:val="21"/>
                      <w:szCs w:val="21"/>
                    </w:rPr>
                    <w:t>自建污水处理站，处理工艺为“</w:t>
                  </w:r>
                  <w:r>
                    <w:rPr>
                      <w:rFonts w:hint="eastAsia"/>
                      <w:color w:val="auto"/>
                      <w:sz w:val="21"/>
                      <w:szCs w:val="21"/>
                      <w:lang w:val="en-US" w:eastAsia="zh-CN"/>
                    </w:rPr>
                    <w:t>格栅→收集池→气浮机→厌氧池→缺氧池→好氧池→二沉池→消毒池处理</w:t>
                  </w:r>
                  <w:r>
                    <w:rPr>
                      <w:color w:val="auto"/>
                      <w:sz w:val="21"/>
                      <w:szCs w:val="21"/>
                    </w:rPr>
                    <w:t>”，进行防渗处理，</w:t>
                  </w:r>
                  <w:r>
                    <w:rPr>
                      <w:rFonts w:hint="eastAsia"/>
                      <w:color w:val="auto"/>
                      <w:sz w:val="21"/>
                      <w:szCs w:val="21"/>
                    </w:rPr>
                    <w:t>采用人工防渗材料和水泥硬化对一般防渗区进行防渗，满足一般防渗区防渗要求，即采用抗渗等级不低于P1级的抗渗混凝土（抗渗系数K≤</w:t>
                  </w:r>
                  <w:r>
                    <w:rPr>
                      <w:rFonts w:hint="eastAsia"/>
                      <w:color w:val="auto"/>
                      <w:sz w:val="21"/>
                      <w:szCs w:val="21"/>
                      <w:lang w:val="en-US" w:eastAsia="zh-CN"/>
                    </w:rPr>
                    <w:t>10</w:t>
                  </w:r>
                  <w:r>
                    <w:rPr>
                      <w:rFonts w:hint="eastAsia"/>
                      <w:color w:val="auto"/>
                      <w:sz w:val="21"/>
                      <w:szCs w:val="21"/>
                    </w:rPr>
                    <w:t>×10</w:t>
                  </w:r>
                  <w:r>
                    <w:rPr>
                      <w:rFonts w:hint="eastAsia"/>
                      <w:color w:val="auto"/>
                      <w:sz w:val="21"/>
                      <w:szCs w:val="21"/>
                      <w:vertAlign w:val="superscript"/>
                    </w:rPr>
                    <w:t>-7</w:t>
                  </w:r>
                  <w:r>
                    <w:rPr>
                      <w:rFonts w:hint="eastAsia"/>
                      <w:color w:val="auto"/>
                      <w:sz w:val="21"/>
                      <w:szCs w:val="21"/>
                    </w:rPr>
                    <w:t>cm/s，厚度不低于20cm）硬化地面。</w:t>
                  </w:r>
                </w:p>
              </w:tc>
              <w:tc>
                <w:tcPr>
                  <w:tcW w:w="672" w:type="pct"/>
                  <w:tcBorders>
                    <w:tl2br w:val="nil"/>
                    <w:tr2bl w:val="nil"/>
                  </w:tcBorders>
                  <w:vAlign w:val="center"/>
                </w:tcPr>
                <w:p w14:paraId="77FF6E5A">
                  <w:pPr>
                    <w:widowControl/>
                    <w:jc w:val="center"/>
                    <w:textAlignment w:val="center"/>
                    <w:rPr>
                      <w:rFonts w:hint="default" w:eastAsia="宋体"/>
                      <w:color w:val="auto"/>
                      <w:spacing w:val="-2"/>
                      <w:sz w:val="21"/>
                      <w:szCs w:val="21"/>
                      <w:lang w:val="en-US" w:eastAsia="zh-CN"/>
                    </w:rPr>
                  </w:pPr>
                  <w:r>
                    <w:rPr>
                      <w:rFonts w:hint="eastAsia"/>
                      <w:color w:val="auto"/>
                      <w:kern w:val="0"/>
                      <w:sz w:val="21"/>
                      <w:szCs w:val="21"/>
                      <w:lang w:val="en-US" w:eastAsia="zh-CN" w:bidi="ar"/>
                    </w:rPr>
                    <w:t>6.8</w:t>
                  </w:r>
                </w:p>
              </w:tc>
            </w:tr>
            <w:tr w14:paraId="539BC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5" w:type="pct"/>
                  <w:gridSpan w:val="2"/>
                  <w:vMerge w:val="continue"/>
                  <w:tcBorders>
                    <w:tl2br w:val="nil"/>
                    <w:tr2bl w:val="nil"/>
                  </w:tcBorders>
                  <w:vAlign w:val="center"/>
                </w:tcPr>
                <w:p w14:paraId="67BBD5C5">
                  <w:pPr>
                    <w:adjustRightInd/>
                    <w:snapToGrid/>
                    <w:jc w:val="center"/>
                    <w:rPr>
                      <w:color w:val="auto"/>
                      <w:sz w:val="21"/>
                      <w:szCs w:val="21"/>
                    </w:rPr>
                  </w:pPr>
                </w:p>
              </w:tc>
              <w:tc>
                <w:tcPr>
                  <w:tcW w:w="3761" w:type="pct"/>
                  <w:tcBorders>
                    <w:tl2br w:val="nil"/>
                    <w:tr2bl w:val="nil"/>
                  </w:tcBorders>
                  <w:vAlign w:val="center"/>
                </w:tcPr>
                <w:p w14:paraId="6CFC8DA0">
                  <w:pPr>
                    <w:pStyle w:val="169"/>
                    <w:jc w:val="both"/>
                    <w:rPr>
                      <w:color w:val="auto"/>
                      <w:sz w:val="21"/>
                      <w:szCs w:val="21"/>
                    </w:rPr>
                  </w:pPr>
                  <w:r>
                    <w:rPr>
                      <w:rFonts w:hint="eastAsia"/>
                      <w:color w:val="auto"/>
                      <w:sz w:val="21"/>
                      <w:szCs w:val="21"/>
                    </w:rPr>
                    <w:t>新建</w:t>
                  </w:r>
                  <w:r>
                    <w:rPr>
                      <w:color w:val="auto"/>
                      <w:sz w:val="21"/>
                      <w:szCs w:val="21"/>
                    </w:rPr>
                    <w:t>化粪池，</w:t>
                  </w:r>
                  <w:r>
                    <w:rPr>
                      <w:rFonts w:hint="eastAsia"/>
                      <w:color w:val="auto"/>
                      <w:sz w:val="21"/>
                      <w:szCs w:val="21"/>
                    </w:rPr>
                    <w:t>采用人工防渗材料和水泥硬化对一般防渗区进行防渗，满足一般防渗区防渗要求，即采用抗渗等级不低于P1级的抗渗混凝土（抗渗系数K≤0.4×10</w:t>
                  </w:r>
                  <w:r>
                    <w:rPr>
                      <w:rFonts w:hint="eastAsia"/>
                      <w:color w:val="auto"/>
                      <w:sz w:val="21"/>
                      <w:szCs w:val="21"/>
                      <w:vertAlign w:val="superscript"/>
                    </w:rPr>
                    <w:t>-7</w:t>
                  </w:r>
                  <w:r>
                    <w:rPr>
                      <w:rFonts w:hint="eastAsia"/>
                      <w:color w:val="auto"/>
                      <w:sz w:val="21"/>
                      <w:szCs w:val="21"/>
                    </w:rPr>
                    <w:t>cm/s，厚度不低于20cm）硬化地面。</w:t>
                  </w:r>
                </w:p>
              </w:tc>
              <w:tc>
                <w:tcPr>
                  <w:tcW w:w="672" w:type="pct"/>
                  <w:tcBorders>
                    <w:tl2br w:val="nil"/>
                    <w:tr2bl w:val="nil"/>
                  </w:tcBorders>
                  <w:vAlign w:val="center"/>
                </w:tcPr>
                <w:p w14:paraId="44A5BDF7">
                  <w:pPr>
                    <w:adjustRightInd/>
                    <w:snapToGrid/>
                    <w:jc w:val="center"/>
                    <w:rPr>
                      <w:rFonts w:hint="eastAsia" w:eastAsia="宋体"/>
                      <w:color w:val="auto"/>
                      <w:spacing w:val="-2"/>
                      <w:sz w:val="21"/>
                      <w:szCs w:val="21"/>
                      <w:lang w:eastAsia="zh-CN"/>
                    </w:rPr>
                  </w:pPr>
                  <w:r>
                    <w:rPr>
                      <w:rFonts w:hint="eastAsia"/>
                      <w:color w:val="auto"/>
                      <w:spacing w:val="-2"/>
                      <w:sz w:val="21"/>
                      <w:szCs w:val="21"/>
                      <w:lang w:val="en-US" w:eastAsia="zh-CN"/>
                    </w:rPr>
                    <w:t>1</w:t>
                  </w:r>
                </w:p>
              </w:tc>
            </w:tr>
            <w:tr w14:paraId="3B71E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565" w:type="pct"/>
                  <w:gridSpan w:val="2"/>
                  <w:tcBorders>
                    <w:tl2br w:val="nil"/>
                    <w:tr2bl w:val="nil"/>
                  </w:tcBorders>
                  <w:vAlign w:val="center"/>
                </w:tcPr>
                <w:p w14:paraId="0EB587D8">
                  <w:pPr>
                    <w:adjustRightInd/>
                    <w:snapToGrid/>
                    <w:jc w:val="center"/>
                    <w:rPr>
                      <w:color w:val="auto"/>
                      <w:sz w:val="21"/>
                      <w:szCs w:val="21"/>
                    </w:rPr>
                  </w:pPr>
                  <w:r>
                    <w:rPr>
                      <w:color w:val="auto"/>
                      <w:sz w:val="21"/>
                      <w:szCs w:val="21"/>
                    </w:rPr>
                    <w:t>噪声</w:t>
                  </w:r>
                </w:p>
              </w:tc>
              <w:tc>
                <w:tcPr>
                  <w:tcW w:w="3761" w:type="pct"/>
                  <w:tcBorders>
                    <w:tl2br w:val="nil"/>
                    <w:tr2bl w:val="nil"/>
                  </w:tcBorders>
                  <w:vAlign w:val="center"/>
                </w:tcPr>
                <w:p w14:paraId="57261399">
                  <w:pPr>
                    <w:pStyle w:val="169"/>
                    <w:jc w:val="both"/>
                    <w:rPr>
                      <w:color w:val="auto"/>
                      <w:sz w:val="21"/>
                      <w:szCs w:val="21"/>
                    </w:rPr>
                  </w:pPr>
                  <w:r>
                    <w:rPr>
                      <w:color w:val="auto"/>
                      <w:sz w:val="21"/>
                      <w:szCs w:val="21"/>
                    </w:rPr>
                    <w:t>选用低噪声设备，高噪声设备通过减震、隔声降噪</w:t>
                  </w:r>
                  <w:r>
                    <w:rPr>
                      <w:rFonts w:hint="eastAsia"/>
                      <w:color w:val="auto"/>
                      <w:sz w:val="21"/>
                      <w:szCs w:val="21"/>
                    </w:rPr>
                    <w:t>。</w:t>
                  </w:r>
                </w:p>
              </w:tc>
              <w:tc>
                <w:tcPr>
                  <w:tcW w:w="672" w:type="pct"/>
                  <w:tcBorders>
                    <w:tl2br w:val="nil"/>
                    <w:tr2bl w:val="nil"/>
                  </w:tcBorders>
                  <w:vAlign w:val="center"/>
                </w:tcPr>
                <w:p w14:paraId="5CDBE102">
                  <w:pPr>
                    <w:widowControl/>
                    <w:jc w:val="center"/>
                    <w:textAlignment w:val="center"/>
                    <w:rPr>
                      <w:color w:val="auto"/>
                      <w:sz w:val="21"/>
                      <w:szCs w:val="21"/>
                    </w:rPr>
                  </w:pPr>
                  <w:r>
                    <w:rPr>
                      <w:rFonts w:hint="eastAsia"/>
                      <w:color w:val="auto"/>
                      <w:sz w:val="21"/>
                      <w:szCs w:val="21"/>
                    </w:rPr>
                    <w:t>1</w:t>
                  </w:r>
                </w:p>
              </w:tc>
            </w:tr>
            <w:tr w14:paraId="5D273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82" w:type="pct"/>
                  <w:vMerge w:val="restart"/>
                  <w:tcBorders>
                    <w:tl2br w:val="nil"/>
                    <w:tr2bl w:val="nil"/>
                  </w:tcBorders>
                  <w:vAlign w:val="center"/>
                </w:tcPr>
                <w:p w14:paraId="2C59B308">
                  <w:pPr>
                    <w:pStyle w:val="69"/>
                    <w:rPr>
                      <w:color w:val="auto"/>
                      <w:sz w:val="21"/>
                      <w:szCs w:val="21"/>
                    </w:rPr>
                  </w:pPr>
                  <w:r>
                    <w:rPr>
                      <w:color w:val="auto"/>
                      <w:sz w:val="21"/>
                      <w:szCs w:val="21"/>
                    </w:rPr>
                    <w:t>固体废物</w:t>
                  </w:r>
                </w:p>
              </w:tc>
              <w:tc>
                <w:tcPr>
                  <w:tcW w:w="282" w:type="pct"/>
                  <w:vMerge w:val="restart"/>
                  <w:tcBorders>
                    <w:tl2br w:val="nil"/>
                    <w:tr2bl w:val="nil"/>
                  </w:tcBorders>
                  <w:vAlign w:val="center"/>
                </w:tcPr>
                <w:p w14:paraId="4776583E">
                  <w:pPr>
                    <w:pStyle w:val="69"/>
                    <w:rPr>
                      <w:rFonts w:hint="eastAsia" w:eastAsia="宋体"/>
                      <w:color w:val="auto"/>
                      <w:sz w:val="21"/>
                      <w:szCs w:val="21"/>
                      <w:lang w:val="en-US" w:eastAsia="zh-CN"/>
                    </w:rPr>
                  </w:pPr>
                  <w:r>
                    <w:rPr>
                      <w:rFonts w:hint="eastAsia"/>
                      <w:color w:val="auto"/>
                      <w:sz w:val="21"/>
                      <w:szCs w:val="21"/>
                      <w:lang w:val="en-US" w:eastAsia="zh-CN"/>
                    </w:rPr>
                    <w:t>一般固体废物</w:t>
                  </w:r>
                </w:p>
              </w:tc>
              <w:tc>
                <w:tcPr>
                  <w:tcW w:w="3761" w:type="pct"/>
                  <w:tcBorders>
                    <w:tl2br w:val="nil"/>
                    <w:tr2bl w:val="nil"/>
                  </w:tcBorders>
                  <w:vAlign w:val="center"/>
                </w:tcPr>
                <w:p w14:paraId="21FD0904">
                  <w:pPr>
                    <w:keepNext w:val="0"/>
                    <w:keepLines w:val="0"/>
                    <w:pageBreakBefore w:val="0"/>
                    <w:widowControl w:val="0"/>
                    <w:kinsoku/>
                    <w:wordWrap/>
                    <w:overflowPunct/>
                    <w:topLinePunct w:val="0"/>
                    <w:autoSpaceDE/>
                    <w:autoSpaceDN/>
                    <w:bidi w:val="0"/>
                    <w:adjustRightInd w:val="0"/>
                    <w:snapToGrid w:val="0"/>
                    <w:ind w:firstLine="0" w:firstLineChars="0"/>
                    <w:jc w:val="both"/>
                    <w:textAlignment w:val="auto"/>
                    <w:rPr>
                      <w:color w:val="auto"/>
                      <w:sz w:val="21"/>
                      <w:szCs w:val="21"/>
                    </w:rPr>
                  </w:pPr>
                  <w:r>
                    <w:rPr>
                      <w:rFonts w:hint="eastAsia"/>
                      <w:bCs/>
                      <w:color w:val="auto"/>
                      <w:sz w:val="21"/>
                      <w:szCs w:val="21"/>
                      <w:lang w:val="en-US" w:eastAsia="zh-CN"/>
                    </w:rPr>
                    <w:t>废包装材料</w:t>
                  </w:r>
                  <w:r>
                    <w:rPr>
                      <w:rFonts w:hint="eastAsia"/>
                      <w:color w:val="auto"/>
                      <w:sz w:val="21"/>
                      <w:szCs w:val="21"/>
                      <w:lang w:eastAsia="zh-CN"/>
                    </w:rPr>
                    <w:t>：</w:t>
                  </w:r>
                  <w:r>
                    <w:rPr>
                      <w:rFonts w:hint="eastAsia"/>
                      <w:color w:val="auto"/>
                      <w:sz w:val="21"/>
                      <w:szCs w:val="21"/>
                      <w:lang w:val="en-US" w:eastAsia="zh-CN"/>
                    </w:rPr>
                    <w:t>统一收集后由环卫部门清运</w:t>
                  </w:r>
                </w:p>
              </w:tc>
              <w:tc>
                <w:tcPr>
                  <w:tcW w:w="672" w:type="pct"/>
                  <w:vMerge w:val="restart"/>
                  <w:tcBorders>
                    <w:tl2br w:val="nil"/>
                    <w:tr2bl w:val="nil"/>
                  </w:tcBorders>
                  <w:vAlign w:val="center"/>
                </w:tcPr>
                <w:p w14:paraId="407C00A2">
                  <w:pPr>
                    <w:widowControl/>
                    <w:jc w:val="center"/>
                    <w:textAlignment w:val="center"/>
                    <w:rPr>
                      <w:rFonts w:hint="default" w:eastAsia="宋体"/>
                      <w:color w:val="auto"/>
                      <w:sz w:val="21"/>
                      <w:szCs w:val="21"/>
                      <w:lang w:val="en-US" w:eastAsia="zh-CN"/>
                    </w:rPr>
                  </w:pPr>
                  <w:r>
                    <w:rPr>
                      <w:rFonts w:hint="eastAsia"/>
                      <w:color w:val="auto"/>
                      <w:sz w:val="21"/>
                      <w:szCs w:val="21"/>
                      <w:lang w:val="en-US" w:eastAsia="zh-CN"/>
                    </w:rPr>
                    <w:t>1.2</w:t>
                  </w:r>
                </w:p>
              </w:tc>
            </w:tr>
            <w:tr w14:paraId="53215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82" w:type="pct"/>
                  <w:vMerge w:val="continue"/>
                  <w:tcBorders>
                    <w:tl2br w:val="nil"/>
                    <w:tr2bl w:val="nil"/>
                  </w:tcBorders>
                  <w:vAlign w:val="center"/>
                </w:tcPr>
                <w:p w14:paraId="19FBD3D5">
                  <w:pPr>
                    <w:pStyle w:val="69"/>
                    <w:rPr>
                      <w:color w:val="auto"/>
                      <w:sz w:val="21"/>
                      <w:szCs w:val="21"/>
                    </w:rPr>
                  </w:pPr>
                </w:p>
              </w:tc>
              <w:tc>
                <w:tcPr>
                  <w:tcW w:w="282" w:type="pct"/>
                  <w:vMerge w:val="continue"/>
                  <w:tcBorders>
                    <w:tl2br w:val="nil"/>
                    <w:tr2bl w:val="nil"/>
                  </w:tcBorders>
                  <w:vAlign w:val="center"/>
                </w:tcPr>
                <w:p w14:paraId="61D569B5">
                  <w:pPr>
                    <w:pStyle w:val="69"/>
                    <w:rPr>
                      <w:color w:val="auto"/>
                      <w:sz w:val="21"/>
                      <w:szCs w:val="21"/>
                    </w:rPr>
                  </w:pPr>
                </w:p>
              </w:tc>
              <w:tc>
                <w:tcPr>
                  <w:tcW w:w="3761" w:type="pct"/>
                  <w:tcBorders>
                    <w:tl2br w:val="nil"/>
                    <w:tr2bl w:val="nil"/>
                  </w:tcBorders>
                  <w:vAlign w:val="center"/>
                </w:tcPr>
                <w:p w14:paraId="391748F0">
                  <w:pPr>
                    <w:keepNext w:val="0"/>
                    <w:keepLines w:val="0"/>
                    <w:pageBreakBefore w:val="0"/>
                    <w:widowControl w:val="0"/>
                    <w:kinsoku/>
                    <w:wordWrap/>
                    <w:overflowPunct/>
                    <w:topLinePunct w:val="0"/>
                    <w:autoSpaceDE/>
                    <w:autoSpaceDN/>
                    <w:bidi w:val="0"/>
                    <w:adjustRightInd w:val="0"/>
                    <w:snapToGrid w:val="0"/>
                    <w:ind w:firstLine="0" w:firstLineChars="0"/>
                    <w:jc w:val="left"/>
                    <w:textAlignment w:val="auto"/>
                    <w:rPr>
                      <w:bCs/>
                      <w:color w:val="auto"/>
                      <w:sz w:val="21"/>
                      <w:szCs w:val="21"/>
                    </w:rPr>
                  </w:pPr>
                  <w:r>
                    <w:rPr>
                      <w:rFonts w:hint="eastAsia"/>
                      <w:color w:val="auto"/>
                      <w:sz w:val="21"/>
                      <w:szCs w:val="21"/>
                      <w:lang w:val="en-US" w:eastAsia="zh-CN"/>
                    </w:rPr>
                    <w:t>污水处理站污泥</w:t>
                  </w:r>
                  <w:r>
                    <w:rPr>
                      <w:rFonts w:hint="eastAsia"/>
                      <w:color w:val="auto"/>
                      <w:sz w:val="21"/>
                      <w:szCs w:val="21"/>
                      <w:lang w:eastAsia="zh-CN"/>
                    </w:rPr>
                    <w:t>：</w:t>
                  </w:r>
                  <w:r>
                    <w:rPr>
                      <w:rFonts w:hint="eastAsia"/>
                      <w:color w:val="auto"/>
                      <w:sz w:val="21"/>
                      <w:szCs w:val="21"/>
                    </w:rPr>
                    <w:t>污泥经压滤机压滤收集后</w:t>
                  </w:r>
                  <w:r>
                    <w:rPr>
                      <w:rFonts w:hint="eastAsia"/>
                      <w:color w:val="auto"/>
                      <w:sz w:val="21"/>
                      <w:szCs w:val="21"/>
                      <w:lang w:eastAsia="zh-CN"/>
                    </w:rPr>
                    <w:t>送至有机肥生产企业堆肥场堆肥或镶黄旗生活垃圾焚烧场进行合理化处理</w:t>
                  </w:r>
                  <w:r>
                    <w:rPr>
                      <w:rFonts w:hint="eastAsia"/>
                      <w:color w:val="auto"/>
                      <w:sz w:val="21"/>
                      <w:szCs w:val="21"/>
                      <w:lang w:val="en-US" w:eastAsia="zh-CN"/>
                    </w:rPr>
                    <w:t>。</w:t>
                  </w:r>
                </w:p>
              </w:tc>
              <w:tc>
                <w:tcPr>
                  <w:tcW w:w="672" w:type="pct"/>
                  <w:vMerge w:val="continue"/>
                  <w:tcBorders>
                    <w:tl2br w:val="nil"/>
                    <w:tr2bl w:val="nil"/>
                  </w:tcBorders>
                  <w:vAlign w:val="center"/>
                </w:tcPr>
                <w:p w14:paraId="1B306C9F">
                  <w:pPr>
                    <w:widowControl/>
                    <w:jc w:val="center"/>
                    <w:textAlignment w:val="center"/>
                    <w:rPr>
                      <w:rFonts w:hint="default" w:eastAsia="宋体"/>
                      <w:color w:val="auto"/>
                      <w:kern w:val="0"/>
                      <w:sz w:val="21"/>
                      <w:szCs w:val="21"/>
                      <w:lang w:val="en-US" w:eastAsia="zh-CN" w:bidi="ar"/>
                    </w:rPr>
                  </w:pPr>
                </w:p>
              </w:tc>
            </w:tr>
            <w:tr w14:paraId="323D9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82" w:type="pct"/>
                  <w:vMerge w:val="continue"/>
                  <w:tcBorders>
                    <w:tl2br w:val="nil"/>
                    <w:tr2bl w:val="nil"/>
                  </w:tcBorders>
                  <w:vAlign w:val="center"/>
                </w:tcPr>
                <w:p w14:paraId="7103F71A">
                  <w:pPr>
                    <w:pStyle w:val="69"/>
                    <w:rPr>
                      <w:color w:val="auto"/>
                      <w:sz w:val="21"/>
                      <w:szCs w:val="21"/>
                    </w:rPr>
                  </w:pPr>
                </w:p>
              </w:tc>
              <w:tc>
                <w:tcPr>
                  <w:tcW w:w="282" w:type="pct"/>
                  <w:vMerge w:val="continue"/>
                  <w:tcBorders>
                    <w:tl2br w:val="nil"/>
                    <w:tr2bl w:val="nil"/>
                  </w:tcBorders>
                  <w:vAlign w:val="center"/>
                </w:tcPr>
                <w:p w14:paraId="08512DEE">
                  <w:pPr>
                    <w:pStyle w:val="69"/>
                    <w:rPr>
                      <w:color w:val="auto"/>
                      <w:sz w:val="21"/>
                      <w:szCs w:val="21"/>
                    </w:rPr>
                  </w:pPr>
                </w:p>
              </w:tc>
              <w:tc>
                <w:tcPr>
                  <w:tcW w:w="3761" w:type="pct"/>
                  <w:tcBorders>
                    <w:tl2br w:val="nil"/>
                    <w:tr2bl w:val="nil"/>
                  </w:tcBorders>
                  <w:vAlign w:val="center"/>
                </w:tcPr>
                <w:p w14:paraId="77BC47B2">
                  <w:pPr>
                    <w:jc w:val="left"/>
                    <w:rPr>
                      <w:color w:val="auto"/>
                      <w:sz w:val="21"/>
                      <w:szCs w:val="21"/>
                    </w:rPr>
                  </w:pPr>
                  <w:r>
                    <w:rPr>
                      <w:rFonts w:hint="eastAsia"/>
                      <w:bCs/>
                      <w:color w:val="auto"/>
                      <w:sz w:val="21"/>
                      <w:szCs w:val="21"/>
                      <w:lang w:val="en-US" w:eastAsia="zh-CN"/>
                    </w:rPr>
                    <w:t>肉渣</w:t>
                  </w:r>
                  <w:r>
                    <w:rPr>
                      <w:rFonts w:hint="eastAsia"/>
                      <w:color w:val="auto"/>
                      <w:sz w:val="21"/>
                      <w:szCs w:val="21"/>
                      <w:lang w:eastAsia="zh-CN"/>
                    </w:rPr>
                    <w:t>：</w:t>
                  </w:r>
                  <w:r>
                    <w:rPr>
                      <w:rFonts w:hint="default"/>
                      <w:bCs/>
                      <w:color w:val="auto"/>
                      <w:sz w:val="21"/>
                      <w:szCs w:val="21"/>
                      <w:highlight w:val="none"/>
                      <w:lang w:val="en-US" w:eastAsia="zh-CN"/>
                    </w:rPr>
                    <w:t>集中收集后</w:t>
                  </w:r>
                  <w:r>
                    <w:rPr>
                      <w:rFonts w:hint="eastAsia"/>
                      <w:bCs/>
                      <w:color w:val="auto"/>
                      <w:sz w:val="21"/>
                      <w:szCs w:val="21"/>
                      <w:highlight w:val="none"/>
                      <w:lang w:val="en-US" w:eastAsia="zh-CN"/>
                    </w:rPr>
                    <w:t>送至有机肥生产企业堆肥场堆肥或镶黄旗生活垃圾焚烧场进行合理化处理。</w:t>
                  </w:r>
                </w:p>
              </w:tc>
              <w:tc>
                <w:tcPr>
                  <w:tcW w:w="672" w:type="pct"/>
                  <w:vMerge w:val="continue"/>
                  <w:tcBorders>
                    <w:tl2br w:val="nil"/>
                    <w:tr2bl w:val="nil"/>
                  </w:tcBorders>
                  <w:vAlign w:val="center"/>
                </w:tcPr>
                <w:p w14:paraId="097AC1B1">
                  <w:pPr>
                    <w:widowControl/>
                    <w:jc w:val="center"/>
                    <w:textAlignment w:val="center"/>
                    <w:rPr>
                      <w:color w:val="auto"/>
                      <w:kern w:val="0"/>
                      <w:sz w:val="21"/>
                      <w:szCs w:val="21"/>
                      <w:lang w:bidi="ar"/>
                    </w:rPr>
                  </w:pPr>
                </w:p>
              </w:tc>
            </w:tr>
            <w:tr w14:paraId="28232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82" w:type="pct"/>
                  <w:vMerge w:val="continue"/>
                  <w:tcBorders>
                    <w:tl2br w:val="nil"/>
                    <w:tr2bl w:val="nil"/>
                  </w:tcBorders>
                  <w:vAlign w:val="center"/>
                </w:tcPr>
                <w:p w14:paraId="5AD6A6F3">
                  <w:pPr>
                    <w:pStyle w:val="69"/>
                    <w:rPr>
                      <w:color w:val="auto"/>
                      <w:sz w:val="21"/>
                      <w:szCs w:val="21"/>
                    </w:rPr>
                  </w:pPr>
                </w:p>
              </w:tc>
              <w:tc>
                <w:tcPr>
                  <w:tcW w:w="282" w:type="pct"/>
                  <w:vMerge w:val="continue"/>
                  <w:tcBorders>
                    <w:tl2br w:val="nil"/>
                    <w:tr2bl w:val="nil"/>
                  </w:tcBorders>
                  <w:vAlign w:val="center"/>
                </w:tcPr>
                <w:p w14:paraId="2747A507">
                  <w:pPr>
                    <w:pStyle w:val="69"/>
                    <w:rPr>
                      <w:color w:val="auto"/>
                      <w:sz w:val="21"/>
                      <w:szCs w:val="21"/>
                    </w:rPr>
                  </w:pPr>
                </w:p>
              </w:tc>
              <w:tc>
                <w:tcPr>
                  <w:tcW w:w="3761" w:type="pct"/>
                  <w:tcBorders>
                    <w:tl2br w:val="nil"/>
                    <w:tr2bl w:val="nil"/>
                  </w:tcBorders>
                  <w:vAlign w:val="center"/>
                </w:tcPr>
                <w:p w14:paraId="19B25117">
                  <w:pPr>
                    <w:jc w:val="left"/>
                    <w:rPr>
                      <w:rFonts w:hint="eastAsia"/>
                      <w:color w:val="auto"/>
                      <w:sz w:val="21"/>
                      <w:szCs w:val="21"/>
                    </w:rPr>
                  </w:pPr>
                  <w:r>
                    <w:rPr>
                      <w:rFonts w:hint="eastAsia"/>
                      <w:bCs/>
                      <w:color w:val="auto"/>
                      <w:sz w:val="21"/>
                      <w:szCs w:val="21"/>
                      <w:lang w:val="en-US" w:eastAsia="zh-CN"/>
                    </w:rPr>
                    <w:t>不合格原料</w:t>
                  </w:r>
                  <w:r>
                    <w:rPr>
                      <w:rFonts w:hint="eastAsia"/>
                      <w:color w:val="auto"/>
                      <w:sz w:val="21"/>
                      <w:szCs w:val="21"/>
                      <w:lang w:eastAsia="zh-CN"/>
                    </w:rPr>
                    <w:t>：</w:t>
                  </w:r>
                  <w:r>
                    <w:rPr>
                      <w:rFonts w:hint="eastAsia"/>
                      <w:bCs/>
                      <w:color w:val="auto"/>
                      <w:sz w:val="21"/>
                      <w:szCs w:val="21"/>
                      <w:lang w:val="en-US" w:eastAsia="zh-CN"/>
                    </w:rPr>
                    <w:t>收集后委托专门收集厨余垃圾部门清运。</w:t>
                  </w:r>
                </w:p>
              </w:tc>
              <w:tc>
                <w:tcPr>
                  <w:tcW w:w="672" w:type="pct"/>
                  <w:vMerge w:val="continue"/>
                  <w:tcBorders>
                    <w:tl2br w:val="nil"/>
                    <w:tr2bl w:val="nil"/>
                  </w:tcBorders>
                  <w:vAlign w:val="center"/>
                </w:tcPr>
                <w:p w14:paraId="447C82E6">
                  <w:pPr>
                    <w:widowControl/>
                    <w:jc w:val="center"/>
                    <w:textAlignment w:val="center"/>
                    <w:rPr>
                      <w:rFonts w:hint="eastAsia"/>
                      <w:color w:val="auto"/>
                      <w:kern w:val="0"/>
                      <w:sz w:val="21"/>
                      <w:szCs w:val="21"/>
                      <w:lang w:bidi="ar"/>
                    </w:rPr>
                  </w:pPr>
                </w:p>
              </w:tc>
            </w:tr>
            <w:tr w14:paraId="69385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82" w:type="pct"/>
                  <w:vMerge w:val="continue"/>
                  <w:tcBorders>
                    <w:tl2br w:val="nil"/>
                    <w:tr2bl w:val="nil"/>
                  </w:tcBorders>
                  <w:vAlign w:val="center"/>
                </w:tcPr>
                <w:p w14:paraId="23D83B9B">
                  <w:pPr>
                    <w:pStyle w:val="69"/>
                    <w:rPr>
                      <w:color w:val="auto"/>
                      <w:sz w:val="21"/>
                      <w:szCs w:val="21"/>
                    </w:rPr>
                  </w:pPr>
                </w:p>
              </w:tc>
              <w:tc>
                <w:tcPr>
                  <w:tcW w:w="282" w:type="pct"/>
                  <w:vMerge w:val="continue"/>
                  <w:tcBorders>
                    <w:tl2br w:val="nil"/>
                    <w:tr2bl w:val="nil"/>
                  </w:tcBorders>
                  <w:vAlign w:val="center"/>
                </w:tcPr>
                <w:p w14:paraId="08B395CD">
                  <w:pPr>
                    <w:pStyle w:val="69"/>
                    <w:rPr>
                      <w:color w:val="auto"/>
                      <w:sz w:val="21"/>
                      <w:szCs w:val="21"/>
                    </w:rPr>
                  </w:pPr>
                </w:p>
              </w:tc>
              <w:tc>
                <w:tcPr>
                  <w:tcW w:w="3761" w:type="pct"/>
                  <w:tcBorders>
                    <w:tl2br w:val="nil"/>
                    <w:tr2bl w:val="nil"/>
                  </w:tcBorders>
                  <w:vAlign w:val="center"/>
                </w:tcPr>
                <w:p w14:paraId="0249A466">
                  <w:pPr>
                    <w:jc w:val="left"/>
                    <w:rPr>
                      <w:rFonts w:hint="eastAsia"/>
                      <w:color w:val="auto"/>
                      <w:sz w:val="21"/>
                      <w:szCs w:val="21"/>
                    </w:rPr>
                  </w:pPr>
                  <w:r>
                    <w:rPr>
                      <w:rFonts w:hint="eastAsia"/>
                      <w:bCs/>
                      <w:color w:val="auto"/>
                      <w:sz w:val="21"/>
                      <w:szCs w:val="21"/>
                      <w:lang w:val="en-US" w:eastAsia="zh-CN"/>
                    </w:rPr>
                    <w:t>废油脂</w:t>
                  </w:r>
                  <w:r>
                    <w:rPr>
                      <w:rFonts w:hint="eastAsia"/>
                      <w:bCs/>
                      <w:color w:val="auto"/>
                      <w:sz w:val="21"/>
                      <w:szCs w:val="21"/>
                      <w:lang w:eastAsia="zh-CN"/>
                    </w:rPr>
                    <w:t>：</w:t>
                  </w:r>
                  <w:r>
                    <w:rPr>
                      <w:rFonts w:hint="eastAsia"/>
                      <w:bCs/>
                      <w:color w:val="auto"/>
                      <w:sz w:val="21"/>
                      <w:szCs w:val="21"/>
                      <w:lang w:val="en-US" w:eastAsia="zh-CN"/>
                    </w:rPr>
                    <w:t>收集后委托专门收集厨余垃圾部门清运。</w:t>
                  </w:r>
                </w:p>
              </w:tc>
              <w:tc>
                <w:tcPr>
                  <w:tcW w:w="672" w:type="pct"/>
                  <w:vMerge w:val="continue"/>
                  <w:tcBorders>
                    <w:tl2br w:val="nil"/>
                    <w:tr2bl w:val="nil"/>
                  </w:tcBorders>
                  <w:vAlign w:val="center"/>
                </w:tcPr>
                <w:p w14:paraId="1A2BB8FB">
                  <w:pPr>
                    <w:widowControl/>
                    <w:jc w:val="center"/>
                    <w:textAlignment w:val="center"/>
                    <w:rPr>
                      <w:rFonts w:hint="eastAsia"/>
                      <w:color w:val="auto"/>
                      <w:kern w:val="0"/>
                      <w:sz w:val="21"/>
                      <w:szCs w:val="21"/>
                      <w:lang w:bidi="ar"/>
                    </w:rPr>
                  </w:pPr>
                </w:p>
              </w:tc>
            </w:tr>
            <w:tr w14:paraId="15BB5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82" w:type="pct"/>
                  <w:vMerge w:val="continue"/>
                  <w:tcBorders>
                    <w:tl2br w:val="nil"/>
                    <w:tr2bl w:val="nil"/>
                  </w:tcBorders>
                  <w:vAlign w:val="center"/>
                </w:tcPr>
                <w:p w14:paraId="2BD8031F">
                  <w:pPr>
                    <w:pStyle w:val="69"/>
                    <w:rPr>
                      <w:color w:val="auto"/>
                      <w:sz w:val="21"/>
                      <w:szCs w:val="21"/>
                    </w:rPr>
                  </w:pPr>
                </w:p>
              </w:tc>
              <w:tc>
                <w:tcPr>
                  <w:tcW w:w="282" w:type="pct"/>
                  <w:vMerge w:val="continue"/>
                  <w:tcBorders>
                    <w:tl2br w:val="nil"/>
                    <w:tr2bl w:val="nil"/>
                  </w:tcBorders>
                  <w:vAlign w:val="center"/>
                </w:tcPr>
                <w:p w14:paraId="2B57D475">
                  <w:pPr>
                    <w:pStyle w:val="69"/>
                    <w:rPr>
                      <w:color w:val="auto"/>
                      <w:sz w:val="21"/>
                      <w:szCs w:val="21"/>
                    </w:rPr>
                  </w:pPr>
                </w:p>
              </w:tc>
              <w:tc>
                <w:tcPr>
                  <w:tcW w:w="3761" w:type="pct"/>
                  <w:tcBorders>
                    <w:tl2br w:val="nil"/>
                    <w:tr2bl w:val="nil"/>
                  </w:tcBorders>
                  <w:vAlign w:val="center"/>
                </w:tcPr>
                <w:p w14:paraId="684D7857">
                  <w:pPr>
                    <w:jc w:val="left"/>
                    <w:rPr>
                      <w:rFonts w:hint="eastAsia" w:eastAsia="宋体"/>
                      <w:color w:val="auto"/>
                      <w:sz w:val="21"/>
                      <w:szCs w:val="21"/>
                      <w:lang w:eastAsia="zh-CN"/>
                    </w:rPr>
                  </w:pPr>
                  <w:r>
                    <w:rPr>
                      <w:rFonts w:hint="eastAsia"/>
                      <w:color w:val="auto"/>
                      <w:kern w:val="2"/>
                      <w:sz w:val="21"/>
                      <w:szCs w:val="21"/>
                      <w:lang w:val="en-US" w:eastAsia="zh-CN"/>
                    </w:rPr>
                    <w:t>格栅垃圾</w:t>
                  </w:r>
                  <w:r>
                    <w:rPr>
                      <w:rFonts w:hint="eastAsia"/>
                      <w:bCs/>
                      <w:color w:val="auto"/>
                      <w:sz w:val="21"/>
                      <w:szCs w:val="21"/>
                      <w:lang w:eastAsia="zh-CN"/>
                    </w:rPr>
                    <w:t>：</w:t>
                  </w:r>
                  <w:r>
                    <w:rPr>
                      <w:rFonts w:hint="eastAsia"/>
                      <w:color w:val="auto"/>
                      <w:sz w:val="21"/>
                      <w:szCs w:val="21"/>
                      <w:lang w:eastAsia="zh-CN"/>
                    </w:rPr>
                    <w:t>送至有机肥生产企业堆肥场堆肥或镶黄旗生活垃圾焚烧场进行合理化处理。</w:t>
                  </w:r>
                </w:p>
              </w:tc>
              <w:tc>
                <w:tcPr>
                  <w:tcW w:w="672" w:type="pct"/>
                  <w:vMerge w:val="continue"/>
                  <w:tcBorders>
                    <w:tl2br w:val="nil"/>
                    <w:tr2bl w:val="nil"/>
                  </w:tcBorders>
                  <w:vAlign w:val="center"/>
                </w:tcPr>
                <w:p w14:paraId="753988ED">
                  <w:pPr>
                    <w:widowControl/>
                    <w:jc w:val="center"/>
                    <w:textAlignment w:val="center"/>
                    <w:rPr>
                      <w:rFonts w:hint="eastAsia"/>
                      <w:color w:val="auto"/>
                      <w:kern w:val="0"/>
                      <w:sz w:val="21"/>
                      <w:szCs w:val="21"/>
                      <w:lang w:bidi="ar"/>
                    </w:rPr>
                  </w:pPr>
                </w:p>
              </w:tc>
            </w:tr>
            <w:tr w14:paraId="25845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82" w:type="pct"/>
                  <w:vMerge w:val="continue"/>
                  <w:tcBorders>
                    <w:tl2br w:val="nil"/>
                    <w:tr2bl w:val="nil"/>
                  </w:tcBorders>
                  <w:vAlign w:val="center"/>
                </w:tcPr>
                <w:p w14:paraId="2FD6E408">
                  <w:pPr>
                    <w:adjustRightInd/>
                    <w:snapToGrid/>
                    <w:jc w:val="center"/>
                    <w:rPr>
                      <w:color w:val="auto"/>
                      <w:sz w:val="21"/>
                      <w:szCs w:val="21"/>
                    </w:rPr>
                  </w:pPr>
                </w:p>
              </w:tc>
              <w:tc>
                <w:tcPr>
                  <w:tcW w:w="282" w:type="pct"/>
                  <w:vMerge w:val="continue"/>
                  <w:tcBorders>
                    <w:tl2br w:val="nil"/>
                    <w:tr2bl w:val="nil"/>
                  </w:tcBorders>
                  <w:vAlign w:val="center"/>
                </w:tcPr>
                <w:p w14:paraId="50DA04F4">
                  <w:pPr>
                    <w:adjustRightInd/>
                    <w:snapToGrid/>
                    <w:jc w:val="center"/>
                    <w:rPr>
                      <w:color w:val="auto"/>
                      <w:sz w:val="21"/>
                      <w:szCs w:val="21"/>
                    </w:rPr>
                  </w:pPr>
                </w:p>
              </w:tc>
              <w:tc>
                <w:tcPr>
                  <w:tcW w:w="3761" w:type="pct"/>
                  <w:tcBorders>
                    <w:tl2br w:val="nil"/>
                    <w:tr2bl w:val="nil"/>
                  </w:tcBorders>
                  <w:vAlign w:val="center"/>
                </w:tcPr>
                <w:p w14:paraId="2FC3286C">
                  <w:pPr>
                    <w:pStyle w:val="169"/>
                    <w:jc w:val="both"/>
                    <w:rPr>
                      <w:color w:val="auto"/>
                      <w:sz w:val="21"/>
                      <w:szCs w:val="21"/>
                    </w:rPr>
                  </w:pPr>
                  <w:r>
                    <w:rPr>
                      <w:rFonts w:hint="eastAsia"/>
                      <w:color w:val="auto"/>
                      <w:sz w:val="21"/>
                      <w:szCs w:val="21"/>
                    </w:rPr>
                    <w:t>生活垃圾设垃圾箱，定期由环卫部门清运。</w:t>
                  </w:r>
                </w:p>
              </w:tc>
              <w:tc>
                <w:tcPr>
                  <w:tcW w:w="672" w:type="pct"/>
                  <w:vMerge w:val="continue"/>
                  <w:tcBorders>
                    <w:tl2br w:val="nil"/>
                    <w:tr2bl w:val="nil"/>
                  </w:tcBorders>
                  <w:vAlign w:val="center"/>
                </w:tcPr>
                <w:p w14:paraId="04E5ECEF">
                  <w:pPr>
                    <w:widowControl/>
                    <w:jc w:val="center"/>
                    <w:textAlignment w:val="center"/>
                    <w:rPr>
                      <w:color w:val="auto"/>
                      <w:sz w:val="21"/>
                      <w:szCs w:val="21"/>
                    </w:rPr>
                  </w:pPr>
                </w:p>
              </w:tc>
            </w:tr>
            <w:tr w14:paraId="4F899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82" w:type="pct"/>
                  <w:vMerge w:val="continue"/>
                  <w:tcBorders>
                    <w:tl2br w:val="nil"/>
                    <w:tr2bl w:val="nil"/>
                  </w:tcBorders>
                  <w:vAlign w:val="center"/>
                </w:tcPr>
                <w:p w14:paraId="32A0AB97">
                  <w:pPr>
                    <w:adjustRightInd/>
                    <w:snapToGrid/>
                    <w:jc w:val="center"/>
                    <w:rPr>
                      <w:color w:val="auto"/>
                      <w:sz w:val="21"/>
                      <w:szCs w:val="21"/>
                    </w:rPr>
                  </w:pPr>
                </w:p>
              </w:tc>
              <w:tc>
                <w:tcPr>
                  <w:tcW w:w="282" w:type="pct"/>
                  <w:vMerge w:val="continue"/>
                  <w:tcBorders>
                    <w:tl2br w:val="nil"/>
                    <w:tr2bl w:val="nil"/>
                  </w:tcBorders>
                  <w:vAlign w:val="center"/>
                </w:tcPr>
                <w:p w14:paraId="40B4069F">
                  <w:pPr>
                    <w:adjustRightInd/>
                    <w:snapToGrid/>
                    <w:jc w:val="center"/>
                    <w:rPr>
                      <w:color w:val="auto"/>
                      <w:sz w:val="21"/>
                      <w:szCs w:val="21"/>
                    </w:rPr>
                  </w:pPr>
                </w:p>
              </w:tc>
              <w:tc>
                <w:tcPr>
                  <w:tcW w:w="3761" w:type="pct"/>
                  <w:tcBorders>
                    <w:tl2br w:val="nil"/>
                    <w:tr2bl w:val="nil"/>
                  </w:tcBorders>
                  <w:vAlign w:val="center"/>
                </w:tcPr>
                <w:p w14:paraId="25072319">
                  <w:pPr>
                    <w:pStyle w:val="169"/>
                    <w:jc w:val="both"/>
                    <w:rPr>
                      <w:rFonts w:hint="eastAsia"/>
                      <w:color w:val="auto"/>
                      <w:sz w:val="21"/>
                      <w:szCs w:val="21"/>
                    </w:rPr>
                  </w:pPr>
                  <w:r>
                    <w:rPr>
                      <w:rFonts w:hint="eastAsia"/>
                      <w:bCs/>
                      <w:color w:val="auto"/>
                      <w:lang w:val="en-US" w:eastAsia="zh-CN"/>
                    </w:rPr>
                    <w:t>项目产生的废反渗透膜直接由厂家进行更换，不在厂内储存</w:t>
                  </w:r>
                </w:p>
              </w:tc>
              <w:tc>
                <w:tcPr>
                  <w:tcW w:w="672" w:type="pct"/>
                  <w:vMerge w:val="continue"/>
                  <w:tcBorders>
                    <w:tl2br w:val="nil"/>
                    <w:tr2bl w:val="nil"/>
                  </w:tcBorders>
                  <w:vAlign w:val="center"/>
                </w:tcPr>
                <w:p w14:paraId="4A9A6F56">
                  <w:pPr>
                    <w:widowControl/>
                    <w:jc w:val="center"/>
                    <w:textAlignment w:val="center"/>
                    <w:rPr>
                      <w:color w:val="auto"/>
                      <w:sz w:val="21"/>
                      <w:szCs w:val="21"/>
                    </w:rPr>
                  </w:pPr>
                </w:p>
              </w:tc>
            </w:tr>
            <w:tr w14:paraId="2CBFD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282" w:type="pct"/>
                  <w:vMerge w:val="continue"/>
                  <w:tcBorders>
                    <w:tl2br w:val="nil"/>
                    <w:tr2bl w:val="nil"/>
                  </w:tcBorders>
                  <w:vAlign w:val="center"/>
                </w:tcPr>
                <w:p w14:paraId="716F7A04">
                  <w:pPr>
                    <w:adjustRightInd/>
                    <w:snapToGrid/>
                    <w:jc w:val="center"/>
                    <w:rPr>
                      <w:rFonts w:hint="eastAsia" w:eastAsia="宋体"/>
                      <w:color w:val="auto"/>
                      <w:sz w:val="21"/>
                      <w:szCs w:val="21"/>
                      <w:lang w:val="en-US" w:eastAsia="zh-CN"/>
                    </w:rPr>
                  </w:pPr>
                </w:p>
              </w:tc>
              <w:tc>
                <w:tcPr>
                  <w:tcW w:w="282" w:type="pct"/>
                  <w:tcBorders>
                    <w:tl2br w:val="nil"/>
                    <w:tr2bl w:val="nil"/>
                  </w:tcBorders>
                  <w:vAlign w:val="center"/>
                </w:tcPr>
                <w:p w14:paraId="308D997D">
                  <w:pPr>
                    <w:adjustRightInd/>
                    <w:snapToGrid/>
                    <w:jc w:val="center"/>
                    <w:rPr>
                      <w:rFonts w:hint="eastAsia"/>
                      <w:color w:val="auto"/>
                      <w:sz w:val="21"/>
                      <w:szCs w:val="21"/>
                      <w:lang w:val="en-US" w:eastAsia="zh-CN"/>
                    </w:rPr>
                  </w:pPr>
                  <w:r>
                    <w:rPr>
                      <w:rFonts w:hint="eastAsia"/>
                      <w:color w:val="auto"/>
                      <w:sz w:val="21"/>
                      <w:szCs w:val="21"/>
                      <w:lang w:val="en-US" w:eastAsia="zh-CN"/>
                    </w:rPr>
                    <w:t>危险废物</w:t>
                  </w:r>
                </w:p>
              </w:tc>
              <w:tc>
                <w:tcPr>
                  <w:tcW w:w="3761" w:type="pct"/>
                  <w:tcBorders>
                    <w:tl2br w:val="nil"/>
                    <w:tr2bl w:val="nil"/>
                  </w:tcBorders>
                  <w:vAlign w:val="center"/>
                </w:tcPr>
                <w:p w14:paraId="2B7D4A7A">
                  <w:pPr>
                    <w:pStyle w:val="169"/>
                    <w:jc w:val="both"/>
                    <w:rPr>
                      <w:rFonts w:hint="eastAsia"/>
                      <w:color w:val="auto"/>
                      <w:sz w:val="21"/>
                      <w:szCs w:val="21"/>
                    </w:rPr>
                  </w:pPr>
                  <w:r>
                    <w:rPr>
                      <w:rFonts w:hint="eastAsia"/>
                      <w:bCs/>
                      <w:color w:val="auto"/>
                      <w:lang w:val="en-US" w:eastAsia="zh-CN"/>
                    </w:rPr>
                    <w:t>废活性炭由厂家定期进行更换，不在厂内储存</w:t>
                  </w:r>
                </w:p>
              </w:tc>
              <w:tc>
                <w:tcPr>
                  <w:tcW w:w="672" w:type="pct"/>
                  <w:vMerge w:val="continue"/>
                  <w:tcBorders>
                    <w:tl2br w:val="nil"/>
                    <w:tr2bl w:val="nil"/>
                  </w:tcBorders>
                  <w:vAlign w:val="center"/>
                </w:tcPr>
                <w:p w14:paraId="38A4376B">
                  <w:pPr>
                    <w:widowControl/>
                    <w:jc w:val="center"/>
                    <w:textAlignment w:val="center"/>
                    <w:rPr>
                      <w:color w:val="auto"/>
                      <w:sz w:val="21"/>
                      <w:szCs w:val="21"/>
                    </w:rPr>
                  </w:pPr>
                </w:p>
              </w:tc>
            </w:tr>
            <w:tr w14:paraId="5B633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4327" w:type="pct"/>
                  <w:gridSpan w:val="3"/>
                  <w:tcBorders>
                    <w:tl2br w:val="nil"/>
                    <w:tr2bl w:val="nil"/>
                  </w:tcBorders>
                  <w:vAlign w:val="center"/>
                </w:tcPr>
                <w:p w14:paraId="0392E10F">
                  <w:pPr>
                    <w:adjustRightInd/>
                    <w:snapToGrid/>
                    <w:jc w:val="center"/>
                    <w:rPr>
                      <w:color w:val="auto"/>
                      <w:sz w:val="21"/>
                      <w:szCs w:val="21"/>
                    </w:rPr>
                  </w:pPr>
                  <w:r>
                    <w:rPr>
                      <w:color w:val="auto"/>
                      <w:sz w:val="21"/>
                      <w:szCs w:val="21"/>
                    </w:rPr>
                    <w:t>合计</w:t>
                  </w:r>
                </w:p>
              </w:tc>
              <w:tc>
                <w:tcPr>
                  <w:tcW w:w="672" w:type="pct"/>
                  <w:tcBorders>
                    <w:tl2br w:val="nil"/>
                    <w:tr2bl w:val="nil"/>
                  </w:tcBorders>
                  <w:vAlign w:val="center"/>
                </w:tcPr>
                <w:p w14:paraId="4CA77F09">
                  <w:pPr>
                    <w:pStyle w:val="169"/>
                    <w:rPr>
                      <w:rFonts w:hint="default" w:eastAsia="宋体"/>
                      <w:color w:val="auto"/>
                      <w:sz w:val="21"/>
                      <w:szCs w:val="21"/>
                      <w:lang w:val="en-US" w:eastAsia="zh-CN"/>
                    </w:rPr>
                  </w:pPr>
                  <w:r>
                    <w:rPr>
                      <w:rFonts w:hint="eastAsia"/>
                      <w:color w:val="auto"/>
                      <w:sz w:val="21"/>
                      <w:szCs w:val="21"/>
                      <w:lang w:val="en-US" w:eastAsia="zh-CN"/>
                    </w:rPr>
                    <w:t>13</w:t>
                  </w:r>
                </w:p>
              </w:tc>
            </w:tr>
          </w:tbl>
          <w:p w14:paraId="0E642A30">
            <w:pPr>
              <w:widowControl/>
              <w:adjustRightInd/>
              <w:snapToGrid/>
              <w:jc w:val="center"/>
              <w:rPr>
                <w:b/>
                <w:color w:val="auto"/>
                <w:kern w:val="0"/>
                <w:szCs w:val="21"/>
              </w:rPr>
            </w:pPr>
            <w:r>
              <w:rPr>
                <w:b/>
                <w:color w:val="auto"/>
                <w:kern w:val="0"/>
                <w:szCs w:val="21"/>
              </w:rPr>
              <w:t>表5-2“三同时”验收一览表</w:t>
            </w:r>
          </w:p>
          <w:tbl>
            <w:tblPr>
              <w:tblStyle w:val="32"/>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426"/>
              <w:gridCol w:w="426"/>
              <w:gridCol w:w="833"/>
              <w:gridCol w:w="1166"/>
              <w:gridCol w:w="2599"/>
              <w:gridCol w:w="1511"/>
            </w:tblGrid>
            <w:tr w14:paraId="56F2F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76" w:type="pct"/>
                  <w:gridSpan w:val="2"/>
                  <w:tcBorders>
                    <w:tl2br w:val="nil"/>
                    <w:tr2bl w:val="nil"/>
                  </w:tcBorders>
                  <w:vAlign w:val="center"/>
                </w:tcPr>
                <w:p w14:paraId="69C950C0">
                  <w:pPr>
                    <w:pStyle w:val="169"/>
                    <w:rPr>
                      <w:b/>
                      <w:bCs/>
                      <w:color w:val="auto"/>
                      <w:sz w:val="21"/>
                      <w:szCs w:val="21"/>
                    </w:rPr>
                  </w:pPr>
                  <w:r>
                    <w:rPr>
                      <w:b/>
                      <w:bCs/>
                      <w:color w:val="auto"/>
                      <w:sz w:val="21"/>
                      <w:szCs w:val="21"/>
                    </w:rPr>
                    <w:t>种类</w:t>
                  </w:r>
                </w:p>
              </w:tc>
              <w:tc>
                <w:tcPr>
                  <w:tcW w:w="852" w:type="pct"/>
                  <w:gridSpan w:val="2"/>
                  <w:tcBorders>
                    <w:tl2br w:val="nil"/>
                    <w:tr2bl w:val="nil"/>
                  </w:tcBorders>
                  <w:vAlign w:val="center"/>
                </w:tcPr>
                <w:p w14:paraId="450B92D7">
                  <w:pPr>
                    <w:pStyle w:val="169"/>
                    <w:rPr>
                      <w:b/>
                      <w:bCs/>
                      <w:color w:val="auto"/>
                      <w:sz w:val="21"/>
                      <w:szCs w:val="21"/>
                    </w:rPr>
                  </w:pPr>
                  <w:r>
                    <w:rPr>
                      <w:b/>
                      <w:bCs/>
                      <w:color w:val="auto"/>
                      <w:sz w:val="21"/>
                      <w:szCs w:val="21"/>
                    </w:rPr>
                    <w:t>产物环节</w:t>
                  </w:r>
                </w:p>
              </w:tc>
              <w:tc>
                <w:tcPr>
                  <w:tcW w:w="789" w:type="pct"/>
                  <w:tcBorders>
                    <w:tl2br w:val="nil"/>
                    <w:tr2bl w:val="nil"/>
                  </w:tcBorders>
                  <w:vAlign w:val="center"/>
                </w:tcPr>
                <w:p w14:paraId="518E12C7">
                  <w:pPr>
                    <w:pStyle w:val="169"/>
                    <w:rPr>
                      <w:b/>
                      <w:bCs/>
                      <w:color w:val="auto"/>
                      <w:sz w:val="21"/>
                      <w:szCs w:val="21"/>
                    </w:rPr>
                  </w:pPr>
                  <w:r>
                    <w:rPr>
                      <w:b/>
                      <w:bCs/>
                      <w:color w:val="auto"/>
                      <w:sz w:val="21"/>
                      <w:szCs w:val="21"/>
                    </w:rPr>
                    <w:t>污染物</w:t>
                  </w:r>
                </w:p>
              </w:tc>
              <w:tc>
                <w:tcPr>
                  <w:tcW w:w="1758" w:type="pct"/>
                  <w:tcBorders>
                    <w:tl2br w:val="nil"/>
                    <w:tr2bl w:val="nil"/>
                  </w:tcBorders>
                  <w:vAlign w:val="center"/>
                </w:tcPr>
                <w:p w14:paraId="62F185B4">
                  <w:pPr>
                    <w:pStyle w:val="169"/>
                    <w:rPr>
                      <w:b/>
                      <w:bCs/>
                      <w:color w:val="auto"/>
                      <w:sz w:val="21"/>
                      <w:szCs w:val="21"/>
                    </w:rPr>
                  </w:pPr>
                  <w:r>
                    <w:rPr>
                      <w:b/>
                      <w:bCs/>
                      <w:color w:val="auto"/>
                      <w:sz w:val="21"/>
                      <w:szCs w:val="21"/>
                    </w:rPr>
                    <w:t>环保措施</w:t>
                  </w:r>
                </w:p>
              </w:tc>
              <w:tc>
                <w:tcPr>
                  <w:tcW w:w="1022" w:type="pct"/>
                  <w:tcBorders>
                    <w:tl2br w:val="nil"/>
                    <w:tr2bl w:val="nil"/>
                  </w:tcBorders>
                  <w:vAlign w:val="center"/>
                </w:tcPr>
                <w:p w14:paraId="27ACA02A">
                  <w:pPr>
                    <w:pStyle w:val="169"/>
                    <w:rPr>
                      <w:b/>
                      <w:bCs/>
                      <w:color w:val="auto"/>
                      <w:sz w:val="21"/>
                      <w:szCs w:val="21"/>
                    </w:rPr>
                  </w:pPr>
                  <w:r>
                    <w:rPr>
                      <w:b/>
                      <w:bCs/>
                      <w:color w:val="auto"/>
                      <w:sz w:val="21"/>
                      <w:szCs w:val="21"/>
                    </w:rPr>
                    <w:t>验收要求</w:t>
                  </w:r>
                </w:p>
              </w:tc>
            </w:tr>
            <w:tr w14:paraId="3B8A5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576" w:type="pct"/>
                  <w:gridSpan w:val="2"/>
                  <w:vMerge w:val="restart"/>
                  <w:tcBorders>
                    <w:tl2br w:val="nil"/>
                    <w:tr2bl w:val="nil"/>
                  </w:tcBorders>
                  <w:vAlign w:val="center"/>
                </w:tcPr>
                <w:p w14:paraId="2605FC3E">
                  <w:pPr>
                    <w:pStyle w:val="169"/>
                    <w:rPr>
                      <w:color w:val="auto"/>
                      <w:sz w:val="21"/>
                      <w:szCs w:val="21"/>
                    </w:rPr>
                  </w:pPr>
                  <w:r>
                    <w:rPr>
                      <w:color w:val="auto"/>
                      <w:sz w:val="21"/>
                      <w:szCs w:val="21"/>
                    </w:rPr>
                    <w:t>废气</w:t>
                  </w:r>
                </w:p>
              </w:tc>
              <w:tc>
                <w:tcPr>
                  <w:tcW w:w="288" w:type="pct"/>
                  <w:vMerge w:val="restart"/>
                  <w:tcBorders>
                    <w:tl2br w:val="nil"/>
                    <w:tr2bl w:val="nil"/>
                  </w:tcBorders>
                  <w:vAlign w:val="center"/>
                </w:tcPr>
                <w:p w14:paraId="2A42976A">
                  <w:pPr>
                    <w:pStyle w:val="169"/>
                    <w:rPr>
                      <w:color w:val="auto"/>
                      <w:sz w:val="21"/>
                      <w:szCs w:val="21"/>
                    </w:rPr>
                  </w:pPr>
                  <w:r>
                    <w:rPr>
                      <w:color w:val="auto"/>
                      <w:sz w:val="21"/>
                      <w:szCs w:val="21"/>
                    </w:rPr>
                    <w:t>有组织</w:t>
                  </w:r>
                </w:p>
              </w:tc>
              <w:tc>
                <w:tcPr>
                  <w:tcW w:w="563" w:type="pct"/>
                  <w:tcBorders>
                    <w:tl2br w:val="nil"/>
                    <w:tr2bl w:val="nil"/>
                  </w:tcBorders>
                  <w:vAlign w:val="center"/>
                </w:tcPr>
                <w:p w14:paraId="44470B8A">
                  <w:pPr>
                    <w:pStyle w:val="169"/>
                    <w:rPr>
                      <w:color w:val="auto"/>
                      <w:sz w:val="21"/>
                      <w:szCs w:val="21"/>
                    </w:rPr>
                  </w:pPr>
                  <w:r>
                    <w:rPr>
                      <w:color w:val="auto"/>
                      <w:sz w:val="21"/>
                      <w:szCs w:val="21"/>
                    </w:rPr>
                    <w:t>污水处理站</w:t>
                  </w:r>
                </w:p>
              </w:tc>
              <w:tc>
                <w:tcPr>
                  <w:tcW w:w="789" w:type="pct"/>
                  <w:tcBorders>
                    <w:tl2br w:val="nil"/>
                    <w:tr2bl w:val="nil"/>
                  </w:tcBorders>
                  <w:vAlign w:val="center"/>
                </w:tcPr>
                <w:p w14:paraId="02BF887C">
                  <w:pPr>
                    <w:pStyle w:val="169"/>
                    <w:rPr>
                      <w:rFonts w:hint="default" w:eastAsia="宋体"/>
                      <w:color w:val="auto"/>
                      <w:sz w:val="21"/>
                      <w:szCs w:val="21"/>
                      <w:lang w:val="en-US" w:eastAsia="zh-CN"/>
                    </w:rPr>
                  </w:pPr>
                  <w:r>
                    <w:rPr>
                      <w:color w:val="auto"/>
                      <w:sz w:val="21"/>
                      <w:szCs w:val="21"/>
                    </w:rPr>
                    <w:t>NH</w:t>
                  </w:r>
                  <w:r>
                    <w:rPr>
                      <w:color w:val="auto"/>
                      <w:sz w:val="21"/>
                      <w:szCs w:val="21"/>
                      <w:vertAlign w:val="subscript"/>
                    </w:rPr>
                    <w:t>3</w:t>
                  </w:r>
                  <w:r>
                    <w:rPr>
                      <w:color w:val="auto"/>
                      <w:sz w:val="21"/>
                      <w:szCs w:val="21"/>
                    </w:rPr>
                    <w:t>、H</w:t>
                  </w:r>
                  <w:r>
                    <w:rPr>
                      <w:color w:val="auto"/>
                      <w:sz w:val="21"/>
                      <w:szCs w:val="21"/>
                      <w:vertAlign w:val="subscript"/>
                    </w:rPr>
                    <w:t>2</w:t>
                  </w:r>
                  <w:r>
                    <w:rPr>
                      <w:color w:val="auto"/>
                      <w:sz w:val="21"/>
                      <w:szCs w:val="21"/>
                    </w:rPr>
                    <w:t>S</w:t>
                  </w:r>
                  <w:r>
                    <w:rPr>
                      <w:rFonts w:hint="eastAsia"/>
                      <w:color w:val="auto"/>
                      <w:sz w:val="21"/>
                      <w:szCs w:val="21"/>
                      <w:lang w:eastAsia="zh-CN"/>
                    </w:rPr>
                    <w:t>、</w:t>
                  </w:r>
                  <w:r>
                    <w:rPr>
                      <w:rFonts w:hint="eastAsia"/>
                      <w:color w:val="auto"/>
                      <w:sz w:val="21"/>
                      <w:szCs w:val="21"/>
                      <w:lang w:val="en-US" w:eastAsia="zh-CN"/>
                    </w:rPr>
                    <w:t>臭气浓度</w:t>
                  </w:r>
                </w:p>
              </w:tc>
              <w:tc>
                <w:tcPr>
                  <w:tcW w:w="1758" w:type="pct"/>
                  <w:tcBorders>
                    <w:tl2br w:val="nil"/>
                    <w:tr2bl w:val="nil"/>
                  </w:tcBorders>
                  <w:vAlign w:val="center"/>
                </w:tcPr>
                <w:p w14:paraId="049BDA60">
                  <w:pPr>
                    <w:pStyle w:val="169"/>
                    <w:rPr>
                      <w:color w:val="auto"/>
                      <w:sz w:val="21"/>
                      <w:szCs w:val="21"/>
                    </w:rPr>
                  </w:pPr>
                  <w:r>
                    <w:rPr>
                      <w:color w:val="auto"/>
                      <w:sz w:val="21"/>
                      <w:szCs w:val="21"/>
                    </w:rPr>
                    <w:t>密闭收集，采用</w:t>
                  </w:r>
                  <w:r>
                    <w:rPr>
                      <w:rFonts w:hint="eastAsia"/>
                      <w:color w:val="auto"/>
                      <w:sz w:val="21"/>
                      <w:szCs w:val="21"/>
                      <w:lang w:val="en-US" w:eastAsia="zh-CN"/>
                    </w:rPr>
                    <w:t>活性炭吸附</w:t>
                  </w:r>
                  <w:r>
                    <w:rPr>
                      <w:color w:val="auto"/>
                      <w:sz w:val="21"/>
                      <w:szCs w:val="21"/>
                    </w:rPr>
                    <w:t>进行除臭后</w:t>
                  </w:r>
                  <w:r>
                    <w:rPr>
                      <w:rFonts w:hint="eastAsia"/>
                      <w:color w:val="auto"/>
                      <w:sz w:val="21"/>
                      <w:szCs w:val="21"/>
                      <w:lang w:val="en-US" w:eastAsia="zh-CN"/>
                    </w:rPr>
                    <w:t>由</w:t>
                  </w:r>
                  <w:r>
                    <w:rPr>
                      <w:color w:val="auto"/>
                      <w:sz w:val="21"/>
                      <w:szCs w:val="21"/>
                    </w:rPr>
                    <w:t>15m(</w:t>
                  </w:r>
                  <w:r>
                    <w:rPr>
                      <w:rFonts w:hint="eastAsia"/>
                      <w:color w:val="auto"/>
                      <w:sz w:val="21"/>
                      <w:szCs w:val="21"/>
                      <w:lang w:val="en-US" w:eastAsia="zh-CN"/>
                    </w:rPr>
                    <w:t>DA001</w:t>
                  </w:r>
                  <w:r>
                    <w:rPr>
                      <w:color w:val="auto"/>
                      <w:sz w:val="21"/>
                      <w:szCs w:val="21"/>
                    </w:rPr>
                    <w:t>)高排气筒排放</w:t>
                  </w:r>
                </w:p>
              </w:tc>
              <w:tc>
                <w:tcPr>
                  <w:tcW w:w="1022" w:type="pct"/>
                  <w:tcBorders>
                    <w:tl2br w:val="nil"/>
                    <w:tr2bl w:val="nil"/>
                  </w:tcBorders>
                  <w:vAlign w:val="center"/>
                </w:tcPr>
                <w:p w14:paraId="2E2DA7C5">
                  <w:pPr>
                    <w:pStyle w:val="169"/>
                    <w:rPr>
                      <w:color w:val="auto"/>
                      <w:sz w:val="21"/>
                      <w:szCs w:val="21"/>
                    </w:rPr>
                  </w:pPr>
                  <w:r>
                    <w:rPr>
                      <w:rFonts w:hint="eastAsia"/>
                      <w:color w:val="auto"/>
                      <w:sz w:val="21"/>
                      <w:szCs w:val="21"/>
                    </w:rPr>
                    <w:t>执行《恶臭污染物排放标准》（GB14554-93）表2标准限值</w:t>
                  </w:r>
                </w:p>
              </w:tc>
            </w:tr>
            <w:tr w14:paraId="4107D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 w:hRule="atLeast"/>
              </w:trPr>
              <w:tc>
                <w:tcPr>
                  <w:tcW w:w="576" w:type="pct"/>
                  <w:gridSpan w:val="2"/>
                  <w:vMerge w:val="continue"/>
                  <w:tcBorders>
                    <w:tl2br w:val="nil"/>
                    <w:tr2bl w:val="nil"/>
                  </w:tcBorders>
                  <w:vAlign w:val="center"/>
                </w:tcPr>
                <w:p w14:paraId="5604541A">
                  <w:pPr>
                    <w:pStyle w:val="169"/>
                    <w:rPr>
                      <w:color w:val="auto"/>
                      <w:sz w:val="21"/>
                      <w:szCs w:val="21"/>
                    </w:rPr>
                  </w:pPr>
                </w:p>
              </w:tc>
              <w:tc>
                <w:tcPr>
                  <w:tcW w:w="288" w:type="pct"/>
                  <w:vMerge w:val="continue"/>
                  <w:tcBorders>
                    <w:tl2br w:val="nil"/>
                    <w:tr2bl w:val="nil"/>
                  </w:tcBorders>
                  <w:vAlign w:val="center"/>
                </w:tcPr>
                <w:p w14:paraId="2861BCE8">
                  <w:pPr>
                    <w:pStyle w:val="169"/>
                    <w:rPr>
                      <w:color w:val="auto"/>
                      <w:sz w:val="21"/>
                      <w:szCs w:val="21"/>
                    </w:rPr>
                  </w:pPr>
                </w:p>
              </w:tc>
              <w:tc>
                <w:tcPr>
                  <w:tcW w:w="563" w:type="pct"/>
                  <w:tcBorders>
                    <w:tl2br w:val="nil"/>
                    <w:tr2bl w:val="nil"/>
                  </w:tcBorders>
                  <w:vAlign w:val="center"/>
                </w:tcPr>
                <w:p w14:paraId="650C16D8">
                  <w:pPr>
                    <w:pStyle w:val="169"/>
                    <w:rPr>
                      <w:rFonts w:hint="eastAsia" w:eastAsia="宋体"/>
                      <w:color w:val="auto"/>
                      <w:sz w:val="21"/>
                      <w:szCs w:val="21"/>
                      <w:lang w:eastAsia="zh-CN"/>
                    </w:rPr>
                  </w:pPr>
                  <w:r>
                    <w:rPr>
                      <w:rFonts w:hint="eastAsia"/>
                      <w:color w:val="auto"/>
                      <w:sz w:val="21"/>
                      <w:szCs w:val="21"/>
                      <w:lang w:val="en-US" w:eastAsia="zh-CN"/>
                    </w:rPr>
                    <w:t>生产车间</w:t>
                  </w:r>
                </w:p>
              </w:tc>
              <w:tc>
                <w:tcPr>
                  <w:tcW w:w="789" w:type="pct"/>
                  <w:tcBorders>
                    <w:tl2br w:val="nil"/>
                    <w:tr2bl w:val="nil"/>
                  </w:tcBorders>
                  <w:vAlign w:val="center"/>
                </w:tcPr>
                <w:p w14:paraId="46675EF8">
                  <w:pPr>
                    <w:pStyle w:val="169"/>
                    <w:rPr>
                      <w:rFonts w:hint="eastAsia" w:eastAsia="宋体"/>
                      <w:color w:val="auto"/>
                      <w:sz w:val="21"/>
                      <w:szCs w:val="21"/>
                      <w:lang w:val="en-US" w:eastAsia="zh-CN"/>
                    </w:rPr>
                  </w:pPr>
                  <w:r>
                    <w:rPr>
                      <w:rFonts w:hint="eastAsia"/>
                      <w:color w:val="auto"/>
                      <w:sz w:val="21"/>
                      <w:szCs w:val="21"/>
                      <w:lang w:val="en-US" w:eastAsia="zh-CN"/>
                    </w:rPr>
                    <w:t>油烟</w:t>
                  </w:r>
                </w:p>
              </w:tc>
              <w:tc>
                <w:tcPr>
                  <w:tcW w:w="1758" w:type="pct"/>
                  <w:tcBorders>
                    <w:tl2br w:val="nil"/>
                    <w:tr2bl w:val="nil"/>
                  </w:tcBorders>
                  <w:vAlign w:val="center"/>
                </w:tcPr>
                <w:p w14:paraId="791C29F6">
                  <w:pPr>
                    <w:pStyle w:val="169"/>
                    <w:rPr>
                      <w:color w:val="auto"/>
                      <w:sz w:val="21"/>
                      <w:szCs w:val="21"/>
                    </w:rPr>
                  </w:pPr>
                  <w:r>
                    <w:rPr>
                      <w:rFonts w:hint="eastAsia"/>
                      <w:color w:val="auto"/>
                      <w:sz w:val="21"/>
                      <w:szCs w:val="21"/>
                      <w:lang w:val="en-US" w:eastAsia="zh-CN"/>
                    </w:rPr>
                    <w:t>车间设置排烟系统，并设置集气罩收集，生产过程产生的异味通过车间排烟系统收集后，通过静电式油烟净化器处理后（处理效率为</w:t>
                  </w:r>
                  <w:r>
                    <w:rPr>
                      <w:rFonts w:hint="default"/>
                      <w:color w:val="auto"/>
                      <w:sz w:val="21"/>
                      <w:szCs w:val="21"/>
                      <w:lang w:val="en-US" w:eastAsia="zh-CN"/>
                    </w:rPr>
                    <w:t>90%</w:t>
                  </w:r>
                  <w:r>
                    <w:rPr>
                      <w:rFonts w:hint="eastAsia"/>
                      <w:color w:val="auto"/>
                      <w:sz w:val="21"/>
                      <w:szCs w:val="21"/>
                      <w:lang w:val="en-US" w:eastAsia="zh-CN"/>
                    </w:rPr>
                    <w:t>），经屋顶排气筒排放</w:t>
                  </w:r>
                </w:p>
              </w:tc>
              <w:tc>
                <w:tcPr>
                  <w:tcW w:w="1022" w:type="pct"/>
                  <w:tcBorders>
                    <w:tl2br w:val="nil"/>
                    <w:tr2bl w:val="nil"/>
                  </w:tcBorders>
                  <w:vAlign w:val="center"/>
                </w:tcPr>
                <w:p w14:paraId="4102A195">
                  <w:pPr>
                    <w:pStyle w:val="169"/>
                    <w:rPr>
                      <w:color w:val="auto"/>
                      <w:sz w:val="21"/>
                      <w:szCs w:val="21"/>
                    </w:rPr>
                  </w:pPr>
                  <w:r>
                    <w:rPr>
                      <w:rFonts w:hint="eastAsia"/>
                      <w:color w:val="auto"/>
                      <w:sz w:val="21"/>
                      <w:szCs w:val="21"/>
                      <w:lang w:val="en-US" w:eastAsia="zh-CN"/>
                    </w:rPr>
                    <w:t>执行《饮食业油烟排放标准（试行）》（GB18483-2001）中表2标准</w:t>
                  </w:r>
                </w:p>
              </w:tc>
            </w:tr>
            <w:tr w14:paraId="2B966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6" w:type="pct"/>
                  <w:gridSpan w:val="2"/>
                  <w:vMerge w:val="continue"/>
                  <w:tcBorders>
                    <w:tl2br w:val="nil"/>
                    <w:tr2bl w:val="nil"/>
                  </w:tcBorders>
                  <w:vAlign w:val="center"/>
                </w:tcPr>
                <w:p w14:paraId="458B0E95">
                  <w:pPr>
                    <w:pStyle w:val="169"/>
                    <w:rPr>
                      <w:color w:val="auto"/>
                      <w:sz w:val="21"/>
                      <w:szCs w:val="21"/>
                    </w:rPr>
                  </w:pPr>
                </w:p>
              </w:tc>
              <w:tc>
                <w:tcPr>
                  <w:tcW w:w="288" w:type="pct"/>
                  <w:tcBorders>
                    <w:tl2br w:val="nil"/>
                    <w:tr2bl w:val="nil"/>
                  </w:tcBorders>
                  <w:vAlign w:val="center"/>
                </w:tcPr>
                <w:p w14:paraId="617D8DB9">
                  <w:pPr>
                    <w:pStyle w:val="169"/>
                    <w:rPr>
                      <w:color w:val="auto"/>
                      <w:sz w:val="21"/>
                      <w:szCs w:val="21"/>
                    </w:rPr>
                  </w:pPr>
                  <w:r>
                    <w:rPr>
                      <w:color w:val="auto"/>
                      <w:sz w:val="21"/>
                      <w:szCs w:val="21"/>
                    </w:rPr>
                    <w:t>无组织</w:t>
                  </w:r>
                </w:p>
              </w:tc>
              <w:tc>
                <w:tcPr>
                  <w:tcW w:w="563" w:type="pct"/>
                  <w:tcBorders>
                    <w:tl2br w:val="nil"/>
                    <w:tr2bl w:val="nil"/>
                  </w:tcBorders>
                  <w:vAlign w:val="center"/>
                </w:tcPr>
                <w:p w14:paraId="27F17402">
                  <w:pPr>
                    <w:pStyle w:val="169"/>
                    <w:rPr>
                      <w:color w:val="auto"/>
                      <w:sz w:val="21"/>
                      <w:szCs w:val="21"/>
                    </w:rPr>
                  </w:pPr>
                  <w:r>
                    <w:rPr>
                      <w:color w:val="auto"/>
                      <w:sz w:val="21"/>
                      <w:szCs w:val="21"/>
                    </w:rPr>
                    <w:t>无组织排放废气</w:t>
                  </w:r>
                </w:p>
              </w:tc>
              <w:tc>
                <w:tcPr>
                  <w:tcW w:w="789" w:type="pct"/>
                  <w:tcBorders>
                    <w:tl2br w:val="nil"/>
                    <w:tr2bl w:val="nil"/>
                  </w:tcBorders>
                  <w:vAlign w:val="center"/>
                </w:tcPr>
                <w:p w14:paraId="5CF0D3C5">
                  <w:pPr>
                    <w:pStyle w:val="169"/>
                    <w:rPr>
                      <w:color w:val="auto"/>
                      <w:sz w:val="21"/>
                      <w:szCs w:val="21"/>
                    </w:rPr>
                  </w:pPr>
                  <w:r>
                    <w:rPr>
                      <w:color w:val="auto"/>
                      <w:sz w:val="21"/>
                      <w:szCs w:val="21"/>
                    </w:rPr>
                    <w:t>NH</w:t>
                  </w:r>
                  <w:r>
                    <w:rPr>
                      <w:color w:val="auto"/>
                      <w:sz w:val="21"/>
                      <w:szCs w:val="21"/>
                      <w:vertAlign w:val="subscript"/>
                    </w:rPr>
                    <w:t>3</w:t>
                  </w:r>
                  <w:r>
                    <w:rPr>
                      <w:color w:val="auto"/>
                      <w:sz w:val="21"/>
                      <w:szCs w:val="21"/>
                    </w:rPr>
                    <w:t>、H</w:t>
                  </w:r>
                  <w:r>
                    <w:rPr>
                      <w:color w:val="auto"/>
                      <w:sz w:val="21"/>
                      <w:szCs w:val="21"/>
                      <w:vertAlign w:val="subscript"/>
                    </w:rPr>
                    <w:t>2</w:t>
                  </w:r>
                  <w:r>
                    <w:rPr>
                      <w:color w:val="auto"/>
                      <w:sz w:val="21"/>
                      <w:szCs w:val="21"/>
                    </w:rPr>
                    <w:t>S</w:t>
                  </w:r>
                  <w:r>
                    <w:rPr>
                      <w:rFonts w:hint="eastAsia"/>
                      <w:color w:val="auto"/>
                      <w:sz w:val="21"/>
                      <w:szCs w:val="21"/>
                      <w:lang w:eastAsia="zh-CN"/>
                    </w:rPr>
                    <w:t>、</w:t>
                  </w:r>
                  <w:r>
                    <w:rPr>
                      <w:rFonts w:hint="eastAsia"/>
                      <w:color w:val="auto"/>
                      <w:sz w:val="21"/>
                      <w:szCs w:val="21"/>
                      <w:lang w:val="en-US" w:eastAsia="zh-CN"/>
                    </w:rPr>
                    <w:t>臭气浓度</w:t>
                  </w:r>
                </w:p>
              </w:tc>
              <w:tc>
                <w:tcPr>
                  <w:tcW w:w="1758" w:type="pct"/>
                  <w:tcBorders>
                    <w:tl2br w:val="nil"/>
                    <w:tr2bl w:val="nil"/>
                  </w:tcBorders>
                  <w:vAlign w:val="center"/>
                </w:tcPr>
                <w:p w14:paraId="656D18C2">
                  <w:pPr>
                    <w:pStyle w:val="169"/>
                    <w:rPr>
                      <w:color w:val="auto"/>
                      <w:sz w:val="21"/>
                      <w:szCs w:val="21"/>
                    </w:rPr>
                  </w:pPr>
                  <w:r>
                    <w:rPr>
                      <w:color w:val="auto"/>
                      <w:sz w:val="21"/>
                      <w:szCs w:val="21"/>
                    </w:rPr>
                    <w:t>加强通风，定期喷除臭剂</w:t>
                  </w:r>
                </w:p>
              </w:tc>
              <w:tc>
                <w:tcPr>
                  <w:tcW w:w="1022" w:type="pct"/>
                  <w:tcBorders>
                    <w:tl2br w:val="nil"/>
                    <w:tr2bl w:val="nil"/>
                  </w:tcBorders>
                  <w:vAlign w:val="center"/>
                </w:tcPr>
                <w:p w14:paraId="65AC66A5">
                  <w:pPr>
                    <w:pStyle w:val="169"/>
                    <w:rPr>
                      <w:color w:val="auto"/>
                      <w:sz w:val="21"/>
                      <w:szCs w:val="21"/>
                    </w:rPr>
                  </w:pPr>
                  <w:r>
                    <w:rPr>
                      <w:rFonts w:hint="eastAsia"/>
                      <w:color w:val="auto"/>
                      <w:sz w:val="21"/>
                      <w:szCs w:val="21"/>
                    </w:rPr>
                    <w:t>执行《恶臭污染物排放标准》（GB14554-93）表1二级新扩改建标准限值</w:t>
                  </w:r>
                </w:p>
              </w:tc>
            </w:tr>
            <w:tr w14:paraId="67051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0" w:hRule="atLeast"/>
              </w:trPr>
              <w:tc>
                <w:tcPr>
                  <w:tcW w:w="576" w:type="pct"/>
                  <w:gridSpan w:val="2"/>
                  <w:vMerge w:val="restart"/>
                  <w:tcBorders>
                    <w:tl2br w:val="nil"/>
                    <w:tr2bl w:val="nil"/>
                  </w:tcBorders>
                  <w:vAlign w:val="center"/>
                </w:tcPr>
                <w:p w14:paraId="58EB7421">
                  <w:pPr>
                    <w:pStyle w:val="169"/>
                    <w:rPr>
                      <w:color w:val="auto"/>
                      <w:sz w:val="21"/>
                      <w:szCs w:val="21"/>
                    </w:rPr>
                  </w:pPr>
                  <w:r>
                    <w:rPr>
                      <w:color w:val="auto"/>
                      <w:sz w:val="21"/>
                      <w:szCs w:val="21"/>
                    </w:rPr>
                    <w:t>废水</w:t>
                  </w:r>
                </w:p>
              </w:tc>
              <w:tc>
                <w:tcPr>
                  <w:tcW w:w="852" w:type="pct"/>
                  <w:gridSpan w:val="2"/>
                  <w:tcBorders>
                    <w:tl2br w:val="nil"/>
                    <w:tr2bl w:val="nil"/>
                  </w:tcBorders>
                  <w:vAlign w:val="center"/>
                </w:tcPr>
                <w:p w14:paraId="6319C46F">
                  <w:pPr>
                    <w:jc w:val="center"/>
                    <w:rPr>
                      <w:color w:val="auto"/>
                      <w:sz w:val="21"/>
                      <w:szCs w:val="21"/>
                    </w:rPr>
                  </w:pPr>
                  <w:r>
                    <w:rPr>
                      <w:rFonts w:hint="eastAsia"/>
                      <w:color w:val="auto"/>
                      <w:sz w:val="21"/>
                      <w:szCs w:val="21"/>
                      <w:lang w:val="en-US" w:eastAsia="zh-CN"/>
                    </w:rPr>
                    <w:t>生活废水</w:t>
                  </w:r>
                </w:p>
              </w:tc>
              <w:tc>
                <w:tcPr>
                  <w:tcW w:w="789" w:type="pct"/>
                  <w:tcBorders>
                    <w:tl2br w:val="nil"/>
                    <w:tr2bl w:val="nil"/>
                  </w:tcBorders>
                  <w:vAlign w:val="center"/>
                </w:tcPr>
                <w:p w14:paraId="0AC74B20">
                  <w:pPr>
                    <w:jc w:val="center"/>
                    <w:rPr>
                      <w:color w:val="auto"/>
                      <w:sz w:val="21"/>
                      <w:szCs w:val="21"/>
                    </w:rPr>
                  </w:pPr>
                  <w:r>
                    <w:rPr>
                      <w:rFonts w:hint="eastAsia"/>
                      <w:color w:val="auto"/>
                      <w:sz w:val="21"/>
                      <w:szCs w:val="21"/>
                      <w:lang w:val="en-US" w:eastAsia="zh-CN"/>
                    </w:rPr>
                    <w:t>p</w:t>
                  </w:r>
                  <w:r>
                    <w:rPr>
                      <w:color w:val="auto"/>
                      <w:sz w:val="21"/>
                      <w:szCs w:val="21"/>
                    </w:rPr>
                    <w:t>H值</w:t>
                  </w:r>
                  <w:r>
                    <w:rPr>
                      <w:rFonts w:hint="eastAsia"/>
                      <w:color w:val="auto"/>
                      <w:sz w:val="21"/>
                      <w:szCs w:val="21"/>
                      <w:lang w:eastAsia="zh-CN"/>
                    </w:rPr>
                    <w:t>、</w:t>
                  </w:r>
                  <w:r>
                    <w:rPr>
                      <w:color w:val="auto"/>
                      <w:sz w:val="21"/>
                      <w:szCs w:val="21"/>
                    </w:rPr>
                    <w:t>悬浮物</w:t>
                  </w:r>
                  <w:r>
                    <w:rPr>
                      <w:rFonts w:hint="eastAsia"/>
                      <w:color w:val="auto"/>
                      <w:sz w:val="21"/>
                      <w:szCs w:val="21"/>
                      <w:lang w:eastAsia="zh-CN"/>
                    </w:rPr>
                    <w:t>、</w:t>
                  </w:r>
                  <w:r>
                    <w:rPr>
                      <w:color w:val="auto"/>
                      <w:sz w:val="21"/>
                      <w:szCs w:val="21"/>
                    </w:rPr>
                    <w:t>化学需氧量</w:t>
                  </w:r>
                  <w:r>
                    <w:rPr>
                      <w:rFonts w:hint="eastAsia"/>
                      <w:color w:val="auto"/>
                      <w:sz w:val="21"/>
                      <w:szCs w:val="21"/>
                      <w:lang w:eastAsia="zh-CN"/>
                    </w:rPr>
                    <w:t>、</w:t>
                  </w:r>
                  <w:r>
                    <w:rPr>
                      <w:color w:val="auto"/>
                      <w:sz w:val="21"/>
                      <w:szCs w:val="21"/>
                    </w:rPr>
                    <w:t>五日生化需氧量</w:t>
                  </w:r>
                  <w:r>
                    <w:rPr>
                      <w:rFonts w:hint="eastAsia"/>
                      <w:color w:val="auto"/>
                      <w:sz w:val="21"/>
                      <w:szCs w:val="21"/>
                      <w:lang w:eastAsia="zh-CN"/>
                    </w:rPr>
                    <w:t>、</w:t>
                  </w:r>
                  <w:r>
                    <w:rPr>
                      <w:color w:val="auto"/>
                      <w:sz w:val="21"/>
                      <w:szCs w:val="21"/>
                    </w:rPr>
                    <w:t>氨氮</w:t>
                  </w:r>
                  <w:r>
                    <w:rPr>
                      <w:rFonts w:hint="eastAsia"/>
                      <w:color w:val="auto"/>
                      <w:sz w:val="21"/>
                      <w:szCs w:val="21"/>
                      <w:lang w:eastAsia="zh-CN"/>
                    </w:rPr>
                    <w:t>、</w:t>
                  </w:r>
                  <w:r>
                    <w:rPr>
                      <w:rFonts w:hint="eastAsia"/>
                      <w:color w:val="auto"/>
                      <w:sz w:val="21"/>
                      <w:szCs w:val="21"/>
                    </w:rPr>
                    <w:t>动植物油</w:t>
                  </w:r>
                </w:p>
              </w:tc>
              <w:tc>
                <w:tcPr>
                  <w:tcW w:w="1758" w:type="pct"/>
                  <w:tcBorders>
                    <w:tl2br w:val="nil"/>
                    <w:tr2bl w:val="nil"/>
                  </w:tcBorders>
                  <w:vAlign w:val="center"/>
                </w:tcPr>
                <w:p w14:paraId="532156F2">
                  <w:pPr>
                    <w:rPr>
                      <w:color w:val="auto"/>
                      <w:sz w:val="21"/>
                      <w:szCs w:val="21"/>
                    </w:rPr>
                  </w:pPr>
                  <w:r>
                    <w:rPr>
                      <w:rFonts w:hint="eastAsia"/>
                      <w:color w:val="auto"/>
                      <w:sz w:val="21"/>
                      <w:szCs w:val="21"/>
                      <w:lang w:eastAsia="zh-CN"/>
                    </w:rPr>
                    <w:t>生</w:t>
                  </w:r>
                  <w:r>
                    <w:rPr>
                      <w:rFonts w:hint="eastAsia"/>
                      <w:color w:val="auto"/>
                      <w:sz w:val="21"/>
                      <w:szCs w:val="21"/>
                      <w:lang w:val="en-US" w:eastAsia="zh-CN"/>
                    </w:rPr>
                    <w:t>活</w:t>
                  </w:r>
                  <w:r>
                    <w:rPr>
                      <w:rFonts w:hint="eastAsia"/>
                      <w:color w:val="auto"/>
                      <w:sz w:val="21"/>
                      <w:szCs w:val="21"/>
                      <w:lang w:eastAsia="zh-CN"/>
                    </w:rPr>
                    <w:t>废水：经防渗化粪池沉淀、腐化处理后，</w:t>
                  </w:r>
                  <w:r>
                    <w:rPr>
                      <w:rFonts w:hint="eastAsia"/>
                      <w:color w:val="auto"/>
                      <w:sz w:val="21"/>
                      <w:szCs w:val="21"/>
                      <w:lang w:val="en-US" w:eastAsia="zh-CN"/>
                    </w:rPr>
                    <w:t>排</w:t>
                  </w:r>
                  <w:r>
                    <w:rPr>
                      <w:rFonts w:hint="eastAsia"/>
                      <w:color w:val="auto"/>
                      <w:sz w:val="21"/>
                      <w:szCs w:val="21"/>
                      <w:lang w:eastAsia="zh-CN"/>
                    </w:rPr>
                    <w:t>入</w:t>
                  </w:r>
                  <w:r>
                    <w:rPr>
                      <w:rFonts w:hint="eastAsia"/>
                      <w:bCs/>
                      <w:color w:val="auto"/>
                      <w:sz w:val="21"/>
                      <w:szCs w:val="21"/>
                      <w:lang w:val="en-US" w:eastAsia="zh-CN"/>
                    </w:rPr>
                    <w:t>市政</w:t>
                  </w:r>
                  <w:r>
                    <w:rPr>
                      <w:rFonts w:hint="eastAsia"/>
                      <w:color w:val="auto"/>
                      <w:sz w:val="21"/>
                      <w:szCs w:val="21"/>
                      <w:lang w:eastAsia="zh-CN"/>
                    </w:rPr>
                    <w:t>污水管网</w:t>
                  </w:r>
                </w:p>
              </w:tc>
              <w:tc>
                <w:tcPr>
                  <w:tcW w:w="1022" w:type="pct"/>
                  <w:tcBorders>
                    <w:tl2br w:val="nil"/>
                    <w:tr2bl w:val="nil"/>
                  </w:tcBorders>
                  <w:vAlign w:val="center"/>
                </w:tcPr>
                <w:p w14:paraId="1481EBB0">
                  <w:pPr>
                    <w:keepNext w:val="0"/>
                    <w:keepLines w:val="0"/>
                    <w:pageBreakBefore w:val="0"/>
                    <w:widowControl w:val="0"/>
                    <w:kinsoku/>
                    <w:wordWrap w:val="0"/>
                    <w:overflowPunct/>
                    <w:topLinePunct/>
                    <w:autoSpaceDE/>
                    <w:autoSpaceDN/>
                    <w:bidi w:val="0"/>
                    <w:adjustRightInd w:val="0"/>
                    <w:snapToGrid w:val="0"/>
                    <w:textAlignment w:val="auto"/>
                    <w:rPr>
                      <w:rFonts w:hint="eastAsia"/>
                      <w:color w:val="auto"/>
                      <w:sz w:val="21"/>
                      <w:szCs w:val="21"/>
                      <w:lang w:val="en-US" w:eastAsia="zh-CN"/>
                    </w:rPr>
                  </w:pPr>
                  <w:r>
                    <w:rPr>
                      <w:rFonts w:hint="eastAsia"/>
                      <w:bCs/>
                      <w:color w:val="auto"/>
                      <w:sz w:val="21"/>
                      <w:szCs w:val="21"/>
                      <w:lang w:val="en-US" w:eastAsia="zh-CN"/>
                    </w:rPr>
                    <w:t>《污水综合排放标准》（GB8978-1996）三级标准</w:t>
                  </w:r>
                </w:p>
              </w:tc>
            </w:tr>
            <w:tr w14:paraId="2C553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0" w:hRule="atLeast"/>
              </w:trPr>
              <w:tc>
                <w:tcPr>
                  <w:tcW w:w="576" w:type="pct"/>
                  <w:gridSpan w:val="2"/>
                  <w:vMerge w:val="continue"/>
                  <w:tcBorders>
                    <w:tl2br w:val="nil"/>
                    <w:tr2bl w:val="nil"/>
                  </w:tcBorders>
                  <w:vAlign w:val="center"/>
                </w:tcPr>
                <w:p w14:paraId="71B31E36">
                  <w:pPr>
                    <w:pStyle w:val="169"/>
                    <w:rPr>
                      <w:color w:val="auto"/>
                      <w:sz w:val="21"/>
                      <w:szCs w:val="21"/>
                    </w:rPr>
                  </w:pPr>
                </w:p>
              </w:tc>
              <w:tc>
                <w:tcPr>
                  <w:tcW w:w="852" w:type="pct"/>
                  <w:gridSpan w:val="2"/>
                  <w:tcBorders>
                    <w:tl2br w:val="nil"/>
                    <w:tr2bl w:val="nil"/>
                  </w:tcBorders>
                  <w:vAlign w:val="center"/>
                </w:tcPr>
                <w:p w14:paraId="08A929E7">
                  <w:pPr>
                    <w:jc w:val="center"/>
                    <w:rPr>
                      <w:rFonts w:hint="eastAsia"/>
                      <w:color w:val="auto"/>
                      <w:sz w:val="21"/>
                      <w:szCs w:val="21"/>
                      <w:lang w:val="en-US" w:eastAsia="zh-CN"/>
                    </w:rPr>
                  </w:pPr>
                  <w:r>
                    <w:rPr>
                      <w:rFonts w:hint="eastAsia"/>
                      <w:color w:val="auto"/>
                      <w:sz w:val="21"/>
                      <w:szCs w:val="21"/>
                      <w:lang w:val="en-US" w:eastAsia="zh-CN"/>
                    </w:rPr>
                    <w:t>生产废水</w:t>
                  </w:r>
                </w:p>
              </w:tc>
              <w:tc>
                <w:tcPr>
                  <w:tcW w:w="789" w:type="pct"/>
                  <w:tcBorders>
                    <w:tl2br w:val="nil"/>
                    <w:tr2bl w:val="nil"/>
                  </w:tcBorders>
                  <w:vAlign w:val="center"/>
                </w:tcPr>
                <w:p w14:paraId="48DD5839">
                  <w:pPr>
                    <w:rPr>
                      <w:rFonts w:hint="eastAsia"/>
                      <w:color w:val="auto"/>
                      <w:sz w:val="21"/>
                      <w:szCs w:val="21"/>
                      <w:lang w:val="en-US" w:eastAsia="zh-CN"/>
                    </w:rPr>
                  </w:pPr>
                  <w:r>
                    <w:rPr>
                      <w:rFonts w:hint="eastAsia"/>
                      <w:color w:val="auto"/>
                      <w:sz w:val="21"/>
                      <w:szCs w:val="21"/>
                      <w:lang w:val="en-US" w:eastAsia="zh-CN"/>
                    </w:rPr>
                    <w:t>p</w:t>
                  </w:r>
                  <w:r>
                    <w:rPr>
                      <w:color w:val="auto"/>
                      <w:sz w:val="21"/>
                      <w:szCs w:val="21"/>
                    </w:rPr>
                    <w:t>H值</w:t>
                  </w:r>
                  <w:r>
                    <w:rPr>
                      <w:rFonts w:hint="eastAsia"/>
                      <w:color w:val="auto"/>
                      <w:sz w:val="21"/>
                      <w:szCs w:val="21"/>
                      <w:lang w:eastAsia="zh-CN"/>
                    </w:rPr>
                    <w:t>、</w:t>
                  </w:r>
                  <w:r>
                    <w:rPr>
                      <w:color w:val="auto"/>
                      <w:sz w:val="21"/>
                      <w:szCs w:val="21"/>
                    </w:rPr>
                    <w:t>悬浮物</w:t>
                  </w:r>
                  <w:r>
                    <w:rPr>
                      <w:rFonts w:hint="eastAsia"/>
                      <w:color w:val="auto"/>
                      <w:sz w:val="21"/>
                      <w:szCs w:val="21"/>
                      <w:lang w:eastAsia="zh-CN"/>
                    </w:rPr>
                    <w:t>、</w:t>
                  </w:r>
                  <w:r>
                    <w:rPr>
                      <w:color w:val="auto"/>
                      <w:sz w:val="21"/>
                      <w:szCs w:val="21"/>
                    </w:rPr>
                    <w:t>化学需氧量</w:t>
                  </w:r>
                  <w:r>
                    <w:rPr>
                      <w:rFonts w:hint="eastAsia"/>
                      <w:color w:val="auto"/>
                      <w:sz w:val="21"/>
                      <w:szCs w:val="21"/>
                      <w:lang w:eastAsia="zh-CN"/>
                    </w:rPr>
                    <w:t>、</w:t>
                  </w:r>
                  <w:r>
                    <w:rPr>
                      <w:color w:val="auto"/>
                      <w:sz w:val="21"/>
                      <w:szCs w:val="21"/>
                    </w:rPr>
                    <w:t>五日生化需氧量</w:t>
                  </w:r>
                  <w:r>
                    <w:rPr>
                      <w:rFonts w:hint="eastAsia"/>
                      <w:color w:val="auto"/>
                      <w:sz w:val="21"/>
                      <w:szCs w:val="21"/>
                      <w:lang w:eastAsia="zh-CN"/>
                    </w:rPr>
                    <w:t>、</w:t>
                  </w:r>
                  <w:r>
                    <w:rPr>
                      <w:color w:val="auto"/>
                      <w:sz w:val="21"/>
                      <w:szCs w:val="21"/>
                    </w:rPr>
                    <w:t>氨氮</w:t>
                  </w:r>
                  <w:r>
                    <w:rPr>
                      <w:rFonts w:hint="eastAsia"/>
                      <w:color w:val="auto"/>
                      <w:sz w:val="21"/>
                      <w:szCs w:val="21"/>
                      <w:lang w:eastAsia="zh-CN"/>
                    </w:rPr>
                    <w:t>、</w:t>
                  </w:r>
                  <w:r>
                    <w:rPr>
                      <w:rFonts w:hint="eastAsia"/>
                      <w:color w:val="auto"/>
                      <w:sz w:val="21"/>
                      <w:szCs w:val="21"/>
                    </w:rPr>
                    <w:t>动植物油</w:t>
                  </w:r>
                  <w:r>
                    <w:rPr>
                      <w:rFonts w:hint="eastAsia"/>
                      <w:color w:val="auto"/>
                      <w:sz w:val="21"/>
                      <w:szCs w:val="21"/>
                      <w:lang w:eastAsia="zh-CN"/>
                    </w:rPr>
                    <w:t>、</w:t>
                  </w:r>
                  <w:r>
                    <w:rPr>
                      <w:rFonts w:hint="eastAsia"/>
                      <w:color w:val="auto"/>
                      <w:sz w:val="21"/>
                      <w:szCs w:val="21"/>
                    </w:rPr>
                    <w:t>大肠菌群数</w:t>
                  </w:r>
                </w:p>
              </w:tc>
              <w:tc>
                <w:tcPr>
                  <w:tcW w:w="1758" w:type="pct"/>
                  <w:tcBorders>
                    <w:tl2br w:val="nil"/>
                    <w:tr2bl w:val="nil"/>
                  </w:tcBorders>
                  <w:vAlign w:val="center"/>
                </w:tcPr>
                <w:p w14:paraId="2082ECBB">
                  <w:pPr>
                    <w:rPr>
                      <w:rFonts w:hint="eastAsia"/>
                      <w:color w:val="auto"/>
                      <w:sz w:val="21"/>
                      <w:szCs w:val="21"/>
                      <w:lang w:val="en-US" w:eastAsia="zh-CN"/>
                    </w:rPr>
                  </w:pPr>
                  <w:r>
                    <w:rPr>
                      <w:color w:val="auto"/>
                      <w:sz w:val="21"/>
                      <w:szCs w:val="21"/>
                      <w:lang w:eastAsia="zh-CN"/>
                    </w:rPr>
                    <w:t>生产废水主要为</w:t>
                  </w:r>
                  <w:r>
                    <w:rPr>
                      <w:rFonts w:hint="eastAsia"/>
                      <w:color w:val="auto"/>
                      <w:sz w:val="21"/>
                      <w:szCs w:val="21"/>
                      <w:lang w:val="en-US" w:eastAsia="zh-CN"/>
                    </w:rPr>
                    <w:t>清洗、分割、搅拌、蒸煮、沥水甩干、滚揉腌制过程产生</w:t>
                  </w:r>
                  <w:r>
                    <w:rPr>
                      <w:rFonts w:hint="eastAsia"/>
                      <w:color w:val="auto"/>
                      <w:sz w:val="21"/>
                      <w:szCs w:val="21"/>
                      <w:lang w:eastAsia="zh-CN"/>
                    </w:rPr>
                    <w:t>，生产废水</w:t>
                  </w:r>
                  <w:r>
                    <w:rPr>
                      <w:rFonts w:hint="eastAsia"/>
                      <w:color w:val="auto"/>
                      <w:sz w:val="21"/>
                      <w:szCs w:val="21"/>
                      <w:lang w:val="en-US" w:eastAsia="zh-CN"/>
                    </w:rPr>
                    <w:t>经过</w:t>
                  </w:r>
                  <w:r>
                    <w:rPr>
                      <w:rFonts w:hint="eastAsia"/>
                      <w:color w:val="auto"/>
                      <w:sz w:val="21"/>
                      <w:szCs w:val="21"/>
                      <w:lang w:eastAsia="zh-CN"/>
                    </w:rPr>
                    <w:t>厂区内污水处理站</w:t>
                  </w:r>
                  <w:r>
                    <w:rPr>
                      <w:rFonts w:hint="eastAsia"/>
                      <w:color w:val="auto"/>
                      <w:sz w:val="21"/>
                      <w:szCs w:val="21"/>
                      <w:lang w:val="en-US" w:eastAsia="zh-CN"/>
                    </w:rPr>
                    <w:t>处理后</w:t>
                  </w:r>
                  <w:r>
                    <w:rPr>
                      <w:rFonts w:hint="eastAsia"/>
                      <w:color w:val="auto"/>
                      <w:sz w:val="21"/>
                      <w:szCs w:val="21"/>
                      <w:lang w:eastAsia="zh-CN"/>
                    </w:rPr>
                    <w:t>，</w:t>
                  </w:r>
                  <w:r>
                    <w:rPr>
                      <w:rFonts w:hint="eastAsia"/>
                      <w:color w:val="auto"/>
                      <w:sz w:val="21"/>
                      <w:szCs w:val="21"/>
                      <w:lang w:val="en-US" w:eastAsia="zh-CN"/>
                    </w:rPr>
                    <w:t>排</w:t>
                  </w:r>
                  <w:r>
                    <w:rPr>
                      <w:rFonts w:hint="eastAsia"/>
                      <w:color w:val="auto"/>
                      <w:sz w:val="21"/>
                      <w:szCs w:val="21"/>
                      <w:lang w:eastAsia="zh-CN"/>
                    </w:rPr>
                    <w:t>入</w:t>
                  </w:r>
                  <w:r>
                    <w:rPr>
                      <w:rFonts w:hint="eastAsia"/>
                      <w:color w:val="auto"/>
                      <w:sz w:val="21"/>
                      <w:szCs w:val="21"/>
                      <w:lang w:val="en-US" w:eastAsia="zh-CN"/>
                    </w:rPr>
                    <w:t>市政</w:t>
                  </w:r>
                  <w:r>
                    <w:rPr>
                      <w:rFonts w:hint="eastAsia"/>
                      <w:color w:val="auto"/>
                      <w:sz w:val="21"/>
                      <w:szCs w:val="21"/>
                      <w:lang w:eastAsia="zh-CN"/>
                    </w:rPr>
                    <w:t>污水管网</w:t>
                  </w:r>
                </w:p>
              </w:tc>
              <w:tc>
                <w:tcPr>
                  <w:tcW w:w="1022" w:type="pct"/>
                  <w:tcBorders>
                    <w:tl2br w:val="nil"/>
                    <w:tr2bl w:val="nil"/>
                  </w:tcBorders>
                  <w:vAlign w:val="center"/>
                </w:tcPr>
                <w:p w14:paraId="178E1181">
                  <w:pPr>
                    <w:rPr>
                      <w:rFonts w:hint="eastAsia"/>
                      <w:color w:val="auto"/>
                      <w:sz w:val="21"/>
                      <w:szCs w:val="21"/>
                      <w:lang w:val="en-US" w:eastAsia="zh-CN"/>
                    </w:rPr>
                  </w:pPr>
                  <w:r>
                    <w:rPr>
                      <w:rFonts w:hint="eastAsia"/>
                      <w:color w:val="auto"/>
                      <w:sz w:val="21"/>
                      <w:szCs w:val="21"/>
                    </w:rPr>
                    <w:t>达到《肉类加工工业水污染物排放标准》（GB13457-92）三级标准</w:t>
                  </w:r>
                </w:p>
              </w:tc>
            </w:tr>
            <w:tr w14:paraId="7EF7A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76" w:type="pct"/>
                  <w:gridSpan w:val="2"/>
                  <w:tcBorders>
                    <w:tl2br w:val="nil"/>
                    <w:tr2bl w:val="nil"/>
                  </w:tcBorders>
                  <w:vAlign w:val="center"/>
                </w:tcPr>
                <w:p w14:paraId="4B26FA4F">
                  <w:pPr>
                    <w:pStyle w:val="169"/>
                    <w:rPr>
                      <w:color w:val="auto"/>
                      <w:sz w:val="21"/>
                      <w:szCs w:val="21"/>
                    </w:rPr>
                  </w:pPr>
                  <w:r>
                    <w:rPr>
                      <w:color w:val="auto"/>
                      <w:sz w:val="21"/>
                      <w:szCs w:val="21"/>
                    </w:rPr>
                    <w:t>噪声</w:t>
                  </w:r>
                </w:p>
              </w:tc>
              <w:tc>
                <w:tcPr>
                  <w:tcW w:w="852" w:type="pct"/>
                  <w:gridSpan w:val="2"/>
                  <w:tcBorders>
                    <w:tl2br w:val="nil"/>
                    <w:tr2bl w:val="nil"/>
                  </w:tcBorders>
                  <w:vAlign w:val="center"/>
                </w:tcPr>
                <w:p w14:paraId="3F10572F">
                  <w:pPr>
                    <w:pStyle w:val="169"/>
                    <w:rPr>
                      <w:color w:val="auto"/>
                      <w:sz w:val="21"/>
                      <w:szCs w:val="21"/>
                    </w:rPr>
                  </w:pPr>
                  <w:r>
                    <w:rPr>
                      <w:color w:val="auto"/>
                      <w:sz w:val="21"/>
                      <w:szCs w:val="21"/>
                    </w:rPr>
                    <w:t>设备</w:t>
                  </w:r>
                </w:p>
              </w:tc>
              <w:tc>
                <w:tcPr>
                  <w:tcW w:w="789" w:type="pct"/>
                  <w:tcBorders>
                    <w:tl2br w:val="nil"/>
                    <w:tr2bl w:val="nil"/>
                  </w:tcBorders>
                  <w:vAlign w:val="center"/>
                </w:tcPr>
                <w:p w14:paraId="0607A3F8">
                  <w:pPr>
                    <w:pStyle w:val="169"/>
                    <w:rPr>
                      <w:color w:val="auto"/>
                      <w:sz w:val="21"/>
                      <w:szCs w:val="21"/>
                    </w:rPr>
                  </w:pPr>
                  <w:r>
                    <w:rPr>
                      <w:color w:val="auto"/>
                      <w:sz w:val="21"/>
                      <w:szCs w:val="21"/>
                    </w:rPr>
                    <w:t>——</w:t>
                  </w:r>
                </w:p>
              </w:tc>
              <w:tc>
                <w:tcPr>
                  <w:tcW w:w="1758" w:type="pct"/>
                  <w:tcBorders>
                    <w:tl2br w:val="nil"/>
                    <w:tr2bl w:val="nil"/>
                  </w:tcBorders>
                  <w:vAlign w:val="center"/>
                </w:tcPr>
                <w:p w14:paraId="55E2C6D7">
                  <w:pPr>
                    <w:pStyle w:val="169"/>
                    <w:rPr>
                      <w:rFonts w:hint="eastAsia"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封闭厂房</w:t>
                  </w:r>
                  <w:r>
                    <w:rPr>
                      <w:rFonts w:hint="eastAsia" w:ascii="Times New Roman" w:hAnsi="Times New Roman" w:eastAsia="宋体" w:cs="Times New Roman"/>
                      <w:color w:val="auto"/>
                      <w:sz w:val="21"/>
                      <w:szCs w:val="21"/>
                      <w:lang w:eastAsia="zh-CN"/>
                    </w:rPr>
                    <w:t>、</w:t>
                  </w:r>
                  <w:r>
                    <w:rPr>
                      <w:rFonts w:hint="eastAsia" w:ascii="Times New Roman" w:hAnsi="Times New Roman" w:eastAsia="宋体" w:cs="Times New Roman"/>
                      <w:color w:val="auto"/>
                      <w:sz w:val="21"/>
                      <w:szCs w:val="21"/>
                    </w:rPr>
                    <w:t>基础减震、隔音消声</w:t>
                  </w:r>
                </w:p>
              </w:tc>
              <w:tc>
                <w:tcPr>
                  <w:tcW w:w="1022" w:type="pct"/>
                  <w:tcBorders>
                    <w:tl2br w:val="nil"/>
                    <w:tr2bl w:val="nil"/>
                  </w:tcBorders>
                  <w:vAlign w:val="center"/>
                </w:tcPr>
                <w:p w14:paraId="54046B6F">
                  <w:pPr>
                    <w:pStyle w:val="169"/>
                    <w:rPr>
                      <w:rFonts w:hint="eastAsia"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执行《工业企业厂界环境噪声排放标准》（GB12348－2008）中3类标准限值</w:t>
                  </w:r>
                </w:p>
              </w:tc>
            </w:tr>
            <w:tr w14:paraId="6C3FB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288" w:type="pct"/>
                  <w:vMerge w:val="restart"/>
                  <w:tcBorders>
                    <w:tl2br w:val="nil"/>
                    <w:tr2bl w:val="nil"/>
                  </w:tcBorders>
                  <w:vAlign w:val="center"/>
                </w:tcPr>
                <w:p w14:paraId="7A54C902">
                  <w:pPr>
                    <w:pStyle w:val="169"/>
                    <w:rPr>
                      <w:color w:val="auto"/>
                      <w:sz w:val="21"/>
                      <w:szCs w:val="21"/>
                    </w:rPr>
                  </w:pPr>
                  <w:r>
                    <w:rPr>
                      <w:color w:val="auto"/>
                      <w:sz w:val="21"/>
                      <w:szCs w:val="21"/>
                    </w:rPr>
                    <w:t>固废</w:t>
                  </w:r>
                </w:p>
              </w:tc>
              <w:tc>
                <w:tcPr>
                  <w:tcW w:w="288" w:type="pct"/>
                  <w:vMerge w:val="restart"/>
                  <w:tcBorders>
                    <w:tl2br w:val="nil"/>
                    <w:tr2bl w:val="nil"/>
                  </w:tcBorders>
                  <w:vAlign w:val="center"/>
                </w:tcPr>
                <w:p w14:paraId="631C8E5B">
                  <w:pPr>
                    <w:pStyle w:val="169"/>
                    <w:rPr>
                      <w:rFonts w:hint="eastAsia" w:eastAsia="宋体"/>
                      <w:color w:val="auto"/>
                      <w:sz w:val="21"/>
                      <w:szCs w:val="21"/>
                      <w:lang w:val="en-US" w:eastAsia="zh-CN"/>
                    </w:rPr>
                  </w:pPr>
                  <w:r>
                    <w:rPr>
                      <w:rFonts w:hint="eastAsia"/>
                      <w:color w:val="auto"/>
                      <w:sz w:val="21"/>
                      <w:szCs w:val="21"/>
                      <w:lang w:val="en-US" w:eastAsia="zh-CN"/>
                    </w:rPr>
                    <w:t>一般固体废物</w:t>
                  </w:r>
                </w:p>
              </w:tc>
              <w:tc>
                <w:tcPr>
                  <w:tcW w:w="852" w:type="pct"/>
                  <w:gridSpan w:val="2"/>
                  <w:tcBorders>
                    <w:tl2br w:val="nil"/>
                    <w:tr2bl w:val="nil"/>
                  </w:tcBorders>
                  <w:vAlign w:val="center"/>
                </w:tcPr>
                <w:p w14:paraId="3C3247DC">
                  <w:pPr>
                    <w:jc w:val="center"/>
                    <w:rPr>
                      <w:color w:val="auto"/>
                      <w:sz w:val="21"/>
                      <w:szCs w:val="21"/>
                    </w:rPr>
                  </w:pPr>
                  <w:r>
                    <w:rPr>
                      <w:color w:val="auto"/>
                      <w:sz w:val="21"/>
                      <w:szCs w:val="21"/>
                    </w:rPr>
                    <w:t>生活垃圾</w:t>
                  </w:r>
                </w:p>
              </w:tc>
              <w:tc>
                <w:tcPr>
                  <w:tcW w:w="789" w:type="pct"/>
                  <w:vMerge w:val="restart"/>
                  <w:tcBorders>
                    <w:tl2br w:val="nil"/>
                    <w:tr2bl w:val="nil"/>
                  </w:tcBorders>
                  <w:vAlign w:val="center"/>
                </w:tcPr>
                <w:p w14:paraId="3E3680A4">
                  <w:pPr>
                    <w:pStyle w:val="169"/>
                    <w:rPr>
                      <w:color w:val="auto"/>
                      <w:sz w:val="21"/>
                      <w:szCs w:val="21"/>
                    </w:rPr>
                  </w:pPr>
                  <w:r>
                    <w:rPr>
                      <w:color w:val="auto"/>
                      <w:sz w:val="21"/>
                      <w:szCs w:val="21"/>
                    </w:rPr>
                    <w:t>——</w:t>
                  </w:r>
                </w:p>
              </w:tc>
              <w:tc>
                <w:tcPr>
                  <w:tcW w:w="1758" w:type="pct"/>
                  <w:tcBorders>
                    <w:tl2br w:val="nil"/>
                    <w:tr2bl w:val="nil"/>
                  </w:tcBorders>
                  <w:vAlign w:val="center"/>
                </w:tcPr>
                <w:p w14:paraId="141B46E8">
                  <w:pPr>
                    <w:widowControl/>
                    <w:jc w:val="left"/>
                    <w:rPr>
                      <w:color w:val="auto"/>
                      <w:sz w:val="21"/>
                      <w:szCs w:val="21"/>
                    </w:rPr>
                  </w:pPr>
                  <w:r>
                    <w:rPr>
                      <w:rStyle w:val="37"/>
                      <w:color w:val="auto"/>
                      <w:kern w:val="0"/>
                      <w:sz w:val="21"/>
                      <w:szCs w:val="21"/>
                    </w:rPr>
                    <w:t>项目设有垃圾收集箱，生活垃圾统一收集后由环卫部门清运</w:t>
                  </w:r>
                  <w:r>
                    <w:rPr>
                      <w:rStyle w:val="37"/>
                      <w:rFonts w:hint="eastAsia"/>
                      <w:color w:val="auto"/>
                      <w:kern w:val="0"/>
                      <w:sz w:val="21"/>
                      <w:szCs w:val="21"/>
                    </w:rPr>
                    <w:t>。</w:t>
                  </w:r>
                </w:p>
              </w:tc>
              <w:tc>
                <w:tcPr>
                  <w:tcW w:w="1022" w:type="pct"/>
                  <w:vMerge w:val="restart"/>
                  <w:tcBorders>
                    <w:tl2br w:val="nil"/>
                    <w:tr2bl w:val="nil"/>
                  </w:tcBorders>
                  <w:vAlign w:val="center"/>
                </w:tcPr>
                <w:p w14:paraId="3E57FC7B">
                  <w:pPr>
                    <w:pStyle w:val="169"/>
                    <w:rPr>
                      <w:color w:val="auto"/>
                      <w:sz w:val="21"/>
                      <w:szCs w:val="21"/>
                    </w:rPr>
                  </w:pPr>
                  <w:r>
                    <w:rPr>
                      <w:color w:val="auto"/>
                      <w:sz w:val="21"/>
                      <w:szCs w:val="21"/>
                    </w:rPr>
                    <w:t>综合利用、委托处置</w:t>
                  </w:r>
                </w:p>
              </w:tc>
            </w:tr>
            <w:tr w14:paraId="43BA6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288" w:type="pct"/>
                  <w:vMerge w:val="continue"/>
                  <w:tcBorders>
                    <w:tl2br w:val="nil"/>
                    <w:tr2bl w:val="nil"/>
                  </w:tcBorders>
                  <w:vAlign w:val="center"/>
                </w:tcPr>
                <w:p w14:paraId="0250C589">
                  <w:pPr>
                    <w:pStyle w:val="169"/>
                    <w:rPr>
                      <w:color w:val="auto"/>
                      <w:sz w:val="21"/>
                      <w:szCs w:val="21"/>
                    </w:rPr>
                  </w:pPr>
                </w:p>
              </w:tc>
              <w:tc>
                <w:tcPr>
                  <w:tcW w:w="288" w:type="pct"/>
                  <w:vMerge w:val="continue"/>
                  <w:tcBorders>
                    <w:tl2br w:val="nil"/>
                    <w:tr2bl w:val="nil"/>
                  </w:tcBorders>
                  <w:vAlign w:val="center"/>
                </w:tcPr>
                <w:p w14:paraId="5EAC3C89">
                  <w:pPr>
                    <w:pStyle w:val="169"/>
                    <w:rPr>
                      <w:color w:val="auto"/>
                      <w:sz w:val="21"/>
                      <w:szCs w:val="21"/>
                    </w:rPr>
                  </w:pPr>
                </w:p>
              </w:tc>
              <w:tc>
                <w:tcPr>
                  <w:tcW w:w="852" w:type="pct"/>
                  <w:gridSpan w:val="2"/>
                  <w:tcBorders>
                    <w:tl2br w:val="nil"/>
                    <w:tr2bl w:val="nil"/>
                  </w:tcBorders>
                  <w:vAlign w:val="center"/>
                </w:tcPr>
                <w:p w14:paraId="76FC773F">
                  <w:pPr>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color w:val="auto"/>
                      <w:sz w:val="21"/>
                      <w:szCs w:val="21"/>
                    </w:rPr>
                  </w:pPr>
                  <w:r>
                    <w:rPr>
                      <w:rFonts w:hint="eastAsia"/>
                      <w:bCs/>
                      <w:color w:val="auto"/>
                      <w:sz w:val="21"/>
                      <w:szCs w:val="21"/>
                      <w:lang w:val="en-US" w:eastAsia="zh-CN"/>
                    </w:rPr>
                    <w:t>废包装材料</w:t>
                  </w:r>
                </w:p>
              </w:tc>
              <w:tc>
                <w:tcPr>
                  <w:tcW w:w="789" w:type="pct"/>
                  <w:vMerge w:val="continue"/>
                  <w:tcBorders>
                    <w:tl2br w:val="nil"/>
                    <w:tr2bl w:val="nil"/>
                  </w:tcBorders>
                  <w:vAlign w:val="center"/>
                </w:tcPr>
                <w:p w14:paraId="40DFB693">
                  <w:pPr>
                    <w:jc w:val="center"/>
                    <w:rPr>
                      <w:color w:val="auto"/>
                      <w:sz w:val="21"/>
                      <w:szCs w:val="21"/>
                    </w:rPr>
                  </w:pPr>
                </w:p>
              </w:tc>
              <w:tc>
                <w:tcPr>
                  <w:tcW w:w="1758" w:type="pct"/>
                  <w:tcBorders>
                    <w:tl2br w:val="nil"/>
                    <w:tr2bl w:val="nil"/>
                  </w:tcBorders>
                  <w:vAlign w:val="center"/>
                </w:tcPr>
                <w:p w14:paraId="59E2779A">
                  <w:pPr>
                    <w:jc w:val="left"/>
                    <w:rPr>
                      <w:color w:val="auto"/>
                      <w:sz w:val="21"/>
                      <w:szCs w:val="21"/>
                    </w:rPr>
                  </w:pPr>
                  <w:r>
                    <w:rPr>
                      <w:rFonts w:hint="eastAsia"/>
                      <w:color w:val="auto"/>
                      <w:sz w:val="21"/>
                      <w:szCs w:val="21"/>
                      <w:lang w:val="en-US" w:eastAsia="zh-CN"/>
                    </w:rPr>
                    <w:t>统一收集后由环卫部门清运</w:t>
                  </w:r>
                </w:p>
              </w:tc>
              <w:tc>
                <w:tcPr>
                  <w:tcW w:w="1022" w:type="pct"/>
                  <w:vMerge w:val="continue"/>
                  <w:tcBorders>
                    <w:tl2br w:val="nil"/>
                    <w:tr2bl w:val="nil"/>
                  </w:tcBorders>
                  <w:vAlign w:val="center"/>
                </w:tcPr>
                <w:p w14:paraId="5FE80193">
                  <w:pPr>
                    <w:pStyle w:val="169"/>
                    <w:rPr>
                      <w:color w:val="auto"/>
                      <w:sz w:val="21"/>
                      <w:szCs w:val="21"/>
                    </w:rPr>
                  </w:pPr>
                </w:p>
              </w:tc>
            </w:tr>
            <w:tr w14:paraId="7D676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8" w:type="pct"/>
                  <w:vMerge w:val="continue"/>
                  <w:tcBorders>
                    <w:tl2br w:val="nil"/>
                    <w:tr2bl w:val="nil"/>
                  </w:tcBorders>
                  <w:vAlign w:val="center"/>
                </w:tcPr>
                <w:p w14:paraId="7B4C37D6">
                  <w:pPr>
                    <w:pStyle w:val="169"/>
                    <w:rPr>
                      <w:color w:val="auto"/>
                      <w:sz w:val="21"/>
                      <w:szCs w:val="21"/>
                    </w:rPr>
                  </w:pPr>
                </w:p>
              </w:tc>
              <w:tc>
                <w:tcPr>
                  <w:tcW w:w="288" w:type="pct"/>
                  <w:vMerge w:val="continue"/>
                  <w:tcBorders>
                    <w:tl2br w:val="nil"/>
                    <w:tr2bl w:val="nil"/>
                  </w:tcBorders>
                  <w:vAlign w:val="center"/>
                </w:tcPr>
                <w:p w14:paraId="67BA0C65">
                  <w:pPr>
                    <w:pStyle w:val="169"/>
                    <w:rPr>
                      <w:color w:val="auto"/>
                      <w:sz w:val="21"/>
                      <w:szCs w:val="21"/>
                    </w:rPr>
                  </w:pPr>
                </w:p>
              </w:tc>
              <w:tc>
                <w:tcPr>
                  <w:tcW w:w="852" w:type="pct"/>
                  <w:gridSpan w:val="2"/>
                  <w:tcBorders>
                    <w:tl2br w:val="nil"/>
                    <w:tr2bl w:val="nil"/>
                  </w:tcBorders>
                  <w:vAlign w:val="center"/>
                </w:tcPr>
                <w:p w14:paraId="291D807A">
                  <w:pPr>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color w:val="auto"/>
                      <w:sz w:val="21"/>
                      <w:szCs w:val="21"/>
                    </w:rPr>
                  </w:pPr>
                  <w:r>
                    <w:rPr>
                      <w:rFonts w:hint="eastAsia"/>
                      <w:color w:val="auto"/>
                      <w:sz w:val="21"/>
                      <w:szCs w:val="21"/>
                      <w:lang w:val="en-US" w:eastAsia="zh-CN"/>
                    </w:rPr>
                    <w:t>污水处理站污泥</w:t>
                  </w:r>
                </w:p>
              </w:tc>
              <w:tc>
                <w:tcPr>
                  <w:tcW w:w="789" w:type="pct"/>
                  <w:vMerge w:val="continue"/>
                  <w:tcBorders>
                    <w:tl2br w:val="nil"/>
                    <w:tr2bl w:val="nil"/>
                  </w:tcBorders>
                  <w:vAlign w:val="center"/>
                </w:tcPr>
                <w:p w14:paraId="61D2A515">
                  <w:pPr>
                    <w:pStyle w:val="169"/>
                    <w:rPr>
                      <w:color w:val="auto"/>
                      <w:sz w:val="21"/>
                      <w:szCs w:val="21"/>
                    </w:rPr>
                  </w:pPr>
                </w:p>
              </w:tc>
              <w:tc>
                <w:tcPr>
                  <w:tcW w:w="1758" w:type="pct"/>
                  <w:tcBorders>
                    <w:tl2br w:val="nil"/>
                    <w:tr2bl w:val="nil"/>
                  </w:tcBorders>
                  <w:vAlign w:val="center"/>
                </w:tcPr>
                <w:p w14:paraId="3F5BFC58">
                  <w:pPr>
                    <w:widowControl/>
                    <w:jc w:val="left"/>
                    <w:rPr>
                      <w:rFonts w:hint="eastAsia" w:eastAsia="宋体"/>
                      <w:color w:val="auto"/>
                      <w:sz w:val="21"/>
                      <w:szCs w:val="21"/>
                      <w:lang w:eastAsia="zh-CN"/>
                    </w:rPr>
                  </w:pPr>
                  <w:r>
                    <w:rPr>
                      <w:rFonts w:hint="eastAsia"/>
                      <w:color w:val="auto"/>
                      <w:sz w:val="21"/>
                      <w:szCs w:val="21"/>
                    </w:rPr>
                    <w:t>污泥经压滤机压滤收集后</w:t>
                  </w:r>
                  <w:r>
                    <w:rPr>
                      <w:rFonts w:hint="eastAsia"/>
                      <w:color w:val="auto"/>
                      <w:sz w:val="21"/>
                      <w:szCs w:val="21"/>
                      <w:lang w:eastAsia="zh-CN"/>
                    </w:rPr>
                    <w:t>送至有机肥生产企业堆肥场堆肥或镶黄旗生活垃圾焚烧场进行合理化处理</w:t>
                  </w:r>
                </w:p>
              </w:tc>
              <w:tc>
                <w:tcPr>
                  <w:tcW w:w="1022" w:type="pct"/>
                  <w:vMerge w:val="continue"/>
                  <w:tcBorders>
                    <w:tl2br w:val="nil"/>
                    <w:tr2bl w:val="nil"/>
                  </w:tcBorders>
                  <w:vAlign w:val="center"/>
                </w:tcPr>
                <w:p w14:paraId="5B9CEB55">
                  <w:pPr>
                    <w:pStyle w:val="169"/>
                    <w:rPr>
                      <w:color w:val="auto"/>
                      <w:sz w:val="21"/>
                      <w:szCs w:val="21"/>
                    </w:rPr>
                  </w:pPr>
                </w:p>
              </w:tc>
            </w:tr>
            <w:tr w14:paraId="5CCD0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88" w:type="pct"/>
                  <w:vMerge w:val="continue"/>
                  <w:tcBorders>
                    <w:tl2br w:val="nil"/>
                    <w:tr2bl w:val="nil"/>
                  </w:tcBorders>
                  <w:vAlign w:val="center"/>
                </w:tcPr>
                <w:p w14:paraId="106D7203">
                  <w:pPr>
                    <w:pStyle w:val="169"/>
                    <w:rPr>
                      <w:color w:val="auto"/>
                      <w:sz w:val="21"/>
                      <w:szCs w:val="21"/>
                    </w:rPr>
                  </w:pPr>
                </w:p>
              </w:tc>
              <w:tc>
                <w:tcPr>
                  <w:tcW w:w="288" w:type="pct"/>
                  <w:vMerge w:val="continue"/>
                  <w:tcBorders>
                    <w:tl2br w:val="nil"/>
                    <w:tr2bl w:val="nil"/>
                  </w:tcBorders>
                  <w:vAlign w:val="center"/>
                </w:tcPr>
                <w:p w14:paraId="4680679B">
                  <w:pPr>
                    <w:pStyle w:val="169"/>
                    <w:rPr>
                      <w:color w:val="auto"/>
                      <w:sz w:val="21"/>
                      <w:szCs w:val="21"/>
                    </w:rPr>
                  </w:pPr>
                </w:p>
              </w:tc>
              <w:tc>
                <w:tcPr>
                  <w:tcW w:w="852" w:type="pct"/>
                  <w:gridSpan w:val="2"/>
                  <w:tcBorders>
                    <w:tl2br w:val="nil"/>
                    <w:tr2bl w:val="nil"/>
                  </w:tcBorders>
                  <w:vAlign w:val="center"/>
                </w:tcPr>
                <w:p w14:paraId="6CA4D54F">
                  <w:pPr>
                    <w:jc w:val="center"/>
                    <w:rPr>
                      <w:color w:val="auto"/>
                      <w:sz w:val="21"/>
                      <w:szCs w:val="21"/>
                    </w:rPr>
                  </w:pPr>
                  <w:r>
                    <w:rPr>
                      <w:rFonts w:hint="eastAsia"/>
                      <w:bCs/>
                      <w:color w:val="auto"/>
                      <w:sz w:val="21"/>
                      <w:szCs w:val="21"/>
                      <w:lang w:val="en-US" w:eastAsia="zh-CN"/>
                    </w:rPr>
                    <w:t>肉渣</w:t>
                  </w:r>
                </w:p>
              </w:tc>
              <w:tc>
                <w:tcPr>
                  <w:tcW w:w="789" w:type="pct"/>
                  <w:vMerge w:val="continue"/>
                  <w:tcBorders>
                    <w:tl2br w:val="nil"/>
                    <w:tr2bl w:val="nil"/>
                  </w:tcBorders>
                  <w:vAlign w:val="center"/>
                </w:tcPr>
                <w:p w14:paraId="53A2D132">
                  <w:pPr>
                    <w:pStyle w:val="169"/>
                    <w:rPr>
                      <w:color w:val="auto"/>
                      <w:sz w:val="21"/>
                      <w:szCs w:val="21"/>
                    </w:rPr>
                  </w:pPr>
                </w:p>
              </w:tc>
              <w:tc>
                <w:tcPr>
                  <w:tcW w:w="1758" w:type="pct"/>
                  <w:tcBorders>
                    <w:tl2br w:val="nil"/>
                    <w:tr2bl w:val="nil"/>
                  </w:tcBorders>
                  <w:vAlign w:val="center"/>
                </w:tcPr>
                <w:p w14:paraId="739C5187">
                  <w:pPr>
                    <w:jc w:val="left"/>
                    <w:rPr>
                      <w:color w:val="auto"/>
                      <w:sz w:val="21"/>
                      <w:szCs w:val="21"/>
                    </w:rPr>
                  </w:pPr>
                  <w:r>
                    <w:rPr>
                      <w:rFonts w:hint="default"/>
                      <w:bCs/>
                      <w:color w:val="auto"/>
                      <w:sz w:val="21"/>
                      <w:szCs w:val="21"/>
                      <w:highlight w:val="none"/>
                      <w:lang w:val="en-US" w:eastAsia="zh-CN"/>
                    </w:rPr>
                    <w:t>集中收集后</w:t>
                  </w:r>
                  <w:r>
                    <w:rPr>
                      <w:rFonts w:hint="eastAsia"/>
                      <w:bCs/>
                      <w:color w:val="auto"/>
                      <w:sz w:val="21"/>
                      <w:szCs w:val="21"/>
                      <w:highlight w:val="none"/>
                      <w:lang w:val="en-US" w:eastAsia="zh-CN"/>
                    </w:rPr>
                    <w:t>送至有机肥生产企业堆肥场堆肥或镶黄旗生活垃圾焚烧场进行合理化处理</w:t>
                  </w:r>
                </w:p>
              </w:tc>
              <w:tc>
                <w:tcPr>
                  <w:tcW w:w="1022" w:type="pct"/>
                  <w:vMerge w:val="continue"/>
                  <w:tcBorders>
                    <w:tl2br w:val="nil"/>
                    <w:tr2bl w:val="nil"/>
                  </w:tcBorders>
                  <w:vAlign w:val="center"/>
                </w:tcPr>
                <w:p w14:paraId="05F57F87">
                  <w:pPr>
                    <w:pStyle w:val="169"/>
                    <w:rPr>
                      <w:color w:val="auto"/>
                      <w:sz w:val="21"/>
                      <w:szCs w:val="21"/>
                    </w:rPr>
                  </w:pPr>
                </w:p>
              </w:tc>
            </w:tr>
            <w:tr w14:paraId="2AE3D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8" w:type="pct"/>
                  <w:vMerge w:val="continue"/>
                  <w:tcBorders>
                    <w:tl2br w:val="nil"/>
                    <w:tr2bl w:val="nil"/>
                  </w:tcBorders>
                  <w:vAlign w:val="center"/>
                </w:tcPr>
                <w:p w14:paraId="3DAEA553">
                  <w:pPr>
                    <w:pStyle w:val="169"/>
                    <w:rPr>
                      <w:color w:val="auto"/>
                      <w:sz w:val="21"/>
                      <w:szCs w:val="21"/>
                    </w:rPr>
                  </w:pPr>
                </w:p>
              </w:tc>
              <w:tc>
                <w:tcPr>
                  <w:tcW w:w="288" w:type="pct"/>
                  <w:vMerge w:val="continue"/>
                  <w:tcBorders>
                    <w:tl2br w:val="nil"/>
                    <w:tr2bl w:val="nil"/>
                  </w:tcBorders>
                  <w:vAlign w:val="center"/>
                </w:tcPr>
                <w:p w14:paraId="7031C2D8">
                  <w:pPr>
                    <w:pStyle w:val="169"/>
                    <w:rPr>
                      <w:color w:val="auto"/>
                      <w:sz w:val="21"/>
                      <w:szCs w:val="21"/>
                    </w:rPr>
                  </w:pPr>
                </w:p>
              </w:tc>
              <w:tc>
                <w:tcPr>
                  <w:tcW w:w="852" w:type="pct"/>
                  <w:gridSpan w:val="2"/>
                  <w:tcBorders>
                    <w:tl2br w:val="nil"/>
                    <w:tr2bl w:val="nil"/>
                  </w:tcBorders>
                  <w:vAlign w:val="center"/>
                </w:tcPr>
                <w:p w14:paraId="37F51AB4">
                  <w:pPr>
                    <w:jc w:val="center"/>
                    <w:rPr>
                      <w:color w:val="auto"/>
                      <w:sz w:val="21"/>
                      <w:szCs w:val="21"/>
                    </w:rPr>
                  </w:pPr>
                  <w:r>
                    <w:rPr>
                      <w:rFonts w:hint="eastAsia"/>
                      <w:bCs/>
                      <w:color w:val="auto"/>
                      <w:sz w:val="21"/>
                      <w:szCs w:val="21"/>
                      <w:lang w:val="en-US" w:eastAsia="zh-CN"/>
                    </w:rPr>
                    <w:t>不合格原料</w:t>
                  </w:r>
                </w:p>
              </w:tc>
              <w:tc>
                <w:tcPr>
                  <w:tcW w:w="789" w:type="pct"/>
                  <w:vMerge w:val="continue"/>
                  <w:tcBorders>
                    <w:tl2br w:val="nil"/>
                    <w:tr2bl w:val="nil"/>
                  </w:tcBorders>
                  <w:vAlign w:val="center"/>
                </w:tcPr>
                <w:p w14:paraId="29E5ECDE">
                  <w:pPr>
                    <w:pStyle w:val="169"/>
                    <w:rPr>
                      <w:color w:val="auto"/>
                      <w:sz w:val="21"/>
                      <w:szCs w:val="21"/>
                    </w:rPr>
                  </w:pPr>
                </w:p>
              </w:tc>
              <w:tc>
                <w:tcPr>
                  <w:tcW w:w="1758" w:type="pct"/>
                  <w:tcBorders>
                    <w:tl2br w:val="nil"/>
                    <w:tr2bl w:val="nil"/>
                  </w:tcBorders>
                  <w:vAlign w:val="center"/>
                </w:tcPr>
                <w:p w14:paraId="09C4868B">
                  <w:pPr>
                    <w:widowControl/>
                    <w:jc w:val="left"/>
                    <w:rPr>
                      <w:color w:val="auto"/>
                      <w:sz w:val="21"/>
                      <w:szCs w:val="21"/>
                    </w:rPr>
                  </w:pPr>
                  <w:r>
                    <w:rPr>
                      <w:rFonts w:hint="eastAsia"/>
                      <w:bCs/>
                      <w:color w:val="auto"/>
                      <w:sz w:val="21"/>
                      <w:szCs w:val="21"/>
                      <w:lang w:val="en-US" w:eastAsia="zh-CN"/>
                    </w:rPr>
                    <w:t>收集后委托专门收集厨余垃圾部门清运</w:t>
                  </w:r>
                </w:p>
              </w:tc>
              <w:tc>
                <w:tcPr>
                  <w:tcW w:w="1022" w:type="pct"/>
                  <w:vMerge w:val="continue"/>
                  <w:tcBorders>
                    <w:tl2br w:val="nil"/>
                    <w:tr2bl w:val="nil"/>
                  </w:tcBorders>
                  <w:vAlign w:val="center"/>
                </w:tcPr>
                <w:p w14:paraId="6C0545CC">
                  <w:pPr>
                    <w:pStyle w:val="169"/>
                    <w:rPr>
                      <w:color w:val="auto"/>
                      <w:sz w:val="21"/>
                      <w:szCs w:val="21"/>
                    </w:rPr>
                  </w:pPr>
                </w:p>
              </w:tc>
            </w:tr>
            <w:tr w14:paraId="634C8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8" w:type="pct"/>
                  <w:vMerge w:val="continue"/>
                  <w:tcBorders>
                    <w:tl2br w:val="nil"/>
                    <w:tr2bl w:val="nil"/>
                  </w:tcBorders>
                  <w:vAlign w:val="center"/>
                </w:tcPr>
                <w:p w14:paraId="49A5A342">
                  <w:pPr>
                    <w:pStyle w:val="169"/>
                    <w:rPr>
                      <w:color w:val="auto"/>
                      <w:sz w:val="21"/>
                      <w:szCs w:val="21"/>
                    </w:rPr>
                  </w:pPr>
                </w:p>
              </w:tc>
              <w:tc>
                <w:tcPr>
                  <w:tcW w:w="288" w:type="pct"/>
                  <w:vMerge w:val="continue"/>
                  <w:tcBorders>
                    <w:tl2br w:val="nil"/>
                    <w:tr2bl w:val="nil"/>
                  </w:tcBorders>
                  <w:vAlign w:val="center"/>
                </w:tcPr>
                <w:p w14:paraId="4B36D6F1">
                  <w:pPr>
                    <w:pStyle w:val="169"/>
                    <w:rPr>
                      <w:color w:val="auto"/>
                      <w:sz w:val="21"/>
                      <w:szCs w:val="21"/>
                    </w:rPr>
                  </w:pPr>
                </w:p>
              </w:tc>
              <w:tc>
                <w:tcPr>
                  <w:tcW w:w="852" w:type="pct"/>
                  <w:gridSpan w:val="2"/>
                  <w:tcBorders>
                    <w:tl2br w:val="nil"/>
                    <w:tr2bl w:val="nil"/>
                  </w:tcBorders>
                  <w:vAlign w:val="center"/>
                </w:tcPr>
                <w:p w14:paraId="6567AF51">
                  <w:pPr>
                    <w:jc w:val="center"/>
                    <w:rPr>
                      <w:bCs/>
                      <w:color w:val="auto"/>
                      <w:sz w:val="21"/>
                      <w:szCs w:val="21"/>
                    </w:rPr>
                  </w:pPr>
                  <w:r>
                    <w:rPr>
                      <w:rFonts w:hint="eastAsia"/>
                      <w:bCs/>
                      <w:color w:val="auto"/>
                      <w:sz w:val="21"/>
                      <w:szCs w:val="21"/>
                      <w:lang w:val="en-US" w:eastAsia="zh-CN"/>
                    </w:rPr>
                    <w:t>废油脂</w:t>
                  </w:r>
                </w:p>
              </w:tc>
              <w:tc>
                <w:tcPr>
                  <w:tcW w:w="789" w:type="pct"/>
                  <w:vMerge w:val="continue"/>
                  <w:tcBorders>
                    <w:tl2br w:val="nil"/>
                    <w:tr2bl w:val="nil"/>
                  </w:tcBorders>
                  <w:vAlign w:val="center"/>
                </w:tcPr>
                <w:p w14:paraId="0B1C59F8">
                  <w:pPr>
                    <w:jc w:val="left"/>
                    <w:rPr>
                      <w:bCs/>
                      <w:color w:val="auto"/>
                      <w:sz w:val="21"/>
                      <w:szCs w:val="21"/>
                    </w:rPr>
                  </w:pPr>
                </w:p>
              </w:tc>
              <w:tc>
                <w:tcPr>
                  <w:tcW w:w="1758" w:type="pct"/>
                  <w:tcBorders>
                    <w:tl2br w:val="nil"/>
                    <w:tr2bl w:val="nil"/>
                  </w:tcBorders>
                  <w:vAlign w:val="center"/>
                </w:tcPr>
                <w:p w14:paraId="1E377462">
                  <w:pPr>
                    <w:pStyle w:val="10"/>
                    <w:rPr>
                      <w:color w:val="auto"/>
                      <w:sz w:val="21"/>
                      <w:szCs w:val="21"/>
                    </w:rPr>
                  </w:pPr>
                  <w:r>
                    <w:rPr>
                      <w:rFonts w:hint="eastAsia"/>
                      <w:bCs/>
                      <w:color w:val="auto"/>
                      <w:sz w:val="21"/>
                      <w:szCs w:val="21"/>
                      <w:lang w:val="en-US" w:eastAsia="zh-CN"/>
                    </w:rPr>
                    <w:t>收集后委托专门收集厨余垃圾部门清运</w:t>
                  </w:r>
                </w:p>
              </w:tc>
              <w:tc>
                <w:tcPr>
                  <w:tcW w:w="1022" w:type="pct"/>
                  <w:vMerge w:val="continue"/>
                  <w:tcBorders>
                    <w:tl2br w:val="nil"/>
                    <w:tr2bl w:val="nil"/>
                  </w:tcBorders>
                  <w:vAlign w:val="center"/>
                </w:tcPr>
                <w:p w14:paraId="2D3E9979">
                  <w:pPr>
                    <w:pStyle w:val="169"/>
                    <w:rPr>
                      <w:color w:val="auto"/>
                      <w:sz w:val="21"/>
                      <w:szCs w:val="21"/>
                    </w:rPr>
                  </w:pPr>
                </w:p>
              </w:tc>
            </w:tr>
            <w:tr w14:paraId="05125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8" w:type="pct"/>
                  <w:vMerge w:val="continue"/>
                  <w:tcBorders>
                    <w:tl2br w:val="nil"/>
                    <w:tr2bl w:val="nil"/>
                  </w:tcBorders>
                  <w:vAlign w:val="center"/>
                </w:tcPr>
                <w:p w14:paraId="726D7818">
                  <w:pPr>
                    <w:pStyle w:val="169"/>
                    <w:rPr>
                      <w:color w:val="auto"/>
                      <w:sz w:val="21"/>
                      <w:szCs w:val="21"/>
                    </w:rPr>
                  </w:pPr>
                </w:p>
              </w:tc>
              <w:tc>
                <w:tcPr>
                  <w:tcW w:w="288" w:type="pct"/>
                  <w:vMerge w:val="continue"/>
                  <w:tcBorders>
                    <w:tl2br w:val="nil"/>
                    <w:tr2bl w:val="nil"/>
                  </w:tcBorders>
                  <w:vAlign w:val="center"/>
                </w:tcPr>
                <w:p w14:paraId="2A496D31">
                  <w:pPr>
                    <w:pStyle w:val="169"/>
                    <w:rPr>
                      <w:color w:val="auto"/>
                      <w:sz w:val="21"/>
                      <w:szCs w:val="21"/>
                    </w:rPr>
                  </w:pPr>
                </w:p>
              </w:tc>
              <w:tc>
                <w:tcPr>
                  <w:tcW w:w="852" w:type="pct"/>
                  <w:gridSpan w:val="2"/>
                  <w:tcBorders>
                    <w:tl2br w:val="nil"/>
                    <w:tr2bl w:val="nil"/>
                  </w:tcBorders>
                  <w:vAlign w:val="center"/>
                </w:tcPr>
                <w:p w14:paraId="62697627">
                  <w:pPr>
                    <w:jc w:val="center"/>
                    <w:rPr>
                      <w:rFonts w:hint="eastAsia"/>
                      <w:bCs/>
                      <w:color w:val="auto"/>
                      <w:sz w:val="21"/>
                      <w:szCs w:val="21"/>
                    </w:rPr>
                  </w:pPr>
                  <w:r>
                    <w:rPr>
                      <w:rFonts w:hint="eastAsia"/>
                      <w:color w:val="auto"/>
                      <w:kern w:val="2"/>
                      <w:sz w:val="21"/>
                      <w:szCs w:val="21"/>
                      <w:lang w:val="en-US" w:eastAsia="zh-CN"/>
                    </w:rPr>
                    <w:t>格栅垃圾</w:t>
                  </w:r>
                </w:p>
              </w:tc>
              <w:tc>
                <w:tcPr>
                  <w:tcW w:w="789" w:type="pct"/>
                  <w:vMerge w:val="continue"/>
                  <w:tcBorders>
                    <w:tl2br w:val="nil"/>
                    <w:tr2bl w:val="nil"/>
                  </w:tcBorders>
                  <w:vAlign w:val="center"/>
                </w:tcPr>
                <w:p w14:paraId="118EDDC5">
                  <w:pPr>
                    <w:jc w:val="left"/>
                    <w:rPr>
                      <w:bCs/>
                      <w:color w:val="auto"/>
                      <w:sz w:val="21"/>
                      <w:szCs w:val="21"/>
                    </w:rPr>
                  </w:pPr>
                </w:p>
              </w:tc>
              <w:tc>
                <w:tcPr>
                  <w:tcW w:w="1758" w:type="pct"/>
                  <w:tcBorders>
                    <w:tl2br w:val="nil"/>
                    <w:tr2bl w:val="nil"/>
                  </w:tcBorders>
                  <w:vAlign w:val="center"/>
                </w:tcPr>
                <w:p w14:paraId="18B17842">
                  <w:pPr>
                    <w:jc w:val="left"/>
                    <w:rPr>
                      <w:rFonts w:hint="eastAsia" w:eastAsia="宋体"/>
                      <w:bCs/>
                      <w:color w:val="auto"/>
                      <w:sz w:val="21"/>
                      <w:szCs w:val="21"/>
                      <w:lang w:eastAsia="zh-CN"/>
                    </w:rPr>
                  </w:pPr>
                  <w:r>
                    <w:rPr>
                      <w:rFonts w:hint="eastAsia"/>
                      <w:color w:val="auto"/>
                      <w:sz w:val="21"/>
                      <w:szCs w:val="21"/>
                      <w:lang w:eastAsia="zh-CN"/>
                    </w:rPr>
                    <w:t>送至有机肥生产企业堆肥场堆肥或镶黄旗生活垃圾焚烧场进行合理化处理</w:t>
                  </w:r>
                </w:p>
              </w:tc>
              <w:tc>
                <w:tcPr>
                  <w:tcW w:w="1022" w:type="pct"/>
                  <w:vMerge w:val="continue"/>
                  <w:tcBorders>
                    <w:tl2br w:val="nil"/>
                    <w:tr2bl w:val="nil"/>
                  </w:tcBorders>
                  <w:vAlign w:val="center"/>
                </w:tcPr>
                <w:p w14:paraId="22A29023">
                  <w:pPr>
                    <w:pStyle w:val="169"/>
                    <w:rPr>
                      <w:color w:val="auto"/>
                      <w:sz w:val="21"/>
                      <w:szCs w:val="21"/>
                    </w:rPr>
                  </w:pPr>
                </w:p>
              </w:tc>
            </w:tr>
            <w:tr w14:paraId="14B5E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8" w:type="pct"/>
                  <w:vMerge w:val="continue"/>
                  <w:tcBorders>
                    <w:tl2br w:val="nil"/>
                    <w:tr2bl w:val="nil"/>
                  </w:tcBorders>
                  <w:vAlign w:val="center"/>
                </w:tcPr>
                <w:p w14:paraId="0262F95D">
                  <w:pPr>
                    <w:pStyle w:val="169"/>
                    <w:rPr>
                      <w:color w:val="auto"/>
                      <w:sz w:val="21"/>
                      <w:szCs w:val="21"/>
                    </w:rPr>
                  </w:pPr>
                </w:p>
              </w:tc>
              <w:tc>
                <w:tcPr>
                  <w:tcW w:w="288" w:type="pct"/>
                  <w:vMerge w:val="continue"/>
                  <w:tcBorders>
                    <w:tl2br w:val="nil"/>
                    <w:tr2bl w:val="nil"/>
                  </w:tcBorders>
                  <w:vAlign w:val="center"/>
                </w:tcPr>
                <w:p w14:paraId="5BC88F77">
                  <w:pPr>
                    <w:pStyle w:val="169"/>
                    <w:rPr>
                      <w:color w:val="auto"/>
                      <w:sz w:val="21"/>
                      <w:szCs w:val="21"/>
                    </w:rPr>
                  </w:pPr>
                </w:p>
              </w:tc>
              <w:tc>
                <w:tcPr>
                  <w:tcW w:w="852" w:type="pct"/>
                  <w:gridSpan w:val="2"/>
                  <w:tcBorders>
                    <w:tl2br w:val="nil"/>
                    <w:tr2bl w:val="nil"/>
                  </w:tcBorders>
                  <w:vAlign w:val="center"/>
                </w:tcPr>
                <w:p w14:paraId="37BB1B78">
                  <w:pPr>
                    <w:jc w:val="center"/>
                    <w:rPr>
                      <w:rFonts w:hint="default"/>
                      <w:color w:val="auto"/>
                      <w:kern w:val="2"/>
                      <w:sz w:val="21"/>
                      <w:szCs w:val="21"/>
                      <w:lang w:val="en-US" w:eastAsia="zh-CN"/>
                    </w:rPr>
                  </w:pPr>
                  <w:r>
                    <w:rPr>
                      <w:rFonts w:hint="eastAsia"/>
                      <w:color w:val="auto"/>
                      <w:kern w:val="2"/>
                      <w:sz w:val="21"/>
                      <w:szCs w:val="21"/>
                      <w:lang w:val="en-US" w:eastAsia="zh-CN"/>
                    </w:rPr>
                    <w:t>废反渗透膜</w:t>
                  </w:r>
                </w:p>
              </w:tc>
              <w:tc>
                <w:tcPr>
                  <w:tcW w:w="789" w:type="pct"/>
                  <w:vMerge w:val="continue"/>
                  <w:tcBorders>
                    <w:tl2br w:val="nil"/>
                    <w:tr2bl w:val="nil"/>
                  </w:tcBorders>
                  <w:vAlign w:val="center"/>
                </w:tcPr>
                <w:p w14:paraId="489DC6D3">
                  <w:pPr>
                    <w:jc w:val="left"/>
                    <w:rPr>
                      <w:bCs/>
                      <w:color w:val="auto"/>
                      <w:sz w:val="21"/>
                      <w:szCs w:val="21"/>
                    </w:rPr>
                  </w:pPr>
                </w:p>
              </w:tc>
              <w:tc>
                <w:tcPr>
                  <w:tcW w:w="1758" w:type="pct"/>
                  <w:tcBorders>
                    <w:tl2br w:val="nil"/>
                    <w:tr2bl w:val="nil"/>
                  </w:tcBorders>
                  <w:vAlign w:val="center"/>
                </w:tcPr>
                <w:p w14:paraId="0E9EABA5">
                  <w:pPr>
                    <w:pStyle w:val="169"/>
                    <w:jc w:val="both"/>
                    <w:rPr>
                      <w:rFonts w:hint="eastAsia"/>
                      <w:color w:val="auto"/>
                      <w:sz w:val="21"/>
                      <w:szCs w:val="21"/>
                    </w:rPr>
                  </w:pPr>
                  <w:r>
                    <w:rPr>
                      <w:rFonts w:hint="eastAsia"/>
                      <w:bCs/>
                      <w:color w:val="auto"/>
                      <w:lang w:val="en-US" w:eastAsia="zh-CN"/>
                    </w:rPr>
                    <w:t>项目产生的废反渗透膜直接由厂家进行更换，不在厂内储存</w:t>
                  </w:r>
                </w:p>
              </w:tc>
              <w:tc>
                <w:tcPr>
                  <w:tcW w:w="1022" w:type="pct"/>
                  <w:vMerge w:val="restart"/>
                  <w:tcBorders>
                    <w:tl2br w:val="nil"/>
                    <w:tr2bl w:val="nil"/>
                  </w:tcBorders>
                  <w:vAlign w:val="center"/>
                </w:tcPr>
                <w:p w14:paraId="7A4393B9">
                  <w:pPr>
                    <w:pStyle w:val="169"/>
                    <w:rPr>
                      <w:color w:val="auto"/>
                      <w:sz w:val="21"/>
                      <w:szCs w:val="21"/>
                    </w:rPr>
                  </w:pPr>
                  <w:r>
                    <w:rPr>
                      <w:color w:val="auto"/>
                      <w:sz w:val="21"/>
                      <w:szCs w:val="21"/>
                    </w:rPr>
                    <w:t>委托处置</w:t>
                  </w:r>
                </w:p>
              </w:tc>
            </w:tr>
            <w:tr w14:paraId="55C6A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8" w:type="pct"/>
                  <w:vMerge w:val="continue"/>
                  <w:tcBorders>
                    <w:tl2br w:val="nil"/>
                    <w:tr2bl w:val="nil"/>
                  </w:tcBorders>
                  <w:vAlign w:val="center"/>
                </w:tcPr>
                <w:p w14:paraId="65EA6319">
                  <w:pPr>
                    <w:pStyle w:val="169"/>
                    <w:rPr>
                      <w:rFonts w:hint="eastAsia" w:eastAsia="宋体"/>
                      <w:color w:val="auto"/>
                      <w:sz w:val="21"/>
                      <w:szCs w:val="21"/>
                      <w:lang w:val="en-US" w:eastAsia="zh-CN"/>
                    </w:rPr>
                  </w:pPr>
                </w:p>
              </w:tc>
              <w:tc>
                <w:tcPr>
                  <w:tcW w:w="288" w:type="pct"/>
                  <w:tcBorders>
                    <w:tl2br w:val="nil"/>
                    <w:tr2bl w:val="nil"/>
                  </w:tcBorders>
                  <w:vAlign w:val="center"/>
                </w:tcPr>
                <w:p w14:paraId="1021FBBD">
                  <w:pPr>
                    <w:pStyle w:val="169"/>
                    <w:rPr>
                      <w:rFonts w:hint="eastAsia"/>
                      <w:color w:val="auto"/>
                      <w:sz w:val="21"/>
                      <w:szCs w:val="21"/>
                      <w:lang w:val="en-US" w:eastAsia="zh-CN"/>
                    </w:rPr>
                  </w:pPr>
                  <w:r>
                    <w:rPr>
                      <w:rFonts w:hint="eastAsia"/>
                      <w:color w:val="auto"/>
                      <w:sz w:val="21"/>
                      <w:szCs w:val="21"/>
                      <w:lang w:val="en-US" w:eastAsia="zh-CN"/>
                    </w:rPr>
                    <w:t>危险废物</w:t>
                  </w:r>
                </w:p>
              </w:tc>
              <w:tc>
                <w:tcPr>
                  <w:tcW w:w="852" w:type="pct"/>
                  <w:gridSpan w:val="2"/>
                  <w:tcBorders>
                    <w:tl2br w:val="nil"/>
                    <w:tr2bl w:val="nil"/>
                  </w:tcBorders>
                  <w:vAlign w:val="center"/>
                </w:tcPr>
                <w:p w14:paraId="0A9F5898">
                  <w:pPr>
                    <w:jc w:val="center"/>
                    <w:rPr>
                      <w:rFonts w:hint="default"/>
                      <w:color w:val="auto"/>
                      <w:kern w:val="2"/>
                      <w:sz w:val="21"/>
                      <w:szCs w:val="21"/>
                      <w:lang w:val="en-US" w:eastAsia="zh-CN"/>
                    </w:rPr>
                  </w:pPr>
                  <w:r>
                    <w:rPr>
                      <w:rFonts w:hint="eastAsia"/>
                      <w:color w:val="auto"/>
                      <w:kern w:val="2"/>
                      <w:sz w:val="21"/>
                      <w:szCs w:val="21"/>
                      <w:lang w:val="en-US" w:eastAsia="zh-CN"/>
                    </w:rPr>
                    <w:t>废活性炭</w:t>
                  </w:r>
                </w:p>
              </w:tc>
              <w:tc>
                <w:tcPr>
                  <w:tcW w:w="789" w:type="pct"/>
                  <w:vMerge w:val="continue"/>
                  <w:tcBorders>
                    <w:tl2br w:val="nil"/>
                    <w:tr2bl w:val="nil"/>
                  </w:tcBorders>
                  <w:vAlign w:val="center"/>
                </w:tcPr>
                <w:p w14:paraId="3B31DDDA">
                  <w:pPr>
                    <w:jc w:val="left"/>
                    <w:rPr>
                      <w:bCs/>
                      <w:color w:val="auto"/>
                      <w:sz w:val="21"/>
                      <w:szCs w:val="21"/>
                    </w:rPr>
                  </w:pPr>
                </w:p>
              </w:tc>
              <w:tc>
                <w:tcPr>
                  <w:tcW w:w="1758" w:type="pct"/>
                  <w:tcBorders>
                    <w:tl2br w:val="nil"/>
                    <w:tr2bl w:val="nil"/>
                  </w:tcBorders>
                  <w:vAlign w:val="center"/>
                </w:tcPr>
                <w:p w14:paraId="1A7B763F">
                  <w:pPr>
                    <w:pStyle w:val="169"/>
                    <w:jc w:val="both"/>
                    <w:rPr>
                      <w:rFonts w:hint="eastAsia"/>
                      <w:color w:val="auto"/>
                      <w:sz w:val="21"/>
                      <w:szCs w:val="21"/>
                    </w:rPr>
                  </w:pPr>
                  <w:r>
                    <w:rPr>
                      <w:rFonts w:hint="eastAsia"/>
                      <w:bCs/>
                      <w:color w:val="auto"/>
                      <w:lang w:val="en-US" w:eastAsia="zh-CN"/>
                    </w:rPr>
                    <w:t>废活性炭由厂家定期进行更换，不在厂内储存</w:t>
                  </w:r>
                </w:p>
              </w:tc>
              <w:tc>
                <w:tcPr>
                  <w:tcW w:w="1022" w:type="pct"/>
                  <w:vMerge w:val="continue"/>
                  <w:tcBorders>
                    <w:tl2br w:val="nil"/>
                    <w:tr2bl w:val="nil"/>
                  </w:tcBorders>
                  <w:vAlign w:val="center"/>
                </w:tcPr>
                <w:p w14:paraId="744FF207">
                  <w:pPr>
                    <w:pStyle w:val="169"/>
                    <w:rPr>
                      <w:color w:val="auto"/>
                      <w:sz w:val="21"/>
                      <w:szCs w:val="21"/>
                    </w:rPr>
                  </w:pPr>
                </w:p>
              </w:tc>
            </w:tr>
          </w:tbl>
          <w:p w14:paraId="6942711B">
            <w:pPr>
              <w:jc w:val="left"/>
              <w:rPr>
                <w:color w:val="auto"/>
                <w:sz w:val="24"/>
              </w:rPr>
            </w:pPr>
          </w:p>
        </w:tc>
      </w:tr>
    </w:tbl>
    <w:p w14:paraId="2D4C30DE">
      <w:pPr>
        <w:pStyle w:val="27"/>
        <w:spacing w:after="120"/>
        <w:outlineLvl w:val="0"/>
        <w:rPr>
          <w:rFonts w:eastAsiaTheme="minorEastAsia"/>
          <w:snapToGrid w:val="0"/>
          <w:color w:val="auto"/>
          <w:sz w:val="30"/>
          <w:szCs w:val="30"/>
        </w:rPr>
      </w:pPr>
      <w:r>
        <w:rPr>
          <w:snapToGrid w:val="0"/>
          <w:color w:val="auto"/>
        </w:rPr>
        <w:br w:type="page"/>
      </w:r>
      <w:r>
        <w:rPr>
          <w:rFonts w:eastAsiaTheme="minorEastAsia"/>
          <w:snapToGrid w:val="0"/>
          <w:color w:val="auto"/>
          <w:sz w:val="30"/>
          <w:szCs w:val="30"/>
        </w:rPr>
        <w:t>六、结论</w:t>
      </w:r>
    </w:p>
    <w:tbl>
      <w:tblPr>
        <w:tblStyle w:val="31"/>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74E749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5000" w:type="pct"/>
          </w:tcPr>
          <w:p w14:paraId="486BBA21">
            <w:pPr>
              <w:spacing w:line="360" w:lineRule="auto"/>
              <w:ind w:firstLine="480" w:firstLineChars="200"/>
              <w:rPr>
                <w:color w:val="auto"/>
                <w:sz w:val="24"/>
              </w:rPr>
            </w:pPr>
            <w:r>
              <w:rPr>
                <w:color w:val="auto"/>
                <w:sz w:val="24"/>
                <w:lang w:bidi="mn-Mong-CN"/>
              </w:rPr>
              <w:t>综上所述，本项目符合国家产业政策及“三线一单”</w:t>
            </w:r>
            <w:r>
              <w:rPr>
                <w:rFonts w:hint="eastAsia"/>
                <w:color w:val="auto"/>
                <w:sz w:val="24"/>
                <w:lang w:bidi="mn-Mong-CN"/>
              </w:rPr>
              <w:t>要求</w:t>
            </w:r>
            <w:r>
              <w:rPr>
                <w:color w:val="auto"/>
                <w:sz w:val="24"/>
                <w:lang w:bidi="mn-Mong-CN"/>
              </w:rPr>
              <w:t>，选址合理。运营期不可避免的对周围环境产生影响，在认真落实本报告中提出的各项污染防治措施及建议、确保各项污染物达标排放的前提下，加强环境管理。废水、废气、噪声、固废等污染物对周围环境的影响控制在可接受范围内，从环境保护角度分析，该建设项目可行。</w:t>
            </w:r>
          </w:p>
        </w:tc>
      </w:tr>
    </w:tbl>
    <w:p w14:paraId="1D25A30D">
      <w:pPr>
        <w:rPr>
          <w:color w:val="auto"/>
        </w:rPr>
      </w:pPr>
    </w:p>
    <w:p w14:paraId="482EF3F0">
      <w:pPr>
        <w:rPr>
          <w:color w:val="auto"/>
        </w:rPr>
        <w:sectPr>
          <w:pgSz w:w="11906" w:h="16838"/>
          <w:pgMar w:top="1440" w:right="1800" w:bottom="1440" w:left="1800" w:header="851" w:footer="851" w:gutter="0"/>
          <w:pgBorders>
            <w:top w:val="none" w:sz="0" w:space="0"/>
            <w:left w:val="none" w:sz="0" w:space="0"/>
            <w:bottom w:val="none" w:sz="0" w:space="0"/>
            <w:right w:val="none" w:sz="0" w:space="0"/>
          </w:pgBorders>
          <w:cols w:space="720" w:num="1"/>
          <w:docGrid w:linePitch="312" w:charSpace="0"/>
        </w:sectPr>
      </w:pPr>
    </w:p>
    <w:p w14:paraId="5DB6E433">
      <w:pPr>
        <w:pStyle w:val="27"/>
        <w:spacing w:after="120" w:line="240" w:lineRule="auto"/>
        <w:jc w:val="left"/>
        <w:outlineLvl w:val="0"/>
        <w:rPr>
          <w:rFonts w:eastAsiaTheme="minorEastAsia"/>
          <w:snapToGrid w:val="0"/>
          <w:color w:val="auto"/>
          <w:sz w:val="28"/>
          <w:szCs w:val="32"/>
        </w:rPr>
      </w:pPr>
      <w:r>
        <w:rPr>
          <w:rFonts w:eastAsiaTheme="minorEastAsia"/>
          <w:snapToGrid w:val="0"/>
          <w:color w:val="auto"/>
          <w:sz w:val="28"/>
          <w:szCs w:val="32"/>
        </w:rPr>
        <w:t>附表：</w:t>
      </w:r>
    </w:p>
    <w:p w14:paraId="5FAEDE27">
      <w:pPr>
        <w:pStyle w:val="27"/>
        <w:spacing w:after="0" w:afterLines="0" w:line="240" w:lineRule="auto"/>
        <w:rPr>
          <w:rFonts w:eastAsia="方正小标宋_GBK"/>
          <w:snapToGrid w:val="0"/>
          <w:color w:val="auto"/>
          <w:sz w:val="28"/>
          <w:szCs w:val="28"/>
        </w:rPr>
      </w:pPr>
      <w:r>
        <w:rPr>
          <w:rFonts w:eastAsia="方正小标宋_GBK"/>
          <w:snapToGrid w:val="0"/>
          <w:color w:val="auto"/>
          <w:sz w:val="28"/>
          <w:szCs w:val="28"/>
        </w:rPr>
        <w:t>建设项目污染物排放量汇总表</w:t>
      </w:r>
    </w:p>
    <w:tbl>
      <w:tblPr>
        <w:tblStyle w:val="12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0"/>
        <w:gridCol w:w="1761"/>
        <w:gridCol w:w="1729"/>
        <w:gridCol w:w="1333"/>
        <w:gridCol w:w="1545"/>
        <w:gridCol w:w="1535"/>
        <w:gridCol w:w="1621"/>
        <w:gridCol w:w="1895"/>
        <w:gridCol w:w="1220"/>
      </w:tblGrid>
      <w:tr w14:paraId="6E325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01" w:type="pct"/>
            <w:tcBorders>
              <w:tl2br w:val="nil"/>
              <w:tr2bl w:val="nil"/>
            </w:tcBorders>
            <w:vAlign w:val="center"/>
          </w:tcPr>
          <w:p w14:paraId="0BCC8DCA">
            <w:pPr>
              <w:pStyle w:val="69"/>
              <w:rPr>
                <w:rFonts w:hint="default" w:ascii="Times New Roman" w:hAnsi="Times New Roman" w:eastAsia="宋体" w:cs="Times New Roman"/>
                <w:snapToGrid w:val="0"/>
                <w:color w:val="auto"/>
                <w:sz w:val="21"/>
                <w:szCs w:val="21"/>
              </w:rPr>
            </w:pPr>
            <w:r>
              <w:rPr>
                <w:rFonts w:hint="default" w:ascii="Times New Roman" w:hAnsi="Times New Roman" w:eastAsia="宋体" w:cs="Times New Roman"/>
                <w:snapToGrid w:val="0"/>
                <w:color w:val="auto"/>
                <w:sz w:val="21"/>
                <w:szCs w:val="21"/>
              </w:rPr>
              <w:t>项目</w:t>
            </w:r>
          </w:p>
          <w:p w14:paraId="038A69B9">
            <w:pPr>
              <w:pStyle w:val="69"/>
              <w:rPr>
                <w:rFonts w:hint="default" w:ascii="Times New Roman" w:hAnsi="Times New Roman" w:eastAsia="宋体" w:cs="Times New Roman"/>
                <w:snapToGrid w:val="0"/>
                <w:color w:val="auto"/>
                <w:sz w:val="21"/>
                <w:szCs w:val="21"/>
              </w:rPr>
            </w:pPr>
            <w:r>
              <w:rPr>
                <w:rFonts w:hint="default" w:ascii="Times New Roman" w:hAnsi="Times New Roman" w:eastAsia="宋体" w:cs="Times New Roman"/>
                <w:snapToGrid w:val="0"/>
                <w:color w:val="auto"/>
                <w:sz w:val="21"/>
                <w:szCs w:val="21"/>
              </w:rPr>
              <w:t>分类</w:t>
            </w:r>
          </w:p>
        </w:tc>
        <w:tc>
          <w:tcPr>
            <w:tcW w:w="654" w:type="pct"/>
            <w:tcBorders>
              <w:tl2br w:val="nil"/>
              <w:tr2bl w:val="nil"/>
            </w:tcBorders>
            <w:vAlign w:val="center"/>
          </w:tcPr>
          <w:p w14:paraId="009BDD3C">
            <w:pPr>
              <w:pStyle w:val="69"/>
              <w:rPr>
                <w:rFonts w:hint="default" w:ascii="Times New Roman" w:hAnsi="Times New Roman" w:eastAsia="宋体" w:cs="Times New Roman"/>
                <w:snapToGrid w:val="0"/>
                <w:color w:val="auto"/>
                <w:sz w:val="21"/>
                <w:szCs w:val="21"/>
              </w:rPr>
            </w:pPr>
            <w:r>
              <w:rPr>
                <w:rFonts w:hint="default" w:ascii="Times New Roman" w:hAnsi="Times New Roman" w:eastAsia="宋体" w:cs="Times New Roman"/>
                <w:snapToGrid w:val="0"/>
                <w:color w:val="auto"/>
                <w:sz w:val="21"/>
                <w:szCs w:val="21"/>
              </w:rPr>
              <w:t>污染物名称</w:t>
            </w:r>
          </w:p>
        </w:tc>
        <w:tc>
          <w:tcPr>
            <w:tcW w:w="642" w:type="pct"/>
            <w:tcBorders>
              <w:tl2br w:val="nil"/>
              <w:tr2bl w:val="nil"/>
            </w:tcBorders>
            <w:vAlign w:val="center"/>
          </w:tcPr>
          <w:p w14:paraId="04904046">
            <w:pPr>
              <w:pStyle w:val="69"/>
              <w:rPr>
                <w:rFonts w:hint="default" w:ascii="Times New Roman" w:hAnsi="Times New Roman" w:eastAsia="宋体" w:cs="Times New Roman"/>
                <w:snapToGrid w:val="0"/>
                <w:color w:val="auto"/>
                <w:sz w:val="21"/>
                <w:szCs w:val="21"/>
              </w:rPr>
            </w:pPr>
            <w:r>
              <w:rPr>
                <w:rFonts w:hint="default" w:ascii="Times New Roman" w:hAnsi="Times New Roman" w:eastAsia="宋体" w:cs="Times New Roman"/>
                <w:snapToGrid w:val="0"/>
                <w:color w:val="auto"/>
                <w:sz w:val="21"/>
                <w:szCs w:val="21"/>
              </w:rPr>
              <w:t>现有工程排放量（固体废物产生量）</w:t>
            </w:r>
            <w:r>
              <w:rPr>
                <w:rFonts w:hint="default" w:ascii="Times New Roman" w:hAnsi="Times New Roman" w:eastAsia="宋体" w:cs="Times New Roman"/>
                <w:snapToGrid w:val="0"/>
                <w:color w:val="auto"/>
                <w:sz w:val="21"/>
                <w:szCs w:val="21"/>
              </w:rPr>
              <w:fldChar w:fldCharType="begin"/>
            </w:r>
            <w:r>
              <w:rPr>
                <w:rFonts w:hint="default" w:ascii="Times New Roman" w:hAnsi="Times New Roman" w:eastAsia="宋体" w:cs="Times New Roman"/>
                <w:snapToGrid w:val="0"/>
                <w:color w:val="auto"/>
                <w:sz w:val="21"/>
                <w:szCs w:val="21"/>
              </w:rPr>
              <w:instrText xml:space="preserve"> = 1 \* GB3 \* MERGEFORMAT </w:instrText>
            </w:r>
            <w:r>
              <w:rPr>
                <w:rFonts w:hint="default" w:ascii="Times New Roman" w:hAnsi="Times New Roman" w:eastAsia="宋体" w:cs="Times New Roman"/>
                <w:snapToGrid w:val="0"/>
                <w:color w:val="auto"/>
                <w:sz w:val="21"/>
                <w:szCs w:val="21"/>
              </w:rPr>
              <w:fldChar w:fldCharType="separate"/>
            </w:r>
            <w:r>
              <w:rPr>
                <w:rFonts w:hint="default" w:ascii="Times New Roman" w:hAnsi="Times New Roman" w:eastAsia="宋体" w:cs="Times New Roman"/>
                <w:color w:val="auto"/>
                <w:kern w:val="2"/>
                <w:sz w:val="21"/>
                <w:szCs w:val="21"/>
              </w:rPr>
              <w:t>①</w:t>
            </w:r>
            <w:r>
              <w:rPr>
                <w:rFonts w:hint="default" w:ascii="Times New Roman" w:hAnsi="Times New Roman" w:eastAsia="宋体" w:cs="Times New Roman"/>
                <w:snapToGrid w:val="0"/>
                <w:color w:val="auto"/>
                <w:sz w:val="21"/>
                <w:szCs w:val="21"/>
              </w:rPr>
              <w:fldChar w:fldCharType="end"/>
            </w:r>
          </w:p>
        </w:tc>
        <w:tc>
          <w:tcPr>
            <w:tcW w:w="495" w:type="pct"/>
            <w:tcBorders>
              <w:tl2br w:val="nil"/>
              <w:tr2bl w:val="nil"/>
            </w:tcBorders>
            <w:vAlign w:val="center"/>
          </w:tcPr>
          <w:p w14:paraId="6C2D6962">
            <w:pPr>
              <w:pStyle w:val="69"/>
              <w:rPr>
                <w:rFonts w:hint="default" w:ascii="Times New Roman" w:hAnsi="Times New Roman" w:eastAsia="宋体" w:cs="Times New Roman"/>
                <w:snapToGrid w:val="0"/>
                <w:color w:val="auto"/>
                <w:sz w:val="21"/>
                <w:szCs w:val="21"/>
              </w:rPr>
            </w:pPr>
            <w:r>
              <w:rPr>
                <w:rFonts w:hint="default" w:ascii="Times New Roman" w:hAnsi="Times New Roman" w:eastAsia="宋体" w:cs="Times New Roman"/>
                <w:snapToGrid w:val="0"/>
                <w:color w:val="auto"/>
                <w:sz w:val="21"/>
                <w:szCs w:val="21"/>
              </w:rPr>
              <w:t>现有工程许可排放量</w:t>
            </w:r>
            <w:r>
              <w:rPr>
                <w:rFonts w:hint="default" w:ascii="Times New Roman" w:hAnsi="Times New Roman" w:eastAsia="宋体" w:cs="Times New Roman"/>
                <w:snapToGrid w:val="0"/>
                <w:color w:val="auto"/>
                <w:sz w:val="21"/>
                <w:szCs w:val="21"/>
              </w:rPr>
              <w:fldChar w:fldCharType="begin"/>
            </w:r>
            <w:r>
              <w:rPr>
                <w:rFonts w:hint="default" w:ascii="Times New Roman" w:hAnsi="Times New Roman" w:eastAsia="宋体" w:cs="Times New Roman"/>
                <w:snapToGrid w:val="0"/>
                <w:color w:val="auto"/>
                <w:sz w:val="21"/>
                <w:szCs w:val="21"/>
              </w:rPr>
              <w:instrText xml:space="preserve"> = 2 \* GB3 \* MERGEFORMAT </w:instrText>
            </w:r>
            <w:r>
              <w:rPr>
                <w:rFonts w:hint="default" w:ascii="Times New Roman" w:hAnsi="Times New Roman" w:eastAsia="宋体" w:cs="Times New Roman"/>
                <w:snapToGrid w:val="0"/>
                <w:color w:val="auto"/>
                <w:sz w:val="21"/>
                <w:szCs w:val="21"/>
              </w:rPr>
              <w:fldChar w:fldCharType="separate"/>
            </w:r>
            <w:r>
              <w:rPr>
                <w:rFonts w:hint="default" w:ascii="Times New Roman" w:hAnsi="Times New Roman" w:eastAsia="宋体" w:cs="Times New Roman"/>
                <w:snapToGrid w:val="0"/>
                <w:color w:val="auto"/>
                <w:sz w:val="21"/>
                <w:szCs w:val="21"/>
              </w:rPr>
              <w:t>②</w:t>
            </w:r>
            <w:r>
              <w:rPr>
                <w:rFonts w:hint="default" w:ascii="Times New Roman" w:hAnsi="Times New Roman" w:eastAsia="宋体" w:cs="Times New Roman"/>
                <w:snapToGrid w:val="0"/>
                <w:color w:val="auto"/>
                <w:sz w:val="21"/>
                <w:szCs w:val="21"/>
              </w:rPr>
              <w:fldChar w:fldCharType="end"/>
            </w:r>
          </w:p>
        </w:tc>
        <w:tc>
          <w:tcPr>
            <w:tcW w:w="574" w:type="pct"/>
            <w:tcBorders>
              <w:tl2br w:val="nil"/>
              <w:tr2bl w:val="nil"/>
            </w:tcBorders>
            <w:vAlign w:val="center"/>
          </w:tcPr>
          <w:p w14:paraId="00089DF1">
            <w:pPr>
              <w:pStyle w:val="69"/>
              <w:rPr>
                <w:rFonts w:hint="default" w:ascii="Times New Roman" w:hAnsi="Times New Roman" w:eastAsia="宋体" w:cs="Times New Roman"/>
                <w:snapToGrid w:val="0"/>
                <w:color w:val="auto"/>
                <w:sz w:val="21"/>
                <w:szCs w:val="21"/>
              </w:rPr>
            </w:pPr>
            <w:r>
              <w:rPr>
                <w:rFonts w:hint="default" w:ascii="Times New Roman" w:hAnsi="Times New Roman" w:eastAsia="宋体" w:cs="Times New Roman"/>
                <w:snapToGrid w:val="0"/>
                <w:color w:val="auto"/>
                <w:sz w:val="21"/>
                <w:szCs w:val="21"/>
              </w:rPr>
              <w:t>在建工程排放量（固体废物产生量）</w:t>
            </w:r>
            <w:r>
              <w:rPr>
                <w:rFonts w:hint="default" w:ascii="Times New Roman" w:hAnsi="Times New Roman" w:eastAsia="宋体" w:cs="Times New Roman"/>
                <w:snapToGrid w:val="0"/>
                <w:color w:val="auto"/>
                <w:sz w:val="21"/>
                <w:szCs w:val="21"/>
              </w:rPr>
              <w:fldChar w:fldCharType="begin"/>
            </w:r>
            <w:r>
              <w:rPr>
                <w:rFonts w:hint="default" w:ascii="Times New Roman" w:hAnsi="Times New Roman" w:eastAsia="宋体" w:cs="Times New Roman"/>
                <w:snapToGrid w:val="0"/>
                <w:color w:val="auto"/>
                <w:sz w:val="21"/>
                <w:szCs w:val="21"/>
              </w:rPr>
              <w:instrText xml:space="preserve"> = 3 \* GB3 \* MERGEFORMAT </w:instrText>
            </w:r>
            <w:r>
              <w:rPr>
                <w:rFonts w:hint="default" w:ascii="Times New Roman" w:hAnsi="Times New Roman" w:eastAsia="宋体" w:cs="Times New Roman"/>
                <w:snapToGrid w:val="0"/>
                <w:color w:val="auto"/>
                <w:sz w:val="21"/>
                <w:szCs w:val="21"/>
              </w:rPr>
              <w:fldChar w:fldCharType="separate"/>
            </w:r>
            <w:r>
              <w:rPr>
                <w:rFonts w:hint="default" w:ascii="Times New Roman" w:hAnsi="Times New Roman" w:eastAsia="宋体" w:cs="Times New Roman"/>
                <w:color w:val="auto"/>
                <w:kern w:val="2"/>
                <w:sz w:val="21"/>
                <w:szCs w:val="21"/>
              </w:rPr>
              <w:t>③</w:t>
            </w:r>
            <w:r>
              <w:rPr>
                <w:rFonts w:hint="default" w:ascii="Times New Roman" w:hAnsi="Times New Roman" w:eastAsia="宋体" w:cs="Times New Roman"/>
                <w:snapToGrid w:val="0"/>
                <w:color w:val="auto"/>
                <w:sz w:val="21"/>
                <w:szCs w:val="21"/>
              </w:rPr>
              <w:fldChar w:fldCharType="end"/>
            </w:r>
          </w:p>
        </w:tc>
        <w:tc>
          <w:tcPr>
            <w:tcW w:w="570" w:type="pct"/>
            <w:tcBorders>
              <w:tl2br w:val="nil"/>
              <w:tr2bl w:val="nil"/>
            </w:tcBorders>
            <w:vAlign w:val="center"/>
          </w:tcPr>
          <w:p w14:paraId="651E4C59">
            <w:pPr>
              <w:pStyle w:val="69"/>
              <w:rPr>
                <w:rFonts w:hint="default" w:ascii="Times New Roman" w:hAnsi="Times New Roman" w:eastAsia="宋体" w:cs="Times New Roman"/>
                <w:snapToGrid w:val="0"/>
                <w:color w:val="auto"/>
                <w:sz w:val="21"/>
                <w:szCs w:val="21"/>
              </w:rPr>
            </w:pPr>
            <w:r>
              <w:rPr>
                <w:rFonts w:hint="default" w:ascii="Times New Roman" w:hAnsi="Times New Roman" w:eastAsia="宋体" w:cs="Times New Roman"/>
                <w:snapToGrid w:val="0"/>
                <w:color w:val="auto"/>
                <w:sz w:val="21"/>
                <w:szCs w:val="21"/>
              </w:rPr>
              <w:t>本项目排放量（固体废物产生量）</w:t>
            </w:r>
            <w:r>
              <w:rPr>
                <w:rFonts w:hint="default" w:ascii="Times New Roman" w:hAnsi="Times New Roman" w:eastAsia="宋体" w:cs="Times New Roman"/>
                <w:snapToGrid w:val="0"/>
                <w:color w:val="auto"/>
                <w:sz w:val="21"/>
                <w:szCs w:val="21"/>
              </w:rPr>
              <w:fldChar w:fldCharType="begin"/>
            </w:r>
            <w:r>
              <w:rPr>
                <w:rFonts w:hint="default" w:ascii="Times New Roman" w:hAnsi="Times New Roman" w:eastAsia="宋体" w:cs="Times New Roman"/>
                <w:snapToGrid w:val="0"/>
                <w:color w:val="auto"/>
                <w:sz w:val="21"/>
                <w:szCs w:val="21"/>
              </w:rPr>
              <w:instrText xml:space="preserve"> = 4 \* GB3 \* MERGEFORMAT </w:instrText>
            </w:r>
            <w:r>
              <w:rPr>
                <w:rFonts w:hint="default" w:ascii="Times New Roman" w:hAnsi="Times New Roman" w:eastAsia="宋体" w:cs="Times New Roman"/>
                <w:snapToGrid w:val="0"/>
                <w:color w:val="auto"/>
                <w:sz w:val="21"/>
                <w:szCs w:val="21"/>
              </w:rPr>
              <w:fldChar w:fldCharType="separate"/>
            </w:r>
            <w:r>
              <w:rPr>
                <w:rFonts w:hint="default" w:ascii="Times New Roman" w:hAnsi="Times New Roman" w:eastAsia="宋体" w:cs="Times New Roman"/>
                <w:color w:val="auto"/>
                <w:kern w:val="2"/>
                <w:sz w:val="21"/>
                <w:szCs w:val="21"/>
              </w:rPr>
              <w:t>④</w:t>
            </w:r>
            <w:r>
              <w:rPr>
                <w:rFonts w:hint="default" w:ascii="Times New Roman" w:hAnsi="Times New Roman" w:eastAsia="宋体" w:cs="Times New Roman"/>
                <w:snapToGrid w:val="0"/>
                <w:color w:val="auto"/>
                <w:sz w:val="21"/>
                <w:szCs w:val="21"/>
              </w:rPr>
              <w:fldChar w:fldCharType="end"/>
            </w:r>
          </w:p>
        </w:tc>
        <w:tc>
          <w:tcPr>
            <w:tcW w:w="602" w:type="pct"/>
            <w:tcBorders>
              <w:tl2br w:val="nil"/>
              <w:tr2bl w:val="nil"/>
            </w:tcBorders>
            <w:vAlign w:val="center"/>
          </w:tcPr>
          <w:p w14:paraId="35C3B381">
            <w:pPr>
              <w:pStyle w:val="69"/>
              <w:rPr>
                <w:rFonts w:hint="default" w:ascii="Times New Roman" w:hAnsi="Times New Roman" w:eastAsia="宋体" w:cs="Times New Roman"/>
                <w:snapToGrid w:val="0"/>
                <w:color w:val="auto"/>
                <w:sz w:val="21"/>
                <w:szCs w:val="21"/>
              </w:rPr>
            </w:pPr>
            <w:r>
              <w:rPr>
                <w:rFonts w:hint="default" w:ascii="Times New Roman" w:hAnsi="Times New Roman" w:eastAsia="宋体" w:cs="Times New Roman"/>
                <w:snapToGrid w:val="0"/>
                <w:color w:val="auto"/>
                <w:sz w:val="21"/>
                <w:szCs w:val="21"/>
              </w:rPr>
              <w:t>以新带老削减量（新建项目不填）</w:t>
            </w:r>
            <w:r>
              <w:rPr>
                <w:rFonts w:hint="default" w:ascii="Times New Roman" w:hAnsi="Times New Roman" w:eastAsia="宋体" w:cs="Times New Roman"/>
                <w:snapToGrid w:val="0"/>
                <w:color w:val="auto"/>
                <w:sz w:val="21"/>
                <w:szCs w:val="21"/>
              </w:rPr>
              <w:fldChar w:fldCharType="begin"/>
            </w:r>
            <w:r>
              <w:rPr>
                <w:rFonts w:hint="default" w:ascii="Times New Roman" w:hAnsi="Times New Roman" w:eastAsia="宋体" w:cs="Times New Roman"/>
                <w:snapToGrid w:val="0"/>
                <w:color w:val="auto"/>
                <w:sz w:val="21"/>
                <w:szCs w:val="21"/>
              </w:rPr>
              <w:instrText xml:space="preserve"> = 5 \* GB3 \* MERGEFORMAT </w:instrText>
            </w:r>
            <w:r>
              <w:rPr>
                <w:rFonts w:hint="default" w:ascii="Times New Roman" w:hAnsi="Times New Roman" w:eastAsia="宋体" w:cs="Times New Roman"/>
                <w:snapToGrid w:val="0"/>
                <w:color w:val="auto"/>
                <w:sz w:val="21"/>
                <w:szCs w:val="21"/>
              </w:rPr>
              <w:fldChar w:fldCharType="separate"/>
            </w:r>
            <w:r>
              <w:rPr>
                <w:rFonts w:hint="default" w:ascii="Times New Roman" w:hAnsi="Times New Roman" w:eastAsia="宋体" w:cs="Times New Roman"/>
                <w:color w:val="auto"/>
                <w:kern w:val="2"/>
                <w:sz w:val="21"/>
                <w:szCs w:val="21"/>
              </w:rPr>
              <w:t>⑤</w:t>
            </w:r>
            <w:r>
              <w:rPr>
                <w:rFonts w:hint="default" w:ascii="Times New Roman" w:hAnsi="Times New Roman" w:eastAsia="宋体" w:cs="Times New Roman"/>
                <w:snapToGrid w:val="0"/>
                <w:color w:val="auto"/>
                <w:sz w:val="21"/>
                <w:szCs w:val="21"/>
              </w:rPr>
              <w:fldChar w:fldCharType="end"/>
            </w:r>
          </w:p>
        </w:tc>
        <w:tc>
          <w:tcPr>
            <w:tcW w:w="704" w:type="pct"/>
            <w:tcBorders>
              <w:tl2br w:val="nil"/>
              <w:tr2bl w:val="nil"/>
            </w:tcBorders>
            <w:vAlign w:val="center"/>
          </w:tcPr>
          <w:p w14:paraId="3FC4A28D">
            <w:pPr>
              <w:pStyle w:val="69"/>
              <w:rPr>
                <w:rFonts w:hint="default" w:ascii="Times New Roman" w:hAnsi="Times New Roman" w:eastAsia="宋体" w:cs="Times New Roman"/>
                <w:snapToGrid w:val="0"/>
                <w:color w:val="auto"/>
                <w:sz w:val="21"/>
                <w:szCs w:val="21"/>
              </w:rPr>
            </w:pPr>
            <w:r>
              <w:rPr>
                <w:rFonts w:hint="default" w:ascii="Times New Roman" w:hAnsi="Times New Roman" w:eastAsia="宋体" w:cs="Times New Roman"/>
                <w:snapToGrid w:val="0"/>
                <w:color w:val="auto"/>
                <w:sz w:val="21"/>
                <w:szCs w:val="21"/>
              </w:rPr>
              <w:t>本项目建成后全厂排放量（固体废物产生量）</w:t>
            </w:r>
            <w:r>
              <w:rPr>
                <w:rFonts w:hint="default" w:ascii="Times New Roman" w:hAnsi="Times New Roman" w:eastAsia="宋体" w:cs="Times New Roman"/>
                <w:snapToGrid w:val="0"/>
                <w:color w:val="auto"/>
                <w:sz w:val="21"/>
                <w:szCs w:val="21"/>
              </w:rPr>
              <w:fldChar w:fldCharType="begin"/>
            </w:r>
            <w:r>
              <w:rPr>
                <w:rFonts w:hint="default" w:ascii="Times New Roman" w:hAnsi="Times New Roman" w:eastAsia="宋体" w:cs="Times New Roman"/>
                <w:snapToGrid w:val="0"/>
                <w:color w:val="auto"/>
                <w:sz w:val="21"/>
                <w:szCs w:val="21"/>
              </w:rPr>
              <w:instrText xml:space="preserve"> = 6 \* GB3 \* MERGEFORMAT </w:instrText>
            </w:r>
            <w:r>
              <w:rPr>
                <w:rFonts w:hint="default" w:ascii="Times New Roman" w:hAnsi="Times New Roman" w:eastAsia="宋体" w:cs="Times New Roman"/>
                <w:snapToGrid w:val="0"/>
                <w:color w:val="auto"/>
                <w:sz w:val="21"/>
                <w:szCs w:val="21"/>
              </w:rPr>
              <w:fldChar w:fldCharType="separate"/>
            </w:r>
            <w:r>
              <w:rPr>
                <w:rFonts w:hint="default" w:ascii="Times New Roman" w:hAnsi="Times New Roman" w:eastAsia="宋体" w:cs="Times New Roman"/>
                <w:color w:val="auto"/>
                <w:kern w:val="2"/>
                <w:sz w:val="21"/>
                <w:szCs w:val="21"/>
              </w:rPr>
              <w:t>⑥</w:t>
            </w:r>
            <w:r>
              <w:rPr>
                <w:rFonts w:hint="default" w:ascii="Times New Roman" w:hAnsi="Times New Roman" w:eastAsia="宋体" w:cs="Times New Roman"/>
                <w:snapToGrid w:val="0"/>
                <w:color w:val="auto"/>
                <w:sz w:val="21"/>
                <w:szCs w:val="21"/>
              </w:rPr>
              <w:fldChar w:fldCharType="end"/>
            </w:r>
          </w:p>
        </w:tc>
        <w:tc>
          <w:tcPr>
            <w:tcW w:w="453" w:type="pct"/>
            <w:tcBorders>
              <w:tl2br w:val="nil"/>
              <w:tr2bl w:val="nil"/>
            </w:tcBorders>
            <w:vAlign w:val="center"/>
          </w:tcPr>
          <w:p w14:paraId="25C139E5">
            <w:pPr>
              <w:pStyle w:val="69"/>
              <w:rPr>
                <w:rFonts w:hint="default" w:ascii="Times New Roman" w:hAnsi="Times New Roman" w:eastAsia="宋体" w:cs="Times New Roman"/>
                <w:snapToGrid w:val="0"/>
                <w:color w:val="auto"/>
                <w:sz w:val="21"/>
                <w:szCs w:val="21"/>
              </w:rPr>
            </w:pPr>
            <w:r>
              <w:rPr>
                <w:rFonts w:hint="default" w:ascii="Times New Roman" w:hAnsi="Times New Roman" w:eastAsia="宋体" w:cs="Times New Roman"/>
                <w:snapToGrid w:val="0"/>
                <w:color w:val="auto"/>
                <w:sz w:val="21"/>
                <w:szCs w:val="21"/>
              </w:rPr>
              <w:t>变化量</w:t>
            </w:r>
            <w:r>
              <w:rPr>
                <w:rFonts w:hint="default" w:ascii="Times New Roman" w:hAnsi="Times New Roman" w:eastAsia="宋体" w:cs="Times New Roman"/>
                <w:snapToGrid w:val="0"/>
                <w:color w:val="auto"/>
                <w:sz w:val="21"/>
                <w:szCs w:val="21"/>
              </w:rPr>
              <w:fldChar w:fldCharType="begin"/>
            </w:r>
            <w:r>
              <w:rPr>
                <w:rFonts w:hint="default" w:ascii="Times New Roman" w:hAnsi="Times New Roman" w:eastAsia="宋体" w:cs="Times New Roman"/>
                <w:snapToGrid w:val="0"/>
                <w:color w:val="auto"/>
                <w:sz w:val="21"/>
                <w:szCs w:val="21"/>
              </w:rPr>
              <w:instrText xml:space="preserve"> = 7 \* GB3 \* MERGEFORMAT </w:instrText>
            </w:r>
            <w:r>
              <w:rPr>
                <w:rFonts w:hint="default" w:ascii="Times New Roman" w:hAnsi="Times New Roman" w:eastAsia="宋体" w:cs="Times New Roman"/>
                <w:snapToGrid w:val="0"/>
                <w:color w:val="auto"/>
                <w:sz w:val="21"/>
                <w:szCs w:val="21"/>
              </w:rPr>
              <w:fldChar w:fldCharType="separate"/>
            </w:r>
            <w:r>
              <w:rPr>
                <w:rFonts w:hint="default" w:ascii="Times New Roman" w:hAnsi="Times New Roman" w:eastAsia="宋体" w:cs="Times New Roman"/>
                <w:color w:val="auto"/>
                <w:kern w:val="2"/>
                <w:sz w:val="21"/>
                <w:szCs w:val="21"/>
              </w:rPr>
              <w:t>⑦</w:t>
            </w:r>
            <w:r>
              <w:rPr>
                <w:rFonts w:hint="default" w:ascii="Times New Roman" w:hAnsi="Times New Roman" w:eastAsia="宋体" w:cs="Times New Roman"/>
                <w:snapToGrid w:val="0"/>
                <w:color w:val="auto"/>
                <w:sz w:val="21"/>
                <w:szCs w:val="21"/>
              </w:rPr>
              <w:fldChar w:fldCharType="end"/>
            </w:r>
          </w:p>
        </w:tc>
      </w:tr>
      <w:tr w14:paraId="6159B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01" w:type="pct"/>
            <w:vMerge w:val="restart"/>
            <w:tcBorders>
              <w:tl2br w:val="nil"/>
              <w:tr2bl w:val="nil"/>
            </w:tcBorders>
            <w:vAlign w:val="center"/>
          </w:tcPr>
          <w:p w14:paraId="1AD32EF7">
            <w:pPr>
              <w:pStyle w:val="69"/>
              <w:rPr>
                <w:rFonts w:hint="default" w:ascii="Times New Roman" w:hAnsi="Times New Roman" w:eastAsia="宋体" w:cs="Times New Roman"/>
                <w:snapToGrid w:val="0"/>
                <w:color w:val="auto"/>
                <w:sz w:val="21"/>
                <w:szCs w:val="21"/>
              </w:rPr>
            </w:pPr>
            <w:r>
              <w:rPr>
                <w:rFonts w:hint="default" w:ascii="Times New Roman" w:hAnsi="Times New Roman" w:eastAsia="宋体" w:cs="Times New Roman"/>
                <w:snapToGrid w:val="0"/>
                <w:color w:val="auto"/>
                <w:sz w:val="21"/>
                <w:szCs w:val="21"/>
              </w:rPr>
              <w:t>废气</w:t>
            </w:r>
          </w:p>
        </w:tc>
        <w:tc>
          <w:tcPr>
            <w:tcW w:w="654" w:type="pct"/>
            <w:tcBorders>
              <w:tl2br w:val="nil"/>
              <w:tr2bl w:val="nil"/>
            </w:tcBorders>
            <w:vAlign w:val="center"/>
          </w:tcPr>
          <w:p w14:paraId="2452A6B4">
            <w:pPr>
              <w:pStyle w:val="58"/>
              <w:spacing w:beforeLines="0" w:afterLines="0" w:line="240" w:lineRule="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污水处理站有组织废气</w:t>
            </w:r>
            <w:r>
              <w:rPr>
                <w:rFonts w:hint="default" w:ascii="Times New Roman" w:hAnsi="Times New Roman" w:eastAsia="宋体" w:cs="Times New Roman"/>
                <w:bCs/>
                <w:color w:val="auto"/>
                <w:sz w:val="21"/>
                <w:szCs w:val="21"/>
              </w:rPr>
              <w:t>NH</w:t>
            </w:r>
            <w:r>
              <w:rPr>
                <w:rFonts w:hint="default" w:ascii="Times New Roman" w:hAnsi="Times New Roman" w:eastAsia="宋体" w:cs="Times New Roman"/>
                <w:bCs/>
                <w:color w:val="auto"/>
                <w:sz w:val="21"/>
                <w:szCs w:val="21"/>
                <w:vertAlign w:val="subscript"/>
              </w:rPr>
              <w:t>3</w:t>
            </w:r>
          </w:p>
        </w:tc>
        <w:tc>
          <w:tcPr>
            <w:tcW w:w="642" w:type="pct"/>
            <w:tcBorders>
              <w:tl2br w:val="nil"/>
              <w:tr2bl w:val="nil"/>
            </w:tcBorders>
            <w:vAlign w:val="center"/>
          </w:tcPr>
          <w:p w14:paraId="72821B94">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495" w:type="pct"/>
            <w:tcBorders>
              <w:tl2br w:val="nil"/>
              <w:tr2bl w:val="nil"/>
            </w:tcBorders>
            <w:vAlign w:val="center"/>
          </w:tcPr>
          <w:p w14:paraId="155CD8DA">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4" w:type="pct"/>
            <w:tcBorders>
              <w:tl2br w:val="nil"/>
              <w:tr2bl w:val="nil"/>
            </w:tcBorders>
            <w:vAlign w:val="center"/>
          </w:tcPr>
          <w:p w14:paraId="475C7914">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0" w:type="pct"/>
            <w:tcBorders>
              <w:tl2br w:val="nil"/>
              <w:tr2bl w:val="nil"/>
            </w:tcBorders>
            <w:vAlign w:val="center"/>
          </w:tcPr>
          <w:p w14:paraId="169657B3">
            <w:pPr>
              <w:pStyle w:val="169"/>
              <w:widowControl/>
              <w:textAlignment w:val="center"/>
              <w:rPr>
                <w:rFonts w:hint="default" w:ascii="Times New Roman" w:hAnsi="Times New Roman" w:eastAsia="宋体" w:cs="Times New Roman"/>
                <w:bCs/>
                <w:color w:val="auto"/>
                <w:kern w:val="0"/>
                <w:sz w:val="21"/>
                <w:szCs w:val="21"/>
              </w:rPr>
            </w:pPr>
            <w:r>
              <w:rPr>
                <w:rFonts w:hint="default" w:ascii="Times New Roman" w:hAnsi="Times New Roman" w:eastAsia="宋体" w:cs="Times New Roman"/>
                <w:color w:val="auto"/>
                <w:sz w:val="21"/>
                <w:szCs w:val="21"/>
              </w:rPr>
              <w:t>0.0</w:t>
            </w:r>
            <w:r>
              <w:rPr>
                <w:rFonts w:hint="eastAsia" w:ascii="Times New Roman" w:hAnsi="Times New Roman" w:eastAsia="宋体" w:cs="Times New Roman"/>
                <w:color w:val="auto"/>
                <w:sz w:val="21"/>
                <w:szCs w:val="21"/>
                <w:lang w:val="en-US" w:eastAsia="zh-CN"/>
              </w:rPr>
              <w:t>0</w:t>
            </w:r>
            <w:r>
              <w:rPr>
                <w:rFonts w:hint="eastAsia" w:cs="Times New Roman"/>
                <w:color w:val="auto"/>
                <w:sz w:val="21"/>
                <w:szCs w:val="21"/>
                <w:lang w:val="en-US" w:eastAsia="zh-CN"/>
              </w:rPr>
              <w:t>044t</w:t>
            </w:r>
            <w:r>
              <w:rPr>
                <w:rFonts w:hint="default" w:ascii="Times New Roman" w:hAnsi="Times New Roman" w:eastAsia="宋体" w:cs="Times New Roman"/>
                <w:color w:val="auto"/>
                <w:kern w:val="0"/>
                <w:sz w:val="21"/>
                <w:szCs w:val="21"/>
                <w:lang w:bidi="ar"/>
              </w:rPr>
              <w:t>/a</w:t>
            </w:r>
          </w:p>
        </w:tc>
        <w:tc>
          <w:tcPr>
            <w:tcW w:w="602" w:type="pct"/>
            <w:tcBorders>
              <w:tl2br w:val="nil"/>
              <w:tr2bl w:val="nil"/>
            </w:tcBorders>
            <w:vAlign w:val="center"/>
          </w:tcPr>
          <w:p w14:paraId="2DC1DE30">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704" w:type="pct"/>
            <w:tcBorders>
              <w:tl2br w:val="nil"/>
              <w:tr2bl w:val="nil"/>
            </w:tcBorders>
            <w:vAlign w:val="center"/>
          </w:tcPr>
          <w:p w14:paraId="4F8EC3F4">
            <w:pPr>
              <w:pStyle w:val="169"/>
              <w:widowControl/>
              <w:textAlignment w:val="center"/>
              <w:rPr>
                <w:rFonts w:hint="default" w:ascii="Times New Roman" w:hAnsi="Times New Roman" w:eastAsia="宋体" w:cs="Times New Roman"/>
                <w:bCs/>
                <w:color w:val="auto"/>
                <w:kern w:val="0"/>
                <w:sz w:val="21"/>
                <w:szCs w:val="21"/>
              </w:rPr>
            </w:pPr>
            <w:r>
              <w:rPr>
                <w:rFonts w:hint="default" w:ascii="Times New Roman" w:hAnsi="Times New Roman" w:eastAsia="宋体" w:cs="Times New Roman"/>
                <w:color w:val="auto"/>
                <w:sz w:val="21"/>
                <w:szCs w:val="21"/>
              </w:rPr>
              <w:t>0.0</w:t>
            </w:r>
            <w:r>
              <w:rPr>
                <w:rFonts w:hint="eastAsia" w:ascii="Times New Roman" w:hAnsi="Times New Roman" w:eastAsia="宋体" w:cs="Times New Roman"/>
                <w:color w:val="auto"/>
                <w:sz w:val="21"/>
                <w:szCs w:val="21"/>
                <w:lang w:val="en-US" w:eastAsia="zh-CN"/>
              </w:rPr>
              <w:t>0</w:t>
            </w:r>
            <w:r>
              <w:rPr>
                <w:rFonts w:hint="eastAsia" w:cs="Times New Roman"/>
                <w:color w:val="auto"/>
                <w:sz w:val="21"/>
                <w:szCs w:val="21"/>
                <w:lang w:val="en-US" w:eastAsia="zh-CN"/>
              </w:rPr>
              <w:t>044t</w:t>
            </w:r>
            <w:r>
              <w:rPr>
                <w:rFonts w:hint="default" w:ascii="Times New Roman" w:hAnsi="Times New Roman" w:eastAsia="宋体" w:cs="Times New Roman"/>
                <w:color w:val="auto"/>
                <w:kern w:val="0"/>
                <w:sz w:val="21"/>
                <w:szCs w:val="21"/>
                <w:lang w:bidi="ar"/>
              </w:rPr>
              <w:t>/a</w:t>
            </w:r>
          </w:p>
        </w:tc>
        <w:tc>
          <w:tcPr>
            <w:tcW w:w="453" w:type="pct"/>
            <w:tcBorders>
              <w:tl2br w:val="nil"/>
              <w:tr2bl w:val="nil"/>
            </w:tcBorders>
            <w:vAlign w:val="center"/>
          </w:tcPr>
          <w:p w14:paraId="3F964F59">
            <w:pPr>
              <w:pStyle w:val="169"/>
              <w:widowControl/>
              <w:textAlignment w:val="center"/>
              <w:rPr>
                <w:rFonts w:hint="default" w:ascii="Times New Roman" w:hAnsi="Times New Roman" w:eastAsia="宋体" w:cs="Times New Roman"/>
                <w:bCs/>
                <w:color w:val="auto"/>
                <w:kern w:val="0"/>
                <w:sz w:val="21"/>
                <w:szCs w:val="21"/>
              </w:rPr>
            </w:pPr>
            <w:r>
              <w:rPr>
                <w:rFonts w:hint="default" w:ascii="Times New Roman" w:hAnsi="Times New Roman" w:eastAsia="宋体" w:cs="Times New Roman"/>
                <w:color w:val="auto"/>
                <w:sz w:val="21"/>
                <w:szCs w:val="21"/>
              </w:rPr>
              <w:t>0.0</w:t>
            </w:r>
            <w:r>
              <w:rPr>
                <w:rFonts w:hint="eastAsia" w:ascii="Times New Roman" w:hAnsi="Times New Roman" w:eastAsia="宋体" w:cs="Times New Roman"/>
                <w:color w:val="auto"/>
                <w:sz w:val="21"/>
                <w:szCs w:val="21"/>
                <w:lang w:val="en-US" w:eastAsia="zh-CN"/>
              </w:rPr>
              <w:t>0</w:t>
            </w:r>
            <w:r>
              <w:rPr>
                <w:rFonts w:hint="eastAsia" w:cs="Times New Roman"/>
                <w:color w:val="auto"/>
                <w:sz w:val="21"/>
                <w:szCs w:val="21"/>
                <w:lang w:val="en-US" w:eastAsia="zh-CN"/>
              </w:rPr>
              <w:t>044t</w:t>
            </w:r>
            <w:r>
              <w:rPr>
                <w:rFonts w:hint="default" w:ascii="Times New Roman" w:hAnsi="Times New Roman" w:eastAsia="宋体" w:cs="Times New Roman"/>
                <w:color w:val="auto"/>
                <w:kern w:val="0"/>
                <w:sz w:val="21"/>
                <w:szCs w:val="21"/>
                <w:lang w:bidi="ar"/>
              </w:rPr>
              <w:t>/a</w:t>
            </w:r>
          </w:p>
        </w:tc>
      </w:tr>
      <w:tr w14:paraId="3E11F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01" w:type="pct"/>
            <w:vMerge w:val="continue"/>
            <w:tcBorders>
              <w:tl2br w:val="nil"/>
              <w:tr2bl w:val="nil"/>
            </w:tcBorders>
            <w:vAlign w:val="center"/>
          </w:tcPr>
          <w:p w14:paraId="721488D3">
            <w:pPr>
              <w:pStyle w:val="69"/>
              <w:rPr>
                <w:rFonts w:hint="default" w:ascii="Times New Roman" w:hAnsi="Times New Roman" w:eastAsia="宋体" w:cs="Times New Roman"/>
                <w:snapToGrid w:val="0"/>
                <w:color w:val="auto"/>
                <w:sz w:val="21"/>
                <w:szCs w:val="21"/>
              </w:rPr>
            </w:pPr>
          </w:p>
        </w:tc>
        <w:tc>
          <w:tcPr>
            <w:tcW w:w="654" w:type="pct"/>
            <w:tcBorders>
              <w:tl2br w:val="nil"/>
              <w:tr2bl w:val="nil"/>
            </w:tcBorders>
            <w:vAlign w:val="center"/>
          </w:tcPr>
          <w:p w14:paraId="705880E7">
            <w:pPr>
              <w:pStyle w:val="58"/>
              <w:spacing w:beforeLines="0" w:afterLines="0" w:line="240" w:lineRule="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污水处理站有组织废气</w:t>
            </w:r>
            <w:r>
              <w:rPr>
                <w:rFonts w:hint="default" w:ascii="Times New Roman" w:hAnsi="Times New Roman" w:eastAsia="宋体" w:cs="Times New Roman"/>
                <w:bCs/>
                <w:color w:val="auto"/>
                <w:sz w:val="21"/>
                <w:szCs w:val="21"/>
              </w:rPr>
              <w:t>H</w:t>
            </w:r>
            <w:r>
              <w:rPr>
                <w:rFonts w:hint="default" w:ascii="Times New Roman" w:hAnsi="Times New Roman" w:eastAsia="宋体" w:cs="Times New Roman"/>
                <w:bCs/>
                <w:color w:val="auto"/>
                <w:sz w:val="21"/>
                <w:szCs w:val="21"/>
                <w:vertAlign w:val="subscript"/>
              </w:rPr>
              <w:t>2</w:t>
            </w:r>
            <w:r>
              <w:rPr>
                <w:rFonts w:hint="default" w:ascii="Times New Roman" w:hAnsi="Times New Roman" w:eastAsia="宋体" w:cs="Times New Roman"/>
                <w:bCs/>
                <w:color w:val="auto"/>
                <w:sz w:val="21"/>
                <w:szCs w:val="21"/>
              </w:rPr>
              <w:t>S</w:t>
            </w:r>
          </w:p>
        </w:tc>
        <w:tc>
          <w:tcPr>
            <w:tcW w:w="642" w:type="pct"/>
            <w:tcBorders>
              <w:tl2br w:val="nil"/>
              <w:tr2bl w:val="nil"/>
            </w:tcBorders>
            <w:vAlign w:val="center"/>
          </w:tcPr>
          <w:p w14:paraId="7AA009B2">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495" w:type="pct"/>
            <w:tcBorders>
              <w:tl2br w:val="nil"/>
              <w:tr2bl w:val="nil"/>
            </w:tcBorders>
            <w:vAlign w:val="center"/>
          </w:tcPr>
          <w:p w14:paraId="40932C26">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4" w:type="pct"/>
            <w:tcBorders>
              <w:tl2br w:val="nil"/>
              <w:tr2bl w:val="nil"/>
            </w:tcBorders>
            <w:vAlign w:val="center"/>
          </w:tcPr>
          <w:p w14:paraId="7E1A0F89">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0" w:type="pct"/>
            <w:tcBorders>
              <w:tl2br w:val="nil"/>
              <w:tr2bl w:val="nil"/>
            </w:tcBorders>
            <w:vAlign w:val="center"/>
          </w:tcPr>
          <w:p w14:paraId="71BD9246">
            <w:pPr>
              <w:pStyle w:val="169"/>
              <w:widowControl/>
              <w:textAlignment w:val="center"/>
              <w:rPr>
                <w:rFonts w:hint="default" w:ascii="Times New Roman" w:hAnsi="Times New Roman" w:eastAsia="宋体" w:cs="Times New Roman"/>
                <w:bCs/>
                <w:color w:val="auto"/>
                <w:kern w:val="0"/>
                <w:sz w:val="21"/>
                <w:szCs w:val="21"/>
                <w:lang w:bidi="ar"/>
              </w:rPr>
            </w:pPr>
            <w:r>
              <w:rPr>
                <w:rFonts w:hint="default" w:ascii="Times New Roman" w:hAnsi="Times New Roman" w:eastAsia="宋体" w:cs="Times New Roman"/>
                <w:color w:val="auto"/>
                <w:sz w:val="21"/>
                <w:szCs w:val="21"/>
              </w:rPr>
              <w:t>0.00</w:t>
            </w:r>
            <w:r>
              <w:rPr>
                <w:rFonts w:hint="eastAsia" w:ascii="Times New Roman" w:hAnsi="Times New Roman" w:eastAsia="宋体" w:cs="Times New Roman"/>
                <w:color w:val="auto"/>
                <w:sz w:val="21"/>
                <w:szCs w:val="21"/>
                <w:lang w:val="en-US" w:eastAsia="zh-CN"/>
              </w:rPr>
              <w:t>0</w:t>
            </w:r>
            <w:r>
              <w:rPr>
                <w:rFonts w:hint="eastAsia" w:cs="Times New Roman"/>
                <w:color w:val="auto"/>
                <w:sz w:val="21"/>
                <w:szCs w:val="21"/>
                <w:lang w:val="en-US" w:eastAsia="zh-CN"/>
              </w:rPr>
              <w:t>02</w:t>
            </w:r>
            <w:r>
              <w:rPr>
                <w:rFonts w:hint="default" w:ascii="Times New Roman" w:hAnsi="Times New Roman" w:eastAsia="宋体" w:cs="Times New Roman"/>
                <w:color w:val="auto"/>
                <w:kern w:val="0"/>
                <w:sz w:val="21"/>
                <w:szCs w:val="21"/>
                <w:lang w:bidi="ar"/>
              </w:rPr>
              <w:t>t/a</w:t>
            </w:r>
          </w:p>
        </w:tc>
        <w:tc>
          <w:tcPr>
            <w:tcW w:w="602" w:type="pct"/>
            <w:tcBorders>
              <w:tl2br w:val="nil"/>
              <w:tr2bl w:val="nil"/>
            </w:tcBorders>
            <w:vAlign w:val="center"/>
          </w:tcPr>
          <w:p w14:paraId="23EE0C5B">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704" w:type="pct"/>
            <w:tcBorders>
              <w:tl2br w:val="nil"/>
              <w:tr2bl w:val="nil"/>
            </w:tcBorders>
            <w:vAlign w:val="center"/>
          </w:tcPr>
          <w:p w14:paraId="3F5331CC">
            <w:pPr>
              <w:pStyle w:val="169"/>
              <w:widowControl/>
              <w:textAlignment w:val="center"/>
              <w:rPr>
                <w:rFonts w:hint="default" w:ascii="Times New Roman" w:hAnsi="Times New Roman" w:eastAsia="宋体" w:cs="Times New Roman"/>
                <w:bCs/>
                <w:color w:val="auto"/>
                <w:kern w:val="0"/>
                <w:sz w:val="21"/>
                <w:szCs w:val="21"/>
                <w:lang w:bidi="ar"/>
              </w:rPr>
            </w:pPr>
            <w:r>
              <w:rPr>
                <w:rFonts w:hint="default" w:ascii="Times New Roman" w:hAnsi="Times New Roman" w:eastAsia="宋体" w:cs="Times New Roman"/>
                <w:color w:val="auto"/>
                <w:sz w:val="21"/>
                <w:szCs w:val="21"/>
              </w:rPr>
              <w:t>0.00</w:t>
            </w:r>
            <w:r>
              <w:rPr>
                <w:rFonts w:hint="eastAsia" w:ascii="Times New Roman" w:hAnsi="Times New Roman" w:eastAsia="宋体" w:cs="Times New Roman"/>
                <w:color w:val="auto"/>
                <w:sz w:val="21"/>
                <w:szCs w:val="21"/>
                <w:lang w:val="en-US" w:eastAsia="zh-CN"/>
              </w:rPr>
              <w:t>0</w:t>
            </w:r>
            <w:r>
              <w:rPr>
                <w:rFonts w:hint="eastAsia" w:cs="Times New Roman"/>
                <w:color w:val="auto"/>
                <w:sz w:val="21"/>
                <w:szCs w:val="21"/>
                <w:lang w:val="en-US" w:eastAsia="zh-CN"/>
              </w:rPr>
              <w:t>02</w:t>
            </w:r>
            <w:r>
              <w:rPr>
                <w:rFonts w:hint="default" w:ascii="Times New Roman" w:hAnsi="Times New Roman" w:eastAsia="宋体" w:cs="Times New Roman"/>
                <w:color w:val="auto"/>
                <w:kern w:val="0"/>
                <w:sz w:val="21"/>
                <w:szCs w:val="21"/>
                <w:lang w:bidi="ar"/>
              </w:rPr>
              <w:t>t/a</w:t>
            </w:r>
          </w:p>
        </w:tc>
        <w:tc>
          <w:tcPr>
            <w:tcW w:w="453" w:type="pct"/>
            <w:tcBorders>
              <w:tl2br w:val="nil"/>
              <w:tr2bl w:val="nil"/>
            </w:tcBorders>
            <w:vAlign w:val="center"/>
          </w:tcPr>
          <w:p w14:paraId="06713FF4">
            <w:pPr>
              <w:pStyle w:val="169"/>
              <w:widowControl/>
              <w:textAlignment w:val="center"/>
              <w:rPr>
                <w:rFonts w:hint="default" w:ascii="Times New Roman" w:hAnsi="Times New Roman" w:eastAsia="宋体" w:cs="Times New Roman"/>
                <w:bCs/>
                <w:color w:val="auto"/>
                <w:kern w:val="0"/>
                <w:sz w:val="21"/>
                <w:szCs w:val="21"/>
                <w:lang w:bidi="ar"/>
              </w:rPr>
            </w:pPr>
            <w:r>
              <w:rPr>
                <w:rFonts w:hint="default" w:ascii="Times New Roman" w:hAnsi="Times New Roman" w:eastAsia="宋体" w:cs="Times New Roman"/>
                <w:color w:val="auto"/>
                <w:sz w:val="21"/>
                <w:szCs w:val="21"/>
              </w:rPr>
              <w:t>0.00</w:t>
            </w:r>
            <w:r>
              <w:rPr>
                <w:rFonts w:hint="eastAsia" w:ascii="Times New Roman" w:hAnsi="Times New Roman" w:eastAsia="宋体" w:cs="Times New Roman"/>
                <w:color w:val="auto"/>
                <w:sz w:val="21"/>
                <w:szCs w:val="21"/>
                <w:lang w:val="en-US" w:eastAsia="zh-CN"/>
              </w:rPr>
              <w:t>0</w:t>
            </w:r>
            <w:r>
              <w:rPr>
                <w:rFonts w:hint="eastAsia" w:cs="Times New Roman"/>
                <w:color w:val="auto"/>
                <w:sz w:val="21"/>
                <w:szCs w:val="21"/>
                <w:lang w:val="en-US" w:eastAsia="zh-CN"/>
              </w:rPr>
              <w:t>02</w:t>
            </w:r>
            <w:r>
              <w:rPr>
                <w:rFonts w:hint="default" w:ascii="Times New Roman" w:hAnsi="Times New Roman" w:eastAsia="宋体" w:cs="Times New Roman"/>
                <w:color w:val="auto"/>
                <w:kern w:val="0"/>
                <w:sz w:val="21"/>
                <w:szCs w:val="21"/>
                <w:lang w:bidi="ar"/>
              </w:rPr>
              <w:t>t/a</w:t>
            </w:r>
          </w:p>
        </w:tc>
      </w:tr>
      <w:tr w14:paraId="48822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01" w:type="pct"/>
            <w:vMerge w:val="continue"/>
            <w:tcBorders>
              <w:tl2br w:val="nil"/>
              <w:tr2bl w:val="nil"/>
            </w:tcBorders>
            <w:vAlign w:val="center"/>
          </w:tcPr>
          <w:p w14:paraId="59947A44">
            <w:pPr>
              <w:pStyle w:val="69"/>
              <w:rPr>
                <w:rFonts w:hint="default" w:ascii="Times New Roman" w:hAnsi="Times New Roman" w:eastAsia="宋体" w:cs="Times New Roman"/>
                <w:snapToGrid w:val="0"/>
                <w:color w:val="auto"/>
                <w:sz w:val="21"/>
                <w:szCs w:val="21"/>
              </w:rPr>
            </w:pPr>
          </w:p>
        </w:tc>
        <w:tc>
          <w:tcPr>
            <w:tcW w:w="654" w:type="pct"/>
            <w:tcBorders>
              <w:tl2br w:val="nil"/>
              <w:tr2bl w:val="nil"/>
            </w:tcBorders>
            <w:vAlign w:val="center"/>
          </w:tcPr>
          <w:p w14:paraId="4ECF9CE5">
            <w:pPr>
              <w:pStyle w:val="58"/>
              <w:spacing w:beforeLines="0" w:afterLines="0" w:line="240" w:lineRule="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污水处理站无组织废气</w:t>
            </w:r>
            <w:r>
              <w:rPr>
                <w:rFonts w:hint="default" w:ascii="Times New Roman" w:hAnsi="Times New Roman" w:eastAsia="宋体" w:cs="Times New Roman"/>
                <w:bCs/>
                <w:color w:val="auto"/>
                <w:sz w:val="21"/>
                <w:szCs w:val="21"/>
              </w:rPr>
              <w:t>NH</w:t>
            </w:r>
            <w:r>
              <w:rPr>
                <w:rFonts w:hint="default" w:ascii="Times New Roman" w:hAnsi="Times New Roman" w:eastAsia="宋体" w:cs="Times New Roman"/>
                <w:bCs/>
                <w:color w:val="auto"/>
                <w:sz w:val="21"/>
                <w:szCs w:val="21"/>
                <w:vertAlign w:val="subscript"/>
              </w:rPr>
              <w:t>3</w:t>
            </w:r>
          </w:p>
        </w:tc>
        <w:tc>
          <w:tcPr>
            <w:tcW w:w="642" w:type="pct"/>
            <w:tcBorders>
              <w:tl2br w:val="nil"/>
              <w:tr2bl w:val="nil"/>
            </w:tcBorders>
            <w:vAlign w:val="center"/>
          </w:tcPr>
          <w:p w14:paraId="1DB86464">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495" w:type="pct"/>
            <w:tcBorders>
              <w:tl2br w:val="nil"/>
              <w:tr2bl w:val="nil"/>
            </w:tcBorders>
            <w:vAlign w:val="center"/>
          </w:tcPr>
          <w:p w14:paraId="16FE8EF9">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4" w:type="pct"/>
            <w:tcBorders>
              <w:tl2br w:val="nil"/>
              <w:tr2bl w:val="nil"/>
            </w:tcBorders>
            <w:vAlign w:val="center"/>
          </w:tcPr>
          <w:p w14:paraId="2EDD963A">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0" w:type="pct"/>
            <w:tcBorders>
              <w:tl2br w:val="nil"/>
              <w:tr2bl w:val="nil"/>
            </w:tcBorders>
            <w:vAlign w:val="center"/>
          </w:tcPr>
          <w:p w14:paraId="747E69A0">
            <w:pPr>
              <w:pStyle w:val="169"/>
              <w:rPr>
                <w:rFonts w:hint="default" w:ascii="Times New Roman" w:hAnsi="Times New Roman" w:eastAsia="宋体" w:cs="Times New Roman"/>
                <w:bCs/>
                <w:color w:val="auto"/>
                <w:kern w:val="0"/>
                <w:sz w:val="21"/>
                <w:szCs w:val="21"/>
              </w:rPr>
            </w:pPr>
            <w:r>
              <w:rPr>
                <w:rFonts w:hint="default" w:ascii="Times New Roman" w:hAnsi="Times New Roman" w:eastAsia="宋体" w:cs="Times New Roman"/>
                <w:bCs/>
                <w:color w:val="auto"/>
                <w:kern w:val="0"/>
                <w:sz w:val="21"/>
                <w:szCs w:val="21"/>
              </w:rPr>
              <w:t>0.00</w:t>
            </w:r>
            <w:r>
              <w:rPr>
                <w:rFonts w:hint="eastAsia" w:cs="Times New Roman"/>
                <w:bCs/>
                <w:color w:val="auto"/>
                <w:kern w:val="0"/>
                <w:sz w:val="21"/>
                <w:szCs w:val="21"/>
                <w:lang w:val="en-US" w:eastAsia="zh-CN"/>
              </w:rPr>
              <w:t>024</w:t>
            </w:r>
            <w:r>
              <w:rPr>
                <w:rFonts w:hint="default" w:ascii="Times New Roman" w:hAnsi="Times New Roman" w:eastAsia="宋体" w:cs="Times New Roman"/>
                <w:color w:val="auto"/>
                <w:kern w:val="0"/>
                <w:sz w:val="21"/>
                <w:szCs w:val="21"/>
                <w:lang w:bidi="ar"/>
              </w:rPr>
              <w:t>t/a</w:t>
            </w:r>
          </w:p>
        </w:tc>
        <w:tc>
          <w:tcPr>
            <w:tcW w:w="602" w:type="pct"/>
            <w:tcBorders>
              <w:tl2br w:val="nil"/>
              <w:tr2bl w:val="nil"/>
            </w:tcBorders>
            <w:vAlign w:val="center"/>
          </w:tcPr>
          <w:p w14:paraId="077D5277">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704" w:type="pct"/>
            <w:tcBorders>
              <w:tl2br w:val="nil"/>
              <w:tr2bl w:val="nil"/>
            </w:tcBorders>
            <w:vAlign w:val="center"/>
          </w:tcPr>
          <w:p w14:paraId="49BAAF8C">
            <w:pPr>
              <w:pStyle w:val="169"/>
              <w:rPr>
                <w:rFonts w:hint="default" w:ascii="Times New Roman" w:hAnsi="Times New Roman" w:eastAsia="宋体" w:cs="Times New Roman"/>
                <w:bCs/>
                <w:color w:val="auto"/>
                <w:kern w:val="0"/>
                <w:sz w:val="21"/>
                <w:szCs w:val="21"/>
              </w:rPr>
            </w:pPr>
            <w:r>
              <w:rPr>
                <w:rFonts w:hint="default" w:ascii="Times New Roman" w:hAnsi="Times New Roman" w:eastAsia="宋体" w:cs="Times New Roman"/>
                <w:bCs/>
                <w:color w:val="auto"/>
                <w:kern w:val="0"/>
                <w:sz w:val="21"/>
                <w:szCs w:val="21"/>
              </w:rPr>
              <w:t>0.00</w:t>
            </w:r>
            <w:r>
              <w:rPr>
                <w:rFonts w:hint="eastAsia" w:cs="Times New Roman"/>
                <w:bCs/>
                <w:color w:val="auto"/>
                <w:kern w:val="0"/>
                <w:sz w:val="21"/>
                <w:szCs w:val="21"/>
                <w:lang w:val="en-US" w:eastAsia="zh-CN"/>
              </w:rPr>
              <w:t>024</w:t>
            </w:r>
            <w:r>
              <w:rPr>
                <w:rFonts w:hint="default" w:ascii="Times New Roman" w:hAnsi="Times New Roman" w:eastAsia="宋体" w:cs="Times New Roman"/>
                <w:color w:val="auto"/>
                <w:kern w:val="0"/>
                <w:sz w:val="21"/>
                <w:szCs w:val="21"/>
                <w:lang w:bidi="ar"/>
              </w:rPr>
              <w:t>t/a</w:t>
            </w:r>
          </w:p>
        </w:tc>
        <w:tc>
          <w:tcPr>
            <w:tcW w:w="453" w:type="pct"/>
            <w:tcBorders>
              <w:tl2br w:val="nil"/>
              <w:tr2bl w:val="nil"/>
            </w:tcBorders>
            <w:vAlign w:val="center"/>
          </w:tcPr>
          <w:p w14:paraId="7E97E7E3">
            <w:pPr>
              <w:pStyle w:val="169"/>
              <w:rPr>
                <w:rFonts w:hint="default" w:ascii="Times New Roman" w:hAnsi="Times New Roman" w:eastAsia="宋体" w:cs="Times New Roman"/>
                <w:bCs/>
                <w:color w:val="auto"/>
                <w:kern w:val="0"/>
                <w:sz w:val="21"/>
                <w:szCs w:val="21"/>
              </w:rPr>
            </w:pPr>
            <w:r>
              <w:rPr>
                <w:rFonts w:hint="default" w:ascii="Times New Roman" w:hAnsi="Times New Roman" w:eastAsia="宋体" w:cs="Times New Roman"/>
                <w:bCs/>
                <w:color w:val="auto"/>
                <w:kern w:val="0"/>
                <w:sz w:val="21"/>
                <w:szCs w:val="21"/>
              </w:rPr>
              <w:t>0.00</w:t>
            </w:r>
            <w:r>
              <w:rPr>
                <w:rFonts w:hint="eastAsia" w:cs="Times New Roman"/>
                <w:bCs/>
                <w:color w:val="auto"/>
                <w:kern w:val="0"/>
                <w:sz w:val="21"/>
                <w:szCs w:val="21"/>
                <w:lang w:val="en-US" w:eastAsia="zh-CN"/>
              </w:rPr>
              <w:t>024</w:t>
            </w:r>
            <w:r>
              <w:rPr>
                <w:rFonts w:hint="default" w:ascii="Times New Roman" w:hAnsi="Times New Roman" w:eastAsia="宋体" w:cs="Times New Roman"/>
                <w:color w:val="auto"/>
                <w:kern w:val="0"/>
                <w:sz w:val="21"/>
                <w:szCs w:val="21"/>
                <w:lang w:bidi="ar"/>
              </w:rPr>
              <w:t>t/a</w:t>
            </w:r>
          </w:p>
        </w:tc>
      </w:tr>
      <w:tr w14:paraId="71697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01" w:type="pct"/>
            <w:vMerge w:val="continue"/>
            <w:tcBorders>
              <w:tl2br w:val="nil"/>
              <w:tr2bl w:val="nil"/>
            </w:tcBorders>
            <w:vAlign w:val="center"/>
          </w:tcPr>
          <w:p w14:paraId="03810735">
            <w:pPr>
              <w:pStyle w:val="69"/>
              <w:rPr>
                <w:rFonts w:hint="default" w:ascii="Times New Roman" w:hAnsi="Times New Roman" w:eastAsia="宋体" w:cs="Times New Roman"/>
                <w:snapToGrid w:val="0"/>
                <w:color w:val="auto"/>
                <w:sz w:val="21"/>
                <w:szCs w:val="21"/>
              </w:rPr>
            </w:pPr>
          </w:p>
        </w:tc>
        <w:tc>
          <w:tcPr>
            <w:tcW w:w="654" w:type="pct"/>
            <w:tcBorders>
              <w:tl2br w:val="nil"/>
              <w:tr2bl w:val="nil"/>
            </w:tcBorders>
            <w:vAlign w:val="center"/>
          </w:tcPr>
          <w:p w14:paraId="39701974">
            <w:pPr>
              <w:pStyle w:val="58"/>
              <w:spacing w:beforeLines="0" w:afterLines="0" w:line="240" w:lineRule="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污水处理站无组织废气</w:t>
            </w:r>
            <w:r>
              <w:rPr>
                <w:rFonts w:hint="default" w:ascii="Times New Roman" w:hAnsi="Times New Roman" w:eastAsia="宋体" w:cs="Times New Roman"/>
                <w:bCs/>
                <w:color w:val="auto"/>
                <w:sz w:val="21"/>
                <w:szCs w:val="21"/>
              </w:rPr>
              <w:t>H</w:t>
            </w:r>
            <w:r>
              <w:rPr>
                <w:rFonts w:hint="default" w:ascii="Times New Roman" w:hAnsi="Times New Roman" w:eastAsia="宋体" w:cs="Times New Roman"/>
                <w:bCs/>
                <w:color w:val="auto"/>
                <w:sz w:val="21"/>
                <w:szCs w:val="21"/>
                <w:vertAlign w:val="subscript"/>
              </w:rPr>
              <w:t>2</w:t>
            </w:r>
            <w:r>
              <w:rPr>
                <w:rFonts w:hint="default" w:ascii="Times New Roman" w:hAnsi="Times New Roman" w:eastAsia="宋体" w:cs="Times New Roman"/>
                <w:bCs/>
                <w:color w:val="auto"/>
                <w:sz w:val="21"/>
                <w:szCs w:val="21"/>
              </w:rPr>
              <w:t>S</w:t>
            </w:r>
          </w:p>
        </w:tc>
        <w:tc>
          <w:tcPr>
            <w:tcW w:w="642" w:type="pct"/>
            <w:tcBorders>
              <w:tl2br w:val="nil"/>
              <w:tr2bl w:val="nil"/>
            </w:tcBorders>
            <w:vAlign w:val="center"/>
          </w:tcPr>
          <w:p w14:paraId="259D878C">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495" w:type="pct"/>
            <w:tcBorders>
              <w:tl2br w:val="nil"/>
              <w:tr2bl w:val="nil"/>
            </w:tcBorders>
            <w:vAlign w:val="center"/>
          </w:tcPr>
          <w:p w14:paraId="315B3718">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4" w:type="pct"/>
            <w:tcBorders>
              <w:tl2br w:val="nil"/>
              <w:tr2bl w:val="nil"/>
            </w:tcBorders>
            <w:vAlign w:val="center"/>
          </w:tcPr>
          <w:p w14:paraId="6F53F8DA">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0" w:type="pct"/>
            <w:tcBorders>
              <w:tl2br w:val="nil"/>
              <w:tr2bl w:val="nil"/>
            </w:tcBorders>
            <w:vAlign w:val="center"/>
          </w:tcPr>
          <w:p w14:paraId="6C3FE551">
            <w:pPr>
              <w:pStyle w:val="169"/>
              <w:rPr>
                <w:rFonts w:hint="default" w:ascii="Times New Roman" w:hAnsi="Times New Roman" w:eastAsia="宋体" w:cs="Times New Roman"/>
                <w:bCs/>
                <w:color w:val="auto"/>
                <w:kern w:val="0"/>
                <w:sz w:val="21"/>
                <w:szCs w:val="21"/>
              </w:rPr>
            </w:pPr>
            <w:r>
              <w:rPr>
                <w:rFonts w:hint="default" w:ascii="Times New Roman" w:hAnsi="Times New Roman" w:eastAsia="宋体" w:cs="Times New Roman"/>
                <w:bCs/>
                <w:color w:val="auto"/>
                <w:kern w:val="0"/>
                <w:sz w:val="21"/>
                <w:szCs w:val="21"/>
              </w:rPr>
              <w:t>0.00</w:t>
            </w:r>
            <w:r>
              <w:rPr>
                <w:rFonts w:hint="eastAsia" w:cs="Times New Roman"/>
                <w:bCs/>
                <w:color w:val="auto"/>
                <w:kern w:val="0"/>
                <w:sz w:val="21"/>
                <w:szCs w:val="21"/>
                <w:lang w:val="en-US" w:eastAsia="zh-CN"/>
              </w:rPr>
              <w:t>0009</w:t>
            </w:r>
            <w:r>
              <w:rPr>
                <w:rFonts w:hint="default" w:ascii="Times New Roman" w:hAnsi="Times New Roman" w:eastAsia="宋体" w:cs="Times New Roman"/>
                <w:color w:val="auto"/>
                <w:kern w:val="0"/>
                <w:sz w:val="21"/>
                <w:szCs w:val="21"/>
                <w:lang w:bidi="ar"/>
              </w:rPr>
              <w:t>t/a</w:t>
            </w:r>
          </w:p>
        </w:tc>
        <w:tc>
          <w:tcPr>
            <w:tcW w:w="602" w:type="pct"/>
            <w:tcBorders>
              <w:tl2br w:val="nil"/>
              <w:tr2bl w:val="nil"/>
            </w:tcBorders>
            <w:vAlign w:val="center"/>
          </w:tcPr>
          <w:p w14:paraId="70A8004C">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704" w:type="pct"/>
            <w:tcBorders>
              <w:tl2br w:val="nil"/>
              <w:tr2bl w:val="nil"/>
            </w:tcBorders>
            <w:vAlign w:val="center"/>
          </w:tcPr>
          <w:p w14:paraId="0D801D0E">
            <w:pPr>
              <w:pStyle w:val="169"/>
              <w:rPr>
                <w:rFonts w:hint="default" w:ascii="Times New Roman" w:hAnsi="Times New Roman" w:eastAsia="宋体" w:cs="Times New Roman"/>
                <w:bCs/>
                <w:color w:val="auto"/>
                <w:kern w:val="0"/>
                <w:sz w:val="21"/>
                <w:szCs w:val="21"/>
              </w:rPr>
            </w:pPr>
            <w:r>
              <w:rPr>
                <w:rFonts w:hint="default" w:ascii="Times New Roman" w:hAnsi="Times New Roman" w:eastAsia="宋体" w:cs="Times New Roman"/>
                <w:bCs/>
                <w:color w:val="auto"/>
                <w:kern w:val="0"/>
                <w:sz w:val="21"/>
                <w:szCs w:val="21"/>
              </w:rPr>
              <w:t>0.00</w:t>
            </w:r>
            <w:r>
              <w:rPr>
                <w:rFonts w:hint="eastAsia" w:cs="Times New Roman"/>
                <w:bCs/>
                <w:color w:val="auto"/>
                <w:kern w:val="0"/>
                <w:sz w:val="21"/>
                <w:szCs w:val="21"/>
                <w:lang w:val="en-US" w:eastAsia="zh-CN"/>
              </w:rPr>
              <w:t>0009</w:t>
            </w:r>
            <w:r>
              <w:rPr>
                <w:rFonts w:hint="default" w:ascii="Times New Roman" w:hAnsi="Times New Roman" w:eastAsia="宋体" w:cs="Times New Roman"/>
                <w:color w:val="auto"/>
                <w:kern w:val="0"/>
                <w:sz w:val="21"/>
                <w:szCs w:val="21"/>
                <w:lang w:bidi="ar"/>
              </w:rPr>
              <w:t>t/a</w:t>
            </w:r>
          </w:p>
        </w:tc>
        <w:tc>
          <w:tcPr>
            <w:tcW w:w="453" w:type="pct"/>
            <w:tcBorders>
              <w:tl2br w:val="nil"/>
              <w:tr2bl w:val="nil"/>
            </w:tcBorders>
            <w:vAlign w:val="center"/>
          </w:tcPr>
          <w:p w14:paraId="5A724E9E">
            <w:pPr>
              <w:pStyle w:val="169"/>
              <w:rPr>
                <w:rFonts w:hint="default" w:ascii="Times New Roman" w:hAnsi="Times New Roman" w:eastAsia="宋体" w:cs="Times New Roman"/>
                <w:bCs/>
                <w:color w:val="auto"/>
                <w:kern w:val="0"/>
                <w:sz w:val="21"/>
                <w:szCs w:val="21"/>
              </w:rPr>
            </w:pPr>
            <w:r>
              <w:rPr>
                <w:rFonts w:hint="default" w:ascii="Times New Roman" w:hAnsi="Times New Roman" w:eastAsia="宋体" w:cs="Times New Roman"/>
                <w:bCs/>
                <w:color w:val="auto"/>
                <w:kern w:val="0"/>
                <w:sz w:val="21"/>
                <w:szCs w:val="21"/>
              </w:rPr>
              <w:t>0.00</w:t>
            </w:r>
            <w:r>
              <w:rPr>
                <w:rFonts w:hint="eastAsia" w:cs="Times New Roman"/>
                <w:bCs/>
                <w:color w:val="auto"/>
                <w:kern w:val="0"/>
                <w:sz w:val="21"/>
                <w:szCs w:val="21"/>
                <w:lang w:val="en-US" w:eastAsia="zh-CN"/>
              </w:rPr>
              <w:t>0009</w:t>
            </w:r>
            <w:r>
              <w:rPr>
                <w:rFonts w:hint="default" w:ascii="Times New Roman" w:hAnsi="Times New Roman" w:eastAsia="宋体" w:cs="Times New Roman"/>
                <w:color w:val="auto"/>
                <w:kern w:val="0"/>
                <w:sz w:val="21"/>
                <w:szCs w:val="21"/>
                <w:lang w:bidi="ar"/>
              </w:rPr>
              <w:t>t/a</w:t>
            </w:r>
          </w:p>
        </w:tc>
      </w:tr>
      <w:tr w14:paraId="503BD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01" w:type="pct"/>
            <w:vMerge w:val="restart"/>
            <w:tcBorders>
              <w:tl2br w:val="nil"/>
              <w:tr2bl w:val="nil"/>
            </w:tcBorders>
            <w:vAlign w:val="center"/>
          </w:tcPr>
          <w:p w14:paraId="602710F7">
            <w:pPr>
              <w:pStyle w:val="69"/>
              <w:rPr>
                <w:rFonts w:hint="default" w:ascii="Times New Roman" w:hAnsi="Times New Roman" w:eastAsia="宋体" w:cs="Times New Roman"/>
                <w:snapToGrid w:val="0"/>
                <w:color w:val="auto"/>
                <w:sz w:val="21"/>
                <w:szCs w:val="21"/>
              </w:rPr>
            </w:pPr>
            <w:r>
              <w:rPr>
                <w:rFonts w:hint="default" w:ascii="Times New Roman" w:hAnsi="Times New Roman" w:eastAsia="宋体" w:cs="Times New Roman"/>
                <w:snapToGrid w:val="0"/>
                <w:color w:val="auto"/>
                <w:sz w:val="21"/>
                <w:szCs w:val="21"/>
              </w:rPr>
              <w:t>废水</w:t>
            </w:r>
          </w:p>
        </w:tc>
        <w:tc>
          <w:tcPr>
            <w:tcW w:w="654" w:type="pct"/>
            <w:tcBorders>
              <w:tl2br w:val="nil"/>
              <w:tr2bl w:val="nil"/>
            </w:tcBorders>
            <w:vAlign w:val="center"/>
          </w:tcPr>
          <w:p w14:paraId="50CF7E6D">
            <w:pPr>
              <w:pStyle w:val="58"/>
              <w:spacing w:beforeLines="0" w:afterLines="0" w:line="240" w:lineRule="auto"/>
              <w:rPr>
                <w:rFonts w:hint="default" w:ascii="Times New Roman" w:hAnsi="Times New Roman" w:eastAsia="宋体" w:cs="Times New Roman"/>
                <w:color w:val="auto"/>
                <w:sz w:val="21"/>
                <w:szCs w:val="21"/>
              </w:rPr>
            </w:pPr>
            <w:r>
              <w:rPr>
                <w:rFonts w:hint="default" w:ascii="Times New Roman" w:hAnsi="Times New Roman" w:eastAsia="宋体" w:cs="Times New Roman"/>
                <w:bCs/>
                <w:color w:val="auto"/>
                <w:sz w:val="21"/>
                <w:szCs w:val="21"/>
              </w:rPr>
              <w:t>CODcr</w:t>
            </w:r>
          </w:p>
        </w:tc>
        <w:tc>
          <w:tcPr>
            <w:tcW w:w="642" w:type="pct"/>
            <w:tcBorders>
              <w:tl2br w:val="nil"/>
              <w:tr2bl w:val="nil"/>
            </w:tcBorders>
            <w:vAlign w:val="center"/>
          </w:tcPr>
          <w:p w14:paraId="33F6F784">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495" w:type="pct"/>
            <w:tcBorders>
              <w:tl2br w:val="nil"/>
              <w:tr2bl w:val="nil"/>
            </w:tcBorders>
            <w:vAlign w:val="center"/>
          </w:tcPr>
          <w:p w14:paraId="3FD05E63">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4" w:type="pct"/>
            <w:tcBorders>
              <w:tl2br w:val="nil"/>
              <w:tr2bl w:val="nil"/>
            </w:tcBorders>
            <w:vAlign w:val="center"/>
          </w:tcPr>
          <w:p w14:paraId="2BECA4CC">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0" w:type="pct"/>
            <w:tcBorders>
              <w:tl2br w:val="nil"/>
              <w:tr2bl w:val="nil"/>
            </w:tcBorders>
            <w:vAlign w:val="center"/>
          </w:tcPr>
          <w:p w14:paraId="18C85A77">
            <w:pPr>
              <w:pStyle w:val="69"/>
              <w:jc w:val="center"/>
              <w:rPr>
                <w:rFonts w:hint="default" w:ascii="Times New Roman" w:hAnsi="Times New Roman" w:eastAsia="宋体" w:cs="Times New Roman"/>
                <w:color w:val="auto"/>
                <w:sz w:val="21"/>
                <w:szCs w:val="21"/>
              </w:rPr>
            </w:pPr>
            <w:r>
              <w:rPr>
                <w:rFonts w:hint="eastAsia" w:cs="Times New Roman"/>
                <w:color w:val="auto"/>
                <w:sz w:val="21"/>
                <w:szCs w:val="21"/>
                <w:lang w:val="en-US" w:eastAsia="zh-CN"/>
              </w:rPr>
              <w:t>0.46</w:t>
            </w:r>
            <w:r>
              <w:rPr>
                <w:rFonts w:hint="default" w:ascii="Times New Roman" w:hAnsi="Times New Roman" w:eastAsia="宋体" w:cs="Times New Roman"/>
                <w:color w:val="auto"/>
                <w:sz w:val="21"/>
                <w:szCs w:val="21"/>
                <w:lang w:bidi="ar"/>
              </w:rPr>
              <w:t>t/a</w:t>
            </w:r>
          </w:p>
        </w:tc>
        <w:tc>
          <w:tcPr>
            <w:tcW w:w="602" w:type="pct"/>
            <w:tcBorders>
              <w:tl2br w:val="nil"/>
              <w:tr2bl w:val="nil"/>
            </w:tcBorders>
            <w:vAlign w:val="center"/>
          </w:tcPr>
          <w:p w14:paraId="49C7CC72">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704" w:type="pct"/>
            <w:tcBorders>
              <w:tl2br w:val="nil"/>
              <w:tr2bl w:val="nil"/>
            </w:tcBorders>
            <w:vAlign w:val="center"/>
          </w:tcPr>
          <w:p w14:paraId="523B733D">
            <w:pPr>
              <w:pStyle w:val="69"/>
              <w:jc w:val="center"/>
              <w:rPr>
                <w:rFonts w:hint="default" w:ascii="Times New Roman" w:hAnsi="Times New Roman" w:eastAsia="宋体" w:cs="Times New Roman"/>
                <w:color w:val="auto"/>
                <w:sz w:val="21"/>
                <w:szCs w:val="21"/>
              </w:rPr>
            </w:pPr>
            <w:r>
              <w:rPr>
                <w:rFonts w:hint="eastAsia" w:cs="Times New Roman"/>
                <w:color w:val="auto"/>
                <w:sz w:val="21"/>
                <w:szCs w:val="21"/>
                <w:lang w:val="en-US" w:eastAsia="zh-CN"/>
              </w:rPr>
              <w:t>0.46</w:t>
            </w:r>
            <w:r>
              <w:rPr>
                <w:rFonts w:hint="default" w:ascii="Times New Roman" w:hAnsi="Times New Roman" w:eastAsia="宋体" w:cs="Times New Roman"/>
                <w:color w:val="auto"/>
                <w:sz w:val="21"/>
                <w:szCs w:val="21"/>
                <w:lang w:bidi="ar"/>
              </w:rPr>
              <w:t>t/a</w:t>
            </w:r>
          </w:p>
        </w:tc>
        <w:tc>
          <w:tcPr>
            <w:tcW w:w="453" w:type="pct"/>
            <w:tcBorders>
              <w:tl2br w:val="nil"/>
              <w:tr2bl w:val="nil"/>
            </w:tcBorders>
            <w:vAlign w:val="center"/>
          </w:tcPr>
          <w:p w14:paraId="7502BBEF">
            <w:pPr>
              <w:pStyle w:val="69"/>
              <w:jc w:val="center"/>
              <w:rPr>
                <w:rFonts w:hint="default" w:ascii="Times New Roman" w:hAnsi="Times New Roman" w:eastAsia="宋体" w:cs="Times New Roman"/>
                <w:color w:val="auto"/>
                <w:sz w:val="21"/>
                <w:szCs w:val="21"/>
              </w:rPr>
            </w:pPr>
            <w:r>
              <w:rPr>
                <w:rFonts w:hint="eastAsia" w:cs="Times New Roman"/>
                <w:color w:val="auto"/>
                <w:sz w:val="21"/>
                <w:szCs w:val="21"/>
                <w:lang w:val="en-US" w:eastAsia="zh-CN"/>
              </w:rPr>
              <w:t>0.46</w:t>
            </w:r>
            <w:r>
              <w:rPr>
                <w:rFonts w:hint="default" w:ascii="Times New Roman" w:hAnsi="Times New Roman" w:eastAsia="宋体" w:cs="Times New Roman"/>
                <w:color w:val="auto"/>
                <w:sz w:val="21"/>
                <w:szCs w:val="21"/>
                <w:lang w:bidi="ar"/>
              </w:rPr>
              <w:t>t/a</w:t>
            </w:r>
          </w:p>
        </w:tc>
      </w:tr>
      <w:tr w14:paraId="36B72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01" w:type="pct"/>
            <w:vMerge w:val="continue"/>
            <w:tcBorders>
              <w:tl2br w:val="nil"/>
              <w:tr2bl w:val="nil"/>
            </w:tcBorders>
            <w:vAlign w:val="center"/>
          </w:tcPr>
          <w:p w14:paraId="6D63FF9B">
            <w:pPr>
              <w:pStyle w:val="69"/>
              <w:rPr>
                <w:rFonts w:hint="default" w:ascii="Times New Roman" w:hAnsi="Times New Roman" w:eastAsia="宋体" w:cs="Times New Roman"/>
                <w:snapToGrid w:val="0"/>
                <w:color w:val="auto"/>
                <w:sz w:val="21"/>
                <w:szCs w:val="21"/>
              </w:rPr>
            </w:pPr>
          </w:p>
        </w:tc>
        <w:tc>
          <w:tcPr>
            <w:tcW w:w="654" w:type="pct"/>
            <w:tcBorders>
              <w:tl2br w:val="nil"/>
              <w:tr2bl w:val="nil"/>
            </w:tcBorders>
            <w:vAlign w:val="center"/>
          </w:tcPr>
          <w:p w14:paraId="3F584CAE">
            <w:pPr>
              <w:pStyle w:val="58"/>
              <w:spacing w:beforeLines="0" w:afterLines="0" w:line="240" w:lineRule="auto"/>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氨氮</w:t>
            </w:r>
          </w:p>
        </w:tc>
        <w:tc>
          <w:tcPr>
            <w:tcW w:w="642" w:type="pct"/>
            <w:tcBorders>
              <w:tl2br w:val="nil"/>
              <w:tr2bl w:val="nil"/>
            </w:tcBorders>
            <w:vAlign w:val="center"/>
          </w:tcPr>
          <w:p w14:paraId="5F796FB7">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495" w:type="pct"/>
            <w:tcBorders>
              <w:tl2br w:val="nil"/>
              <w:tr2bl w:val="nil"/>
            </w:tcBorders>
            <w:vAlign w:val="center"/>
          </w:tcPr>
          <w:p w14:paraId="56AE49EC">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4" w:type="pct"/>
            <w:tcBorders>
              <w:tl2br w:val="nil"/>
              <w:tr2bl w:val="nil"/>
            </w:tcBorders>
            <w:vAlign w:val="center"/>
          </w:tcPr>
          <w:p w14:paraId="70166698">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0" w:type="pct"/>
            <w:tcBorders>
              <w:tl2br w:val="nil"/>
              <w:tr2bl w:val="nil"/>
            </w:tcBorders>
            <w:vAlign w:val="center"/>
          </w:tcPr>
          <w:p w14:paraId="3369BAD2">
            <w:pPr>
              <w:pStyle w:val="69"/>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0.</w:t>
            </w:r>
            <w:r>
              <w:rPr>
                <w:rFonts w:hint="eastAsia" w:cs="Times New Roman"/>
                <w:color w:val="auto"/>
                <w:sz w:val="21"/>
                <w:szCs w:val="21"/>
                <w:lang w:val="en-US" w:eastAsia="zh-CN"/>
              </w:rPr>
              <w:t>016</w:t>
            </w:r>
            <w:r>
              <w:rPr>
                <w:rFonts w:hint="default" w:ascii="Times New Roman" w:hAnsi="Times New Roman" w:eastAsia="宋体" w:cs="Times New Roman"/>
                <w:color w:val="auto"/>
                <w:sz w:val="21"/>
                <w:szCs w:val="21"/>
                <w:lang w:bidi="ar"/>
              </w:rPr>
              <w:t>t/a</w:t>
            </w:r>
          </w:p>
        </w:tc>
        <w:tc>
          <w:tcPr>
            <w:tcW w:w="602" w:type="pct"/>
            <w:tcBorders>
              <w:tl2br w:val="nil"/>
              <w:tr2bl w:val="nil"/>
            </w:tcBorders>
            <w:vAlign w:val="center"/>
          </w:tcPr>
          <w:p w14:paraId="7E87EABC">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704" w:type="pct"/>
            <w:tcBorders>
              <w:tl2br w:val="nil"/>
              <w:tr2bl w:val="nil"/>
            </w:tcBorders>
            <w:vAlign w:val="center"/>
          </w:tcPr>
          <w:p w14:paraId="3A711CDC">
            <w:pPr>
              <w:pStyle w:val="69"/>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0.</w:t>
            </w:r>
            <w:r>
              <w:rPr>
                <w:rFonts w:hint="eastAsia" w:cs="Times New Roman"/>
                <w:color w:val="auto"/>
                <w:sz w:val="21"/>
                <w:szCs w:val="21"/>
                <w:lang w:val="en-US" w:eastAsia="zh-CN"/>
              </w:rPr>
              <w:t>016</w:t>
            </w:r>
            <w:r>
              <w:rPr>
                <w:rFonts w:hint="default" w:ascii="Times New Roman" w:hAnsi="Times New Roman" w:eastAsia="宋体" w:cs="Times New Roman"/>
                <w:color w:val="auto"/>
                <w:sz w:val="21"/>
                <w:szCs w:val="21"/>
                <w:lang w:bidi="ar"/>
              </w:rPr>
              <w:t>t/a</w:t>
            </w:r>
          </w:p>
        </w:tc>
        <w:tc>
          <w:tcPr>
            <w:tcW w:w="453" w:type="pct"/>
            <w:tcBorders>
              <w:tl2br w:val="nil"/>
              <w:tr2bl w:val="nil"/>
            </w:tcBorders>
            <w:vAlign w:val="center"/>
          </w:tcPr>
          <w:p w14:paraId="46AED139">
            <w:pPr>
              <w:pStyle w:val="69"/>
              <w:jc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z w:val="21"/>
                <w:szCs w:val="21"/>
              </w:rPr>
              <w:t>0.</w:t>
            </w:r>
            <w:r>
              <w:rPr>
                <w:rFonts w:hint="eastAsia" w:cs="Times New Roman"/>
                <w:color w:val="auto"/>
                <w:sz w:val="21"/>
                <w:szCs w:val="21"/>
                <w:lang w:val="en-US" w:eastAsia="zh-CN"/>
              </w:rPr>
              <w:t>016</w:t>
            </w:r>
            <w:r>
              <w:rPr>
                <w:rFonts w:hint="default" w:ascii="Times New Roman" w:hAnsi="Times New Roman" w:eastAsia="宋体" w:cs="Times New Roman"/>
                <w:color w:val="auto"/>
                <w:sz w:val="21"/>
                <w:szCs w:val="21"/>
                <w:lang w:bidi="ar"/>
              </w:rPr>
              <w:t>t/a</w:t>
            </w:r>
          </w:p>
        </w:tc>
      </w:tr>
      <w:tr w14:paraId="62DB4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01" w:type="pct"/>
            <w:vMerge w:val="restart"/>
            <w:tcBorders>
              <w:tl2br w:val="nil"/>
              <w:tr2bl w:val="nil"/>
            </w:tcBorders>
            <w:vAlign w:val="center"/>
          </w:tcPr>
          <w:p w14:paraId="7632F8BE">
            <w:pPr>
              <w:pStyle w:val="58"/>
              <w:spacing w:beforeLines="0" w:afterLines="0" w:line="240" w:lineRule="auto"/>
              <w:rPr>
                <w:rFonts w:hint="default" w:ascii="Times New Roman" w:hAnsi="Times New Roman" w:eastAsia="宋体" w:cs="Times New Roman"/>
                <w:snapToGrid w:val="0"/>
                <w:color w:val="auto"/>
                <w:sz w:val="21"/>
                <w:szCs w:val="21"/>
              </w:rPr>
            </w:pPr>
            <w:r>
              <w:rPr>
                <w:rFonts w:hint="default" w:ascii="Times New Roman" w:hAnsi="Times New Roman" w:eastAsia="宋体" w:cs="Times New Roman"/>
                <w:snapToGrid w:val="0"/>
                <w:color w:val="auto"/>
                <w:kern w:val="21"/>
                <w:sz w:val="21"/>
                <w:szCs w:val="21"/>
              </w:rPr>
              <w:t>一般工业固体废物</w:t>
            </w:r>
          </w:p>
        </w:tc>
        <w:tc>
          <w:tcPr>
            <w:tcW w:w="654" w:type="pct"/>
            <w:tcBorders>
              <w:tl2br w:val="nil"/>
              <w:tr2bl w:val="nil"/>
            </w:tcBorders>
            <w:vAlign w:val="center"/>
          </w:tcPr>
          <w:p w14:paraId="498A5612">
            <w:pPr>
              <w:jc w:val="center"/>
              <w:rPr>
                <w:rFonts w:hint="default" w:ascii="Times New Roman" w:hAnsi="Times New Roman" w:eastAsia="宋体" w:cs="Times New Roman"/>
                <w:color w:val="auto"/>
                <w:kern w:val="0"/>
                <w:sz w:val="21"/>
                <w:szCs w:val="21"/>
              </w:rPr>
            </w:pPr>
            <w:r>
              <w:rPr>
                <w:rFonts w:hint="default" w:ascii="Times New Roman" w:hAnsi="Times New Roman" w:eastAsia="宋体" w:cs="Times New Roman"/>
                <w:color w:val="auto"/>
                <w:sz w:val="21"/>
                <w:szCs w:val="21"/>
              </w:rPr>
              <w:t>生活垃圾</w:t>
            </w:r>
          </w:p>
        </w:tc>
        <w:tc>
          <w:tcPr>
            <w:tcW w:w="642" w:type="pct"/>
            <w:tcBorders>
              <w:tl2br w:val="nil"/>
              <w:tr2bl w:val="nil"/>
            </w:tcBorders>
            <w:vAlign w:val="center"/>
          </w:tcPr>
          <w:p w14:paraId="1152DE97">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495" w:type="pct"/>
            <w:tcBorders>
              <w:tl2br w:val="nil"/>
              <w:tr2bl w:val="nil"/>
            </w:tcBorders>
            <w:vAlign w:val="center"/>
          </w:tcPr>
          <w:p w14:paraId="46E3FD87">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4" w:type="pct"/>
            <w:tcBorders>
              <w:tl2br w:val="nil"/>
              <w:tr2bl w:val="nil"/>
            </w:tcBorders>
            <w:vAlign w:val="center"/>
          </w:tcPr>
          <w:p w14:paraId="1A5EFCF8">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0" w:type="pct"/>
            <w:tcBorders>
              <w:tl2br w:val="nil"/>
              <w:tr2bl w:val="nil"/>
            </w:tcBorders>
            <w:vAlign w:val="center"/>
          </w:tcPr>
          <w:p w14:paraId="4D3464AF">
            <w:pPr>
              <w:widowControl/>
              <w:jc w:val="center"/>
              <w:textAlignment w:val="center"/>
              <w:rPr>
                <w:rFonts w:hint="default" w:ascii="Times New Roman" w:hAnsi="Times New Roman" w:eastAsia="宋体" w:cs="Times New Roman"/>
                <w:bCs/>
                <w:color w:val="auto"/>
                <w:sz w:val="21"/>
                <w:szCs w:val="21"/>
              </w:rPr>
            </w:pPr>
            <w:r>
              <w:rPr>
                <w:rFonts w:hint="eastAsia" w:ascii="Times New Roman" w:hAnsi="Times New Roman" w:eastAsia="宋体" w:cs="Times New Roman"/>
                <w:bCs/>
                <w:color w:val="auto"/>
                <w:sz w:val="21"/>
                <w:szCs w:val="21"/>
                <w:lang w:val="en-US" w:eastAsia="zh-CN"/>
              </w:rPr>
              <w:t>2.6</w:t>
            </w:r>
            <w:r>
              <w:rPr>
                <w:rFonts w:hint="default" w:ascii="Times New Roman" w:hAnsi="Times New Roman" w:eastAsia="宋体" w:cs="Times New Roman"/>
                <w:color w:val="auto"/>
                <w:kern w:val="0"/>
                <w:sz w:val="21"/>
                <w:szCs w:val="21"/>
                <w:lang w:bidi="ar"/>
              </w:rPr>
              <w:t>t/a</w:t>
            </w:r>
          </w:p>
        </w:tc>
        <w:tc>
          <w:tcPr>
            <w:tcW w:w="602" w:type="pct"/>
            <w:tcBorders>
              <w:tl2br w:val="nil"/>
              <w:tr2bl w:val="nil"/>
            </w:tcBorders>
            <w:vAlign w:val="center"/>
          </w:tcPr>
          <w:p w14:paraId="4CD42BA7">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704" w:type="pct"/>
            <w:tcBorders>
              <w:tl2br w:val="nil"/>
              <w:tr2bl w:val="nil"/>
            </w:tcBorders>
            <w:vAlign w:val="center"/>
          </w:tcPr>
          <w:p w14:paraId="60DD34ED">
            <w:pPr>
              <w:widowControl/>
              <w:jc w:val="center"/>
              <w:textAlignment w:val="center"/>
              <w:rPr>
                <w:rFonts w:hint="default" w:ascii="Times New Roman" w:hAnsi="Times New Roman" w:eastAsia="宋体" w:cs="Times New Roman"/>
                <w:bCs/>
                <w:color w:val="auto"/>
                <w:sz w:val="21"/>
                <w:szCs w:val="21"/>
              </w:rPr>
            </w:pPr>
            <w:r>
              <w:rPr>
                <w:rFonts w:hint="eastAsia" w:ascii="Times New Roman" w:hAnsi="Times New Roman" w:eastAsia="宋体" w:cs="Times New Roman"/>
                <w:bCs/>
                <w:color w:val="auto"/>
                <w:sz w:val="21"/>
                <w:szCs w:val="21"/>
                <w:lang w:val="en-US" w:eastAsia="zh-CN"/>
              </w:rPr>
              <w:t>2.6</w:t>
            </w:r>
            <w:r>
              <w:rPr>
                <w:rFonts w:hint="default" w:ascii="Times New Roman" w:hAnsi="Times New Roman" w:eastAsia="宋体" w:cs="Times New Roman"/>
                <w:color w:val="auto"/>
                <w:kern w:val="0"/>
                <w:sz w:val="21"/>
                <w:szCs w:val="21"/>
                <w:lang w:bidi="ar"/>
              </w:rPr>
              <w:t>t/a</w:t>
            </w:r>
          </w:p>
        </w:tc>
        <w:tc>
          <w:tcPr>
            <w:tcW w:w="453" w:type="pct"/>
            <w:tcBorders>
              <w:tl2br w:val="nil"/>
              <w:tr2bl w:val="nil"/>
            </w:tcBorders>
            <w:vAlign w:val="center"/>
          </w:tcPr>
          <w:p w14:paraId="6F1BCF9E">
            <w:pPr>
              <w:widowControl/>
              <w:jc w:val="center"/>
              <w:textAlignment w:val="center"/>
              <w:rPr>
                <w:rFonts w:hint="default" w:ascii="Times New Roman" w:hAnsi="Times New Roman" w:eastAsia="宋体" w:cs="Times New Roman"/>
                <w:bCs/>
                <w:color w:val="auto"/>
                <w:sz w:val="21"/>
                <w:szCs w:val="21"/>
              </w:rPr>
            </w:pPr>
            <w:r>
              <w:rPr>
                <w:rFonts w:hint="eastAsia" w:ascii="Times New Roman" w:hAnsi="Times New Roman" w:eastAsia="宋体" w:cs="Times New Roman"/>
                <w:bCs/>
                <w:color w:val="auto"/>
                <w:sz w:val="21"/>
                <w:szCs w:val="21"/>
                <w:lang w:val="en-US" w:eastAsia="zh-CN"/>
              </w:rPr>
              <w:t>2.6</w:t>
            </w:r>
            <w:r>
              <w:rPr>
                <w:rFonts w:hint="default" w:ascii="Times New Roman" w:hAnsi="Times New Roman" w:eastAsia="宋体" w:cs="Times New Roman"/>
                <w:color w:val="auto"/>
                <w:kern w:val="0"/>
                <w:sz w:val="21"/>
                <w:szCs w:val="21"/>
                <w:lang w:bidi="ar"/>
              </w:rPr>
              <w:t>t/a</w:t>
            </w:r>
          </w:p>
        </w:tc>
      </w:tr>
      <w:tr w14:paraId="4A05C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01" w:type="pct"/>
            <w:vMerge w:val="continue"/>
            <w:tcBorders>
              <w:tl2br w:val="nil"/>
              <w:tr2bl w:val="nil"/>
            </w:tcBorders>
            <w:vAlign w:val="center"/>
          </w:tcPr>
          <w:p w14:paraId="6AC2B2F2">
            <w:pPr>
              <w:pStyle w:val="69"/>
              <w:rPr>
                <w:rFonts w:hint="default" w:ascii="Times New Roman" w:hAnsi="Times New Roman" w:eastAsia="宋体" w:cs="Times New Roman"/>
                <w:snapToGrid w:val="0"/>
                <w:color w:val="auto"/>
                <w:sz w:val="21"/>
                <w:szCs w:val="21"/>
              </w:rPr>
            </w:pPr>
          </w:p>
        </w:tc>
        <w:tc>
          <w:tcPr>
            <w:tcW w:w="654" w:type="pct"/>
            <w:tcBorders>
              <w:tl2br w:val="nil"/>
              <w:tr2bl w:val="nil"/>
            </w:tcBorders>
            <w:vAlign w:val="center"/>
          </w:tcPr>
          <w:p w14:paraId="20C299E7">
            <w:pPr>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default" w:ascii="Times New Roman" w:hAnsi="Times New Roman" w:eastAsia="宋体" w:cs="Times New Roman"/>
                <w:color w:val="auto"/>
                <w:kern w:val="0"/>
                <w:sz w:val="21"/>
                <w:szCs w:val="21"/>
              </w:rPr>
            </w:pPr>
            <w:r>
              <w:rPr>
                <w:rFonts w:hint="default" w:ascii="Times New Roman" w:hAnsi="Times New Roman" w:eastAsia="宋体" w:cs="Times New Roman"/>
                <w:bCs/>
                <w:color w:val="auto"/>
                <w:sz w:val="21"/>
                <w:szCs w:val="21"/>
                <w:lang w:val="en-US" w:eastAsia="zh-CN"/>
              </w:rPr>
              <w:t>废包装材料</w:t>
            </w:r>
          </w:p>
        </w:tc>
        <w:tc>
          <w:tcPr>
            <w:tcW w:w="642" w:type="pct"/>
            <w:tcBorders>
              <w:tl2br w:val="nil"/>
              <w:tr2bl w:val="nil"/>
            </w:tcBorders>
            <w:vAlign w:val="center"/>
          </w:tcPr>
          <w:p w14:paraId="66696DB0">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495" w:type="pct"/>
            <w:tcBorders>
              <w:tl2br w:val="nil"/>
              <w:tr2bl w:val="nil"/>
            </w:tcBorders>
            <w:vAlign w:val="center"/>
          </w:tcPr>
          <w:p w14:paraId="7083FB51">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4" w:type="pct"/>
            <w:tcBorders>
              <w:tl2br w:val="nil"/>
              <w:tr2bl w:val="nil"/>
            </w:tcBorders>
            <w:vAlign w:val="center"/>
          </w:tcPr>
          <w:p w14:paraId="2837D1C5">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0" w:type="pct"/>
            <w:tcBorders>
              <w:tl2br w:val="nil"/>
              <w:tr2bl w:val="nil"/>
            </w:tcBorders>
            <w:vAlign w:val="center"/>
          </w:tcPr>
          <w:p w14:paraId="5CB426BA">
            <w:pPr>
              <w:widowControl/>
              <w:jc w:val="center"/>
              <w:textAlignment w:val="center"/>
              <w:rPr>
                <w:rFonts w:hint="default" w:ascii="Times New Roman" w:hAnsi="Times New Roman" w:eastAsia="宋体" w:cs="Times New Roman"/>
                <w:color w:val="auto"/>
                <w:kern w:val="0"/>
                <w:sz w:val="21"/>
                <w:szCs w:val="21"/>
                <w:lang w:bidi="ar"/>
              </w:rPr>
            </w:pPr>
            <w:r>
              <w:rPr>
                <w:rFonts w:hint="eastAsia" w:ascii="Times New Roman" w:hAnsi="Times New Roman" w:eastAsia="宋体" w:cs="Times New Roman"/>
                <w:color w:val="auto"/>
                <w:kern w:val="0"/>
                <w:sz w:val="21"/>
                <w:szCs w:val="21"/>
                <w:lang w:val="en-US" w:eastAsia="zh-CN" w:bidi="ar"/>
              </w:rPr>
              <w:t>0.2</w:t>
            </w:r>
            <w:r>
              <w:rPr>
                <w:rFonts w:hint="default" w:ascii="Times New Roman" w:hAnsi="Times New Roman" w:eastAsia="宋体" w:cs="Times New Roman"/>
                <w:color w:val="auto"/>
                <w:kern w:val="0"/>
                <w:sz w:val="21"/>
                <w:szCs w:val="21"/>
                <w:lang w:bidi="ar"/>
              </w:rPr>
              <w:t>t/a</w:t>
            </w:r>
          </w:p>
        </w:tc>
        <w:tc>
          <w:tcPr>
            <w:tcW w:w="602" w:type="pct"/>
            <w:tcBorders>
              <w:tl2br w:val="nil"/>
              <w:tr2bl w:val="nil"/>
            </w:tcBorders>
            <w:vAlign w:val="center"/>
          </w:tcPr>
          <w:p w14:paraId="27EF83A3">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704" w:type="pct"/>
            <w:tcBorders>
              <w:tl2br w:val="nil"/>
              <w:tr2bl w:val="nil"/>
            </w:tcBorders>
            <w:vAlign w:val="center"/>
          </w:tcPr>
          <w:p w14:paraId="720C8478">
            <w:pPr>
              <w:widowControl/>
              <w:jc w:val="center"/>
              <w:textAlignment w:val="center"/>
              <w:rPr>
                <w:rFonts w:hint="default" w:ascii="Times New Roman" w:hAnsi="Times New Roman" w:eastAsia="宋体" w:cs="Times New Roman"/>
                <w:color w:val="auto"/>
                <w:kern w:val="0"/>
                <w:sz w:val="21"/>
                <w:szCs w:val="21"/>
                <w:lang w:bidi="ar"/>
              </w:rPr>
            </w:pPr>
            <w:r>
              <w:rPr>
                <w:rFonts w:hint="eastAsia" w:ascii="Times New Roman" w:hAnsi="Times New Roman" w:eastAsia="宋体" w:cs="Times New Roman"/>
                <w:color w:val="auto"/>
                <w:kern w:val="0"/>
                <w:sz w:val="21"/>
                <w:szCs w:val="21"/>
                <w:lang w:val="en-US" w:eastAsia="zh-CN" w:bidi="ar"/>
              </w:rPr>
              <w:t>0.2</w:t>
            </w:r>
            <w:r>
              <w:rPr>
                <w:rFonts w:hint="default" w:ascii="Times New Roman" w:hAnsi="Times New Roman" w:eastAsia="宋体" w:cs="Times New Roman"/>
                <w:color w:val="auto"/>
                <w:kern w:val="0"/>
                <w:sz w:val="21"/>
                <w:szCs w:val="21"/>
                <w:lang w:bidi="ar"/>
              </w:rPr>
              <w:t>t/a</w:t>
            </w:r>
          </w:p>
        </w:tc>
        <w:tc>
          <w:tcPr>
            <w:tcW w:w="453" w:type="pct"/>
            <w:tcBorders>
              <w:tl2br w:val="nil"/>
              <w:tr2bl w:val="nil"/>
            </w:tcBorders>
            <w:vAlign w:val="center"/>
          </w:tcPr>
          <w:p w14:paraId="1A00EF0E">
            <w:pPr>
              <w:widowControl/>
              <w:jc w:val="center"/>
              <w:textAlignment w:val="center"/>
              <w:rPr>
                <w:rFonts w:hint="default" w:ascii="Times New Roman" w:hAnsi="Times New Roman" w:eastAsia="宋体" w:cs="Times New Roman"/>
                <w:color w:val="auto"/>
                <w:kern w:val="0"/>
                <w:sz w:val="21"/>
                <w:szCs w:val="21"/>
                <w:lang w:bidi="ar"/>
              </w:rPr>
            </w:pPr>
            <w:r>
              <w:rPr>
                <w:rFonts w:hint="eastAsia" w:ascii="Times New Roman" w:hAnsi="Times New Roman" w:eastAsia="宋体" w:cs="Times New Roman"/>
                <w:color w:val="auto"/>
                <w:kern w:val="0"/>
                <w:sz w:val="21"/>
                <w:szCs w:val="21"/>
                <w:lang w:val="en-US" w:eastAsia="zh-CN" w:bidi="ar"/>
              </w:rPr>
              <w:t>0.2</w:t>
            </w:r>
            <w:r>
              <w:rPr>
                <w:rFonts w:hint="default" w:ascii="Times New Roman" w:hAnsi="Times New Roman" w:eastAsia="宋体" w:cs="Times New Roman"/>
                <w:color w:val="auto"/>
                <w:kern w:val="0"/>
                <w:sz w:val="21"/>
                <w:szCs w:val="21"/>
                <w:lang w:bidi="ar"/>
              </w:rPr>
              <w:t>t/a</w:t>
            </w:r>
          </w:p>
        </w:tc>
      </w:tr>
      <w:tr w14:paraId="025CE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01" w:type="pct"/>
            <w:vMerge w:val="continue"/>
            <w:vAlign w:val="center"/>
          </w:tcPr>
          <w:p w14:paraId="525D7BF0">
            <w:pPr>
              <w:pStyle w:val="69"/>
              <w:rPr>
                <w:rFonts w:hint="default" w:ascii="Times New Roman" w:hAnsi="Times New Roman" w:eastAsia="宋体" w:cs="Times New Roman"/>
                <w:snapToGrid w:val="0"/>
                <w:color w:val="auto"/>
                <w:sz w:val="21"/>
                <w:szCs w:val="21"/>
              </w:rPr>
            </w:pPr>
          </w:p>
        </w:tc>
        <w:tc>
          <w:tcPr>
            <w:tcW w:w="654" w:type="pct"/>
            <w:vAlign w:val="center"/>
          </w:tcPr>
          <w:p w14:paraId="07FAF466">
            <w:pPr>
              <w:keepNext w:val="0"/>
              <w:keepLines w:val="0"/>
              <w:pageBreakBefore w:val="0"/>
              <w:widowControl w:val="0"/>
              <w:kinsoku/>
              <w:wordWrap/>
              <w:overflowPunct/>
              <w:topLinePunct w:val="0"/>
              <w:autoSpaceDE/>
              <w:autoSpaceDN/>
              <w:bidi w:val="0"/>
              <w:adjustRightInd w:val="0"/>
              <w:snapToGrid w:val="0"/>
              <w:ind w:firstLine="0" w:firstLineChars="0"/>
              <w:jc w:val="center"/>
              <w:textAlignment w:val="auto"/>
              <w:rPr>
                <w:rFonts w:hint="default" w:ascii="Times New Roman" w:hAnsi="Times New Roman" w:eastAsia="宋体" w:cs="Times New Roman"/>
                <w:color w:val="auto"/>
                <w:kern w:val="0"/>
                <w:sz w:val="21"/>
                <w:szCs w:val="21"/>
              </w:rPr>
            </w:pPr>
            <w:r>
              <w:rPr>
                <w:rFonts w:hint="default" w:ascii="Times New Roman" w:hAnsi="Times New Roman" w:eastAsia="宋体" w:cs="Times New Roman"/>
                <w:color w:val="auto"/>
                <w:sz w:val="21"/>
                <w:szCs w:val="21"/>
                <w:lang w:val="en-US" w:eastAsia="zh-CN"/>
              </w:rPr>
              <w:t>污水处理站污泥</w:t>
            </w:r>
          </w:p>
        </w:tc>
        <w:tc>
          <w:tcPr>
            <w:tcW w:w="642" w:type="pct"/>
            <w:vAlign w:val="center"/>
          </w:tcPr>
          <w:p w14:paraId="2B5182C7">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495" w:type="pct"/>
            <w:vAlign w:val="center"/>
          </w:tcPr>
          <w:p w14:paraId="05781425">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4" w:type="pct"/>
            <w:vAlign w:val="center"/>
          </w:tcPr>
          <w:p w14:paraId="49598919">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0" w:type="pct"/>
            <w:vAlign w:val="center"/>
          </w:tcPr>
          <w:p w14:paraId="39841EA5">
            <w:pPr>
              <w:widowControl/>
              <w:jc w:val="center"/>
              <w:textAlignment w:val="center"/>
              <w:rPr>
                <w:rFonts w:hint="default" w:ascii="Times New Roman" w:hAnsi="Times New Roman" w:eastAsia="宋体" w:cs="Times New Roman"/>
                <w:color w:val="auto"/>
                <w:kern w:val="0"/>
                <w:sz w:val="21"/>
                <w:szCs w:val="21"/>
                <w:lang w:bidi="ar"/>
              </w:rPr>
            </w:pPr>
            <w:r>
              <w:rPr>
                <w:rFonts w:hint="eastAsia" w:cs="Times New Roman"/>
                <w:color w:val="auto"/>
                <w:kern w:val="0"/>
                <w:sz w:val="21"/>
                <w:szCs w:val="21"/>
                <w:lang w:val="en-US" w:eastAsia="zh-CN" w:bidi="ar"/>
              </w:rPr>
              <w:t>3.27</w:t>
            </w:r>
            <w:r>
              <w:rPr>
                <w:rFonts w:hint="default" w:ascii="Times New Roman" w:hAnsi="Times New Roman" w:eastAsia="宋体" w:cs="Times New Roman"/>
                <w:color w:val="auto"/>
                <w:kern w:val="0"/>
                <w:sz w:val="21"/>
                <w:szCs w:val="21"/>
                <w:lang w:bidi="ar"/>
              </w:rPr>
              <w:t>t/a</w:t>
            </w:r>
          </w:p>
        </w:tc>
        <w:tc>
          <w:tcPr>
            <w:tcW w:w="602" w:type="pct"/>
            <w:vAlign w:val="center"/>
          </w:tcPr>
          <w:p w14:paraId="0B55FD03">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704" w:type="pct"/>
            <w:vAlign w:val="center"/>
          </w:tcPr>
          <w:p w14:paraId="5D9DB022">
            <w:pPr>
              <w:widowControl/>
              <w:jc w:val="center"/>
              <w:textAlignment w:val="center"/>
              <w:rPr>
                <w:rFonts w:hint="default" w:ascii="Times New Roman" w:hAnsi="Times New Roman" w:eastAsia="宋体" w:cs="Times New Roman"/>
                <w:color w:val="auto"/>
                <w:kern w:val="0"/>
                <w:sz w:val="21"/>
                <w:szCs w:val="21"/>
                <w:lang w:bidi="ar"/>
              </w:rPr>
            </w:pPr>
            <w:r>
              <w:rPr>
                <w:rFonts w:hint="eastAsia" w:cs="Times New Roman"/>
                <w:color w:val="auto"/>
                <w:kern w:val="0"/>
                <w:sz w:val="21"/>
                <w:szCs w:val="21"/>
                <w:lang w:val="en-US" w:eastAsia="zh-CN" w:bidi="ar"/>
              </w:rPr>
              <w:t>3.27</w:t>
            </w:r>
            <w:r>
              <w:rPr>
                <w:rFonts w:hint="default" w:ascii="Times New Roman" w:hAnsi="Times New Roman" w:eastAsia="宋体" w:cs="Times New Roman"/>
                <w:color w:val="auto"/>
                <w:kern w:val="0"/>
                <w:sz w:val="21"/>
                <w:szCs w:val="21"/>
                <w:lang w:bidi="ar"/>
              </w:rPr>
              <w:t>t/a</w:t>
            </w:r>
          </w:p>
        </w:tc>
        <w:tc>
          <w:tcPr>
            <w:tcW w:w="453" w:type="pct"/>
            <w:vAlign w:val="center"/>
          </w:tcPr>
          <w:p w14:paraId="1765EDDE">
            <w:pPr>
              <w:widowControl/>
              <w:jc w:val="center"/>
              <w:textAlignment w:val="center"/>
              <w:rPr>
                <w:rFonts w:hint="default" w:ascii="Times New Roman" w:hAnsi="Times New Roman" w:eastAsia="宋体" w:cs="Times New Roman"/>
                <w:color w:val="auto"/>
                <w:kern w:val="0"/>
                <w:sz w:val="21"/>
                <w:szCs w:val="21"/>
                <w:lang w:bidi="ar"/>
              </w:rPr>
            </w:pPr>
            <w:r>
              <w:rPr>
                <w:rFonts w:hint="eastAsia" w:cs="Times New Roman"/>
                <w:color w:val="auto"/>
                <w:kern w:val="0"/>
                <w:sz w:val="21"/>
                <w:szCs w:val="21"/>
                <w:lang w:val="en-US" w:eastAsia="zh-CN" w:bidi="ar"/>
              </w:rPr>
              <w:t>3.27</w:t>
            </w:r>
            <w:r>
              <w:rPr>
                <w:rFonts w:hint="default" w:ascii="Times New Roman" w:hAnsi="Times New Roman" w:eastAsia="宋体" w:cs="Times New Roman"/>
                <w:color w:val="auto"/>
                <w:kern w:val="0"/>
                <w:sz w:val="21"/>
                <w:szCs w:val="21"/>
                <w:lang w:bidi="ar"/>
              </w:rPr>
              <w:t>t/a</w:t>
            </w:r>
          </w:p>
        </w:tc>
      </w:tr>
      <w:tr w14:paraId="4CE27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01" w:type="pct"/>
            <w:vMerge w:val="continue"/>
            <w:vAlign w:val="center"/>
          </w:tcPr>
          <w:p w14:paraId="74D033FC">
            <w:pPr>
              <w:pStyle w:val="69"/>
              <w:rPr>
                <w:rFonts w:hint="default" w:ascii="Times New Roman" w:hAnsi="Times New Roman" w:eastAsia="宋体" w:cs="Times New Roman"/>
                <w:snapToGrid w:val="0"/>
                <w:color w:val="auto"/>
                <w:sz w:val="21"/>
                <w:szCs w:val="21"/>
              </w:rPr>
            </w:pPr>
          </w:p>
        </w:tc>
        <w:tc>
          <w:tcPr>
            <w:tcW w:w="654" w:type="pct"/>
            <w:vAlign w:val="center"/>
          </w:tcPr>
          <w:p w14:paraId="31E80564">
            <w:pPr>
              <w:jc w:val="center"/>
              <w:rPr>
                <w:rFonts w:hint="default" w:ascii="Times New Roman" w:hAnsi="Times New Roman" w:eastAsia="宋体" w:cs="Times New Roman"/>
                <w:color w:val="auto"/>
                <w:kern w:val="0"/>
                <w:sz w:val="21"/>
                <w:szCs w:val="21"/>
              </w:rPr>
            </w:pPr>
            <w:r>
              <w:rPr>
                <w:rFonts w:hint="default" w:ascii="Times New Roman" w:hAnsi="Times New Roman" w:eastAsia="宋体" w:cs="Times New Roman"/>
                <w:bCs/>
                <w:color w:val="auto"/>
                <w:sz w:val="21"/>
                <w:szCs w:val="21"/>
                <w:lang w:val="en-US" w:eastAsia="zh-CN"/>
              </w:rPr>
              <w:t>肉渣</w:t>
            </w:r>
          </w:p>
        </w:tc>
        <w:tc>
          <w:tcPr>
            <w:tcW w:w="642" w:type="pct"/>
            <w:vAlign w:val="center"/>
          </w:tcPr>
          <w:p w14:paraId="0DB89670">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495" w:type="pct"/>
            <w:vAlign w:val="center"/>
          </w:tcPr>
          <w:p w14:paraId="2C3B24EF">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4" w:type="pct"/>
            <w:vAlign w:val="center"/>
          </w:tcPr>
          <w:p w14:paraId="42E07F8B">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0" w:type="pct"/>
            <w:vAlign w:val="center"/>
          </w:tcPr>
          <w:p w14:paraId="468001EF">
            <w:pPr>
              <w:widowControl/>
              <w:jc w:val="center"/>
              <w:textAlignment w:val="center"/>
              <w:rPr>
                <w:rFonts w:hint="default" w:ascii="Times New Roman" w:hAnsi="Times New Roman" w:eastAsia="宋体" w:cs="Times New Roman"/>
                <w:color w:val="auto"/>
                <w:kern w:val="0"/>
                <w:sz w:val="21"/>
                <w:szCs w:val="21"/>
                <w:lang w:bidi="ar"/>
              </w:rPr>
            </w:pPr>
            <w:r>
              <w:rPr>
                <w:rFonts w:hint="eastAsia" w:ascii="Times New Roman" w:hAnsi="Times New Roman" w:eastAsia="宋体" w:cs="Times New Roman"/>
                <w:color w:val="auto"/>
                <w:kern w:val="0"/>
                <w:sz w:val="21"/>
                <w:szCs w:val="21"/>
                <w:lang w:val="en-US" w:eastAsia="zh-CN" w:bidi="ar"/>
              </w:rPr>
              <w:t>0.</w:t>
            </w:r>
            <w:r>
              <w:rPr>
                <w:rFonts w:hint="eastAsia" w:cs="Times New Roman"/>
                <w:color w:val="auto"/>
                <w:kern w:val="0"/>
                <w:sz w:val="21"/>
                <w:szCs w:val="21"/>
                <w:lang w:val="en-US" w:eastAsia="zh-CN" w:bidi="ar"/>
              </w:rPr>
              <w:t>1</w:t>
            </w:r>
            <w:r>
              <w:rPr>
                <w:rFonts w:hint="default" w:ascii="Times New Roman" w:hAnsi="Times New Roman" w:eastAsia="宋体" w:cs="Times New Roman"/>
                <w:color w:val="auto"/>
                <w:kern w:val="0"/>
                <w:sz w:val="21"/>
                <w:szCs w:val="21"/>
                <w:lang w:bidi="ar"/>
              </w:rPr>
              <w:t>t/a</w:t>
            </w:r>
          </w:p>
        </w:tc>
        <w:tc>
          <w:tcPr>
            <w:tcW w:w="602" w:type="pct"/>
            <w:vAlign w:val="center"/>
          </w:tcPr>
          <w:p w14:paraId="7F3256B7">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704" w:type="pct"/>
            <w:vAlign w:val="center"/>
          </w:tcPr>
          <w:p w14:paraId="2AD51FA3">
            <w:pPr>
              <w:widowControl/>
              <w:jc w:val="center"/>
              <w:textAlignment w:val="center"/>
              <w:rPr>
                <w:rFonts w:hint="default" w:ascii="Times New Roman" w:hAnsi="Times New Roman" w:eastAsia="宋体" w:cs="Times New Roman"/>
                <w:color w:val="auto"/>
                <w:kern w:val="0"/>
                <w:sz w:val="21"/>
                <w:szCs w:val="21"/>
                <w:lang w:bidi="ar"/>
              </w:rPr>
            </w:pPr>
            <w:r>
              <w:rPr>
                <w:rFonts w:hint="eastAsia" w:ascii="Times New Roman" w:hAnsi="Times New Roman" w:eastAsia="宋体" w:cs="Times New Roman"/>
                <w:color w:val="auto"/>
                <w:kern w:val="0"/>
                <w:sz w:val="21"/>
                <w:szCs w:val="21"/>
                <w:lang w:val="en-US" w:eastAsia="zh-CN" w:bidi="ar"/>
              </w:rPr>
              <w:t>0.</w:t>
            </w:r>
            <w:r>
              <w:rPr>
                <w:rFonts w:hint="eastAsia" w:cs="Times New Roman"/>
                <w:color w:val="auto"/>
                <w:kern w:val="0"/>
                <w:sz w:val="21"/>
                <w:szCs w:val="21"/>
                <w:lang w:val="en-US" w:eastAsia="zh-CN" w:bidi="ar"/>
              </w:rPr>
              <w:t>1</w:t>
            </w:r>
            <w:r>
              <w:rPr>
                <w:rFonts w:hint="default" w:ascii="Times New Roman" w:hAnsi="Times New Roman" w:eastAsia="宋体" w:cs="Times New Roman"/>
                <w:color w:val="auto"/>
                <w:kern w:val="0"/>
                <w:sz w:val="21"/>
                <w:szCs w:val="21"/>
                <w:lang w:bidi="ar"/>
              </w:rPr>
              <w:t>t/a</w:t>
            </w:r>
          </w:p>
        </w:tc>
        <w:tc>
          <w:tcPr>
            <w:tcW w:w="453" w:type="pct"/>
            <w:vAlign w:val="center"/>
          </w:tcPr>
          <w:p w14:paraId="460A6DEE">
            <w:pPr>
              <w:widowControl/>
              <w:jc w:val="center"/>
              <w:textAlignment w:val="center"/>
              <w:rPr>
                <w:rFonts w:hint="default" w:ascii="Times New Roman" w:hAnsi="Times New Roman" w:eastAsia="宋体" w:cs="Times New Roman"/>
                <w:color w:val="auto"/>
                <w:kern w:val="0"/>
                <w:sz w:val="21"/>
                <w:szCs w:val="21"/>
                <w:lang w:bidi="ar"/>
              </w:rPr>
            </w:pPr>
            <w:r>
              <w:rPr>
                <w:rFonts w:hint="eastAsia" w:ascii="Times New Roman" w:hAnsi="Times New Roman" w:eastAsia="宋体" w:cs="Times New Roman"/>
                <w:color w:val="auto"/>
                <w:kern w:val="0"/>
                <w:sz w:val="21"/>
                <w:szCs w:val="21"/>
                <w:lang w:val="en-US" w:eastAsia="zh-CN" w:bidi="ar"/>
              </w:rPr>
              <w:t>0.</w:t>
            </w:r>
            <w:r>
              <w:rPr>
                <w:rFonts w:hint="eastAsia" w:cs="Times New Roman"/>
                <w:color w:val="auto"/>
                <w:kern w:val="0"/>
                <w:sz w:val="21"/>
                <w:szCs w:val="21"/>
                <w:lang w:val="en-US" w:eastAsia="zh-CN" w:bidi="ar"/>
              </w:rPr>
              <w:t>1</w:t>
            </w:r>
            <w:r>
              <w:rPr>
                <w:rFonts w:hint="default" w:ascii="Times New Roman" w:hAnsi="Times New Roman" w:eastAsia="宋体" w:cs="Times New Roman"/>
                <w:color w:val="auto"/>
                <w:kern w:val="0"/>
                <w:sz w:val="21"/>
                <w:szCs w:val="21"/>
                <w:lang w:bidi="ar"/>
              </w:rPr>
              <w:t>t/a</w:t>
            </w:r>
          </w:p>
        </w:tc>
      </w:tr>
      <w:tr w14:paraId="29833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01" w:type="pct"/>
            <w:vMerge w:val="continue"/>
            <w:vAlign w:val="center"/>
          </w:tcPr>
          <w:p w14:paraId="7EFD74B1">
            <w:pPr>
              <w:pStyle w:val="69"/>
              <w:rPr>
                <w:rFonts w:hint="default" w:ascii="Times New Roman" w:hAnsi="Times New Roman" w:eastAsia="宋体" w:cs="Times New Roman"/>
                <w:snapToGrid w:val="0"/>
                <w:color w:val="auto"/>
                <w:sz w:val="21"/>
                <w:szCs w:val="21"/>
              </w:rPr>
            </w:pPr>
          </w:p>
        </w:tc>
        <w:tc>
          <w:tcPr>
            <w:tcW w:w="654" w:type="pct"/>
            <w:vAlign w:val="center"/>
          </w:tcPr>
          <w:p w14:paraId="5A627993">
            <w:pPr>
              <w:jc w:val="center"/>
              <w:rPr>
                <w:rFonts w:hint="default" w:ascii="Times New Roman" w:hAnsi="Times New Roman" w:eastAsia="宋体" w:cs="Times New Roman"/>
                <w:color w:val="auto"/>
                <w:kern w:val="0"/>
                <w:sz w:val="21"/>
                <w:szCs w:val="21"/>
              </w:rPr>
            </w:pPr>
            <w:r>
              <w:rPr>
                <w:rFonts w:hint="default" w:ascii="Times New Roman" w:hAnsi="Times New Roman" w:eastAsia="宋体" w:cs="Times New Roman"/>
                <w:bCs/>
                <w:color w:val="auto"/>
                <w:sz w:val="21"/>
                <w:szCs w:val="21"/>
                <w:lang w:val="en-US" w:eastAsia="zh-CN"/>
              </w:rPr>
              <w:t>不合格原料</w:t>
            </w:r>
          </w:p>
        </w:tc>
        <w:tc>
          <w:tcPr>
            <w:tcW w:w="642" w:type="pct"/>
            <w:vAlign w:val="center"/>
          </w:tcPr>
          <w:p w14:paraId="72196A8D">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495" w:type="pct"/>
            <w:vAlign w:val="center"/>
          </w:tcPr>
          <w:p w14:paraId="3921F6D0">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4" w:type="pct"/>
            <w:vAlign w:val="center"/>
          </w:tcPr>
          <w:p w14:paraId="54C9D93F">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0" w:type="pct"/>
            <w:vAlign w:val="center"/>
          </w:tcPr>
          <w:p w14:paraId="0CCA66C5">
            <w:pPr>
              <w:widowControl/>
              <w:jc w:val="center"/>
              <w:textAlignment w:val="center"/>
              <w:rPr>
                <w:rFonts w:hint="default" w:ascii="Times New Roman" w:hAnsi="Times New Roman" w:eastAsia="宋体" w:cs="Times New Roman"/>
                <w:color w:val="auto"/>
                <w:kern w:val="0"/>
                <w:sz w:val="21"/>
                <w:szCs w:val="21"/>
                <w:lang w:bidi="ar"/>
              </w:rPr>
            </w:pPr>
            <w:r>
              <w:rPr>
                <w:rFonts w:hint="eastAsia" w:cs="Times New Roman"/>
                <w:color w:val="auto"/>
                <w:kern w:val="0"/>
                <w:sz w:val="21"/>
                <w:szCs w:val="21"/>
                <w:lang w:val="en-US" w:eastAsia="zh-CN" w:bidi="ar"/>
              </w:rPr>
              <w:t>0.1</w:t>
            </w:r>
            <w:r>
              <w:rPr>
                <w:rFonts w:hint="default" w:ascii="Times New Roman" w:hAnsi="Times New Roman" w:eastAsia="宋体" w:cs="Times New Roman"/>
                <w:color w:val="auto"/>
                <w:kern w:val="0"/>
                <w:sz w:val="21"/>
                <w:szCs w:val="21"/>
                <w:lang w:bidi="ar"/>
              </w:rPr>
              <w:t>t/a</w:t>
            </w:r>
          </w:p>
        </w:tc>
        <w:tc>
          <w:tcPr>
            <w:tcW w:w="602" w:type="pct"/>
            <w:vAlign w:val="center"/>
          </w:tcPr>
          <w:p w14:paraId="3769AC4E">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704" w:type="pct"/>
            <w:vAlign w:val="center"/>
          </w:tcPr>
          <w:p w14:paraId="69D01B17">
            <w:pPr>
              <w:widowControl/>
              <w:jc w:val="center"/>
              <w:textAlignment w:val="center"/>
              <w:rPr>
                <w:rFonts w:hint="default" w:ascii="Times New Roman" w:hAnsi="Times New Roman" w:eastAsia="宋体" w:cs="Times New Roman"/>
                <w:color w:val="auto"/>
                <w:kern w:val="0"/>
                <w:sz w:val="21"/>
                <w:szCs w:val="21"/>
                <w:lang w:bidi="ar"/>
              </w:rPr>
            </w:pPr>
            <w:r>
              <w:rPr>
                <w:rFonts w:hint="eastAsia" w:cs="Times New Roman"/>
                <w:color w:val="auto"/>
                <w:kern w:val="0"/>
                <w:sz w:val="21"/>
                <w:szCs w:val="21"/>
                <w:lang w:val="en-US" w:eastAsia="zh-CN" w:bidi="ar"/>
              </w:rPr>
              <w:t>0.1</w:t>
            </w:r>
            <w:r>
              <w:rPr>
                <w:rFonts w:hint="default" w:ascii="Times New Roman" w:hAnsi="Times New Roman" w:eastAsia="宋体" w:cs="Times New Roman"/>
                <w:color w:val="auto"/>
                <w:kern w:val="0"/>
                <w:sz w:val="21"/>
                <w:szCs w:val="21"/>
                <w:lang w:bidi="ar"/>
              </w:rPr>
              <w:t>t/a</w:t>
            </w:r>
          </w:p>
        </w:tc>
        <w:tc>
          <w:tcPr>
            <w:tcW w:w="453" w:type="pct"/>
            <w:vAlign w:val="center"/>
          </w:tcPr>
          <w:p w14:paraId="36E7BF9D">
            <w:pPr>
              <w:widowControl/>
              <w:jc w:val="center"/>
              <w:textAlignment w:val="center"/>
              <w:rPr>
                <w:rFonts w:hint="default" w:ascii="Times New Roman" w:hAnsi="Times New Roman" w:eastAsia="宋体" w:cs="Times New Roman"/>
                <w:color w:val="auto"/>
                <w:kern w:val="0"/>
                <w:sz w:val="21"/>
                <w:szCs w:val="21"/>
                <w:lang w:bidi="ar"/>
              </w:rPr>
            </w:pPr>
            <w:r>
              <w:rPr>
                <w:rFonts w:hint="eastAsia" w:cs="Times New Roman"/>
                <w:color w:val="auto"/>
                <w:kern w:val="0"/>
                <w:sz w:val="21"/>
                <w:szCs w:val="21"/>
                <w:lang w:val="en-US" w:eastAsia="zh-CN" w:bidi="ar"/>
              </w:rPr>
              <w:t>0.1</w:t>
            </w:r>
            <w:r>
              <w:rPr>
                <w:rFonts w:hint="default" w:ascii="Times New Roman" w:hAnsi="Times New Roman" w:eastAsia="宋体" w:cs="Times New Roman"/>
                <w:color w:val="auto"/>
                <w:kern w:val="0"/>
                <w:sz w:val="21"/>
                <w:szCs w:val="21"/>
                <w:lang w:bidi="ar"/>
              </w:rPr>
              <w:t>t/a</w:t>
            </w:r>
          </w:p>
        </w:tc>
      </w:tr>
      <w:tr w14:paraId="02A63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01" w:type="pct"/>
            <w:vMerge w:val="continue"/>
            <w:vAlign w:val="center"/>
          </w:tcPr>
          <w:p w14:paraId="63511CF3">
            <w:pPr>
              <w:pStyle w:val="69"/>
              <w:jc w:val="both"/>
              <w:rPr>
                <w:rFonts w:hint="default" w:ascii="Times New Roman" w:hAnsi="Times New Roman" w:eastAsia="宋体" w:cs="Times New Roman"/>
                <w:snapToGrid w:val="0"/>
                <w:color w:val="auto"/>
                <w:sz w:val="21"/>
                <w:szCs w:val="21"/>
              </w:rPr>
            </w:pPr>
          </w:p>
        </w:tc>
        <w:tc>
          <w:tcPr>
            <w:tcW w:w="654" w:type="pct"/>
            <w:vAlign w:val="center"/>
          </w:tcPr>
          <w:p w14:paraId="1515F0F7">
            <w:pPr>
              <w:jc w:val="center"/>
              <w:rPr>
                <w:rFonts w:hint="default" w:ascii="Times New Roman" w:hAnsi="Times New Roman" w:eastAsia="宋体" w:cs="Times New Roman"/>
                <w:color w:val="auto"/>
                <w:kern w:val="0"/>
                <w:sz w:val="21"/>
                <w:szCs w:val="21"/>
              </w:rPr>
            </w:pPr>
            <w:r>
              <w:rPr>
                <w:rFonts w:hint="default" w:ascii="Times New Roman" w:hAnsi="Times New Roman" w:eastAsia="宋体" w:cs="Times New Roman"/>
                <w:bCs/>
                <w:color w:val="auto"/>
                <w:sz w:val="21"/>
                <w:szCs w:val="21"/>
                <w:lang w:val="en-US" w:eastAsia="zh-CN"/>
              </w:rPr>
              <w:t>废油脂</w:t>
            </w:r>
          </w:p>
        </w:tc>
        <w:tc>
          <w:tcPr>
            <w:tcW w:w="642" w:type="pct"/>
            <w:vAlign w:val="center"/>
          </w:tcPr>
          <w:p w14:paraId="2DD5E4C1">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495" w:type="pct"/>
            <w:vAlign w:val="center"/>
          </w:tcPr>
          <w:p w14:paraId="19E646F9">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4" w:type="pct"/>
            <w:vAlign w:val="center"/>
          </w:tcPr>
          <w:p w14:paraId="71F61F29">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0" w:type="pct"/>
            <w:vAlign w:val="center"/>
          </w:tcPr>
          <w:p w14:paraId="79EC530A">
            <w:pPr>
              <w:widowControl/>
              <w:jc w:val="center"/>
              <w:textAlignment w:val="center"/>
              <w:rPr>
                <w:rFonts w:hint="default" w:ascii="Times New Roman" w:hAnsi="Times New Roman" w:eastAsia="宋体" w:cs="Times New Roman"/>
                <w:color w:val="auto"/>
                <w:kern w:val="0"/>
                <w:sz w:val="21"/>
                <w:szCs w:val="21"/>
                <w:lang w:bidi="ar"/>
              </w:rPr>
            </w:pPr>
            <w:r>
              <w:rPr>
                <w:rFonts w:hint="default" w:ascii="Times New Roman" w:hAnsi="Times New Roman" w:eastAsia="宋体" w:cs="Times New Roman"/>
                <w:color w:val="auto"/>
                <w:kern w:val="0"/>
                <w:sz w:val="21"/>
                <w:szCs w:val="21"/>
                <w:lang w:bidi="ar"/>
              </w:rPr>
              <w:t>0.</w:t>
            </w:r>
            <w:r>
              <w:rPr>
                <w:rFonts w:hint="eastAsia" w:ascii="Times New Roman" w:hAnsi="Times New Roman" w:eastAsia="宋体" w:cs="Times New Roman"/>
                <w:color w:val="auto"/>
                <w:kern w:val="0"/>
                <w:sz w:val="21"/>
                <w:szCs w:val="21"/>
                <w:lang w:val="en-US" w:eastAsia="zh-CN" w:bidi="ar"/>
              </w:rPr>
              <w:t>1</w:t>
            </w:r>
            <w:r>
              <w:rPr>
                <w:rFonts w:hint="default" w:ascii="Times New Roman" w:hAnsi="Times New Roman" w:eastAsia="宋体" w:cs="Times New Roman"/>
                <w:color w:val="auto"/>
                <w:kern w:val="0"/>
                <w:sz w:val="21"/>
                <w:szCs w:val="21"/>
                <w:lang w:bidi="ar"/>
              </w:rPr>
              <w:t>t/a</w:t>
            </w:r>
          </w:p>
        </w:tc>
        <w:tc>
          <w:tcPr>
            <w:tcW w:w="602" w:type="pct"/>
            <w:vAlign w:val="center"/>
          </w:tcPr>
          <w:p w14:paraId="4064EB49">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704" w:type="pct"/>
            <w:vAlign w:val="center"/>
          </w:tcPr>
          <w:p w14:paraId="7C8058AB">
            <w:pPr>
              <w:widowControl/>
              <w:jc w:val="center"/>
              <w:textAlignment w:val="center"/>
              <w:rPr>
                <w:rFonts w:hint="default" w:ascii="Times New Roman" w:hAnsi="Times New Roman" w:eastAsia="宋体" w:cs="Times New Roman"/>
                <w:color w:val="auto"/>
                <w:kern w:val="0"/>
                <w:sz w:val="21"/>
                <w:szCs w:val="21"/>
                <w:lang w:bidi="ar"/>
              </w:rPr>
            </w:pPr>
            <w:r>
              <w:rPr>
                <w:rFonts w:hint="default" w:ascii="Times New Roman" w:hAnsi="Times New Roman" w:eastAsia="宋体" w:cs="Times New Roman"/>
                <w:color w:val="auto"/>
                <w:kern w:val="0"/>
                <w:sz w:val="21"/>
                <w:szCs w:val="21"/>
                <w:lang w:bidi="ar"/>
              </w:rPr>
              <w:t>0.</w:t>
            </w:r>
            <w:r>
              <w:rPr>
                <w:rFonts w:hint="eastAsia" w:ascii="Times New Roman" w:hAnsi="Times New Roman" w:eastAsia="宋体" w:cs="Times New Roman"/>
                <w:color w:val="auto"/>
                <w:kern w:val="0"/>
                <w:sz w:val="21"/>
                <w:szCs w:val="21"/>
                <w:lang w:val="en-US" w:eastAsia="zh-CN" w:bidi="ar"/>
              </w:rPr>
              <w:t>1</w:t>
            </w:r>
            <w:r>
              <w:rPr>
                <w:rFonts w:hint="default" w:ascii="Times New Roman" w:hAnsi="Times New Roman" w:eastAsia="宋体" w:cs="Times New Roman"/>
                <w:color w:val="auto"/>
                <w:kern w:val="0"/>
                <w:sz w:val="21"/>
                <w:szCs w:val="21"/>
                <w:lang w:bidi="ar"/>
              </w:rPr>
              <w:t>t/a</w:t>
            </w:r>
          </w:p>
        </w:tc>
        <w:tc>
          <w:tcPr>
            <w:tcW w:w="453" w:type="pct"/>
            <w:vAlign w:val="center"/>
          </w:tcPr>
          <w:p w14:paraId="580AFC13">
            <w:pPr>
              <w:widowControl/>
              <w:jc w:val="center"/>
              <w:textAlignment w:val="center"/>
              <w:rPr>
                <w:rFonts w:hint="default" w:ascii="Times New Roman" w:hAnsi="Times New Roman" w:eastAsia="宋体" w:cs="Times New Roman"/>
                <w:color w:val="auto"/>
                <w:kern w:val="0"/>
                <w:sz w:val="21"/>
                <w:szCs w:val="21"/>
                <w:lang w:bidi="ar"/>
              </w:rPr>
            </w:pPr>
            <w:r>
              <w:rPr>
                <w:rFonts w:hint="default" w:ascii="Times New Roman" w:hAnsi="Times New Roman" w:eastAsia="宋体" w:cs="Times New Roman"/>
                <w:color w:val="auto"/>
                <w:kern w:val="0"/>
                <w:sz w:val="21"/>
                <w:szCs w:val="21"/>
                <w:lang w:bidi="ar"/>
              </w:rPr>
              <w:t>0.</w:t>
            </w:r>
            <w:r>
              <w:rPr>
                <w:rFonts w:hint="eastAsia" w:ascii="Times New Roman" w:hAnsi="Times New Roman" w:eastAsia="宋体" w:cs="Times New Roman"/>
                <w:color w:val="auto"/>
                <w:kern w:val="0"/>
                <w:sz w:val="21"/>
                <w:szCs w:val="21"/>
                <w:lang w:val="en-US" w:eastAsia="zh-CN" w:bidi="ar"/>
              </w:rPr>
              <w:t>1</w:t>
            </w:r>
            <w:r>
              <w:rPr>
                <w:rFonts w:hint="default" w:ascii="Times New Roman" w:hAnsi="Times New Roman" w:eastAsia="宋体" w:cs="Times New Roman"/>
                <w:color w:val="auto"/>
                <w:kern w:val="0"/>
                <w:sz w:val="21"/>
                <w:szCs w:val="21"/>
                <w:lang w:bidi="ar"/>
              </w:rPr>
              <w:t>t/a</w:t>
            </w:r>
          </w:p>
        </w:tc>
      </w:tr>
      <w:tr w14:paraId="022BF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01" w:type="pct"/>
            <w:vMerge w:val="continue"/>
            <w:vAlign w:val="center"/>
          </w:tcPr>
          <w:p w14:paraId="02F3E2CE">
            <w:pPr>
              <w:pStyle w:val="69"/>
              <w:rPr>
                <w:rFonts w:hint="default" w:ascii="Times New Roman" w:hAnsi="Times New Roman" w:eastAsia="宋体" w:cs="Times New Roman"/>
                <w:snapToGrid w:val="0"/>
                <w:color w:val="auto"/>
                <w:sz w:val="21"/>
                <w:szCs w:val="21"/>
              </w:rPr>
            </w:pPr>
          </w:p>
        </w:tc>
        <w:tc>
          <w:tcPr>
            <w:tcW w:w="654" w:type="pct"/>
            <w:vAlign w:val="center"/>
          </w:tcPr>
          <w:p w14:paraId="6FDB9903">
            <w:pPr>
              <w:jc w:val="center"/>
              <w:rPr>
                <w:rFonts w:hint="default" w:ascii="Times New Roman" w:hAnsi="Times New Roman" w:eastAsia="宋体" w:cs="Times New Roman"/>
                <w:color w:val="auto"/>
                <w:kern w:val="0"/>
                <w:sz w:val="21"/>
                <w:szCs w:val="21"/>
              </w:rPr>
            </w:pPr>
            <w:r>
              <w:rPr>
                <w:rFonts w:hint="default" w:ascii="Times New Roman" w:hAnsi="Times New Roman" w:eastAsia="宋体" w:cs="Times New Roman"/>
                <w:color w:val="auto"/>
                <w:kern w:val="2"/>
                <w:sz w:val="21"/>
                <w:szCs w:val="21"/>
                <w:lang w:val="en-US" w:eastAsia="zh-CN"/>
              </w:rPr>
              <w:t>格栅垃圾</w:t>
            </w:r>
          </w:p>
        </w:tc>
        <w:tc>
          <w:tcPr>
            <w:tcW w:w="642" w:type="pct"/>
            <w:vAlign w:val="center"/>
          </w:tcPr>
          <w:p w14:paraId="488F019E">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495" w:type="pct"/>
            <w:vAlign w:val="center"/>
          </w:tcPr>
          <w:p w14:paraId="4B1972CC">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4" w:type="pct"/>
            <w:vAlign w:val="center"/>
          </w:tcPr>
          <w:p w14:paraId="61F7716A">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570" w:type="pct"/>
            <w:vAlign w:val="center"/>
          </w:tcPr>
          <w:p w14:paraId="5CB6B97A">
            <w:pPr>
              <w:widowControl/>
              <w:jc w:val="center"/>
              <w:textAlignment w:val="center"/>
              <w:rPr>
                <w:rFonts w:hint="default" w:ascii="Times New Roman" w:hAnsi="Times New Roman" w:eastAsia="宋体" w:cs="Times New Roman"/>
                <w:color w:val="auto"/>
                <w:kern w:val="0"/>
                <w:sz w:val="21"/>
                <w:szCs w:val="21"/>
                <w:lang w:bidi="ar"/>
              </w:rPr>
            </w:pPr>
            <w:r>
              <w:rPr>
                <w:rFonts w:hint="eastAsia" w:ascii="Times New Roman" w:hAnsi="Times New Roman" w:eastAsia="宋体" w:cs="Times New Roman"/>
                <w:color w:val="auto"/>
                <w:kern w:val="0"/>
                <w:sz w:val="21"/>
                <w:szCs w:val="21"/>
                <w:lang w:val="en-US" w:eastAsia="zh-CN" w:bidi="ar"/>
              </w:rPr>
              <w:t>0.</w:t>
            </w:r>
            <w:r>
              <w:rPr>
                <w:rFonts w:hint="eastAsia" w:cs="Times New Roman"/>
                <w:color w:val="auto"/>
                <w:kern w:val="0"/>
                <w:sz w:val="21"/>
                <w:szCs w:val="21"/>
                <w:lang w:val="en-US" w:eastAsia="zh-CN" w:bidi="ar"/>
              </w:rPr>
              <w:t>1</w:t>
            </w:r>
            <w:r>
              <w:rPr>
                <w:rFonts w:hint="default" w:ascii="Times New Roman" w:hAnsi="Times New Roman" w:eastAsia="宋体" w:cs="Times New Roman"/>
                <w:color w:val="auto"/>
                <w:kern w:val="0"/>
                <w:sz w:val="21"/>
                <w:szCs w:val="21"/>
                <w:lang w:bidi="ar"/>
              </w:rPr>
              <w:t>t/a</w:t>
            </w:r>
          </w:p>
        </w:tc>
        <w:tc>
          <w:tcPr>
            <w:tcW w:w="602" w:type="pct"/>
            <w:vAlign w:val="center"/>
          </w:tcPr>
          <w:p w14:paraId="28F60B50">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w:t>
            </w:r>
          </w:p>
        </w:tc>
        <w:tc>
          <w:tcPr>
            <w:tcW w:w="704" w:type="pct"/>
            <w:vAlign w:val="center"/>
          </w:tcPr>
          <w:p w14:paraId="64E63418">
            <w:pPr>
              <w:widowControl/>
              <w:jc w:val="center"/>
              <w:textAlignment w:val="center"/>
              <w:rPr>
                <w:rFonts w:hint="default" w:ascii="Times New Roman" w:hAnsi="Times New Roman" w:eastAsia="宋体" w:cs="Times New Roman"/>
                <w:color w:val="auto"/>
                <w:kern w:val="0"/>
                <w:sz w:val="21"/>
                <w:szCs w:val="21"/>
                <w:lang w:bidi="ar"/>
              </w:rPr>
            </w:pPr>
            <w:r>
              <w:rPr>
                <w:rFonts w:hint="eastAsia" w:ascii="Times New Roman" w:hAnsi="Times New Roman" w:eastAsia="宋体" w:cs="Times New Roman"/>
                <w:color w:val="auto"/>
                <w:kern w:val="0"/>
                <w:sz w:val="21"/>
                <w:szCs w:val="21"/>
                <w:lang w:val="en-US" w:eastAsia="zh-CN" w:bidi="ar"/>
              </w:rPr>
              <w:t>0.</w:t>
            </w:r>
            <w:r>
              <w:rPr>
                <w:rFonts w:hint="eastAsia" w:cs="Times New Roman"/>
                <w:color w:val="auto"/>
                <w:kern w:val="0"/>
                <w:sz w:val="21"/>
                <w:szCs w:val="21"/>
                <w:lang w:val="en-US" w:eastAsia="zh-CN" w:bidi="ar"/>
              </w:rPr>
              <w:t>1</w:t>
            </w:r>
            <w:r>
              <w:rPr>
                <w:rFonts w:hint="default" w:ascii="Times New Roman" w:hAnsi="Times New Roman" w:eastAsia="宋体" w:cs="Times New Roman"/>
                <w:color w:val="auto"/>
                <w:kern w:val="0"/>
                <w:sz w:val="21"/>
                <w:szCs w:val="21"/>
                <w:lang w:bidi="ar"/>
              </w:rPr>
              <w:t>t/a</w:t>
            </w:r>
          </w:p>
        </w:tc>
        <w:tc>
          <w:tcPr>
            <w:tcW w:w="453" w:type="pct"/>
            <w:vAlign w:val="center"/>
          </w:tcPr>
          <w:p w14:paraId="3CA90DAA">
            <w:pPr>
              <w:widowControl/>
              <w:jc w:val="center"/>
              <w:textAlignment w:val="center"/>
              <w:rPr>
                <w:rFonts w:hint="default" w:ascii="Times New Roman" w:hAnsi="Times New Roman" w:eastAsia="宋体" w:cs="Times New Roman"/>
                <w:color w:val="auto"/>
                <w:kern w:val="0"/>
                <w:sz w:val="21"/>
                <w:szCs w:val="21"/>
                <w:lang w:bidi="ar"/>
              </w:rPr>
            </w:pPr>
            <w:r>
              <w:rPr>
                <w:rFonts w:hint="eastAsia" w:ascii="Times New Roman" w:hAnsi="Times New Roman" w:eastAsia="宋体" w:cs="Times New Roman"/>
                <w:color w:val="auto"/>
                <w:kern w:val="0"/>
                <w:sz w:val="21"/>
                <w:szCs w:val="21"/>
                <w:lang w:val="en-US" w:eastAsia="zh-CN" w:bidi="ar"/>
              </w:rPr>
              <w:t>0.</w:t>
            </w:r>
            <w:r>
              <w:rPr>
                <w:rFonts w:hint="eastAsia" w:cs="Times New Roman"/>
                <w:color w:val="auto"/>
                <w:kern w:val="0"/>
                <w:sz w:val="21"/>
                <w:szCs w:val="21"/>
                <w:lang w:val="en-US" w:eastAsia="zh-CN" w:bidi="ar"/>
              </w:rPr>
              <w:t>1</w:t>
            </w:r>
            <w:r>
              <w:rPr>
                <w:rFonts w:hint="default" w:ascii="Times New Roman" w:hAnsi="Times New Roman" w:eastAsia="宋体" w:cs="Times New Roman"/>
                <w:color w:val="auto"/>
                <w:kern w:val="0"/>
                <w:sz w:val="21"/>
                <w:szCs w:val="21"/>
                <w:lang w:bidi="ar"/>
              </w:rPr>
              <w:t>t/a</w:t>
            </w:r>
          </w:p>
        </w:tc>
      </w:tr>
      <w:tr w14:paraId="40087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301" w:type="pct"/>
            <w:vMerge w:val="continue"/>
            <w:vAlign w:val="center"/>
          </w:tcPr>
          <w:p w14:paraId="12013FF3">
            <w:pPr>
              <w:pStyle w:val="69"/>
              <w:rPr>
                <w:rFonts w:hint="default" w:ascii="Times New Roman" w:hAnsi="Times New Roman" w:eastAsia="宋体" w:cs="Times New Roman"/>
                <w:snapToGrid w:val="0"/>
                <w:color w:val="auto"/>
                <w:sz w:val="21"/>
                <w:szCs w:val="21"/>
              </w:rPr>
            </w:pPr>
          </w:p>
        </w:tc>
        <w:tc>
          <w:tcPr>
            <w:tcW w:w="654" w:type="pct"/>
            <w:vAlign w:val="center"/>
          </w:tcPr>
          <w:p w14:paraId="684B92F9">
            <w:pPr>
              <w:jc w:val="center"/>
              <w:rPr>
                <w:rFonts w:hint="default" w:ascii="Times New Roman" w:hAnsi="Times New Roman" w:eastAsia="宋体" w:cs="Times New Roman"/>
                <w:color w:val="auto"/>
                <w:kern w:val="2"/>
                <w:sz w:val="21"/>
                <w:szCs w:val="21"/>
                <w:lang w:val="en-US" w:eastAsia="zh-CN"/>
              </w:rPr>
            </w:pPr>
            <w:r>
              <w:rPr>
                <w:rFonts w:hint="eastAsia" w:cs="Times New Roman"/>
                <w:color w:val="auto"/>
                <w:kern w:val="2"/>
                <w:sz w:val="21"/>
                <w:szCs w:val="21"/>
                <w:lang w:val="en-US" w:eastAsia="zh-CN"/>
              </w:rPr>
              <w:t>废渗透膜</w:t>
            </w:r>
          </w:p>
        </w:tc>
        <w:tc>
          <w:tcPr>
            <w:tcW w:w="642" w:type="pct"/>
            <w:vAlign w:val="center"/>
          </w:tcPr>
          <w:p w14:paraId="74072F86">
            <w:pPr>
              <w:widowControl/>
              <w:jc w:val="center"/>
              <w:textAlignment w:val="center"/>
              <w:rPr>
                <w:rFonts w:hint="default" w:ascii="Times New Roman" w:hAnsi="Times New Roman" w:eastAsia="宋体" w:cs="Times New Roman"/>
                <w:color w:val="auto"/>
                <w:kern w:val="0"/>
                <w:sz w:val="21"/>
                <w:szCs w:val="21"/>
                <w:lang w:bidi="ar"/>
              </w:rPr>
            </w:pPr>
            <w:r>
              <w:rPr>
                <w:rFonts w:hint="default" w:ascii="Times New Roman" w:hAnsi="Times New Roman" w:eastAsia="宋体" w:cs="Times New Roman"/>
                <w:color w:val="auto"/>
                <w:kern w:val="0"/>
                <w:sz w:val="21"/>
                <w:szCs w:val="21"/>
                <w:lang w:bidi="ar"/>
              </w:rPr>
              <w:t>/</w:t>
            </w:r>
          </w:p>
        </w:tc>
        <w:tc>
          <w:tcPr>
            <w:tcW w:w="495" w:type="pct"/>
            <w:vAlign w:val="center"/>
          </w:tcPr>
          <w:p w14:paraId="068ED22F">
            <w:pPr>
              <w:widowControl/>
              <w:jc w:val="center"/>
              <w:textAlignment w:val="center"/>
              <w:rPr>
                <w:rFonts w:hint="default" w:ascii="Times New Roman" w:hAnsi="Times New Roman" w:eastAsia="宋体" w:cs="Times New Roman"/>
                <w:color w:val="auto"/>
                <w:kern w:val="0"/>
                <w:sz w:val="21"/>
                <w:szCs w:val="21"/>
                <w:lang w:bidi="ar"/>
              </w:rPr>
            </w:pPr>
            <w:r>
              <w:rPr>
                <w:rFonts w:hint="default" w:ascii="Times New Roman" w:hAnsi="Times New Roman" w:eastAsia="宋体" w:cs="Times New Roman"/>
                <w:color w:val="auto"/>
                <w:kern w:val="0"/>
                <w:sz w:val="21"/>
                <w:szCs w:val="21"/>
                <w:lang w:bidi="ar"/>
              </w:rPr>
              <w:t>/</w:t>
            </w:r>
          </w:p>
        </w:tc>
        <w:tc>
          <w:tcPr>
            <w:tcW w:w="574" w:type="pct"/>
            <w:vAlign w:val="center"/>
          </w:tcPr>
          <w:p w14:paraId="77904795">
            <w:pPr>
              <w:widowControl/>
              <w:jc w:val="center"/>
              <w:textAlignment w:val="center"/>
              <w:rPr>
                <w:rFonts w:hint="default" w:ascii="Times New Roman" w:hAnsi="Times New Roman" w:eastAsia="宋体" w:cs="Times New Roman"/>
                <w:color w:val="auto"/>
                <w:kern w:val="0"/>
                <w:sz w:val="21"/>
                <w:szCs w:val="21"/>
                <w:lang w:bidi="ar"/>
              </w:rPr>
            </w:pPr>
            <w:r>
              <w:rPr>
                <w:rFonts w:hint="default" w:ascii="Times New Roman" w:hAnsi="Times New Roman" w:eastAsia="宋体" w:cs="Times New Roman"/>
                <w:color w:val="auto"/>
                <w:kern w:val="0"/>
                <w:sz w:val="21"/>
                <w:szCs w:val="21"/>
                <w:lang w:bidi="ar"/>
              </w:rPr>
              <w:t>/</w:t>
            </w:r>
          </w:p>
        </w:tc>
        <w:tc>
          <w:tcPr>
            <w:tcW w:w="570" w:type="pct"/>
            <w:vAlign w:val="center"/>
          </w:tcPr>
          <w:p w14:paraId="67756C7D">
            <w:pPr>
              <w:widowControl/>
              <w:jc w:val="center"/>
              <w:textAlignment w:val="center"/>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w:t>
            </w:r>
          </w:p>
        </w:tc>
        <w:tc>
          <w:tcPr>
            <w:tcW w:w="602" w:type="pct"/>
            <w:vAlign w:val="center"/>
          </w:tcPr>
          <w:p w14:paraId="27A6F4BF">
            <w:pPr>
              <w:widowControl/>
              <w:jc w:val="center"/>
              <w:textAlignment w:val="center"/>
              <w:rPr>
                <w:rFonts w:hint="default" w:ascii="Times New Roman" w:hAnsi="Times New Roman" w:eastAsia="宋体" w:cs="Times New Roman"/>
                <w:color w:val="auto"/>
                <w:kern w:val="0"/>
                <w:sz w:val="21"/>
                <w:szCs w:val="21"/>
                <w:lang w:bidi="ar"/>
              </w:rPr>
            </w:pPr>
            <w:r>
              <w:rPr>
                <w:rFonts w:hint="default" w:ascii="Times New Roman" w:hAnsi="Times New Roman" w:eastAsia="宋体" w:cs="Times New Roman"/>
                <w:color w:val="auto"/>
                <w:kern w:val="0"/>
                <w:sz w:val="21"/>
                <w:szCs w:val="21"/>
                <w:lang w:bidi="ar"/>
              </w:rPr>
              <w:t>/</w:t>
            </w:r>
          </w:p>
        </w:tc>
        <w:tc>
          <w:tcPr>
            <w:tcW w:w="704" w:type="pct"/>
            <w:vAlign w:val="center"/>
          </w:tcPr>
          <w:p w14:paraId="23A7B5A7">
            <w:pPr>
              <w:widowControl/>
              <w:jc w:val="center"/>
              <w:textAlignment w:val="center"/>
              <w:rPr>
                <w:rFonts w:hint="eastAsia"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bidi="ar"/>
              </w:rPr>
              <w:t>/</w:t>
            </w:r>
          </w:p>
        </w:tc>
        <w:tc>
          <w:tcPr>
            <w:tcW w:w="453" w:type="pct"/>
            <w:vAlign w:val="center"/>
          </w:tcPr>
          <w:p w14:paraId="2C07E7F5">
            <w:pPr>
              <w:widowControl/>
              <w:jc w:val="center"/>
              <w:textAlignment w:val="center"/>
              <w:rPr>
                <w:rFonts w:hint="eastAsia" w:ascii="Times New Roman" w:hAnsi="Times New Roman" w:eastAsia="宋体" w:cs="Times New Roman"/>
                <w:color w:val="auto"/>
                <w:kern w:val="0"/>
                <w:sz w:val="21"/>
                <w:szCs w:val="21"/>
                <w:lang w:val="en-US" w:eastAsia="zh-CN" w:bidi="ar"/>
              </w:rPr>
            </w:pPr>
            <w:r>
              <w:rPr>
                <w:rFonts w:hint="default" w:ascii="Times New Roman" w:hAnsi="Times New Roman" w:eastAsia="宋体" w:cs="Times New Roman"/>
                <w:color w:val="auto"/>
                <w:kern w:val="0"/>
                <w:sz w:val="21"/>
                <w:szCs w:val="21"/>
                <w:lang w:bidi="ar"/>
              </w:rPr>
              <w:t>/</w:t>
            </w:r>
          </w:p>
        </w:tc>
      </w:tr>
      <w:tr w14:paraId="30F5E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01" w:type="pct"/>
            <w:vAlign w:val="center"/>
          </w:tcPr>
          <w:p w14:paraId="7CBC6E8A">
            <w:pPr>
              <w:pStyle w:val="69"/>
              <w:rPr>
                <w:rFonts w:hint="eastAsia" w:ascii="Times New Roman" w:hAnsi="Times New Roman" w:eastAsia="宋体" w:cs="Times New Roman"/>
                <w:snapToGrid w:val="0"/>
                <w:color w:val="auto"/>
                <w:sz w:val="21"/>
                <w:szCs w:val="21"/>
                <w:lang w:val="en-US" w:eastAsia="zh-CN"/>
              </w:rPr>
            </w:pPr>
            <w:r>
              <w:rPr>
                <w:rFonts w:hint="eastAsia" w:cs="Times New Roman"/>
                <w:snapToGrid w:val="0"/>
                <w:color w:val="auto"/>
                <w:sz w:val="21"/>
                <w:szCs w:val="21"/>
                <w:lang w:val="en-US" w:eastAsia="zh-CN"/>
              </w:rPr>
              <w:t>危险废物</w:t>
            </w:r>
          </w:p>
        </w:tc>
        <w:tc>
          <w:tcPr>
            <w:tcW w:w="654" w:type="pct"/>
            <w:vAlign w:val="center"/>
          </w:tcPr>
          <w:p w14:paraId="26CFF86F">
            <w:pPr>
              <w:jc w:val="center"/>
              <w:rPr>
                <w:rFonts w:hint="default" w:ascii="Times New Roman" w:hAnsi="Times New Roman" w:eastAsia="宋体" w:cs="Times New Roman"/>
                <w:color w:val="auto"/>
                <w:kern w:val="2"/>
                <w:sz w:val="21"/>
                <w:szCs w:val="21"/>
                <w:lang w:val="en-US" w:eastAsia="zh-CN"/>
              </w:rPr>
            </w:pPr>
            <w:r>
              <w:rPr>
                <w:rFonts w:hint="eastAsia" w:cs="Times New Roman"/>
                <w:color w:val="auto"/>
                <w:kern w:val="2"/>
                <w:sz w:val="21"/>
                <w:szCs w:val="21"/>
                <w:lang w:val="en-US" w:eastAsia="zh-CN"/>
              </w:rPr>
              <w:t>废活性炭</w:t>
            </w:r>
          </w:p>
        </w:tc>
        <w:tc>
          <w:tcPr>
            <w:tcW w:w="642" w:type="pct"/>
            <w:vAlign w:val="center"/>
          </w:tcPr>
          <w:p w14:paraId="2E4845A2">
            <w:pPr>
              <w:widowControl/>
              <w:jc w:val="center"/>
              <w:textAlignment w:val="center"/>
              <w:rPr>
                <w:rFonts w:hint="default" w:ascii="Times New Roman" w:hAnsi="Times New Roman" w:eastAsia="宋体" w:cs="Times New Roman"/>
                <w:color w:val="auto"/>
                <w:kern w:val="0"/>
                <w:sz w:val="21"/>
                <w:szCs w:val="21"/>
                <w:lang w:bidi="ar"/>
              </w:rPr>
            </w:pPr>
            <w:r>
              <w:rPr>
                <w:rFonts w:hint="default" w:ascii="Times New Roman" w:hAnsi="Times New Roman" w:eastAsia="宋体" w:cs="Times New Roman"/>
                <w:color w:val="auto"/>
                <w:kern w:val="0"/>
                <w:sz w:val="21"/>
                <w:szCs w:val="21"/>
                <w:lang w:bidi="ar"/>
              </w:rPr>
              <w:t>/</w:t>
            </w:r>
          </w:p>
        </w:tc>
        <w:tc>
          <w:tcPr>
            <w:tcW w:w="495" w:type="pct"/>
            <w:vAlign w:val="center"/>
          </w:tcPr>
          <w:p w14:paraId="475F4F1C">
            <w:pPr>
              <w:widowControl/>
              <w:jc w:val="center"/>
              <w:textAlignment w:val="center"/>
              <w:rPr>
                <w:rFonts w:hint="default" w:ascii="Times New Roman" w:hAnsi="Times New Roman" w:eastAsia="宋体" w:cs="Times New Roman"/>
                <w:color w:val="auto"/>
                <w:kern w:val="0"/>
                <w:sz w:val="21"/>
                <w:szCs w:val="21"/>
                <w:lang w:bidi="ar"/>
              </w:rPr>
            </w:pPr>
            <w:r>
              <w:rPr>
                <w:rFonts w:hint="default" w:ascii="Times New Roman" w:hAnsi="Times New Roman" w:eastAsia="宋体" w:cs="Times New Roman"/>
                <w:color w:val="auto"/>
                <w:kern w:val="0"/>
                <w:sz w:val="21"/>
                <w:szCs w:val="21"/>
                <w:lang w:bidi="ar"/>
              </w:rPr>
              <w:t>/</w:t>
            </w:r>
          </w:p>
        </w:tc>
        <w:tc>
          <w:tcPr>
            <w:tcW w:w="574" w:type="pct"/>
            <w:vAlign w:val="center"/>
          </w:tcPr>
          <w:p w14:paraId="63A43BA7">
            <w:pPr>
              <w:widowControl/>
              <w:jc w:val="center"/>
              <w:textAlignment w:val="center"/>
              <w:rPr>
                <w:rFonts w:hint="default" w:ascii="Times New Roman" w:hAnsi="Times New Roman" w:eastAsia="宋体" w:cs="Times New Roman"/>
                <w:color w:val="auto"/>
                <w:kern w:val="0"/>
                <w:sz w:val="21"/>
                <w:szCs w:val="21"/>
                <w:lang w:bidi="ar"/>
              </w:rPr>
            </w:pPr>
            <w:r>
              <w:rPr>
                <w:rFonts w:hint="default" w:ascii="Times New Roman" w:hAnsi="Times New Roman" w:eastAsia="宋体" w:cs="Times New Roman"/>
                <w:color w:val="auto"/>
                <w:kern w:val="0"/>
                <w:sz w:val="21"/>
                <w:szCs w:val="21"/>
                <w:lang w:bidi="ar"/>
              </w:rPr>
              <w:t>/</w:t>
            </w:r>
            <w:bookmarkStart w:id="21" w:name="_GoBack"/>
            <w:bookmarkEnd w:id="21"/>
          </w:p>
        </w:tc>
        <w:tc>
          <w:tcPr>
            <w:tcW w:w="570" w:type="pct"/>
            <w:vAlign w:val="center"/>
          </w:tcPr>
          <w:p w14:paraId="04064B01">
            <w:pPr>
              <w:widowControl/>
              <w:jc w:val="center"/>
              <w:textAlignment w:val="center"/>
              <w:rPr>
                <w:rFonts w:hint="default"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0.3t/a</w:t>
            </w:r>
          </w:p>
        </w:tc>
        <w:tc>
          <w:tcPr>
            <w:tcW w:w="602" w:type="pct"/>
            <w:vAlign w:val="center"/>
          </w:tcPr>
          <w:p w14:paraId="762B3E21">
            <w:pPr>
              <w:widowControl/>
              <w:jc w:val="center"/>
              <w:textAlignment w:val="center"/>
              <w:rPr>
                <w:rFonts w:hint="default" w:ascii="Times New Roman" w:hAnsi="Times New Roman" w:eastAsia="宋体" w:cs="Times New Roman"/>
                <w:color w:val="auto"/>
                <w:kern w:val="0"/>
                <w:sz w:val="21"/>
                <w:szCs w:val="21"/>
                <w:lang w:bidi="ar"/>
              </w:rPr>
            </w:pPr>
            <w:r>
              <w:rPr>
                <w:rFonts w:hint="default" w:ascii="Times New Roman" w:hAnsi="Times New Roman" w:eastAsia="宋体" w:cs="Times New Roman"/>
                <w:color w:val="auto"/>
                <w:kern w:val="0"/>
                <w:sz w:val="21"/>
                <w:szCs w:val="21"/>
                <w:lang w:bidi="ar"/>
              </w:rPr>
              <w:t>/</w:t>
            </w:r>
          </w:p>
        </w:tc>
        <w:tc>
          <w:tcPr>
            <w:tcW w:w="704" w:type="pct"/>
            <w:vAlign w:val="center"/>
          </w:tcPr>
          <w:p w14:paraId="6124E2A6">
            <w:pPr>
              <w:widowControl/>
              <w:jc w:val="center"/>
              <w:textAlignment w:val="center"/>
              <w:rPr>
                <w:rFonts w:hint="eastAsia"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0.3t/a</w:t>
            </w:r>
          </w:p>
        </w:tc>
        <w:tc>
          <w:tcPr>
            <w:tcW w:w="453" w:type="pct"/>
            <w:vAlign w:val="center"/>
          </w:tcPr>
          <w:p w14:paraId="49F35C8A">
            <w:pPr>
              <w:widowControl/>
              <w:jc w:val="center"/>
              <w:textAlignment w:val="center"/>
              <w:rPr>
                <w:rFonts w:hint="eastAsia" w:ascii="Times New Roman" w:hAnsi="Times New Roman" w:eastAsia="宋体" w:cs="Times New Roman"/>
                <w:color w:val="auto"/>
                <w:kern w:val="0"/>
                <w:sz w:val="21"/>
                <w:szCs w:val="21"/>
                <w:lang w:val="en-US" w:eastAsia="zh-CN" w:bidi="ar"/>
              </w:rPr>
            </w:pPr>
            <w:r>
              <w:rPr>
                <w:rFonts w:hint="eastAsia" w:cs="Times New Roman"/>
                <w:color w:val="auto"/>
                <w:kern w:val="0"/>
                <w:sz w:val="21"/>
                <w:szCs w:val="21"/>
                <w:lang w:val="en-US" w:eastAsia="zh-CN" w:bidi="ar"/>
              </w:rPr>
              <w:t>0.3t/a</w:t>
            </w:r>
          </w:p>
        </w:tc>
      </w:tr>
    </w:tbl>
    <w:p w14:paraId="3160991A">
      <w:pPr>
        <w:pStyle w:val="58"/>
        <w:spacing w:before="192" w:beforeLines="80" w:after="24"/>
        <w:jc w:val="left"/>
        <w:rPr>
          <w:color w:val="auto"/>
        </w:rPr>
        <w:sectPr>
          <w:footerReference r:id="rId9" w:type="default"/>
          <w:pgSz w:w="16838" w:h="11906" w:orient="landscape"/>
          <w:pgMar w:top="1440" w:right="1800" w:bottom="1440" w:left="1800" w:header="851" w:footer="851" w:gutter="0"/>
          <w:pgBorders>
            <w:top w:val="none" w:sz="0" w:space="0"/>
            <w:left w:val="none" w:sz="0" w:space="0"/>
            <w:bottom w:val="none" w:sz="0" w:space="0"/>
            <w:right w:val="none" w:sz="0" w:space="0"/>
          </w:pgBorders>
          <w:cols w:space="720" w:num="1"/>
          <w:docGrid w:linePitch="312" w:charSpace="0"/>
        </w:sectPr>
      </w:pPr>
      <w:r>
        <w:rPr>
          <w:rFonts w:ascii="Times New Roman"/>
          <w:snapToGrid w:val="0"/>
          <w:color w:val="auto"/>
          <w:kern w:val="21"/>
          <w:szCs w:val="21"/>
        </w:rPr>
        <w:t>注：</w:t>
      </w:r>
      <w:r>
        <w:rPr>
          <w:rFonts w:ascii="Times New Roman"/>
          <w:snapToGrid w:val="0"/>
          <w:color w:val="auto"/>
          <w:spacing w:val="-16"/>
          <w:kern w:val="21"/>
          <w:szCs w:val="21"/>
        </w:rPr>
        <w:fldChar w:fldCharType="begin"/>
      </w:r>
      <w:r>
        <w:rPr>
          <w:rFonts w:ascii="Times New Roman"/>
          <w:snapToGrid w:val="0"/>
          <w:color w:val="auto"/>
          <w:spacing w:val="-16"/>
          <w:kern w:val="21"/>
          <w:szCs w:val="21"/>
        </w:rPr>
        <w:instrText xml:space="preserve"> = 6 \* GB3 \* MERGEFORMAT </w:instrText>
      </w:r>
      <w:r>
        <w:rPr>
          <w:rFonts w:ascii="Times New Roman"/>
          <w:snapToGrid w:val="0"/>
          <w:color w:val="auto"/>
          <w:spacing w:val="-16"/>
          <w:kern w:val="21"/>
          <w:szCs w:val="21"/>
        </w:rPr>
        <w:fldChar w:fldCharType="separate"/>
      </w:r>
      <w:r>
        <w:rPr>
          <w:rFonts w:ascii="Times New Roman"/>
          <w:color w:val="auto"/>
          <w:szCs w:val="21"/>
        </w:rPr>
        <w:t>⑥</w:t>
      </w:r>
      <w:r>
        <w:rPr>
          <w:rFonts w:ascii="Times New Roman"/>
          <w:snapToGrid w:val="0"/>
          <w:color w:val="auto"/>
          <w:spacing w:val="-16"/>
          <w:kern w:val="21"/>
          <w:szCs w:val="21"/>
        </w:rPr>
        <w:fldChar w:fldCharType="end"/>
      </w:r>
      <w:r>
        <w:rPr>
          <w:rFonts w:ascii="Times New Roman"/>
          <w:snapToGrid w:val="0"/>
          <w:color w:val="auto"/>
          <w:spacing w:val="-16"/>
          <w:kern w:val="21"/>
          <w:szCs w:val="21"/>
        </w:rPr>
        <w:t>=</w:t>
      </w:r>
      <w:r>
        <w:rPr>
          <w:rFonts w:ascii="Times New Roman"/>
          <w:snapToGrid w:val="0"/>
          <w:color w:val="auto"/>
          <w:spacing w:val="-6"/>
          <w:kern w:val="21"/>
          <w:szCs w:val="21"/>
        </w:rPr>
        <w:fldChar w:fldCharType="begin"/>
      </w:r>
      <w:r>
        <w:rPr>
          <w:rFonts w:ascii="Times New Roman"/>
          <w:snapToGrid w:val="0"/>
          <w:color w:val="auto"/>
          <w:spacing w:val="-6"/>
          <w:kern w:val="21"/>
          <w:szCs w:val="21"/>
        </w:rPr>
        <w:instrText xml:space="preserve"> = 1 \* GB3 \* MERGEFORMAT </w:instrText>
      </w:r>
      <w:r>
        <w:rPr>
          <w:rFonts w:ascii="Times New Roman"/>
          <w:snapToGrid w:val="0"/>
          <w:color w:val="auto"/>
          <w:spacing w:val="-6"/>
          <w:kern w:val="21"/>
          <w:szCs w:val="21"/>
        </w:rPr>
        <w:fldChar w:fldCharType="separate"/>
      </w:r>
      <w:r>
        <w:rPr>
          <w:rFonts w:ascii="Times New Roman"/>
          <w:color w:val="auto"/>
          <w:szCs w:val="21"/>
        </w:rPr>
        <w:t>①</w:t>
      </w:r>
      <w:r>
        <w:rPr>
          <w:rFonts w:ascii="Times New Roman"/>
          <w:snapToGrid w:val="0"/>
          <w:color w:val="auto"/>
          <w:spacing w:val="-6"/>
          <w:kern w:val="21"/>
          <w:szCs w:val="21"/>
        </w:rPr>
        <w:fldChar w:fldCharType="end"/>
      </w:r>
      <w:r>
        <w:rPr>
          <w:rFonts w:ascii="Times New Roman"/>
          <w:snapToGrid w:val="0"/>
          <w:color w:val="auto"/>
          <w:spacing w:val="-6"/>
          <w:kern w:val="21"/>
          <w:szCs w:val="21"/>
        </w:rPr>
        <w:t>+</w:t>
      </w:r>
      <w:r>
        <w:rPr>
          <w:rFonts w:ascii="Times New Roman"/>
          <w:snapToGrid w:val="0"/>
          <w:color w:val="auto"/>
          <w:spacing w:val="-6"/>
          <w:kern w:val="21"/>
          <w:szCs w:val="21"/>
        </w:rPr>
        <w:fldChar w:fldCharType="begin"/>
      </w:r>
      <w:r>
        <w:rPr>
          <w:rFonts w:ascii="Times New Roman"/>
          <w:snapToGrid w:val="0"/>
          <w:color w:val="auto"/>
          <w:spacing w:val="-6"/>
          <w:kern w:val="21"/>
          <w:szCs w:val="21"/>
        </w:rPr>
        <w:instrText xml:space="preserve"> = 3 \* GB3 \* MERGEFORMAT </w:instrText>
      </w:r>
      <w:r>
        <w:rPr>
          <w:rFonts w:ascii="Times New Roman"/>
          <w:snapToGrid w:val="0"/>
          <w:color w:val="auto"/>
          <w:spacing w:val="-6"/>
          <w:kern w:val="21"/>
          <w:szCs w:val="21"/>
        </w:rPr>
        <w:fldChar w:fldCharType="separate"/>
      </w:r>
      <w:r>
        <w:rPr>
          <w:rFonts w:ascii="Times New Roman"/>
          <w:color w:val="auto"/>
          <w:szCs w:val="21"/>
        </w:rPr>
        <w:t>③</w:t>
      </w:r>
      <w:r>
        <w:rPr>
          <w:rFonts w:ascii="Times New Roman"/>
          <w:snapToGrid w:val="0"/>
          <w:color w:val="auto"/>
          <w:spacing w:val="-6"/>
          <w:kern w:val="21"/>
          <w:szCs w:val="21"/>
        </w:rPr>
        <w:fldChar w:fldCharType="end"/>
      </w:r>
      <w:r>
        <w:rPr>
          <w:rFonts w:ascii="Times New Roman"/>
          <w:snapToGrid w:val="0"/>
          <w:color w:val="auto"/>
          <w:spacing w:val="-6"/>
          <w:kern w:val="21"/>
          <w:szCs w:val="21"/>
        </w:rPr>
        <w:t>+</w:t>
      </w:r>
      <w:r>
        <w:rPr>
          <w:rFonts w:ascii="Times New Roman"/>
          <w:snapToGrid w:val="0"/>
          <w:color w:val="auto"/>
          <w:spacing w:val="-6"/>
          <w:kern w:val="21"/>
          <w:szCs w:val="21"/>
        </w:rPr>
        <w:fldChar w:fldCharType="begin"/>
      </w:r>
      <w:r>
        <w:rPr>
          <w:rFonts w:ascii="Times New Roman"/>
          <w:snapToGrid w:val="0"/>
          <w:color w:val="auto"/>
          <w:spacing w:val="-6"/>
          <w:kern w:val="21"/>
          <w:szCs w:val="21"/>
        </w:rPr>
        <w:instrText xml:space="preserve"> = 4 \* GB3 \* MERGEFORMAT </w:instrText>
      </w:r>
      <w:r>
        <w:rPr>
          <w:rFonts w:ascii="Times New Roman"/>
          <w:snapToGrid w:val="0"/>
          <w:color w:val="auto"/>
          <w:spacing w:val="-6"/>
          <w:kern w:val="21"/>
          <w:szCs w:val="21"/>
        </w:rPr>
        <w:fldChar w:fldCharType="separate"/>
      </w:r>
      <w:r>
        <w:rPr>
          <w:rFonts w:ascii="Times New Roman"/>
          <w:color w:val="auto"/>
          <w:szCs w:val="21"/>
        </w:rPr>
        <w:t>④</w:t>
      </w:r>
      <w:r>
        <w:rPr>
          <w:rFonts w:ascii="Times New Roman"/>
          <w:snapToGrid w:val="0"/>
          <w:color w:val="auto"/>
          <w:spacing w:val="-6"/>
          <w:kern w:val="21"/>
          <w:szCs w:val="21"/>
        </w:rPr>
        <w:fldChar w:fldCharType="end"/>
      </w:r>
      <w:r>
        <w:rPr>
          <w:rFonts w:ascii="Times New Roman"/>
          <w:snapToGrid w:val="0"/>
          <w:color w:val="auto"/>
          <w:spacing w:val="-6"/>
          <w:kern w:val="21"/>
          <w:szCs w:val="21"/>
        </w:rPr>
        <w:t>-</w:t>
      </w:r>
      <w:r>
        <w:rPr>
          <w:rFonts w:ascii="Times New Roman"/>
          <w:snapToGrid w:val="0"/>
          <w:color w:val="auto"/>
          <w:spacing w:val="-16"/>
          <w:kern w:val="21"/>
          <w:szCs w:val="21"/>
        </w:rPr>
        <w:fldChar w:fldCharType="begin"/>
      </w:r>
      <w:r>
        <w:rPr>
          <w:rFonts w:ascii="Times New Roman"/>
          <w:snapToGrid w:val="0"/>
          <w:color w:val="auto"/>
          <w:spacing w:val="-16"/>
          <w:kern w:val="21"/>
          <w:szCs w:val="21"/>
        </w:rPr>
        <w:instrText xml:space="preserve"> = 5 \* GB3 \* MERGEFORMAT </w:instrText>
      </w:r>
      <w:r>
        <w:rPr>
          <w:rFonts w:ascii="Times New Roman"/>
          <w:snapToGrid w:val="0"/>
          <w:color w:val="auto"/>
          <w:spacing w:val="-16"/>
          <w:kern w:val="21"/>
          <w:szCs w:val="21"/>
        </w:rPr>
        <w:fldChar w:fldCharType="separate"/>
      </w:r>
      <w:r>
        <w:rPr>
          <w:rFonts w:ascii="Times New Roman"/>
          <w:color w:val="auto"/>
          <w:szCs w:val="21"/>
        </w:rPr>
        <w:t>⑤</w:t>
      </w:r>
      <w:r>
        <w:rPr>
          <w:rFonts w:ascii="Times New Roman"/>
          <w:snapToGrid w:val="0"/>
          <w:color w:val="auto"/>
          <w:spacing w:val="-16"/>
          <w:kern w:val="21"/>
          <w:szCs w:val="21"/>
        </w:rPr>
        <w:fldChar w:fldCharType="end"/>
      </w:r>
      <w:r>
        <w:rPr>
          <w:rFonts w:ascii="Times New Roman"/>
          <w:snapToGrid w:val="0"/>
          <w:color w:val="auto"/>
          <w:spacing w:val="-16"/>
          <w:kern w:val="21"/>
          <w:szCs w:val="21"/>
        </w:rPr>
        <w:t>；</w:t>
      </w:r>
      <w:r>
        <w:rPr>
          <w:rFonts w:ascii="Times New Roman"/>
          <w:snapToGrid w:val="0"/>
          <w:color w:val="auto"/>
          <w:spacing w:val="-6"/>
          <w:kern w:val="21"/>
          <w:szCs w:val="21"/>
        </w:rPr>
        <w:fldChar w:fldCharType="begin"/>
      </w:r>
      <w:r>
        <w:rPr>
          <w:rFonts w:ascii="Times New Roman"/>
          <w:snapToGrid w:val="0"/>
          <w:color w:val="auto"/>
          <w:spacing w:val="-6"/>
          <w:kern w:val="21"/>
          <w:szCs w:val="21"/>
        </w:rPr>
        <w:instrText xml:space="preserve"> = 7 \* GB3 \* MERGEFORMAT </w:instrText>
      </w:r>
      <w:r>
        <w:rPr>
          <w:rFonts w:ascii="Times New Roman"/>
          <w:snapToGrid w:val="0"/>
          <w:color w:val="auto"/>
          <w:spacing w:val="-6"/>
          <w:kern w:val="21"/>
          <w:szCs w:val="21"/>
        </w:rPr>
        <w:fldChar w:fldCharType="separate"/>
      </w:r>
      <w:r>
        <w:rPr>
          <w:rFonts w:ascii="Times New Roman"/>
          <w:color w:val="auto"/>
          <w:szCs w:val="21"/>
        </w:rPr>
        <w:t>⑦</w:t>
      </w:r>
      <w:r>
        <w:rPr>
          <w:rFonts w:ascii="Times New Roman"/>
          <w:snapToGrid w:val="0"/>
          <w:color w:val="auto"/>
          <w:spacing w:val="-6"/>
          <w:kern w:val="21"/>
          <w:szCs w:val="21"/>
        </w:rPr>
        <w:fldChar w:fldCharType="end"/>
      </w:r>
      <w:r>
        <w:rPr>
          <w:rFonts w:ascii="Times New Roman"/>
          <w:snapToGrid w:val="0"/>
          <w:color w:val="auto"/>
          <w:spacing w:val="-6"/>
          <w:kern w:val="21"/>
          <w:szCs w:val="21"/>
        </w:rPr>
        <w:t>=</w:t>
      </w:r>
      <w:r>
        <w:rPr>
          <w:rFonts w:ascii="Times New Roman"/>
          <w:snapToGrid w:val="0"/>
          <w:color w:val="auto"/>
          <w:spacing w:val="-16"/>
          <w:kern w:val="21"/>
          <w:szCs w:val="21"/>
        </w:rPr>
        <w:fldChar w:fldCharType="begin"/>
      </w:r>
      <w:r>
        <w:rPr>
          <w:rFonts w:ascii="Times New Roman"/>
          <w:snapToGrid w:val="0"/>
          <w:color w:val="auto"/>
          <w:spacing w:val="-16"/>
          <w:kern w:val="21"/>
          <w:szCs w:val="21"/>
        </w:rPr>
        <w:instrText xml:space="preserve"> = 6 \* GB3 \* MERGEFORMAT </w:instrText>
      </w:r>
      <w:r>
        <w:rPr>
          <w:rFonts w:ascii="Times New Roman"/>
          <w:snapToGrid w:val="0"/>
          <w:color w:val="auto"/>
          <w:spacing w:val="-16"/>
          <w:kern w:val="21"/>
          <w:szCs w:val="21"/>
        </w:rPr>
        <w:fldChar w:fldCharType="separate"/>
      </w:r>
      <w:r>
        <w:rPr>
          <w:rFonts w:ascii="Times New Roman"/>
          <w:color w:val="auto"/>
          <w:szCs w:val="21"/>
        </w:rPr>
        <w:t>⑥</w:t>
      </w:r>
      <w:r>
        <w:rPr>
          <w:rFonts w:ascii="Times New Roman"/>
          <w:snapToGrid w:val="0"/>
          <w:color w:val="auto"/>
          <w:spacing w:val="-16"/>
          <w:kern w:val="21"/>
          <w:szCs w:val="21"/>
        </w:rPr>
        <w:fldChar w:fldCharType="end"/>
      </w:r>
      <w:r>
        <w:rPr>
          <w:rFonts w:ascii="Times New Roman"/>
          <w:snapToGrid w:val="0"/>
          <w:color w:val="auto"/>
          <w:spacing w:val="-16"/>
          <w:kern w:val="21"/>
          <w:szCs w:val="21"/>
        </w:rPr>
        <w:t>-</w:t>
      </w:r>
      <w:r>
        <w:rPr>
          <w:rFonts w:ascii="Times New Roman"/>
          <w:snapToGrid w:val="0"/>
          <w:color w:val="auto"/>
          <w:spacing w:val="-6"/>
          <w:kern w:val="21"/>
          <w:szCs w:val="21"/>
        </w:rPr>
        <w:fldChar w:fldCharType="begin"/>
      </w:r>
      <w:r>
        <w:rPr>
          <w:rFonts w:ascii="Times New Roman"/>
          <w:snapToGrid w:val="0"/>
          <w:color w:val="auto"/>
          <w:spacing w:val="-6"/>
          <w:kern w:val="21"/>
          <w:szCs w:val="21"/>
        </w:rPr>
        <w:instrText xml:space="preserve"> = 1 \* GB3 \* MERGEFORMAT </w:instrText>
      </w:r>
      <w:r>
        <w:rPr>
          <w:rFonts w:ascii="Times New Roman"/>
          <w:snapToGrid w:val="0"/>
          <w:color w:val="auto"/>
          <w:spacing w:val="-6"/>
          <w:kern w:val="21"/>
          <w:szCs w:val="21"/>
        </w:rPr>
        <w:fldChar w:fldCharType="separate"/>
      </w:r>
      <w:r>
        <w:rPr>
          <w:rFonts w:ascii="Times New Roman"/>
          <w:color w:val="auto"/>
          <w:szCs w:val="21"/>
        </w:rPr>
        <w:t>①</w:t>
      </w:r>
      <w:r>
        <w:rPr>
          <w:rFonts w:ascii="Times New Roman"/>
          <w:snapToGrid w:val="0"/>
          <w:color w:val="auto"/>
          <w:spacing w:val="-6"/>
          <w:kern w:val="21"/>
          <w:szCs w:val="21"/>
        </w:rPr>
        <w:fldChar w:fldCharType="end"/>
      </w:r>
    </w:p>
    <w:p w14:paraId="12000558">
      <w:pPr>
        <w:pStyle w:val="27"/>
        <w:spacing w:after="120" w:line="240" w:lineRule="auto"/>
        <w:jc w:val="left"/>
        <w:outlineLvl w:val="0"/>
        <w:rPr>
          <w:rFonts w:hint="default" w:eastAsiaTheme="minorEastAsia"/>
          <w:snapToGrid w:val="0"/>
          <w:color w:val="auto"/>
          <w:sz w:val="28"/>
          <w:szCs w:val="32"/>
          <w:lang w:val="en-US" w:eastAsia="zh-CN"/>
        </w:rPr>
      </w:pPr>
      <w:r>
        <w:rPr>
          <w:rFonts w:eastAsiaTheme="minorEastAsia"/>
          <w:snapToGrid w:val="0"/>
          <w:color w:val="auto"/>
          <w:sz w:val="28"/>
          <w:szCs w:val="32"/>
        </w:rPr>
        <w:t>附图一：</w:t>
      </w:r>
      <w:r>
        <w:rPr>
          <w:rFonts w:hint="default" w:eastAsiaTheme="minorEastAsia"/>
          <w:snapToGrid w:val="0"/>
          <w:color w:val="auto"/>
          <w:sz w:val="28"/>
          <w:szCs w:val="32"/>
          <w:lang w:val="en-US" w:eastAsia="zh-CN"/>
        </w:rPr>
        <w:t>本项目与生态红线位置关系图</w:t>
      </w:r>
    </w:p>
    <w:p w14:paraId="03929636">
      <w:pPr>
        <w:bidi w:val="0"/>
        <w:jc w:val="center"/>
        <w:rPr>
          <w:color w:val="auto"/>
        </w:rPr>
        <w:sectPr>
          <w:pgSz w:w="16838" w:h="11906" w:orient="landscape"/>
          <w:pgMar w:top="1440" w:right="1800" w:bottom="1440" w:left="1800" w:header="851" w:footer="851" w:gutter="0"/>
          <w:pgBorders>
            <w:top w:val="none" w:sz="0" w:space="0"/>
            <w:left w:val="none" w:sz="0" w:space="0"/>
            <w:bottom w:val="none" w:sz="0" w:space="0"/>
            <w:right w:val="none" w:sz="0" w:space="0"/>
          </w:pgBorders>
          <w:cols w:space="720" w:num="1"/>
          <w:docGrid w:linePitch="312" w:charSpace="0"/>
        </w:sectPr>
      </w:pPr>
      <w:r>
        <w:rPr>
          <w:color w:val="auto"/>
        </w:rPr>
        <mc:AlternateContent>
          <mc:Choice Requires="wps">
            <w:drawing>
              <wp:anchor distT="0" distB="0" distL="114300" distR="114300" simplePos="0" relativeHeight="251660288" behindDoc="0" locked="0" layoutInCell="1" allowOverlap="1">
                <wp:simplePos x="0" y="0"/>
                <wp:positionH relativeFrom="column">
                  <wp:posOffset>835025</wp:posOffset>
                </wp:positionH>
                <wp:positionV relativeFrom="paragraph">
                  <wp:posOffset>4530090</wp:posOffset>
                </wp:positionV>
                <wp:extent cx="1150620" cy="408305"/>
                <wp:effectExtent l="12700" t="130175" r="684530" b="13970"/>
                <wp:wrapNone/>
                <wp:docPr id="19" name="矩形标注 19"/>
                <wp:cNvGraphicFramePr/>
                <a:graphic xmlns:a="http://schemas.openxmlformats.org/drawingml/2006/main">
                  <a:graphicData uri="http://schemas.microsoft.com/office/word/2010/wordprocessingShape">
                    <wps:wsp>
                      <wps:cNvSpPr/>
                      <wps:spPr>
                        <a:xfrm>
                          <a:off x="4449445" y="2759710"/>
                          <a:ext cx="1150620" cy="408305"/>
                        </a:xfrm>
                        <a:prstGeom prst="wedgeRectCallout">
                          <a:avLst>
                            <a:gd name="adj1" fmla="val 107229"/>
                            <a:gd name="adj2" fmla="val -78771"/>
                          </a:avLst>
                        </a:prstGeom>
                      </wps:spPr>
                      <wps:style>
                        <a:lnRef idx="2">
                          <a:schemeClr val="dk1"/>
                        </a:lnRef>
                        <a:fillRef idx="1">
                          <a:schemeClr val="lt1"/>
                        </a:fillRef>
                        <a:effectRef idx="0">
                          <a:schemeClr val="dk1"/>
                        </a:effectRef>
                        <a:fontRef idx="minor">
                          <a:schemeClr val="dk1"/>
                        </a:fontRef>
                      </wps:style>
                      <wps:txbx>
                        <w:txbxContent>
                          <w:p w14:paraId="6C9A9F7B">
                            <w:pPr>
                              <w:jc w:val="center"/>
                            </w:pPr>
                            <w:r>
                              <w:rPr>
                                <w:rFonts w:hint="eastAsia"/>
                              </w:rPr>
                              <w:t>本项目所在位置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65.75pt;margin-top:356.7pt;height:32.15pt;width:90.6pt;z-index:251660288;v-text-anchor:middle;mso-width-relative:page;mso-height-relative:page;" fillcolor="#FFFFFF [3201]" filled="t" stroked="t" coordsize="21600,21600" o:gfxdata="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&#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" adj="33961,-6215">
                <v:fill on="t" focussize="0,0"/>
                <v:stroke weight="2pt" color="#000000 [3200]" joinstyle="round"/>
                <v:imagedata o:title=""/>
                <o:lock v:ext="edit" aspectratio="f"/>
                <v:textbox>
                  <w:txbxContent>
                    <w:p w14:paraId="6C9A9F7B">
                      <w:pPr>
                        <w:jc w:val="center"/>
                      </w:pPr>
                      <w:r>
                        <w:rPr>
                          <w:rFonts w:hint="eastAsia"/>
                        </w:rPr>
                        <w:t>本项目所在位置</w:t>
                      </w:r>
                    </w:p>
                  </w:txbxContent>
                </v:textbox>
              </v:shape>
            </w:pict>
          </mc:Fallback>
        </mc:AlternateContent>
      </w:r>
      <w:r>
        <w:rPr>
          <w:color w:val="auto"/>
        </w:rPr>
        <mc:AlternateContent>
          <mc:Choice Requires="wps">
            <w:drawing>
              <wp:anchor distT="0" distB="0" distL="114300" distR="114300" simplePos="0" relativeHeight="251659264" behindDoc="0" locked="0" layoutInCell="1" allowOverlap="1">
                <wp:simplePos x="0" y="0"/>
                <wp:positionH relativeFrom="column">
                  <wp:posOffset>2675255</wp:posOffset>
                </wp:positionH>
                <wp:positionV relativeFrom="paragraph">
                  <wp:posOffset>4341495</wp:posOffset>
                </wp:positionV>
                <wp:extent cx="76200" cy="76200"/>
                <wp:effectExtent l="12700" t="12700" r="25400" b="25400"/>
                <wp:wrapNone/>
                <wp:docPr id="18" name="椭圆 18"/>
                <wp:cNvGraphicFramePr/>
                <a:graphic xmlns:a="http://schemas.openxmlformats.org/drawingml/2006/main">
                  <a:graphicData uri="http://schemas.microsoft.com/office/word/2010/wordprocessingShape">
                    <wps:wsp>
                      <wps:cNvSpPr/>
                      <wps:spPr>
                        <a:xfrm>
                          <a:off x="4678045" y="3119755"/>
                          <a:ext cx="76200" cy="76200"/>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210.65pt;margin-top:341.85pt;height:6pt;width:6pt;z-index:251659264;v-text-anchor:middle;mso-width-relative:page;mso-height-relative:page;" fillcolor="#FF0000" filled="t" stroked="t" coordsize="21600,21600" o:gfxdata="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">
                <v:fill on="t" focussize="0,0"/>
                <v:stroke weight="2pt" color="#FF0000 [3204]" joinstyle="round"/>
                <v:imagedata o:title=""/>
                <o:lock v:ext="edit" aspectratio="f"/>
              </v:shape>
            </w:pict>
          </mc:Fallback>
        </mc:AlternateContent>
      </w:r>
      <w:r>
        <w:rPr>
          <w:rFonts w:hint="default" w:ascii="Times New Roman" w:hAnsi="Times New Roman" w:eastAsia="黑体" w:cs="Times New Roman"/>
          <w:color w:val="auto"/>
          <w:sz w:val="30"/>
          <w:highlight w:val="none"/>
          <w:lang w:eastAsia="zh-CN"/>
        </w:rPr>
        <w:drawing>
          <wp:inline distT="0" distB="0" distL="114300" distR="114300">
            <wp:extent cx="7485380" cy="5292090"/>
            <wp:effectExtent l="0" t="0" r="1270" b="3810"/>
            <wp:docPr id="12" name="图片 13" descr="锡林郭勒盟2023“三线一单”成果图集 9.26_7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3" descr="锡林郭勒盟2023“三线一单”成果图集 9.26_7_00"/>
                    <pic:cNvPicPr>
                      <a:picLocks noChangeAspect="1"/>
                    </pic:cNvPicPr>
                  </pic:nvPicPr>
                  <pic:blipFill>
                    <a:blip r:embed="rId35"/>
                    <a:stretch>
                      <a:fillRect/>
                    </a:stretch>
                  </pic:blipFill>
                  <pic:spPr>
                    <a:xfrm>
                      <a:off x="0" y="0"/>
                      <a:ext cx="7485380" cy="5292090"/>
                    </a:xfrm>
                    <a:prstGeom prst="rect">
                      <a:avLst/>
                    </a:prstGeom>
                    <a:noFill/>
                    <a:ln>
                      <a:noFill/>
                    </a:ln>
                  </pic:spPr>
                </pic:pic>
              </a:graphicData>
            </a:graphic>
          </wp:inline>
        </w:drawing>
      </w:r>
    </w:p>
    <w:p w14:paraId="33B5D286">
      <w:pPr>
        <w:outlineLvl w:val="0"/>
        <w:rPr>
          <w:rFonts w:eastAsiaTheme="minorEastAsia"/>
          <w:b/>
          <w:bCs/>
          <w:snapToGrid w:val="0"/>
          <w:color w:val="auto"/>
          <w:sz w:val="28"/>
          <w:szCs w:val="32"/>
        </w:rPr>
      </w:pPr>
      <w:r>
        <w:rPr>
          <w:rFonts w:eastAsiaTheme="minorEastAsia"/>
          <w:b/>
          <w:bCs/>
          <w:snapToGrid w:val="0"/>
          <w:color w:val="auto"/>
          <w:sz w:val="28"/>
          <w:szCs w:val="32"/>
        </w:rPr>
        <w:t>附图</w:t>
      </w:r>
      <w:r>
        <w:rPr>
          <w:rFonts w:hint="eastAsia" w:eastAsiaTheme="minorEastAsia"/>
          <w:b/>
          <w:bCs/>
          <w:snapToGrid w:val="0"/>
          <w:color w:val="auto"/>
          <w:sz w:val="28"/>
          <w:szCs w:val="32"/>
          <w:lang w:val="en-US" w:eastAsia="zh-CN"/>
        </w:rPr>
        <w:t>二</w:t>
      </w:r>
      <w:r>
        <w:rPr>
          <w:rFonts w:eastAsiaTheme="minorEastAsia"/>
          <w:b/>
          <w:bCs/>
          <w:snapToGrid w:val="0"/>
          <w:color w:val="auto"/>
          <w:sz w:val="28"/>
          <w:szCs w:val="32"/>
        </w:rPr>
        <w:t>：</w:t>
      </w:r>
      <w:r>
        <w:rPr>
          <w:rFonts w:hint="eastAsia" w:eastAsiaTheme="minorEastAsia"/>
          <w:b/>
          <w:bCs/>
          <w:snapToGrid w:val="0"/>
          <w:color w:val="auto"/>
          <w:sz w:val="28"/>
          <w:szCs w:val="32"/>
        </w:rPr>
        <w:t>项目与</w:t>
      </w:r>
      <w:r>
        <w:rPr>
          <w:rFonts w:hint="eastAsia" w:eastAsiaTheme="minorEastAsia"/>
          <w:b/>
          <w:bCs/>
          <w:snapToGrid w:val="0"/>
          <w:color w:val="auto"/>
          <w:sz w:val="28"/>
          <w:szCs w:val="32"/>
          <w:lang w:val="en-US" w:eastAsia="zh-CN"/>
        </w:rPr>
        <w:t>锡林郭勒盟环境管控单元</w:t>
      </w:r>
      <w:r>
        <w:rPr>
          <w:rFonts w:hint="eastAsia" w:eastAsiaTheme="minorEastAsia"/>
          <w:b/>
          <w:bCs/>
          <w:snapToGrid w:val="0"/>
          <w:color w:val="auto"/>
          <w:sz w:val="28"/>
          <w:szCs w:val="32"/>
        </w:rPr>
        <w:t>位置关系图</w:t>
      </w:r>
    </w:p>
    <w:p w14:paraId="334541BC">
      <w:pPr>
        <w:jc w:val="center"/>
        <w:rPr>
          <w:color w:val="auto"/>
        </w:rPr>
      </w:pPr>
      <w:r>
        <w:rPr>
          <w:color w:val="auto"/>
        </w:rPr>
        <mc:AlternateContent>
          <mc:Choice Requires="wps">
            <w:drawing>
              <wp:anchor distT="0" distB="0" distL="114300" distR="114300" simplePos="0" relativeHeight="251662336" behindDoc="0" locked="0" layoutInCell="1" allowOverlap="1">
                <wp:simplePos x="0" y="0"/>
                <wp:positionH relativeFrom="column">
                  <wp:posOffset>895350</wp:posOffset>
                </wp:positionH>
                <wp:positionV relativeFrom="paragraph">
                  <wp:posOffset>4733290</wp:posOffset>
                </wp:positionV>
                <wp:extent cx="1150620" cy="408305"/>
                <wp:effectExtent l="12700" t="130175" r="684530" b="13970"/>
                <wp:wrapNone/>
                <wp:docPr id="10" name="矩形标注 10"/>
                <wp:cNvGraphicFramePr/>
                <a:graphic xmlns:a="http://schemas.openxmlformats.org/drawingml/2006/main">
                  <a:graphicData uri="http://schemas.microsoft.com/office/word/2010/wordprocessingShape">
                    <wps:wsp>
                      <wps:cNvSpPr/>
                      <wps:spPr>
                        <a:xfrm>
                          <a:off x="0" y="0"/>
                          <a:ext cx="1150620" cy="408305"/>
                        </a:xfrm>
                        <a:prstGeom prst="wedgeRectCallout">
                          <a:avLst>
                            <a:gd name="adj1" fmla="val 107229"/>
                            <a:gd name="adj2" fmla="val -78771"/>
                          </a:avLst>
                        </a:prstGeom>
                      </wps:spPr>
                      <wps:style>
                        <a:lnRef idx="2">
                          <a:schemeClr val="dk1"/>
                        </a:lnRef>
                        <a:fillRef idx="1">
                          <a:schemeClr val="lt1"/>
                        </a:fillRef>
                        <a:effectRef idx="0">
                          <a:schemeClr val="dk1"/>
                        </a:effectRef>
                        <a:fontRef idx="minor">
                          <a:schemeClr val="dk1"/>
                        </a:fontRef>
                      </wps:style>
                      <wps:txbx>
                        <w:txbxContent>
                          <w:p w14:paraId="1DE472CE">
                            <w:pPr>
                              <w:jc w:val="center"/>
                            </w:pPr>
                            <w:r>
                              <w:rPr>
                                <w:rFonts w:hint="eastAsia"/>
                              </w:rPr>
                              <w:t>本项目所在位置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70.5pt;margin-top:372.7pt;height:32.15pt;width:90.6pt;z-index:251662336;v-text-anchor:middle;mso-width-relative:page;mso-height-relative:page;" fillcolor="#FFFFFF [3201]" filled="t" stroked="t" coordsize="21600,21600" o:gfxdata="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NcrPWzaAAAACwEAAA8AAAAAAAAAAQAgAAAAIgAAAGRycy9kb3ducmV2Lnht&#10;bFBLAQIUABQAAAAIAIdO4kAFXFt4ogIAAE8FAAAOAAAAAAAAAAEAIAAAACkBAABkcnMvZTJvRG9j&#10;LnhtbFBLBQYAAAAABgAGAFkBAAA9BgAAAAA=&#10;" adj="33961,-6215">
                <v:fill on="t" focussize="0,0"/>
                <v:stroke weight="2pt" color="#000000 [3200]" joinstyle="round"/>
                <v:imagedata o:title=""/>
                <o:lock v:ext="edit" aspectratio="f"/>
                <v:textbox>
                  <w:txbxContent>
                    <w:p w14:paraId="1DE472CE">
                      <w:pPr>
                        <w:jc w:val="center"/>
                      </w:pPr>
                      <w:r>
                        <w:rPr>
                          <w:rFonts w:hint="eastAsia"/>
                        </w:rPr>
                        <w:t>本项目所在位置</w:t>
                      </w:r>
                    </w:p>
                  </w:txbxContent>
                </v:textbox>
              </v:shape>
            </w:pict>
          </mc:Fallback>
        </mc:AlternateContent>
      </w:r>
      <w:r>
        <w:rPr>
          <w:color w:val="auto"/>
        </w:rPr>
        <mc:AlternateContent>
          <mc:Choice Requires="wps">
            <w:drawing>
              <wp:anchor distT="0" distB="0" distL="114300" distR="114300" simplePos="0" relativeHeight="251661312" behindDoc="0" locked="0" layoutInCell="1" allowOverlap="1">
                <wp:simplePos x="0" y="0"/>
                <wp:positionH relativeFrom="column">
                  <wp:posOffset>2748280</wp:posOffset>
                </wp:positionH>
                <wp:positionV relativeFrom="paragraph">
                  <wp:posOffset>4535805</wp:posOffset>
                </wp:positionV>
                <wp:extent cx="76200" cy="76200"/>
                <wp:effectExtent l="12700" t="12700" r="25400" b="25400"/>
                <wp:wrapNone/>
                <wp:docPr id="9" name="椭圆 9"/>
                <wp:cNvGraphicFramePr/>
                <a:graphic xmlns:a="http://schemas.openxmlformats.org/drawingml/2006/main">
                  <a:graphicData uri="http://schemas.microsoft.com/office/word/2010/wordprocessingShape">
                    <wps:wsp>
                      <wps:cNvSpPr/>
                      <wps:spPr>
                        <a:xfrm>
                          <a:off x="0" y="0"/>
                          <a:ext cx="76200" cy="76200"/>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216.4pt;margin-top:357.15pt;height:6pt;width:6pt;z-index:251661312;v-text-anchor:middle;mso-width-relative:page;mso-height-relative:page;" fillcolor="#FF0000" filled="t" stroked="t" coordsize="21600,21600" o:gfxdata="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KnfC&#10;NNYAAAALAQAADwAAAAAAAAABACAAAAAiAAAAZHJzL2Rvd25yZXYueG1sUEsBAhQAFAAAAAgAh07i&#10;QLZdyetdAgAA3QQAAA4AAAAAAAAAAQAgAAAAJQEAAGRycy9lMm9Eb2MueG1sUEsFBgAAAAAGAAYA&#10;WQEAAPQFAAAAAA==&#10;">
                <v:fill on="t" focussize="0,0"/>
                <v:stroke weight="2pt" color="#FF0000 [3204]" joinstyle="round"/>
                <v:imagedata o:title=""/>
                <o:lock v:ext="edit" aspectratio="f"/>
              </v:shape>
            </w:pict>
          </mc:Fallback>
        </mc:AlternateContent>
      </w:r>
      <w:r>
        <w:rPr>
          <w:color w:val="auto"/>
        </w:rPr>
        <w:drawing>
          <wp:inline distT="0" distB="0" distL="114300" distR="114300">
            <wp:extent cx="7708900" cy="5450840"/>
            <wp:effectExtent l="0" t="0" r="6350" b="16510"/>
            <wp:docPr id="8"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1"/>
                    <pic:cNvPicPr>
                      <a:picLocks noChangeAspect="1"/>
                    </pic:cNvPicPr>
                  </pic:nvPicPr>
                  <pic:blipFill>
                    <a:blip r:embed="rId36"/>
                    <a:stretch>
                      <a:fillRect/>
                    </a:stretch>
                  </pic:blipFill>
                  <pic:spPr>
                    <a:xfrm>
                      <a:off x="0" y="0"/>
                      <a:ext cx="7708900" cy="5450840"/>
                    </a:xfrm>
                    <a:prstGeom prst="rect">
                      <a:avLst/>
                    </a:prstGeom>
                    <a:noFill/>
                    <a:ln>
                      <a:noFill/>
                    </a:ln>
                  </pic:spPr>
                </pic:pic>
              </a:graphicData>
            </a:graphic>
          </wp:inline>
        </w:drawing>
      </w:r>
    </w:p>
    <w:p w14:paraId="6D5368D4">
      <w:pPr>
        <w:rPr>
          <w:color w:val="auto"/>
        </w:rPr>
      </w:pPr>
      <w:r>
        <w:rPr>
          <w:color w:val="auto"/>
        </w:rPr>
        <w:br w:type="page"/>
      </w:r>
    </w:p>
    <w:p w14:paraId="595BC622">
      <w:pPr>
        <w:pStyle w:val="27"/>
        <w:spacing w:after="120" w:line="240" w:lineRule="auto"/>
        <w:jc w:val="left"/>
        <w:outlineLvl w:val="0"/>
        <w:rPr>
          <w:rFonts w:eastAsiaTheme="minorEastAsia"/>
          <w:snapToGrid w:val="0"/>
          <w:color w:val="auto"/>
          <w:sz w:val="28"/>
          <w:szCs w:val="32"/>
        </w:rPr>
      </w:pPr>
      <w:r>
        <w:rPr>
          <w:rFonts w:eastAsiaTheme="minorEastAsia"/>
          <w:snapToGrid w:val="0"/>
          <w:color w:val="auto"/>
          <w:sz w:val="28"/>
          <w:szCs w:val="32"/>
        </w:rPr>
        <w:t>附图</w:t>
      </w:r>
      <w:r>
        <w:rPr>
          <w:rFonts w:hint="eastAsia" w:eastAsiaTheme="minorEastAsia"/>
          <w:snapToGrid w:val="0"/>
          <w:color w:val="auto"/>
          <w:sz w:val="28"/>
          <w:szCs w:val="32"/>
          <w:lang w:val="en-US" w:eastAsia="zh-CN"/>
        </w:rPr>
        <w:t>三</w:t>
      </w:r>
      <w:r>
        <w:rPr>
          <w:rFonts w:eastAsiaTheme="minorEastAsia"/>
          <w:snapToGrid w:val="0"/>
          <w:color w:val="auto"/>
          <w:sz w:val="28"/>
          <w:szCs w:val="32"/>
        </w:rPr>
        <w:t>：总平面布置图</w:t>
      </w:r>
    </w:p>
    <w:p w14:paraId="7C36C5BE">
      <w:pPr>
        <w:pStyle w:val="27"/>
        <w:spacing w:after="120" w:line="240" w:lineRule="auto"/>
        <w:jc w:val="center"/>
        <w:outlineLvl w:val="9"/>
        <w:rPr>
          <w:rFonts w:eastAsiaTheme="minorEastAsia"/>
          <w:color w:val="auto"/>
        </w:rPr>
      </w:pPr>
      <w:r>
        <w:rPr>
          <w:color w:val="auto"/>
          <w:sz w:val="21"/>
        </w:rPr>
        <mc:AlternateContent>
          <mc:Choice Requires="wps">
            <w:drawing>
              <wp:anchor distT="0" distB="0" distL="114300" distR="114300" simplePos="0" relativeHeight="251673600" behindDoc="0" locked="0" layoutInCell="1" allowOverlap="1">
                <wp:simplePos x="0" y="0"/>
                <wp:positionH relativeFrom="column">
                  <wp:posOffset>1132205</wp:posOffset>
                </wp:positionH>
                <wp:positionV relativeFrom="paragraph">
                  <wp:posOffset>2936875</wp:posOffset>
                </wp:positionV>
                <wp:extent cx="832485" cy="356235"/>
                <wp:effectExtent l="0" t="0" r="0" b="0"/>
                <wp:wrapNone/>
                <wp:docPr id="33" name="矩形 33"/>
                <wp:cNvGraphicFramePr/>
                <a:graphic xmlns:a="http://schemas.openxmlformats.org/drawingml/2006/main">
                  <a:graphicData uri="http://schemas.microsoft.com/office/word/2010/wordprocessingShape">
                    <wps:wsp>
                      <wps:cNvSpPr/>
                      <wps:spPr>
                        <a:xfrm>
                          <a:off x="3503930" y="3769995"/>
                          <a:ext cx="832485" cy="356235"/>
                        </a:xfrm>
                        <a:prstGeom prst="rect">
                          <a:avLst/>
                        </a:prstGeom>
                        <a:noFill/>
                        <a:ln>
                          <a:noFill/>
                        </a:ln>
                      </wps:spPr>
                      <wps:style>
                        <a:lnRef idx="2">
                          <a:schemeClr val="accent1">
                            <a:lumMod val="75000"/>
                          </a:schemeClr>
                        </a:lnRef>
                        <a:fillRef idx="1">
                          <a:schemeClr val="accent1"/>
                        </a:fillRef>
                        <a:effectRef idx="0">
                          <a:srgbClr val="FFFFFF"/>
                        </a:effectRef>
                        <a:fontRef idx="minor">
                          <a:schemeClr val="lt1"/>
                        </a:fontRef>
                      </wps:style>
                      <wps:txbx>
                        <w:txbxContent>
                          <w:p w14:paraId="4394EF4B">
                            <w:pPr>
                              <w:jc w:val="both"/>
                              <w:rPr>
                                <w:rFonts w:hint="default" w:eastAsia="宋体"/>
                                <w:color w:val="000000" w:themeColor="text1"/>
                                <w:sz w:val="13"/>
                                <w:szCs w:val="16"/>
                                <w:lang w:val="en-US" w:eastAsia="zh-CN"/>
                                <w14:textFill>
                                  <w14:solidFill>
                                    <w14:schemeClr w14:val="tx1"/>
                                  </w14:solidFill>
                                </w14:textFill>
                              </w:rPr>
                            </w:pPr>
                            <w:r>
                              <w:rPr>
                                <w:rFonts w:hint="eastAsia"/>
                                <w:color w:val="000000" w:themeColor="text1"/>
                                <w:sz w:val="13"/>
                                <w:szCs w:val="16"/>
                                <w:lang w:val="en-US" w:eastAsia="zh-CN"/>
                                <w14:textFill>
                                  <w14:solidFill>
                                    <w14:schemeClr w14:val="tx1"/>
                                  </w14:solidFill>
                                </w14:textFill>
                              </w:rPr>
                              <w:t>一般固废暂存间</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89.15pt;margin-top:231.25pt;height:28.05pt;width:65.55pt;z-index:251673600;v-text-anchor:middle;mso-width-relative:page;mso-height-relative:page;" filled="f" stroked="f" coordsize="21600,21600" o:gfxdata="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ncEv59oAAAALAQAADwAAAAAAAAABACAAAAAiAAAAZHJzL2Rvd25yZXYueG1sUEsBAhQAFAAA&#10;AAgAh07iQDeejO9fAgAAowQAAA4AAAAAAAAAAQAgAAAAKQEAAGRycy9lMm9Eb2MueG1sUEsFBgAA&#10;AAAGAAYAWQEAAPoFAAAAAA==&#10;">
                <v:fill on="f" focussize="0,0"/>
                <v:stroke on="f" weight="2pt"/>
                <v:imagedata o:title=""/>
                <o:lock v:ext="edit" aspectratio="f"/>
                <v:textbox>
                  <w:txbxContent>
                    <w:p w14:paraId="4394EF4B">
                      <w:pPr>
                        <w:jc w:val="both"/>
                        <w:rPr>
                          <w:rFonts w:hint="default" w:eastAsia="宋体"/>
                          <w:color w:val="000000" w:themeColor="text1"/>
                          <w:sz w:val="13"/>
                          <w:szCs w:val="16"/>
                          <w:lang w:val="en-US" w:eastAsia="zh-CN"/>
                          <w14:textFill>
                            <w14:solidFill>
                              <w14:schemeClr w14:val="tx1"/>
                            </w14:solidFill>
                          </w14:textFill>
                        </w:rPr>
                      </w:pPr>
                      <w:r>
                        <w:rPr>
                          <w:rFonts w:hint="eastAsia"/>
                          <w:color w:val="000000" w:themeColor="text1"/>
                          <w:sz w:val="13"/>
                          <w:szCs w:val="16"/>
                          <w:lang w:val="en-US" w:eastAsia="zh-CN"/>
                          <w14:textFill>
                            <w14:solidFill>
                              <w14:schemeClr w14:val="tx1"/>
                            </w14:solidFill>
                          </w14:textFill>
                        </w:rPr>
                        <w:t>一般固废暂存间</w:t>
                      </w:r>
                    </w:p>
                  </w:txbxContent>
                </v:textbox>
              </v:rect>
            </w:pict>
          </mc:Fallback>
        </mc:AlternateContent>
      </w:r>
      <w:r>
        <w:rPr>
          <w:color w:val="auto"/>
          <w:sz w:val="21"/>
        </w:rPr>
        <mc:AlternateContent>
          <mc:Choice Requires="wps">
            <w:drawing>
              <wp:anchor distT="0" distB="0" distL="114300" distR="114300" simplePos="0" relativeHeight="251672576" behindDoc="0" locked="0" layoutInCell="1" allowOverlap="1">
                <wp:simplePos x="0" y="0"/>
                <wp:positionH relativeFrom="column">
                  <wp:posOffset>1406525</wp:posOffset>
                </wp:positionH>
                <wp:positionV relativeFrom="paragraph">
                  <wp:posOffset>3019425</wp:posOffset>
                </wp:positionV>
                <wp:extent cx="190500" cy="190500"/>
                <wp:effectExtent l="6350" t="6350" r="12700" b="12700"/>
                <wp:wrapNone/>
                <wp:docPr id="15" name="矩形 15"/>
                <wp:cNvGraphicFramePr/>
                <a:graphic xmlns:a="http://schemas.openxmlformats.org/drawingml/2006/main">
                  <a:graphicData uri="http://schemas.microsoft.com/office/word/2010/wordprocessingShape">
                    <wps:wsp>
                      <wps:cNvSpPr/>
                      <wps:spPr>
                        <a:xfrm>
                          <a:off x="2551430" y="4240530"/>
                          <a:ext cx="190500" cy="190500"/>
                        </a:xfrm>
                        <a:prstGeom prst="rect">
                          <a:avLst/>
                        </a:prstGeom>
                        <a:noFill/>
                        <a:ln w="12700">
                          <a:solidFill>
                            <a:schemeClr val="tx1"/>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10.75pt;margin-top:237.75pt;height:15pt;width:15pt;z-index:251672576;v-text-anchor:middle;mso-width-relative:page;mso-height-relative:page;" filled="f" stroked="t" coordsize="21600,21600" o:gfxdata="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zS1NcAAAALAQAADwAAAAAAAAABACAAAAAiAAAAZHJzL2Rvd25yZXYueG1sUEsBAhQAFAAA&#10;AAgAh07iQEYvqoJiAgAAwQQAAA4AAAAAAAAAAQAgAAAAJgEAAGRycy9lMm9Eb2MueG1sUEsFBgAA&#10;AAAGAAYAWQEAAPoFAAAAAA==&#10;">
                <v:fill on="f" focussize="0,0"/>
                <v:stroke weight="1pt" color="#000000 [3213]" joinstyle="round"/>
                <v:imagedata o:title=""/>
                <o:lock v:ext="edit" aspectratio="f"/>
              </v:rect>
            </w:pict>
          </mc:Fallback>
        </mc:AlternateContent>
      </w:r>
      <w:r>
        <w:rPr>
          <w:color w:val="auto"/>
        </w:rPr>
        <w:drawing>
          <wp:inline distT="0" distB="0" distL="114300" distR="114300">
            <wp:extent cx="8397875" cy="3718560"/>
            <wp:effectExtent l="0" t="0" r="3175" b="15240"/>
            <wp:docPr id="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
                    <pic:cNvPicPr>
                      <a:picLocks noChangeAspect="1"/>
                    </pic:cNvPicPr>
                  </pic:nvPicPr>
                  <pic:blipFill>
                    <a:blip r:embed="rId37"/>
                    <a:stretch>
                      <a:fillRect/>
                    </a:stretch>
                  </pic:blipFill>
                  <pic:spPr>
                    <a:xfrm>
                      <a:off x="0" y="0"/>
                      <a:ext cx="8397875" cy="3718560"/>
                    </a:xfrm>
                    <a:prstGeom prst="rect">
                      <a:avLst/>
                    </a:prstGeom>
                    <a:noFill/>
                    <a:ln>
                      <a:noFill/>
                    </a:ln>
                  </pic:spPr>
                </pic:pic>
              </a:graphicData>
            </a:graphic>
          </wp:inline>
        </w:drawing>
      </w:r>
    </w:p>
    <w:p w14:paraId="61678C27">
      <w:pPr>
        <w:rPr>
          <w:rFonts w:eastAsiaTheme="minorEastAsia"/>
          <w:snapToGrid w:val="0"/>
          <w:color w:val="auto"/>
          <w:sz w:val="28"/>
          <w:szCs w:val="32"/>
        </w:rPr>
      </w:pPr>
      <w:r>
        <w:rPr>
          <w:rFonts w:eastAsiaTheme="minorEastAsia"/>
          <w:snapToGrid w:val="0"/>
          <w:color w:val="auto"/>
          <w:sz w:val="28"/>
          <w:szCs w:val="32"/>
        </w:rPr>
        <w:br w:type="page"/>
      </w:r>
    </w:p>
    <w:p w14:paraId="790B94F0">
      <w:pPr>
        <w:pStyle w:val="27"/>
        <w:spacing w:after="120" w:line="240" w:lineRule="auto"/>
        <w:jc w:val="left"/>
        <w:outlineLvl w:val="0"/>
        <w:rPr>
          <w:rFonts w:eastAsiaTheme="minorEastAsia"/>
          <w:snapToGrid w:val="0"/>
          <w:color w:val="auto"/>
          <w:sz w:val="28"/>
          <w:szCs w:val="32"/>
        </w:rPr>
        <w:sectPr>
          <w:pgSz w:w="16838" w:h="11906" w:orient="landscape"/>
          <w:pgMar w:top="1440" w:right="1803" w:bottom="1440" w:left="1803" w:header="851" w:footer="850" w:gutter="0"/>
          <w:pgBorders>
            <w:top w:val="none" w:sz="0" w:space="0"/>
            <w:left w:val="none" w:sz="0" w:space="0"/>
            <w:bottom w:val="none" w:sz="0" w:space="0"/>
            <w:right w:val="none" w:sz="0" w:space="0"/>
          </w:pgBorders>
          <w:cols w:space="0" w:num="1"/>
          <w:docGrid w:linePitch="312" w:charSpace="0"/>
        </w:sectPr>
      </w:pPr>
    </w:p>
    <w:p w14:paraId="0CE50A14">
      <w:pPr>
        <w:pStyle w:val="27"/>
        <w:spacing w:after="120" w:line="240" w:lineRule="auto"/>
        <w:jc w:val="left"/>
        <w:outlineLvl w:val="0"/>
        <w:rPr>
          <w:rFonts w:eastAsiaTheme="minorEastAsia"/>
          <w:snapToGrid w:val="0"/>
          <w:color w:val="auto"/>
          <w:sz w:val="28"/>
          <w:szCs w:val="32"/>
        </w:rPr>
      </w:pPr>
      <w:r>
        <w:rPr>
          <w:rFonts w:eastAsiaTheme="minorEastAsia"/>
          <w:snapToGrid w:val="0"/>
          <w:color w:val="auto"/>
          <w:sz w:val="28"/>
          <w:szCs w:val="32"/>
        </w:rPr>
        <w:t>附图</w:t>
      </w:r>
      <w:r>
        <w:rPr>
          <w:rFonts w:hint="eastAsia" w:eastAsiaTheme="minorEastAsia"/>
          <w:snapToGrid w:val="0"/>
          <w:color w:val="auto"/>
          <w:sz w:val="28"/>
          <w:szCs w:val="32"/>
          <w:lang w:val="en-US" w:eastAsia="zh-CN"/>
        </w:rPr>
        <w:t>四</w:t>
      </w:r>
      <w:r>
        <w:rPr>
          <w:rFonts w:eastAsiaTheme="minorEastAsia"/>
          <w:snapToGrid w:val="0"/>
          <w:color w:val="auto"/>
          <w:sz w:val="28"/>
          <w:szCs w:val="32"/>
        </w:rPr>
        <w:t>：四邻图</w:t>
      </w:r>
    </w:p>
    <w:p w14:paraId="059FDFFD">
      <w:pPr>
        <w:pStyle w:val="69"/>
        <w:rPr>
          <w:snapToGrid w:val="0"/>
          <w:color w:val="auto"/>
        </w:rPr>
      </w:pPr>
      <w:r>
        <w:rPr>
          <w:color w:val="auto"/>
          <w:sz w:val="21"/>
        </w:rPr>
        <mc:AlternateContent>
          <mc:Choice Requires="wps">
            <w:drawing>
              <wp:anchor distT="0" distB="0" distL="114300" distR="114300" simplePos="0" relativeHeight="251668480" behindDoc="0" locked="0" layoutInCell="1" allowOverlap="1">
                <wp:simplePos x="0" y="0"/>
                <wp:positionH relativeFrom="column">
                  <wp:posOffset>4454525</wp:posOffset>
                </wp:positionH>
                <wp:positionV relativeFrom="paragraph">
                  <wp:posOffset>2191385</wp:posOffset>
                </wp:positionV>
                <wp:extent cx="1012190" cy="309245"/>
                <wp:effectExtent l="0" t="0" r="0" b="0"/>
                <wp:wrapNone/>
                <wp:docPr id="26" name="矩形 26"/>
                <wp:cNvGraphicFramePr/>
                <a:graphic xmlns:a="http://schemas.openxmlformats.org/drawingml/2006/main">
                  <a:graphicData uri="http://schemas.microsoft.com/office/word/2010/wordprocessingShape">
                    <wps:wsp>
                      <wps:cNvSpPr/>
                      <wps:spPr>
                        <a:xfrm rot="20940000">
                          <a:off x="0" y="0"/>
                          <a:ext cx="1012190" cy="309245"/>
                        </a:xfrm>
                        <a:prstGeom prst="rect">
                          <a:avLst/>
                        </a:prstGeom>
                        <a:noFill/>
                        <a:ln>
                          <a:noFill/>
                        </a:ln>
                      </wps:spPr>
                      <wps:style>
                        <a:lnRef idx="2">
                          <a:schemeClr val="accent1">
                            <a:lumMod val="75000"/>
                          </a:schemeClr>
                        </a:lnRef>
                        <a:fillRef idx="1">
                          <a:schemeClr val="accent1"/>
                        </a:fillRef>
                        <a:effectRef idx="0">
                          <a:srgbClr val="FFFFFF"/>
                        </a:effectRef>
                        <a:fontRef idx="minor">
                          <a:schemeClr val="lt1"/>
                        </a:fontRef>
                      </wps:style>
                      <wps:txbx>
                        <w:txbxContent>
                          <w:p w14:paraId="33022E21">
                            <w:pPr>
                              <w:keepNext w:val="0"/>
                              <w:keepLines w:val="0"/>
                              <w:widowControl/>
                              <w:suppressLineNumbers w:val="0"/>
                              <w:jc w:val="left"/>
                            </w:pPr>
                            <w:r>
                              <w:rPr>
                                <w:rFonts w:hint="eastAsia" w:ascii="宋体" w:hAnsi="宋体" w:eastAsia="宋体" w:cs="宋体"/>
                                <w:color w:val="FF0000"/>
                                <w:kern w:val="0"/>
                                <w:sz w:val="21"/>
                                <w:szCs w:val="21"/>
                                <w:lang w:val="en-US" w:eastAsia="zh-CN" w:bidi="ar"/>
                              </w:rPr>
                              <w:t>大理石厂</w:t>
                            </w:r>
                          </w:p>
                          <w:p w14:paraId="58DBBDD7">
                            <w:pPr>
                              <w:keepNext w:val="0"/>
                              <w:keepLines w:val="0"/>
                              <w:widowControl/>
                              <w:suppressLineNumbers w:val="0"/>
                              <w:jc w:val="left"/>
                              <w:rPr>
                                <w:color w:val="FFFF00"/>
                              </w:rPr>
                            </w:pPr>
                          </w:p>
                          <w:p w14:paraId="72B871F7">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50.75pt;margin-top:172.55pt;height:24.35pt;width:79.7pt;rotation:-720896f;z-index:251668480;v-text-anchor:middle;mso-width-relative:page;mso-height-relative:page;" filled="f" stroked="f" coordsize="21600,21600" o:gfxdata="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Dt&#10;rAe53AAAAAsBAAAPAAAAAAAAAAEAIAAAACIAAABkcnMvZG93bnJldi54bWxQSwECFAAUAAAACACH&#10;TuJAFvv0slkCAACnBAAADgAAAAAAAAABACAAAAArAQAAZHJzL2Uyb0RvYy54bWxQSwUGAAAAAAYA&#10;BgBZAQAA9gUAAAAA&#10;">
                <v:fill on="f" focussize="0,0"/>
                <v:stroke on="f" weight="2pt"/>
                <v:imagedata o:title=""/>
                <o:lock v:ext="edit" aspectratio="f"/>
                <v:textbox>
                  <w:txbxContent>
                    <w:p w14:paraId="33022E21">
                      <w:pPr>
                        <w:keepNext w:val="0"/>
                        <w:keepLines w:val="0"/>
                        <w:widowControl/>
                        <w:suppressLineNumbers w:val="0"/>
                        <w:jc w:val="left"/>
                      </w:pPr>
                      <w:r>
                        <w:rPr>
                          <w:rFonts w:hint="eastAsia" w:ascii="宋体" w:hAnsi="宋体" w:eastAsia="宋体" w:cs="宋体"/>
                          <w:color w:val="FF0000"/>
                          <w:kern w:val="0"/>
                          <w:sz w:val="21"/>
                          <w:szCs w:val="21"/>
                          <w:lang w:val="en-US" w:eastAsia="zh-CN" w:bidi="ar"/>
                        </w:rPr>
                        <w:t>大理石厂</w:t>
                      </w:r>
                    </w:p>
                    <w:p w14:paraId="58DBBDD7">
                      <w:pPr>
                        <w:keepNext w:val="0"/>
                        <w:keepLines w:val="0"/>
                        <w:widowControl/>
                        <w:suppressLineNumbers w:val="0"/>
                        <w:jc w:val="left"/>
                        <w:rPr>
                          <w:color w:val="FFFF00"/>
                        </w:rPr>
                      </w:pPr>
                    </w:p>
                    <w:p w14:paraId="72B871F7">
                      <w:pPr>
                        <w:jc w:val="center"/>
                      </w:pPr>
                    </w:p>
                  </w:txbxContent>
                </v:textbox>
              </v:rect>
            </w:pict>
          </mc:Fallback>
        </mc:AlternateContent>
      </w:r>
      <w:r>
        <w:rPr>
          <w:color w:val="auto"/>
          <w:sz w:val="21"/>
        </w:rPr>
        <mc:AlternateContent>
          <mc:Choice Requires="wps">
            <w:drawing>
              <wp:anchor distT="0" distB="0" distL="114300" distR="114300" simplePos="0" relativeHeight="251671552" behindDoc="0" locked="0" layoutInCell="1" allowOverlap="1">
                <wp:simplePos x="0" y="0"/>
                <wp:positionH relativeFrom="column">
                  <wp:posOffset>3244850</wp:posOffset>
                </wp:positionH>
                <wp:positionV relativeFrom="paragraph">
                  <wp:posOffset>2275840</wp:posOffset>
                </wp:positionV>
                <wp:extent cx="1116330" cy="641985"/>
                <wp:effectExtent l="0" t="0" r="0" b="0"/>
                <wp:wrapNone/>
                <wp:docPr id="7" name="矩形 7"/>
                <wp:cNvGraphicFramePr/>
                <a:graphic xmlns:a="http://schemas.openxmlformats.org/drawingml/2006/main">
                  <a:graphicData uri="http://schemas.microsoft.com/office/word/2010/wordprocessingShape">
                    <wps:wsp>
                      <wps:cNvSpPr/>
                      <wps:spPr>
                        <a:xfrm rot="20940000">
                          <a:off x="0" y="0"/>
                          <a:ext cx="1116330" cy="641985"/>
                        </a:xfrm>
                        <a:prstGeom prst="rect">
                          <a:avLst/>
                        </a:prstGeom>
                        <a:noFill/>
                        <a:ln>
                          <a:noFill/>
                        </a:ln>
                      </wps:spPr>
                      <wps:style>
                        <a:lnRef idx="2">
                          <a:schemeClr val="accent1">
                            <a:lumMod val="75000"/>
                          </a:schemeClr>
                        </a:lnRef>
                        <a:fillRef idx="1">
                          <a:schemeClr val="accent1"/>
                        </a:fillRef>
                        <a:effectRef idx="0">
                          <a:srgbClr val="FFFFFF"/>
                        </a:effectRef>
                        <a:fontRef idx="minor">
                          <a:schemeClr val="lt1"/>
                        </a:fontRef>
                      </wps:style>
                      <wps:txbx>
                        <w:txbxContent>
                          <w:p w14:paraId="27277516">
                            <w:pPr>
                              <w:keepNext w:val="0"/>
                              <w:keepLines w:val="0"/>
                              <w:widowControl/>
                              <w:suppressLineNumbers w:val="0"/>
                              <w:jc w:val="left"/>
                              <w:rPr>
                                <w:color w:val="FF0000"/>
                              </w:rPr>
                            </w:pPr>
                            <w:r>
                              <w:rPr>
                                <w:rFonts w:hint="eastAsia" w:ascii="宋体" w:hAnsi="宋体" w:eastAsia="宋体" w:cs="宋体"/>
                                <w:color w:val="FF0000"/>
                                <w:kern w:val="0"/>
                                <w:sz w:val="21"/>
                                <w:szCs w:val="21"/>
                                <w:lang w:val="en-US" w:eastAsia="zh-CN" w:bidi="ar"/>
                              </w:rPr>
                              <w:t>镶黄旗奶食加工园区</w:t>
                            </w:r>
                          </w:p>
                          <w:p w14:paraId="4E40D405">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55.5pt;margin-top:179.2pt;height:50.55pt;width:87.9pt;rotation:-720896f;z-index:251671552;v-text-anchor:middle;mso-width-relative:page;mso-height-relative:page;" filled="f" stroked="f" coordsize="21600,21600" o:gfxdata="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qRX5mdwAAAALAQAADwAAAAAAAAABACAAAAAiAAAAZHJzL2Rvd25yZXYueG1sUEsBAhQAFAAAAAgA&#10;h07iQG/zkMhaAgAApQQAAA4AAAAAAAAAAQAgAAAAKwEAAGRycy9lMm9Eb2MueG1sUEsFBgAAAAAG&#10;AAYAWQEAAPcFAAAAAA==&#10;">
                <v:fill on="f" focussize="0,0"/>
                <v:stroke on="f" weight="2pt"/>
                <v:imagedata o:title=""/>
                <o:lock v:ext="edit" aspectratio="f"/>
                <v:textbox>
                  <w:txbxContent>
                    <w:p w14:paraId="27277516">
                      <w:pPr>
                        <w:keepNext w:val="0"/>
                        <w:keepLines w:val="0"/>
                        <w:widowControl/>
                        <w:suppressLineNumbers w:val="0"/>
                        <w:jc w:val="left"/>
                        <w:rPr>
                          <w:color w:val="FF0000"/>
                        </w:rPr>
                      </w:pPr>
                      <w:r>
                        <w:rPr>
                          <w:rFonts w:hint="eastAsia" w:ascii="宋体" w:hAnsi="宋体" w:eastAsia="宋体" w:cs="宋体"/>
                          <w:color w:val="FF0000"/>
                          <w:kern w:val="0"/>
                          <w:sz w:val="21"/>
                          <w:szCs w:val="21"/>
                          <w:lang w:val="en-US" w:eastAsia="zh-CN" w:bidi="ar"/>
                        </w:rPr>
                        <w:t>镶黄旗奶食加工园区</w:t>
                      </w:r>
                    </w:p>
                    <w:p w14:paraId="4E40D405">
                      <w:pPr>
                        <w:jc w:val="center"/>
                      </w:pPr>
                    </w:p>
                  </w:txbxContent>
                </v:textbox>
              </v:rect>
            </w:pict>
          </mc:Fallback>
        </mc:AlternateContent>
      </w:r>
      <w:r>
        <w:rPr>
          <w:color w:val="auto"/>
          <w:sz w:val="21"/>
        </w:rPr>
        <mc:AlternateContent>
          <mc:Choice Requires="wps">
            <w:drawing>
              <wp:anchor distT="0" distB="0" distL="114300" distR="114300" simplePos="0" relativeHeight="251667456" behindDoc="0" locked="0" layoutInCell="1" allowOverlap="1">
                <wp:simplePos x="0" y="0"/>
                <wp:positionH relativeFrom="column">
                  <wp:posOffset>4096385</wp:posOffset>
                </wp:positionH>
                <wp:positionV relativeFrom="paragraph">
                  <wp:posOffset>2990850</wp:posOffset>
                </wp:positionV>
                <wp:extent cx="964565" cy="299085"/>
                <wp:effectExtent l="0" t="0" r="0" b="0"/>
                <wp:wrapNone/>
                <wp:docPr id="25" name="矩形 25"/>
                <wp:cNvGraphicFramePr/>
                <a:graphic xmlns:a="http://schemas.openxmlformats.org/drawingml/2006/main">
                  <a:graphicData uri="http://schemas.microsoft.com/office/word/2010/wordprocessingShape">
                    <wps:wsp>
                      <wps:cNvSpPr/>
                      <wps:spPr>
                        <a:xfrm rot="20940000">
                          <a:off x="0" y="0"/>
                          <a:ext cx="964565" cy="299085"/>
                        </a:xfrm>
                        <a:prstGeom prst="rect">
                          <a:avLst/>
                        </a:prstGeom>
                        <a:noFill/>
                        <a:ln>
                          <a:noFill/>
                        </a:ln>
                      </wps:spPr>
                      <wps:style>
                        <a:lnRef idx="2">
                          <a:schemeClr val="accent1">
                            <a:lumMod val="75000"/>
                          </a:schemeClr>
                        </a:lnRef>
                        <a:fillRef idx="1">
                          <a:schemeClr val="accent1"/>
                        </a:fillRef>
                        <a:effectRef idx="0">
                          <a:srgbClr val="FFFFFF"/>
                        </a:effectRef>
                        <a:fontRef idx="minor">
                          <a:schemeClr val="lt1"/>
                        </a:fontRef>
                      </wps:style>
                      <wps:txbx>
                        <w:txbxContent>
                          <w:p w14:paraId="31EA3E99">
                            <w:pPr>
                              <w:keepNext w:val="0"/>
                              <w:keepLines w:val="0"/>
                              <w:widowControl/>
                              <w:suppressLineNumbers w:val="0"/>
                              <w:jc w:val="left"/>
                              <w:rPr>
                                <w:color w:val="FFFF00"/>
                              </w:rPr>
                            </w:pPr>
                            <w:r>
                              <w:rPr>
                                <w:rFonts w:hint="eastAsia" w:ascii="宋体" w:hAnsi="宋体" w:eastAsia="宋体" w:cs="宋体"/>
                                <w:color w:val="FF0000"/>
                                <w:kern w:val="0"/>
                                <w:sz w:val="21"/>
                                <w:szCs w:val="21"/>
                                <w:lang w:val="en-US" w:eastAsia="zh-CN" w:bidi="ar"/>
                              </w:rPr>
                              <w:t>石材展览馆</w:t>
                            </w:r>
                          </w:p>
                          <w:p w14:paraId="51817127">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22.55pt;margin-top:235.5pt;height:23.55pt;width:75.95pt;rotation:-720896f;z-index:251667456;v-text-anchor:middle;mso-width-relative:page;mso-height-relative:page;" filled="f" stroked="f" coordsize="21600,21600" o:gfxdata="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DNU&#10;Lv/bAAAACwEAAA8AAAAAAAAAAQAgAAAAIgAAAGRycy9kb3ducmV2LnhtbFBLAQIUABQAAAAIAIdO&#10;4kAXtgaQWQIAAKYEAAAOAAAAAAAAAAEAIAAAACoBAABkcnMvZTJvRG9jLnhtbFBLBQYAAAAABgAG&#10;AFkBAAD1BQAAAAA=&#10;">
                <v:fill on="f" focussize="0,0"/>
                <v:stroke on="f" weight="2pt"/>
                <v:imagedata o:title=""/>
                <o:lock v:ext="edit" aspectratio="f"/>
                <v:textbox>
                  <w:txbxContent>
                    <w:p w14:paraId="31EA3E99">
                      <w:pPr>
                        <w:keepNext w:val="0"/>
                        <w:keepLines w:val="0"/>
                        <w:widowControl/>
                        <w:suppressLineNumbers w:val="0"/>
                        <w:jc w:val="left"/>
                        <w:rPr>
                          <w:color w:val="FFFF00"/>
                        </w:rPr>
                      </w:pPr>
                      <w:r>
                        <w:rPr>
                          <w:rFonts w:hint="eastAsia" w:ascii="宋体" w:hAnsi="宋体" w:eastAsia="宋体" w:cs="宋体"/>
                          <w:color w:val="FF0000"/>
                          <w:kern w:val="0"/>
                          <w:sz w:val="21"/>
                          <w:szCs w:val="21"/>
                          <w:lang w:val="en-US" w:eastAsia="zh-CN" w:bidi="ar"/>
                        </w:rPr>
                        <w:t>石材展览馆</w:t>
                      </w:r>
                    </w:p>
                    <w:p w14:paraId="51817127">
                      <w:pPr>
                        <w:jc w:val="center"/>
                      </w:pPr>
                    </w:p>
                  </w:txbxContent>
                </v:textbox>
              </v:rect>
            </w:pict>
          </mc:Fallback>
        </mc:AlternateContent>
      </w:r>
      <w:r>
        <w:rPr>
          <w:color w:val="auto"/>
          <w:sz w:val="21"/>
        </w:rPr>
        <mc:AlternateContent>
          <mc:Choice Requires="wps">
            <w:drawing>
              <wp:anchor distT="0" distB="0" distL="114300" distR="114300" simplePos="0" relativeHeight="251670528" behindDoc="0" locked="0" layoutInCell="1" allowOverlap="1">
                <wp:simplePos x="0" y="0"/>
                <wp:positionH relativeFrom="column">
                  <wp:posOffset>7101840</wp:posOffset>
                </wp:positionH>
                <wp:positionV relativeFrom="paragraph">
                  <wp:posOffset>4709795</wp:posOffset>
                </wp:positionV>
                <wp:extent cx="127000" cy="127000"/>
                <wp:effectExtent l="12700" t="12700" r="12700" b="12700"/>
                <wp:wrapNone/>
                <wp:docPr id="28" name="矩形 28"/>
                <wp:cNvGraphicFramePr/>
                <a:graphic xmlns:a="http://schemas.openxmlformats.org/drawingml/2006/main">
                  <a:graphicData uri="http://schemas.microsoft.com/office/word/2010/wordprocessingShape">
                    <wps:wsp>
                      <wps:cNvSpPr/>
                      <wps:spPr>
                        <a:xfrm>
                          <a:off x="0" y="0"/>
                          <a:ext cx="127000" cy="127000"/>
                        </a:xfrm>
                        <a:prstGeom prst="rect">
                          <a:avLst/>
                        </a:prstGeom>
                        <a:noFill/>
                        <a:ln>
                          <a:solidFill>
                            <a:srgbClr val="00B050"/>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559.2pt;margin-top:370.85pt;height:10pt;width:10pt;z-index:251670528;v-text-anchor:middle;mso-width-relative:page;mso-height-relative:page;" filled="f" stroked="t" coordsize="21600,21600" o:gfxdata="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selH&#10;CNkAAAANAQAADwAAAAAAAAABACAAAAAiAAAAZHJzL2Rvd25yZXYueG1sUEsBAhQAFAAAAAgAh07i&#10;QDhFx8taAgAAtQQAAA4AAAAAAAAAAQAgAAAAKAEAAGRycy9lMm9Eb2MueG1sUEsFBgAAAAAGAAYA&#10;WQEAAPQFAAAAAA==&#10;">
                <v:fill on="f" focussize="0,0"/>
                <v:stroke weight="2pt" color="#00B050 [2404]" joinstyle="round"/>
                <v:imagedata o:title=""/>
                <o:lock v:ext="edit" aspectratio="f"/>
              </v:rect>
            </w:pict>
          </mc:Fallback>
        </mc:AlternateContent>
      </w:r>
      <w:r>
        <w:rPr>
          <w:color w:val="auto"/>
          <w:sz w:val="21"/>
        </w:rPr>
        <mc:AlternateContent>
          <mc:Choice Requires="wps">
            <w:drawing>
              <wp:anchor distT="0" distB="0" distL="114300" distR="114300" simplePos="0" relativeHeight="251669504" behindDoc="0" locked="0" layoutInCell="1" allowOverlap="1">
                <wp:simplePos x="0" y="0"/>
                <wp:positionH relativeFrom="column">
                  <wp:posOffset>7084060</wp:posOffset>
                </wp:positionH>
                <wp:positionV relativeFrom="paragraph">
                  <wp:posOffset>4335145</wp:posOffset>
                </wp:positionV>
                <wp:extent cx="127000" cy="127000"/>
                <wp:effectExtent l="12700" t="12700" r="12700" b="12700"/>
                <wp:wrapNone/>
                <wp:docPr id="27" name="矩形 27"/>
                <wp:cNvGraphicFramePr/>
                <a:graphic xmlns:a="http://schemas.openxmlformats.org/drawingml/2006/main">
                  <a:graphicData uri="http://schemas.microsoft.com/office/word/2010/wordprocessingShape">
                    <wps:wsp>
                      <wps:cNvSpPr/>
                      <wps:spPr>
                        <a:xfrm>
                          <a:off x="7760335" y="5222875"/>
                          <a:ext cx="127000" cy="127000"/>
                        </a:xfrm>
                        <a:prstGeom prst="rect">
                          <a:avLst/>
                        </a:prstGeom>
                        <a:noFill/>
                        <a:ln>
                          <a:solidFill>
                            <a:srgbClr val="FF0000"/>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557.8pt;margin-top:341.35pt;height:10pt;width:10pt;z-index:251669504;v-text-anchor:middle;mso-width-relative:page;mso-height-relative:page;" filled="f" stroked="t" coordsize="21600,21600" o:gfxdata="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">
                <v:fill on="f" focussize="0,0"/>
                <v:stroke weight="2pt" color="#FF0000 [2404]" joinstyle="round"/>
                <v:imagedata o:title=""/>
                <o:lock v:ext="edit" aspectratio="f"/>
              </v:rect>
            </w:pict>
          </mc:Fallback>
        </mc:AlternateContent>
      </w:r>
      <w:r>
        <w:rPr>
          <w:color w:val="auto"/>
          <w:sz w:val="21"/>
        </w:rPr>
        <mc:AlternateContent>
          <mc:Choice Requires="wps">
            <w:drawing>
              <wp:anchor distT="0" distB="0" distL="114300" distR="114300" simplePos="0" relativeHeight="251663360" behindDoc="0" locked="0" layoutInCell="1" allowOverlap="1">
                <wp:simplePos x="0" y="0"/>
                <wp:positionH relativeFrom="column">
                  <wp:posOffset>6831330</wp:posOffset>
                </wp:positionH>
                <wp:positionV relativeFrom="paragraph">
                  <wp:posOffset>4039870</wp:posOffset>
                </wp:positionV>
                <wp:extent cx="1564005" cy="985520"/>
                <wp:effectExtent l="12700" t="12700" r="23495" b="30480"/>
                <wp:wrapNone/>
                <wp:docPr id="21" name="矩形 21"/>
                <wp:cNvGraphicFramePr/>
                <a:graphic xmlns:a="http://schemas.openxmlformats.org/drawingml/2006/main">
                  <a:graphicData uri="http://schemas.microsoft.com/office/word/2010/wordprocessingShape">
                    <wps:wsp>
                      <wps:cNvSpPr/>
                      <wps:spPr>
                        <a:xfrm>
                          <a:off x="7492365" y="4794250"/>
                          <a:ext cx="1564005" cy="985520"/>
                        </a:xfrm>
                        <a:prstGeom prst="rect">
                          <a:avLst/>
                        </a:prstGeom>
                        <a:solidFill>
                          <a:schemeClr val="bg1"/>
                        </a:solidFill>
                        <a:ln>
                          <a:solidFill>
                            <a:schemeClr val="tx1"/>
                          </a:solidFill>
                        </a:ln>
                      </wps:spPr>
                      <wps:style>
                        <a:lnRef idx="2">
                          <a:schemeClr val="accent1">
                            <a:lumMod val="75000"/>
                          </a:schemeClr>
                        </a:lnRef>
                        <a:fillRef idx="1">
                          <a:schemeClr val="accent1"/>
                        </a:fillRef>
                        <a:effectRef idx="0">
                          <a:srgbClr val="FFFFFF"/>
                        </a:effectRef>
                        <a:fontRef idx="minor">
                          <a:schemeClr val="lt1"/>
                        </a:fontRef>
                      </wps:style>
                      <wps:txbx>
                        <w:txbxContent>
                          <w:p w14:paraId="26899D98">
                            <w:pPr>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图例</w:t>
                            </w:r>
                          </w:p>
                          <w:p w14:paraId="33BB3641">
                            <w:pPr>
                              <w:pStyle w:val="2"/>
                              <w:ind w:left="0" w:leftChars="0" w:firstLine="0" w:firstLineChars="0"/>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   ”项目范围</w:t>
                            </w:r>
                          </w:p>
                          <w:p w14:paraId="01178BD1">
                            <w:pPr>
                              <w:pStyle w:val="30"/>
                              <w:ind w:left="0" w:leftChars="0" w:firstLine="0" w:firstLineChars="0"/>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   ”周边企业</w:t>
                            </w:r>
                          </w:p>
                          <w:p w14:paraId="16B553AB">
                            <w:pPr>
                              <w:rPr>
                                <w:rFonts w:hint="eastAsia"/>
                                <w:lang w:val="en-US" w:eastAsia="zh-CN"/>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537.9pt;margin-top:318.1pt;height:77.6pt;width:123.15pt;z-index:251663360;v-text-anchor:middle;mso-width-relative:page;mso-height-relative:page;" fillcolor="#FFFFFF [3212]" filled="t" stroked="t" coordsize="21600,21600" o:gfxdata="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CPyHUraAAAADQEAAA8AAAAAAAAAAQAgAAAAIgAA&#10;AGRycy9kb3ducmV2LnhtbFBLAQIUABQAAAAIAIdO4kBIk64eeAIAAPYEAAAOAAAAAAAAAAEAIAAA&#10;ACkBAABkcnMvZTJvRG9jLnhtbFBLBQYAAAAABgAGAFkBAAATBgAAAAA=&#10;">
                <v:fill on="t" focussize="0,0"/>
                <v:stroke weight="2pt" color="#000000 [3213]" joinstyle="round"/>
                <v:imagedata o:title=""/>
                <o:lock v:ext="edit" aspectratio="f"/>
                <v:textbox>
                  <w:txbxContent>
                    <w:p w14:paraId="26899D98">
                      <w:pPr>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图例</w:t>
                      </w:r>
                    </w:p>
                    <w:p w14:paraId="33BB3641">
                      <w:pPr>
                        <w:pStyle w:val="2"/>
                        <w:ind w:left="0" w:leftChars="0" w:firstLine="0" w:firstLineChars="0"/>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   ”项目范围</w:t>
                      </w:r>
                    </w:p>
                    <w:p w14:paraId="01178BD1">
                      <w:pPr>
                        <w:pStyle w:val="30"/>
                        <w:ind w:left="0" w:leftChars="0" w:firstLine="0" w:firstLineChars="0"/>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   ”周边企业</w:t>
                      </w:r>
                    </w:p>
                    <w:p w14:paraId="16B553AB">
                      <w:pPr>
                        <w:rPr>
                          <w:rFonts w:hint="eastAsia"/>
                          <w:lang w:val="en-US" w:eastAsia="zh-CN"/>
                        </w:rPr>
                      </w:pPr>
                    </w:p>
                  </w:txbxContent>
                </v:textbox>
              </v:rect>
            </w:pict>
          </mc:Fallback>
        </mc:AlternateContent>
      </w:r>
      <w:r>
        <w:rPr>
          <w:color w:val="auto"/>
          <w:sz w:val="21"/>
        </w:rPr>
        <mc:AlternateContent>
          <mc:Choice Requires="wps">
            <w:drawing>
              <wp:anchor distT="0" distB="0" distL="114300" distR="114300" simplePos="0" relativeHeight="251666432" behindDoc="0" locked="0" layoutInCell="1" allowOverlap="1">
                <wp:simplePos x="0" y="0"/>
                <wp:positionH relativeFrom="column">
                  <wp:posOffset>4029075</wp:posOffset>
                </wp:positionH>
                <wp:positionV relativeFrom="paragraph">
                  <wp:posOffset>2753360</wp:posOffset>
                </wp:positionV>
                <wp:extent cx="825500" cy="797560"/>
                <wp:effectExtent l="86360" t="89535" r="97790" b="103505"/>
                <wp:wrapNone/>
                <wp:docPr id="24" name="矩形 24"/>
                <wp:cNvGraphicFramePr/>
                <a:graphic xmlns:a="http://schemas.openxmlformats.org/drawingml/2006/main">
                  <a:graphicData uri="http://schemas.microsoft.com/office/word/2010/wordprocessingShape">
                    <wps:wsp>
                      <wps:cNvSpPr/>
                      <wps:spPr>
                        <a:xfrm rot="20880000">
                          <a:off x="5055235" y="4055745"/>
                          <a:ext cx="825500" cy="797560"/>
                        </a:xfrm>
                        <a:prstGeom prst="rect">
                          <a:avLst/>
                        </a:prstGeom>
                        <a:noFill/>
                        <a:ln>
                          <a:solidFill>
                            <a:srgbClr val="00B050"/>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17.25pt;margin-top:216.8pt;height:62.8pt;width:65pt;rotation:-786432f;z-index:251666432;v-text-anchor:middle;mso-width-relative:page;mso-height-relative:page;" filled="f" stroked="t" coordsize="21600,21600" o:gfxdata="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">
                <v:fill on="f" focussize="0,0"/>
                <v:stroke weight="2pt" color="#00B050 [2404]" joinstyle="round"/>
                <v:imagedata o:title=""/>
                <o:lock v:ext="edit" aspectratio="f"/>
              </v:rect>
            </w:pict>
          </mc:Fallback>
        </mc:AlternateContent>
      </w:r>
      <w:r>
        <w:rPr>
          <w:color w:val="auto"/>
          <w:sz w:val="21"/>
        </w:rPr>
        <mc:AlternateContent>
          <mc:Choice Requires="wps">
            <w:drawing>
              <wp:anchor distT="0" distB="0" distL="114300" distR="114300" simplePos="0" relativeHeight="251665408" behindDoc="0" locked="0" layoutInCell="1" allowOverlap="1">
                <wp:simplePos x="0" y="0"/>
                <wp:positionH relativeFrom="column">
                  <wp:posOffset>4423410</wp:posOffset>
                </wp:positionH>
                <wp:positionV relativeFrom="paragraph">
                  <wp:posOffset>2175510</wp:posOffset>
                </wp:positionV>
                <wp:extent cx="760730" cy="450215"/>
                <wp:effectExtent l="48895" t="81280" r="66675" b="97155"/>
                <wp:wrapNone/>
                <wp:docPr id="23" name="矩形 23"/>
                <wp:cNvGraphicFramePr/>
                <a:graphic xmlns:a="http://schemas.openxmlformats.org/drawingml/2006/main">
                  <a:graphicData uri="http://schemas.microsoft.com/office/word/2010/wordprocessingShape">
                    <wps:wsp>
                      <wps:cNvSpPr/>
                      <wps:spPr>
                        <a:xfrm rot="20940000">
                          <a:off x="0" y="0"/>
                          <a:ext cx="760730" cy="450215"/>
                        </a:xfrm>
                        <a:prstGeom prst="rect">
                          <a:avLst/>
                        </a:prstGeom>
                        <a:noFill/>
                        <a:ln>
                          <a:solidFill>
                            <a:srgbClr val="00B050"/>
                          </a:solidFill>
                        </a:ln>
                      </wps:spPr>
                      <wps:style>
                        <a:lnRef idx="2">
                          <a:schemeClr val="accent1">
                            <a:lumMod val="75000"/>
                          </a:schemeClr>
                        </a:lnRef>
                        <a:fillRef idx="1">
                          <a:schemeClr val="accent1"/>
                        </a:fillRef>
                        <a:effectRef idx="0">
                          <a:srgbClr val="FFFFFF"/>
                        </a:effectRef>
                        <a:fontRef idx="minor">
                          <a:schemeClr val="lt1"/>
                        </a:fontRef>
                      </wps:style>
                      <wps:txbx>
                        <w:txbxContent>
                          <w:p w14:paraId="6AF5E319">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48.3pt;margin-top:171.3pt;height:35.45pt;width:59.9pt;rotation:-720896f;z-index:251665408;v-text-anchor:middle;mso-width-relative:page;mso-height-relative:page;" filled="f" stroked="t" coordsize="21600,21600" o:gfxdata="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U2pcENkAAAALAQAADwAAAAAAAAABACAAAAAiAAAAZHJzL2Rvd25y&#10;ZXYueG1sUEsBAhQAFAAAAAgAh07iQKpndOdvAgAAzwQAAA4AAAAAAAAAAQAgAAAAKAEAAGRycy9l&#10;Mm9Eb2MueG1sUEsFBgAAAAAGAAYAWQEAAAkGAAAAAA==&#10;">
                <v:fill on="f" focussize="0,0"/>
                <v:stroke weight="2pt" color="#00B050 [2404]" joinstyle="round"/>
                <v:imagedata o:title=""/>
                <o:lock v:ext="edit" aspectratio="f"/>
                <v:textbox>
                  <w:txbxContent>
                    <w:p w14:paraId="6AF5E319">
                      <w:pPr>
                        <w:jc w:val="center"/>
                      </w:pPr>
                    </w:p>
                  </w:txbxContent>
                </v:textbox>
              </v:rect>
            </w:pict>
          </mc:Fallback>
        </mc:AlternateContent>
      </w:r>
      <w:r>
        <w:rPr>
          <w:color w:val="auto"/>
          <w:sz w:val="21"/>
        </w:rPr>
        <mc:AlternateContent>
          <mc:Choice Requires="wps">
            <w:drawing>
              <wp:anchor distT="0" distB="0" distL="114300" distR="114300" simplePos="0" relativeHeight="251664384" behindDoc="0" locked="0" layoutInCell="1" allowOverlap="1">
                <wp:simplePos x="0" y="0"/>
                <wp:positionH relativeFrom="column">
                  <wp:posOffset>3389630</wp:posOffset>
                </wp:positionH>
                <wp:positionV relativeFrom="paragraph">
                  <wp:posOffset>2300605</wp:posOffset>
                </wp:positionV>
                <wp:extent cx="760730" cy="450215"/>
                <wp:effectExtent l="48895" t="81280" r="66675" b="97155"/>
                <wp:wrapNone/>
                <wp:docPr id="22" name="矩形 22"/>
                <wp:cNvGraphicFramePr/>
                <a:graphic xmlns:a="http://schemas.openxmlformats.org/drawingml/2006/main">
                  <a:graphicData uri="http://schemas.microsoft.com/office/word/2010/wordprocessingShape">
                    <wps:wsp>
                      <wps:cNvSpPr/>
                      <wps:spPr>
                        <a:xfrm rot="20940000">
                          <a:off x="4610735" y="3595370"/>
                          <a:ext cx="760730" cy="450215"/>
                        </a:xfrm>
                        <a:prstGeom prst="rect">
                          <a:avLst/>
                        </a:prstGeom>
                        <a:noFill/>
                        <a:ln>
                          <a:solidFill>
                            <a:srgbClr val="00B050"/>
                          </a:solidFill>
                        </a:ln>
                      </wps:spPr>
                      <wps:style>
                        <a:lnRef idx="2">
                          <a:schemeClr val="accent1">
                            <a:lumMod val="75000"/>
                          </a:schemeClr>
                        </a:lnRef>
                        <a:fillRef idx="1">
                          <a:schemeClr val="accent1"/>
                        </a:fillRef>
                        <a:effectRef idx="0">
                          <a:srgbClr val="FFFFFF"/>
                        </a:effectRef>
                        <a:fontRef idx="minor">
                          <a:schemeClr val="lt1"/>
                        </a:fontRef>
                      </wps:style>
                      <wps:txbx>
                        <w:txbxContent>
                          <w:p w14:paraId="0D092D3D">
                            <w:pPr>
                              <w:keepNext w:val="0"/>
                              <w:keepLines w:val="0"/>
                              <w:widowControl/>
                              <w:suppressLineNumbers w:val="0"/>
                              <w:jc w:val="left"/>
                              <w:rPr>
                                <w:sz w:val="21"/>
                                <w:szCs w:val="21"/>
                              </w:rPr>
                            </w:pPr>
                          </w:p>
                          <w:p w14:paraId="24CD7E0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66.9pt;margin-top:181.15pt;height:35.45pt;width:59.9pt;rotation:-720896f;z-index:251664384;v-text-anchor:middle;mso-width-relative:page;mso-height-relative:page;" filled="f" stroked="t" coordsize="21600,21600" o:gfxdata="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Poue9nZAAAACwEAAA8AAAAAAAAAAQAgAAAA&#10;IgAAAGRycy9kb3ducmV2LnhtbFBLAQIUABQAAAAIAIdO4kDgTy1MfAIAANsEAAAOAAAAAAAAAAEA&#10;IAAAACgBAABkcnMvZTJvRG9jLnhtbFBLBQYAAAAABgAGAFkBAAAWBgAAAAA=&#10;">
                <v:fill on="f" focussize="0,0"/>
                <v:stroke weight="2pt" color="#00B050 [2404]" joinstyle="round"/>
                <v:imagedata o:title=""/>
                <o:lock v:ext="edit" aspectratio="f"/>
                <v:textbox>
                  <w:txbxContent>
                    <w:p w14:paraId="0D092D3D">
                      <w:pPr>
                        <w:keepNext w:val="0"/>
                        <w:keepLines w:val="0"/>
                        <w:widowControl/>
                        <w:suppressLineNumbers w:val="0"/>
                        <w:jc w:val="left"/>
                        <w:rPr>
                          <w:sz w:val="21"/>
                          <w:szCs w:val="21"/>
                        </w:rPr>
                      </w:pPr>
                    </w:p>
                    <w:p w14:paraId="24CD7E02">
                      <w:pPr>
                        <w:jc w:val="center"/>
                      </w:pPr>
                    </w:p>
                  </w:txbxContent>
                </v:textbox>
              </v:rect>
            </w:pict>
          </mc:Fallback>
        </mc:AlternateContent>
      </w:r>
      <w:r>
        <w:rPr>
          <w:color w:val="auto"/>
        </w:rPr>
        <w:drawing>
          <wp:inline distT="0" distB="0" distL="114300" distR="114300">
            <wp:extent cx="8397875" cy="5026660"/>
            <wp:effectExtent l="0" t="0" r="3175" b="2540"/>
            <wp:docPr id="20"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8"/>
                    <pic:cNvPicPr>
                      <a:picLocks noChangeAspect="1"/>
                    </pic:cNvPicPr>
                  </pic:nvPicPr>
                  <pic:blipFill>
                    <a:blip r:embed="rId38"/>
                    <a:stretch>
                      <a:fillRect/>
                    </a:stretch>
                  </pic:blipFill>
                  <pic:spPr>
                    <a:xfrm>
                      <a:off x="0" y="0"/>
                      <a:ext cx="8397875" cy="5026660"/>
                    </a:xfrm>
                    <a:prstGeom prst="rect">
                      <a:avLst/>
                    </a:prstGeom>
                    <a:noFill/>
                    <a:ln>
                      <a:noFill/>
                    </a:ln>
                  </pic:spPr>
                </pic:pic>
              </a:graphicData>
            </a:graphic>
          </wp:inline>
        </w:drawing>
      </w:r>
    </w:p>
    <w:p w14:paraId="24F57DC1">
      <w:pPr>
        <w:rPr>
          <w:rFonts w:eastAsiaTheme="minorEastAsia"/>
          <w:snapToGrid w:val="0"/>
          <w:color w:val="auto"/>
          <w:sz w:val="28"/>
          <w:szCs w:val="32"/>
        </w:rPr>
      </w:pPr>
      <w:r>
        <w:rPr>
          <w:rFonts w:eastAsiaTheme="minorEastAsia"/>
          <w:snapToGrid w:val="0"/>
          <w:color w:val="auto"/>
          <w:sz w:val="28"/>
          <w:szCs w:val="32"/>
        </w:rPr>
        <w:br w:type="page"/>
      </w:r>
    </w:p>
    <w:p w14:paraId="60E871E8">
      <w:pPr>
        <w:outlineLvl w:val="0"/>
        <w:rPr>
          <w:rFonts w:eastAsiaTheme="minorEastAsia"/>
          <w:b/>
          <w:bCs/>
          <w:snapToGrid w:val="0"/>
          <w:color w:val="auto"/>
          <w:sz w:val="28"/>
          <w:szCs w:val="32"/>
        </w:rPr>
      </w:pPr>
      <w:r>
        <w:rPr>
          <w:rFonts w:eastAsiaTheme="minorEastAsia"/>
          <w:b/>
          <w:bCs/>
          <w:snapToGrid w:val="0"/>
          <w:color w:val="auto"/>
          <w:sz w:val="28"/>
          <w:szCs w:val="32"/>
        </w:rPr>
        <w:t>附图</w:t>
      </w:r>
      <w:r>
        <w:rPr>
          <w:rFonts w:hint="eastAsia" w:eastAsiaTheme="minorEastAsia"/>
          <w:b/>
          <w:bCs/>
          <w:snapToGrid w:val="0"/>
          <w:color w:val="auto"/>
          <w:sz w:val="28"/>
          <w:szCs w:val="32"/>
          <w:lang w:val="en-US" w:eastAsia="zh-CN"/>
        </w:rPr>
        <w:t>五</w:t>
      </w:r>
      <w:r>
        <w:rPr>
          <w:rFonts w:eastAsiaTheme="minorEastAsia"/>
          <w:b/>
          <w:bCs/>
          <w:snapToGrid w:val="0"/>
          <w:color w:val="auto"/>
          <w:sz w:val="28"/>
          <w:szCs w:val="32"/>
        </w:rPr>
        <w:t>：</w:t>
      </w:r>
      <w:r>
        <w:rPr>
          <w:rFonts w:hint="eastAsia" w:eastAsiaTheme="minorEastAsia"/>
          <w:b/>
          <w:bCs/>
          <w:snapToGrid w:val="0"/>
          <w:color w:val="auto"/>
          <w:sz w:val="28"/>
          <w:szCs w:val="32"/>
        </w:rPr>
        <w:t>声环境</w:t>
      </w:r>
      <w:r>
        <w:rPr>
          <w:rFonts w:eastAsiaTheme="minorEastAsia"/>
          <w:b/>
          <w:bCs/>
          <w:snapToGrid w:val="0"/>
          <w:color w:val="auto"/>
          <w:sz w:val="28"/>
          <w:szCs w:val="32"/>
        </w:rPr>
        <w:t>保护目标图</w:t>
      </w:r>
    </w:p>
    <w:p w14:paraId="29A87FC8">
      <w:pPr>
        <w:rPr>
          <w:color w:val="auto"/>
        </w:rPr>
      </w:pPr>
    </w:p>
    <w:p w14:paraId="4380F987">
      <w:pPr>
        <w:pStyle w:val="69"/>
        <w:jc w:val="center"/>
        <w:rPr>
          <w:rFonts w:hint="eastAsia" w:eastAsia="宋体"/>
          <w:color w:val="auto"/>
          <w:lang w:eastAsia="zh-CN"/>
        </w:rPr>
      </w:pPr>
      <w:r>
        <w:rPr>
          <w:rFonts w:hint="eastAsia" w:eastAsia="宋体"/>
          <w:color w:val="auto"/>
          <w:lang w:eastAsia="zh-CN"/>
        </w:rPr>
        <w:drawing>
          <wp:inline distT="0" distB="0" distL="114300" distR="114300">
            <wp:extent cx="7299325" cy="5160010"/>
            <wp:effectExtent l="0" t="0" r="15875" b="2540"/>
            <wp:docPr id="3" name="图片 3" descr="声环境保护目标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声环境保护目标图"/>
                    <pic:cNvPicPr>
                      <a:picLocks noChangeAspect="1"/>
                    </pic:cNvPicPr>
                  </pic:nvPicPr>
                  <pic:blipFill>
                    <a:blip r:embed="rId39"/>
                    <a:stretch>
                      <a:fillRect/>
                    </a:stretch>
                  </pic:blipFill>
                  <pic:spPr>
                    <a:xfrm>
                      <a:off x="0" y="0"/>
                      <a:ext cx="7299325" cy="5160010"/>
                    </a:xfrm>
                    <a:prstGeom prst="rect">
                      <a:avLst/>
                    </a:prstGeom>
                  </pic:spPr>
                </pic:pic>
              </a:graphicData>
            </a:graphic>
          </wp:inline>
        </w:drawing>
      </w:r>
    </w:p>
    <w:p w14:paraId="2995996A">
      <w:pPr>
        <w:outlineLvl w:val="0"/>
        <w:rPr>
          <w:rFonts w:eastAsiaTheme="minorEastAsia"/>
          <w:b/>
          <w:bCs/>
          <w:snapToGrid w:val="0"/>
          <w:color w:val="auto"/>
          <w:sz w:val="28"/>
          <w:szCs w:val="32"/>
        </w:rPr>
      </w:pPr>
      <w:r>
        <w:rPr>
          <w:rFonts w:eastAsiaTheme="minorEastAsia"/>
          <w:b/>
          <w:bCs/>
          <w:snapToGrid w:val="0"/>
          <w:color w:val="auto"/>
          <w:sz w:val="28"/>
          <w:szCs w:val="32"/>
        </w:rPr>
        <w:t>附图</w:t>
      </w:r>
      <w:r>
        <w:rPr>
          <w:rFonts w:hint="eastAsia" w:eastAsiaTheme="minorEastAsia"/>
          <w:b/>
          <w:bCs/>
          <w:snapToGrid w:val="0"/>
          <w:color w:val="auto"/>
          <w:sz w:val="28"/>
          <w:szCs w:val="32"/>
          <w:lang w:val="en-US" w:eastAsia="zh-CN"/>
        </w:rPr>
        <w:t>六</w:t>
      </w:r>
      <w:r>
        <w:rPr>
          <w:rFonts w:eastAsiaTheme="minorEastAsia"/>
          <w:b/>
          <w:bCs/>
          <w:snapToGrid w:val="0"/>
          <w:color w:val="auto"/>
          <w:sz w:val="28"/>
          <w:szCs w:val="32"/>
        </w:rPr>
        <w:t>：</w:t>
      </w:r>
      <w:r>
        <w:rPr>
          <w:rFonts w:hint="eastAsia" w:eastAsiaTheme="minorEastAsia"/>
          <w:b/>
          <w:bCs/>
          <w:snapToGrid w:val="0"/>
          <w:color w:val="auto"/>
          <w:sz w:val="28"/>
          <w:szCs w:val="32"/>
        </w:rPr>
        <w:t>大气环境</w:t>
      </w:r>
      <w:r>
        <w:rPr>
          <w:rFonts w:eastAsiaTheme="minorEastAsia"/>
          <w:b/>
          <w:bCs/>
          <w:snapToGrid w:val="0"/>
          <w:color w:val="auto"/>
          <w:sz w:val="28"/>
          <w:szCs w:val="32"/>
        </w:rPr>
        <w:t>保护目标图</w:t>
      </w:r>
    </w:p>
    <w:p w14:paraId="593AD00B">
      <w:pPr>
        <w:pStyle w:val="69"/>
        <w:jc w:val="center"/>
        <w:rPr>
          <w:rFonts w:hint="eastAsia" w:eastAsia="宋体"/>
          <w:color w:val="auto"/>
          <w:lang w:eastAsia="zh-CN"/>
        </w:rPr>
        <w:sectPr>
          <w:pgSz w:w="16838" w:h="11906" w:orient="landscape"/>
          <w:pgMar w:top="1440" w:right="1803" w:bottom="1440" w:left="1803" w:header="851" w:footer="850" w:gutter="0"/>
          <w:pgBorders>
            <w:top w:val="none" w:sz="0" w:space="0"/>
            <w:left w:val="none" w:sz="0" w:space="0"/>
            <w:bottom w:val="none" w:sz="0" w:space="0"/>
            <w:right w:val="none" w:sz="0" w:space="0"/>
          </w:pgBorders>
          <w:cols w:space="0" w:num="1"/>
          <w:docGrid w:linePitch="312" w:charSpace="0"/>
        </w:sectPr>
      </w:pPr>
      <w:r>
        <w:rPr>
          <w:rFonts w:hint="eastAsia" w:eastAsia="宋体"/>
          <w:color w:val="auto"/>
          <w:lang w:eastAsia="zh-CN"/>
        </w:rPr>
        <w:drawing>
          <wp:inline distT="0" distB="0" distL="114300" distR="114300">
            <wp:extent cx="7310120" cy="5167630"/>
            <wp:effectExtent l="0" t="0" r="5080" b="13970"/>
            <wp:docPr id="11" name="图片 11" descr="环境空气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环境空气图"/>
                    <pic:cNvPicPr>
                      <a:picLocks noChangeAspect="1"/>
                    </pic:cNvPicPr>
                  </pic:nvPicPr>
                  <pic:blipFill>
                    <a:blip r:embed="rId40"/>
                    <a:stretch>
                      <a:fillRect/>
                    </a:stretch>
                  </pic:blipFill>
                  <pic:spPr>
                    <a:xfrm>
                      <a:off x="0" y="0"/>
                      <a:ext cx="7310120" cy="5167630"/>
                    </a:xfrm>
                    <a:prstGeom prst="rect">
                      <a:avLst/>
                    </a:prstGeom>
                  </pic:spPr>
                </pic:pic>
              </a:graphicData>
            </a:graphic>
          </wp:inline>
        </w:drawing>
      </w:r>
    </w:p>
    <w:p w14:paraId="4C5EF4D9">
      <w:pPr>
        <w:outlineLvl w:val="0"/>
        <w:rPr>
          <w:rFonts w:eastAsiaTheme="minorEastAsia"/>
          <w:b/>
          <w:bCs/>
          <w:snapToGrid w:val="0"/>
          <w:color w:val="auto"/>
          <w:sz w:val="28"/>
          <w:szCs w:val="32"/>
        </w:rPr>
      </w:pPr>
      <w:r>
        <w:rPr>
          <w:rFonts w:eastAsiaTheme="minorEastAsia"/>
          <w:b/>
          <w:bCs/>
          <w:snapToGrid w:val="0"/>
          <w:color w:val="auto"/>
          <w:sz w:val="28"/>
          <w:szCs w:val="32"/>
        </w:rPr>
        <w:t>附图</w:t>
      </w:r>
      <w:r>
        <w:rPr>
          <w:rFonts w:hint="eastAsia" w:eastAsiaTheme="minorEastAsia"/>
          <w:b/>
          <w:bCs/>
          <w:snapToGrid w:val="0"/>
          <w:color w:val="auto"/>
          <w:sz w:val="28"/>
          <w:szCs w:val="32"/>
          <w:lang w:val="en-US" w:eastAsia="zh-CN"/>
        </w:rPr>
        <w:t>七</w:t>
      </w:r>
      <w:r>
        <w:rPr>
          <w:rFonts w:eastAsiaTheme="minorEastAsia"/>
          <w:b/>
          <w:bCs/>
          <w:snapToGrid w:val="0"/>
          <w:color w:val="auto"/>
          <w:sz w:val="28"/>
          <w:szCs w:val="32"/>
        </w:rPr>
        <w:t>：现场照片</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96"/>
        <w:gridCol w:w="4026"/>
      </w:tblGrid>
      <w:tr w14:paraId="0554D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496" w:type="dxa"/>
            <w:vAlign w:val="center"/>
          </w:tcPr>
          <w:p w14:paraId="06D218C1">
            <w:pPr>
              <w:pStyle w:val="27"/>
              <w:spacing w:after="0" w:afterLines="0" w:line="240" w:lineRule="auto"/>
              <w:rPr>
                <w:rFonts w:hint="eastAsia" w:eastAsia="宋体"/>
                <w:color w:val="auto"/>
                <w:lang w:eastAsia="zh-CN"/>
              </w:rPr>
            </w:pPr>
            <w:r>
              <w:rPr>
                <w:rFonts w:hint="eastAsia" w:eastAsia="宋体"/>
                <w:color w:val="auto"/>
                <w:lang w:eastAsia="zh-CN"/>
              </w:rPr>
              <w:drawing>
                <wp:inline distT="0" distB="0" distL="114300" distR="114300">
                  <wp:extent cx="2367280" cy="1995170"/>
                  <wp:effectExtent l="0" t="0" r="13970" b="5080"/>
                  <wp:docPr id="2" name="图片 2" descr="0dc060c8abce63986318e69e243e69bc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0dc060c8abce63986318e69e243e69bc_"/>
                          <pic:cNvPicPr>
                            <a:picLocks noChangeAspect="1"/>
                          </pic:cNvPicPr>
                        </pic:nvPicPr>
                        <pic:blipFill>
                          <a:blip r:embed="rId41"/>
                          <a:stretch>
                            <a:fillRect/>
                          </a:stretch>
                        </pic:blipFill>
                        <pic:spPr>
                          <a:xfrm>
                            <a:off x="0" y="0"/>
                            <a:ext cx="2367280" cy="1995170"/>
                          </a:xfrm>
                          <a:prstGeom prst="rect">
                            <a:avLst/>
                          </a:prstGeom>
                        </pic:spPr>
                      </pic:pic>
                    </a:graphicData>
                  </a:graphic>
                </wp:inline>
              </w:drawing>
            </w:r>
          </w:p>
        </w:tc>
        <w:tc>
          <w:tcPr>
            <w:tcW w:w="4026" w:type="dxa"/>
            <w:vAlign w:val="center"/>
          </w:tcPr>
          <w:p w14:paraId="65B590CD">
            <w:pPr>
              <w:pStyle w:val="27"/>
              <w:spacing w:after="0" w:afterLines="0" w:line="240" w:lineRule="auto"/>
              <w:rPr>
                <w:rFonts w:hint="eastAsia" w:eastAsia="宋体"/>
                <w:color w:val="auto"/>
                <w:lang w:eastAsia="zh-CN"/>
              </w:rPr>
            </w:pPr>
            <w:r>
              <w:rPr>
                <w:rFonts w:hint="eastAsia" w:eastAsia="宋体"/>
                <w:color w:val="auto"/>
                <w:lang w:eastAsia="zh-CN"/>
              </w:rPr>
              <w:drawing>
                <wp:inline distT="0" distB="0" distL="114300" distR="114300">
                  <wp:extent cx="2337435" cy="1990090"/>
                  <wp:effectExtent l="0" t="0" r="5715" b="10160"/>
                  <wp:docPr id="14" name="图片 14" descr="266d4aa97eb4defd5a0cd187f018eee9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266d4aa97eb4defd5a0cd187f018eee9_"/>
                          <pic:cNvPicPr>
                            <a:picLocks noChangeAspect="1"/>
                          </pic:cNvPicPr>
                        </pic:nvPicPr>
                        <pic:blipFill>
                          <a:blip r:embed="rId42"/>
                          <a:stretch>
                            <a:fillRect/>
                          </a:stretch>
                        </pic:blipFill>
                        <pic:spPr>
                          <a:xfrm>
                            <a:off x="0" y="0"/>
                            <a:ext cx="2337435" cy="1990090"/>
                          </a:xfrm>
                          <a:prstGeom prst="rect">
                            <a:avLst/>
                          </a:prstGeom>
                        </pic:spPr>
                      </pic:pic>
                    </a:graphicData>
                  </a:graphic>
                </wp:inline>
              </w:drawing>
            </w:r>
          </w:p>
        </w:tc>
      </w:tr>
      <w:tr w14:paraId="18A70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496" w:type="dxa"/>
            <w:vAlign w:val="center"/>
          </w:tcPr>
          <w:p w14:paraId="6E820D06">
            <w:pPr>
              <w:pStyle w:val="27"/>
              <w:spacing w:after="0" w:afterLines="0" w:line="240" w:lineRule="auto"/>
              <w:rPr>
                <w:color w:val="auto"/>
              </w:rPr>
            </w:pPr>
            <w:r>
              <w:rPr>
                <w:color w:val="auto"/>
              </w:rPr>
              <w:t>东</w:t>
            </w:r>
            <w:r>
              <w:rPr>
                <w:rFonts w:hint="eastAsia"/>
                <w:color w:val="auto"/>
                <w:lang w:val="en-US" w:eastAsia="zh-CN"/>
              </w:rPr>
              <w:t>南</w:t>
            </w:r>
            <w:r>
              <w:rPr>
                <w:color w:val="auto"/>
              </w:rPr>
              <w:t>侧</w:t>
            </w:r>
          </w:p>
        </w:tc>
        <w:tc>
          <w:tcPr>
            <w:tcW w:w="4026" w:type="dxa"/>
            <w:vAlign w:val="center"/>
          </w:tcPr>
          <w:p w14:paraId="352A71B9">
            <w:pPr>
              <w:pStyle w:val="27"/>
              <w:spacing w:after="0" w:afterLines="0" w:line="240" w:lineRule="auto"/>
              <w:rPr>
                <w:color w:val="auto"/>
              </w:rPr>
            </w:pPr>
            <w:r>
              <w:rPr>
                <w:rFonts w:hint="eastAsia"/>
                <w:color w:val="auto"/>
                <w:lang w:val="en-US" w:eastAsia="zh-CN"/>
              </w:rPr>
              <w:t>东北</w:t>
            </w:r>
            <w:r>
              <w:rPr>
                <w:color w:val="auto"/>
              </w:rPr>
              <w:t>侧</w:t>
            </w:r>
          </w:p>
        </w:tc>
      </w:tr>
      <w:tr w14:paraId="30F26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496" w:type="dxa"/>
            <w:vAlign w:val="center"/>
          </w:tcPr>
          <w:p w14:paraId="6F9A97C2">
            <w:pPr>
              <w:pStyle w:val="27"/>
              <w:spacing w:after="0" w:afterLines="0" w:line="240" w:lineRule="auto"/>
              <w:rPr>
                <w:rFonts w:hint="eastAsia" w:eastAsia="宋体"/>
                <w:color w:val="auto"/>
                <w:lang w:eastAsia="zh-CN"/>
              </w:rPr>
            </w:pPr>
            <w:r>
              <w:rPr>
                <w:rFonts w:hint="eastAsia" w:eastAsia="宋体"/>
                <w:color w:val="auto"/>
                <w:lang w:eastAsia="zh-CN"/>
              </w:rPr>
              <w:drawing>
                <wp:inline distT="0" distB="0" distL="114300" distR="114300">
                  <wp:extent cx="2348230" cy="1989455"/>
                  <wp:effectExtent l="0" t="0" r="13970" b="10795"/>
                  <wp:docPr id="6" name="图片 6" descr="695dafe48c882fe1989cab380f7ed4d1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695dafe48c882fe1989cab380f7ed4d1_"/>
                          <pic:cNvPicPr>
                            <a:picLocks noChangeAspect="1"/>
                          </pic:cNvPicPr>
                        </pic:nvPicPr>
                        <pic:blipFill>
                          <a:blip r:embed="rId43"/>
                          <a:stretch>
                            <a:fillRect/>
                          </a:stretch>
                        </pic:blipFill>
                        <pic:spPr>
                          <a:xfrm>
                            <a:off x="0" y="0"/>
                            <a:ext cx="2348230" cy="1989455"/>
                          </a:xfrm>
                          <a:prstGeom prst="rect">
                            <a:avLst/>
                          </a:prstGeom>
                        </pic:spPr>
                      </pic:pic>
                    </a:graphicData>
                  </a:graphic>
                </wp:inline>
              </w:drawing>
            </w:r>
          </w:p>
        </w:tc>
        <w:tc>
          <w:tcPr>
            <w:tcW w:w="4026" w:type="dxa"/>
            <w:vAlign w:val="center"/>
          </w:tcPr>
          <w:p w14:paraId="3D11DE59">
            <w:pPr>
              <w:pStyle w:val="27"/>
              <w:spacing w:after="0" w:afterLines="0" w:line="240" w:lineRule="auto"/>
              <w:rPr>
                <w:color w:val="auto"/>
              </w:rPr>
            </w:pPr>
            <w:r>
              <w:rPr>
                <w:rFonts w:hint="eastAsia" w:eastAsia="宋体"/>
                <w:color w:val="auto"/>
                <w:lang w:eastAsia="zh-CN"/>
              </w:rPr>
              <w:drawing>
                <wp:inline distT="0" distB="0" distL="114300" distR="114300">
                  <wp:extent cx="2368550" cy="1976755"/>
                  <wp:effectExtent l="0" t="0" r="12700" b="4445"/>
                  <wp:docPr id="13" name="图片 13" descr="d8b9f0bd9cf341222a45a470c199d38b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d8b9f0bd9cf341222a45a470c199d38b_"/>
                          <pic:cNvPicPr>
                            <a:picLocks noChangeAspect="1"/>
                          </pic:cNvPicPr>
                        </pic:nvPicPr>
                        <pic:blipFill>
                          <a:blip r:embed="rId44"/>
                          <a:stretch>
                            <a:fillRect/>
                          </a:stretch>
                        </pic:blipFill>
                        <pic:spPr>
                          <a:xfrm>
                            <a:off x="0" y="0"/>
                            <a:ext cx="2368550" cy="1976755"/>
                          </a:xfrm>
                          <a:prstGeom prst="rect">
                            <a:avLst/>
                          </a:prstGeom>
                        </pic:spPr>
                      </pic:pic>
                    </a:graphicData>
                  </a:graphic>
                </wp:inline>
              </w:drawing>
            </w:r>
          </w:p>
        </w:tc>
      </w:tr>
      <w:tr w14:paraId="16C15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496" w:type="dxa"/>
            <w:vAlign w:val="center"/>
          </w:tcPr>
          <w:p w14:paraId="2C83C261">
            <w:pPr>
              <w:pStyle w:val="27"/>
              <w:spacing w:after="0" w:afterLines="0" w:line="240" w:lineRule="auto"/>
              <w:rPr>
                <w:color w:val="auto"/>
              </w:rPr>
            </w:pPr>
            <w:r>
              <w:rPr>
                <w:color w:val="auto"/>
              </w:rPr>
              <w:t>西</w:t>
            </w:r>
            <w:r>
              <w:rPr>
                <w:rFonts w:hint="eastAsia"/>
                <w:color w:val="auto"/>
                <w:lang w:val="en-US" w:eastAsia="zh-CN"/>
              </w:rPr>
              <w:t>北</w:t>
            </w:r>
            <w:r>
              <w:rPr>
                <w:color w:val="auto"/>
              </w:rPr>
              <w:t>侧</w:t>
            </w:r>
          </w:p>
        </w:tc>
        <w:tc>
          <w:tcPr>
            <w:tcW w:w="4026" w:type="dxa"/>
            <w:vAlign w:val="center"/>
          </w:tcPr>
          <w:p w14:paraId="33338C68">
            <w:pPr>
              <w:pStyle w:val="27"/>
              <w:spacing w:after="0" w:afterLines="0" w:line="240" w:lineRule="auto"/>
              <w:rPr>
                <w:color w:val="auto"/>
              </w:rPr>
            </w:pPr>
            <w:r>
              <w:rPr>
                <w:rFonts w:hint="eastAsia"/>
                <w:color w:val="auto"/>
                <w:lang w:val="en-US" w:eastAsia="zh-CN"/>
              </w:rPr>
              <w:t>西南</w:t>
            </w:r>
            <w:r>
              <w:rPr>
                <w:color w:val="auto"/>
              </w:rPr>
              <w:t>侧</w:t>
            </w:r>
          </w:p>
        </w:tc>
      </w:tr>
    </w:tbl>
    <w:p w14:paraId="15D20BFE">
      <w:pPr>
        <w:rPr>
          <w:rFonts w:eastAsiaTheme="minorEastAsia"/>
          <w:b/>
          <w:bCs/>
          <w:snapToGrid w:val="0"/>
          <w:color w:val="auto"/>
          <w:sz w:val="28"/>
          <w:szCs w:val="32"/>
        </w:rPr>
      </w:pPr>
      <w:r>
        <w:rPr>
          <w:rFonts w:eastAsiaTheme="minorEastAsia"/>
          <w:b/>
          <w:bCs/>
          <w:snapToGrid w:val="0"/>
          <w:color w:val="auto"/>
          <w:sz w:val="28"/>
          <w:szCs w:val="32"/>
        </w:rPr>
        <w:br w:type="page"/>
      </w:r>
    </w:p>
    <w:p w14:paraId="57FCFD12">
      <w:pPr>
        <w:pStyle w:val="4"/>
        <w:bidi w:val="0"/>
        <w:rPr>
          <w:rFonts w:hint="default" w:ascii="Times New Roman" w:hAnsi="Times New Roman" w:eastAsia="宋体" w:cs="Times New Roman"/>
          <w:color w:val="auto"/>
          <w:sz w:val="28"/>
          <w:szCs w:val="28"/>
          <w:lang w:val="en-US" w:eastAsia="zh-CN"/>
        </w:rPr>
        <w:sectPr>
          <w:pgSz w:w="11906" w:h="16838"/>
          <w:pgMar w:top="1803" w:right="1440" w:bottom="1803" w:left="1440" w:header="851" w:footer="850" w:gutter="0"/>
          <w:pgBorders>
            <w:top w:val="none" w:sz="0" w:space="0"/>
            <w:left w:val="none" w:sz="0" w:space="0"/>
            <w:bottom w:val="none" w:sz="0" w:space="0"/>
            <w:right w:val="none" w:sz="0" w:space="0"/>
          </w:pgBorders>
          <w:cols w:space="0" w:num="1"/>
          <w:docGrid w:linePitch="312" w:charSpace="0"/>
        </w:sectPr>
      </w:pPr>
    </w:p>
    <w:p w14:paraId="7EC14730">
      <w:pPr>
        <w:rPr>
          <w:rFonts w:hint="eastAsia"/>
          <w:color w:val="auto"/>
          <w:lang w:val="en-US" w:eastAsia="zh-CN"/>
        </w:rPr>
      </w:pPr>
    </w:p>
    <w:p w14:paraId="206B177E">
      <w:pPr>
        <w:pStyle w:val="4"/>
        <w:keepNext/>
        <w:keepLines w:val="0"/>
        <w:pageBreakBefore w:val="0"/>
        <w:widowControl w:val="0"/>
        <w:kinsoku/>
        <w:wordWrap/>
        <w:overflowPunct w:val="0"/>
        <w:topLinePunct w:val="0"/>
        <w:autoSpaceDE/>
        <w:autoSpaceDN/>
        <w:bidi w:val="0"/>
        <w:adjustRightInd w:val="0"/>
        <w:snapToGrid w:val="0"/>
        <w:spacing w:before="0" w:after="0" w:line="360" w:lineRule="auto"/>
        <w:ind w:left="0" w:firstLine="0"/>
        <w:textAlignment w:val="auto"/>
        <w:rPr>
          <w:rFonts w:hint="default" w:ascii="Times New Roman" w:hAnsi="Times New Roman" w:eastAsia="宋体" w:cs="Times New Roman"/>
          <w:color w:val="auto"/>
          <w:sz w:val="28"/>
          <w:szCs w:val="28"/>
          <w:lang w:val="en-US" w:eastAsia="zh-CN"/>
        </w:rPr>
      </w:pPr>
      <w:r>
        <w:rPr>
          <w:rFonts w:hint="default" w:ascii="Times New Roman" w:hAnsi="Times New Roman" w:eastAsia="宋体" w:cs="Times New Roman"/>
          <w:color w:val="auto"/>
          <w:sz w:val="28"/>
          <w:szCs w:val="28"/>
          <w:lang w:val="en-US" w:eastAsia="zh-CN"/>
        </w:rPr>
        <w:t>附图八：</w:t>
      </w:r>
      <w:r>
        <w:rPr>
          <w:rFonts w:hint="eastAsia" w:eastAsia="宋体" w:cs="Times New Roman"/>
          <w:color w:val="auto"/>
          <w:sz w:val="28"/>
          <w:szCs w:val="28"/>
          <w:lang w:val="en-US" w:eastAsia="zh-CN"/>
        </w:rPr>
        <w:t>“三线一单”</w:t>
      </w:r>
      <w:r>
        <w:rPr>
          <w:rFonts w:hint="default" w:ascii="Times New Roman" w:hAnsi="Times New Roman" w:eastAsia="宋体" w:cs="Times New Roman"/>
          <w:color w:val="auto"/>
          <w:sz w:val="28"/>
          <w:szCs w:val="28"/>
          <w:lang w:val="en-US" w:eastAsia="zh-CN"/>
        </w:rPr>
        <w:t>查询</w:t>
      </w:r>
    </w:p>
    <w:p w14:paraId="33952AC7">
      <w:pPr>
        <w:rPr>
          <w:rFonts w:hint="eastAsia"/>
          <w:color w:val="auto"/>
          <w:lang w:val="en-US" w:eastAsia="zh-CN"/>
        </w:rPr>
      </w:pPr>
      <w:r>
        <w:rPr>
          <w:color w:val="auto"/>
        </w:rPr>
        <w:drawing>
          <wp:inline distT="0" distB="0" distL="114300" distR="114300">
            <wp:extent cx="8395970" cy="5095875"/>
            <wp:effectExtent l="0" t="0" r="5080" b="9525"/>
            <wp:docPr id="2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8"/>
                    <pic:cNvPicPr>
                      <a:picLocks noChangeAspect="1"/>
                    </pic:cNvPicPr>
                  </pic:nvPicPr>
                  <pic:blipFill>
                    <a:blip r:embed="rId45"/>
                    <a:stretch>
                      <a:fillRect/>
                    </a:stretch>
                  </pic:blipFill>
                  <pic:spPr>
                    <a:xfrm>
                      <a:off x="0" y="0"/>
                      <a:ext cx="8395970" cy="5095875"/>
                    </a:xfrm>
                    <a:prstGeom prst="rect">
                      <a:avLst/>
                    </a:prstGeom>
                    <a:noFill/>
                    <a:ln>
                      <a:noFill/>
                    </a:ln>
                  </pic:spPr>
                </pic:pic>
              </a:graphicData>
            </a:graphic>
          </wp:inline>
        </w:drawing>
      </w:r>
    </w:p>
    <w:p w14:paraId="3ED47624">
      <w:pPr>
        <w:rPr>
          <w:rFonts w:hint="eastAsia"/>
          <w:color w:val="auto"/>
          <w:lang w:val="en-US" w:eastAsia="zh-CN"/>
        </w:rPr>
        <w:sectPr>
          <w:pgSz w:w="16838" w:h="11906" w:orient="landscape"/>
          <w:pgMar w:top="1440" w:right="1803" w:bottom="1440" w:left="1803" w:header="851" w:footer="850" w:gutter="0"/>
          <w:pgBorders>
            <w:top w:val="none" w:sz="0" w:space="0"/>
            <w:left w:val="none" w:sz="0" w:space="0"/>
            <w:bottom w:val="none" w:sz="0" w:space="0"/>
            <w:right w:val="none" w:sz="0" w:space="0"/>
          </w:pgBorders>
          <w:cols w:space="0" w:num="1"/>
          <w:docGrid w:linePitch="312" w:charSpace="0"/>
        </w:sectPr>
      </w:pPr>
    </w:p>
    <w:p w14:paraId="09D48B3F">
      <w:pPr>
        <w:pStyle w:val="4"/>
        <w:keepNext/>
        <w:keepLines w:val="0"/>
        <w:pageBreakBefore w:val="0"/>
        <w:widowControl w:val="0"/>
        <w:kinsoku/>
        <w:wordWrap/>
        <w:overflowPunct w:val="0"/>
        <w:topLinePunct w:val="0"/>
        <w:autoSpaceDE/>
        <w:autoSpaceDN/>
        <w:bidi w:val="0"/>
        <w:adjustRightInd w:val="0"/>
        <w:snapToGrid w:val="0"/>
        <w:spacing w:before="0" w:after="0" w:line="360" w:lineRule="auto"/>
        <w:ind w:left="0" w:firstLine="0"/>
        <w:textAlignment w:val="auto"/>
        <w:rPr>
          <w:rFonts w:eastAsiaTheme="minorEastAsia"/>
          <w:b/>
          <w:bCs/>
          <w:snapToGrid w:val="0"/>
          <w:color w:val="auto"/>
          <w:szCs w:val="32"/>
        </w:rPr>
      </w:pPr>
      <w:r>
        <w:rPr>
          <w:rFonts w:hint="default" w:ascii="Times New Roman" w:hAnsi="Times New Roman" w:eastAsia="宋体" w:cs="Times New Roman"/>
          <w:color w:val="auto"/>
          <w:sz w:val="28"/>
          <w:szCs w:val="28"/>
        </w:rPr>
        <w:t>附件1：项目备案告知书</w:t>
      </w:r>
    </w:p>
    <w:p w14:paraId="2DDB1515">
      <w:pPr>
        <w:rPr>
          <w:rFonts w:hint="eastAsia" w:eastAsiaTheme="minorEastAsia"/>
          <w:b/>
          <w:bCs/>
          <w:snapToGrid w:val="0"/>
          <w:color w:val="auto"/>
          <w:sz w:val="28"/>
          <w:szCs w:val="32"/>
          <w:lang w:eastAsia="zh-CN"/>
        </w:rPr>
      </w:pPr>
      <w:r>
        <w:rPr>
          <w:color w:val="auto"/>
        </w:rPr>
        <w:drawing>
          <wp:inline distT="0" distB="0" distL="114300" distR="114300">
            <wp:extent cx="5638800" cy="7934325"/>
            <wp:effectExtent l="0" t="0" r="0" b="9525"/>
            <wp:docPr id="1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6"/>
                    <pic:cNvPicPr>
                      <a:picLocks noChangeAspect="1"/>
                    </pic:cNvPicPr>
                  </pic:nvPicPr>
                  <pic:blipFill>
                    <a:blip r:embed="rId46"/>
                    <a:stretch>
                      <a:fillRect/>
                    </a:stretch>
                  </pic:blipFill>
                  <pic:spPr>
                    <a:xfrm>
                      <a:off x="0" y="0"/>
                      <a:ext cx="5638800" cy="7934325"/>
                    </a:xfrm>
                    <a:prstGeom prst="rect">
                      <a:avLst/>
                    </a:prstGeom>
                    <a:noFill/>
                    <a:ln>
                      <a:noFill/>
                    </a:ln>
                  </pic:spPr>
                </pic:pic>
              </a:graphicData>
            </a:graphic>
          </wp:inline>
        </w:drawing>
      </w:r>
    </w:p>
    <w:sectPr>
      <w:pgSz w:w="11906" w:h="16838"/>
      <w:pgMar w:top="1803" w:right="1440" w:bottom="1803" w:left="1440" w:header="851" w:footer="850" w:gutter="0"/>
      <w:pgBorders>
        <w:top w:val="none" w:sz="0" w:space="0"/>
        <w:left w:val="none" w:sz="0" w:space="0"/>
        <w:bottom w:val="none" w:sz="0" w:space="0"/>
        <w:right w:val="none" w:sz="0" w:space="0"/>
      </w:pgBorders>
      <w:cols w:space="0" w:num="1"/>
      <w:docGrid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铭" w:date="2025-10-22T10:36:45Z" w:initials="">
    <w:p w14:paraId="0D56B2E3">
      <w:pPr>
        <w:pStyle w:val="10"/>
        <w:rPr>
          <w:rFonts w:hint="default" w:eastAsia="宋体"/>
          <w:lang w:val="en-US" w:eastAsia="zh-CN"/>
        </w:rPr>
      </w:pPr>
      <w:r>
        <w:rPr>
          <w:rFonts w:hint="eastAsia"/>
          <w:lang w:val="en-US" w:eastAsia="zh-CN"/>
        </w:rPr>
        <w:t>已核实废水总量</w:t>
      </w:r>
    </w:p>
  </w:comment>
  <w:comment w:id="1" w:author="铭" w:date="2025-10-22T10:52:02Z" w:initials="">
    <w:p w14:paraId="08DD6D9D">
      <w:pPr>
        <w:pStyle w:val="10"/>
        <w:rPr>
          <w:rFonts w:hint="default" w:eastAsia="宋体"/>
          <w:lang w:val="en-US" w:eastAsia="zh-CN"/>
        </w:rPr>
      </w:pPr>
      <w:r>
        <w:rPr>
          <w:rFonts w:hint="eastAsia"/>
          <w:lang w:val="en-US" w:eastAsia="zh-CN"/>
        </w:rPr>
        <w:t>已核实，本项目生产废水排放量</w:t>
      </w:r>
    </w:p>
  </w:comment>
  <w:comment w:id="2" w:author="铭" w:date="2025-10-22T10:09:06Z" w:initials="">
    <w:p w14:paraId="544FC342">
      <w:pPr>
        <w:pStyle w:val="10"/>
        <w:rPr>
          <w:rFonts w:hint="default" w:eastAsia="宋体"/>
          <w:lang w:val="en-US" w:eastAsia="zh-CN"/>
        </w:rPr>
      </w:pPr>
      <w:r>
        <w:rPr>
          <w:rFonts w:hint="eastAsia"/>
          <w:lang w:val="en-US" w:eastAsia="zh-CN"/>
        </w:rPr>
        <w:t>已对防渗等级及防渗分区进行核实和修改</w:t>
      </w:r>
    </w:p>
  </w:comment>
  <w:comment w:id="3" w:author="铭" w:date="2025-10-22T10:07:35Z" w:initials="">
    <w:p w14:paraId="64E6B8D0">
      <w:pPr>
        <w:pStyle w:val="10"/>
        <w:rPr>
          <w:rFonts w:hint="default" w:eastAsia="宋体"/>
          <w:lang w:val="en-US" w:eastAsia="zh-CN"/>
        </w:rPr>
      </w:pPr>
      <w:r>
        <w:rPr>
          <w:rFonts w:hint="eastAsia"/>
          <w:lang w:val="en-US" w:eastAsia="zh-CN"/>
        </w:rPr>
        <w:t>已对防渗等级级防渗分区进行核实和修改</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0D56B2E3" w15:done="0"/>
  <w15:commentEx w15:paraId="08DD6D9D" w15:done="0"/>
  <w15:commentEx w15:paraId="544FC342" w15:done="0"/>
  <w15:commentEx w15:paraId="64E6B8D0"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3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B29CB32-7326-499E-9D08-F6BB0A73373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汉鼎简书宋">
    <w:altName w:val="宋体"/>
    <w:panose1 w:val="00000000000000000000"/>
    <w:charset w:val="86"/>
    <w:family w:val="moder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embedRegular r:id="rId2" w:fontKey="{787C1A58-3432-4B5D-B2E8-5CF6298A17B2}"/>
  </w:font>
  <w:font w:name="仿宋">
    <w:panose1 w:val="02010609060101010101"/>
    <w:charset w:val="86"/>
    <w:family w:val="modern"/>
    <w:pitch w:val="default"/>
    <w:sig w:usb0="800002BF" w:usb1="38CF7CFA" w:usb2="00000016" w:usb3="00000000" w:csb0="00040001" w:csb1="00000000"/>
    <w:embedRegular r:id="rId3" w:fontKey="{D9584B4E-3F30-42F9-8433-FA7CEE33A496}"/>
  </w:font>
  <w:font w:name="楷体_GB2312">
    <w:panose1 w:val="02010609030101010101"/>
    <w:charset w:val="86"/>
    <w:family w:val="modern"/>
    <w:pitch w:val="default"/>
    <w:sig w:usb0="00000001" w:usb1="080E0000" w:usb2="00000000" w:usb3="00000000" w:csb0="00040000" w:csb1="00000000"/>
    <w:embedRegular r:id="rId4" w:fontKey="{47ECFAA9-85F6-46E8-A248-321D1C0E9C6A}"/>
  </w:font>
  <w:font w:name="Wingdings 2">
    <w:panose1 w:val="05020102010507070707"/>
    <w:charset w:val="02"/>
    <w:family w:val="roman"/>
    <w:pitch w:val="default"/>
    <w:sig w:usb0="00000000" w:usb1="00000000" w:usb2="00000000" w:usb3="00000000" w:csb0="80000000" w:csb1="00000000"/>
    <w:embedRegular r:id="rId5" w:fontKey="{EF48F128-54BC-4FAB-837B-A4B7F7C8AEBE}"/>
  </w:font>
  <w:font w:name="TimesNewRomanPSMT">
    <w:altName w:val="Times New Roman"/>
    <w:panose1 w:val="00000000000000000000"/>
    <w:charset w:val="00"/>
    <w:family w:val="auto"/>
    <w:pitch w:val="default"/>
    <w:sig w:usb0="00000000" w:usb1="00000000" w:usb2="00000000" w:usb3="00000000" w:csb0="00040001" w:csb1="00000000"/>
    <w:embedRegular r:id="rId6" w:fontKey="{8EB35BEF-D09E-4FF3-BBAB-34F1DDB57D22}"/>
  </w:font>
  <w:font w:name="Cambria Math">
    <w:panose1 w:val="02040503050406030204"/>
    <w:charset w:val="00"/>
    <w:family w:val="roman"/>
    <w:pitch w:val="default"/>
    <w:sig w:usb0="E00006FF" w:usb1="420024FF" w:usb2="02000000" w:usb3="00000000" w:csb0="2000019F" w:csb1="00000000"/>
    <w:embedRegular r:id="rId7" w:fontKey="{77ABDBDE-E68B-4743-9C40-891B66AE9C48}"/>
  </w:font>
  <w:font w:name="微软雅黑">
    <w:panose1 w:val="020B0503020204020204"/>
    <w:charset w:val="86"/>
    <w:family w:val="auto"/>
    <w:pitch w:val="default"/>
    <w:sig w:usb0="80000287" w:usb1="2ACF3C50" w:usb2="00000016" w:usb3="00000000" w:csb0="0004001F" w:csb1="00000000"/>
    <w:embedRegular r:id="rId8" w:fontKey="{D4AFA697-AF00-423A-9CEE-69481635B6AD}"/>
  </w:font>
  <w:font w:name="方正小标宋_GBK">
    <w:panose1 w:val="02000000000000000000"/>
    <w:charset w:val="86"/>
    <w:family w:val="script"/>
    <w:pitch w:val="default"/>
    <w:sig w:usb0="A00002BF" w:usb1="38CF7CFA" w:usb2="00082016" w:usb3="00000000" w:csb0="00040001" w:csb1="00000000"/>
    <w:embedRegular r:id="rId9" w:fontKey="{520468F3-58E4-47B9-8707-C8EA55EB40BD}"/>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E540AE">
    <w:pPr>
      <w:pStyle w:val="17"/>
      <w:ind w:right="360"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D14E00">
    <w:pPr>
      <w:pStyle w:val="17"/>
      <w:framePr w:wrap="around" w:vAnchor="text" w:hAnchor="margin" w:xAlign="center" w:y="1"/>
      <w:rPr>
        <w:rStyle w:val="35"/>
      </w:rPr>
    </w:pPr>
    <w:r>
      <w:fldChar w:fldCharType="begin"/>
    </w:r>
    <w:r>
      <w:rPr>
        <w:rStyle w:val="35"/>
      </w:rPr>
      <w:instrText xml:space="preserve">PAGE  </w:instrText>
    </w:r>
    <w:r>
      <w:fldChar w:fldCharType="end"/>
    </w:r>
  </w:p>
  <w:p w14:paraId="2D9DA4A7">
    <w:pPr>
      <w:pStyle w:val="17"/>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69704159"/>
    </w:sdtPr>
    <w:sdtContent>
      <w:p w14:paraId="07A8894A">
        <w:pPr>
          <w:pStyle w:val="17"/>
          <w:jc w:val="center"/>
        </w:pPr>
        <w:r>
          <w:rPr>
            <w:rFonts w:hint="eastAsia"/>
          </w:rPr>
          <w:t>第</w:t>
        </w:r>
        <w:r>
          <w:fldChar w:fldCharType="begin"/>
        </w:r>
        <w:r>
          <w:instrText xml:space="preserve">PAGE   \* MERGEFORMAT</w:instrText>
        </w:r>
        <w:r>
          <w:fldChar w:fldCharType="separate"/>
        </w:r>
        <w:r>
          <w:rPr>
            <w:lang w:val="zh-CN"/>
          </w:rPr>
          <w:t>54</w:t>
        </w:r>
        <w:r>
          <w:fldChar w:fldCharType="end"/>
        </w:r>
        <w:r>
          <w:rPr>
            <w:rFonts w:hint="eastAsia"/>
          </w:rPr>
          <w:t>页</w: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78001221"/>
    </w:sdtPr>
    <w:sdtContent>
      <w:p w14:paraId="662E36BE">
        <w:pPr>
          <w:pStyle w:val="17"/>
          <w:jc w:val="center"/>
        </w:pPr>
        <w:r>
          <w:rPr>
            <w:rFonts w:hint="eastAsia"/>
          </w:rPr>
          <w:t>第</w:t>
        </w:r>
        <w:r>
          <w:fldChar w:fldCharType="begin"/>
        </w:r>
        <w:r>
          <w:instrText xml:space="preserve">PAGE   \* MERGEFORMAT</w:instrText>
        </w:r>
        <w:r>
          <w:fldChar w:fldCharType="separate"/>
        </w:r>
        <w:r>
          <w:rPr>
            <w:lang w:val="zh-CN"/>
          </w:rPr>
          <w:t>60</w:t>
        </w:r>
        <w:r>
          <w:fldChar w:fldCharType="end"/>
        </w:r>
        <w:r>
          <w:rPr>
            <w:rFonts w:hint="eastAsia"/>
          </w:rPr>
          <w:t>页</w:t>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E4AC70">
    <w:pPr>
      <w:pStyle w:val="27"/>
      <w:spacing w:after="12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57F9B4"/>
    <w:multiLevelType w:val="singleLevel"/>
    <w:tmpl w:val="9457F9B4"/>
    <w:lvl w:ilvl="0" w:tentative="0">
      <w:start w:val="1"/>
      <w:numFmt w:val="chineseCounting"/>
      <w:suff w:val="nothing"/>
      <w:lvlText w:val="%1、"/>
      <w:lvlJc w:val="left"/>
      <w:rPr>
        <w:rFonts w:hint="eastAsia"/>
      </w:rPr>
    </w:lvl>
  </w:abstractNum>
  <w:abstractNum w:abstractNumId="1">
    <w:nsid w:val="D6A5B244"/>
    <w:multiLevelType w:val="singleLevel"/>
    <w:tmpl w:val="D6A5B244"/>
    <w:lvl w:ilvl="0" w:tentative="0">
      <w:start w:val="2"/>
      <w:numFmt w:val="decimal"/>
      <w:suff w:val="nothing"/>
      <w:lvlText w:val="%1、"/>
      <w:lvlJc w:val="left"/>
    </w:lvl>
  </w:abstractNum>
  <w:abstractNum w:abstractNumId="2">
    <w:nsid w:val="FCF450F8"/>
    <w:multiLevelType w:val="singleLevel"/>
    <w:tmpl w:val="FCF450F8"/>
    <w:lvl w:ilvl="0" w:tentative="0">
      <w:start w:val="1"/>
      <w:numFmt w:val="decimal"/>
      <w:suff w:val="nothing"/>
      <w:lvlText w:val="（%1）"/>
      <w:lvlJc w:val="left"/>
      <w:pPr>
        <w:ind w:left="360"/>
      </w:pPr>
    </w:lvl>
  </w:abstractNum>
  <w:abstractNum w:abstractNumId="3">
    <w:nsid w:val="04CC4A8E"/>
    <w:multiLevelType w:val="singleLevel"/>
    <w:tmpl w:val="04CC4A8E"/>
    <w:lvl w:ilvl="0" w:tentative="0">
      <w:start w:val="1"/>
      <w:numFmt w:val="decimal"/>
      <w:suff w:val="nothing"/>
      <w:lvlText w:val="%1、"/>
      <w:lvlJc w:val="left"/>
    </w:lvl>
  </w:abstractNum>
  <w:abstractNum w:abstractNumId="4">
    <w:nsid w:val="2DDA35C4"/>
    <w:multiLevelType w:val="singleLevel"/>
    <w:tmpl w:val="2DDA35C4"/>
    <w:lvl w:ilvl="0" w:tentative="0">
      <w:start w:val="3"/>
      <w:numFmt w:val="decimal"/>
      <w:suff w:val="nothing"/>
      <w:lvlText w:val="%1、"/>
      <w:lvlJc w:val="left"/>
    </w:lvl>
  </w:abstractNum>
  <w:num w:numId="1">
    <w:abstractNumId w:val="3"/>
  </w:num>
  <w:num w:numId="2">
    <w:abstractNumId w:val="4"/>
  </w:num>
  <w:num w:numId="3">
    <w:abstractNumId w:val="1"/>
  </w:num>
  <w:num w:numId="4">
    <w:abstractNumId w:val="0"/>
  </w:num>
  <w:num w:numId="5">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铭">
    <w15:presenceInfo w15:providerId="WPS Office" w15:userId="235824186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dit="trackedChanges" w:enforcement="0"/>
  <w:defaultTabStop w:val="420"/>
  <w:displayHorizontalDrawingGridEvery w:val="1"/>
  <w:displayVerticalDrawingGridEvery w:val="1"/>
  <w:noPunctuationKerning w:val="1"/>
  <w:characterSpacingControl w:val="doNotCompress"/>
  <w:noLineBreaksAfter w:lang="zh-CN" w:val="([{·‘“〈《「『【〔〖（．［｛￡￥"/>
  <w:noLineBreaksBefore w:lang="zh-CN" w:val="!),.:;?]}¨·ˇˉ―‖’”…∶、。〃々〉》」』】〕〗！＂＇），．：；？］｀｜｝～￠"/>
  <w:compat>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E4MWM0ODg0ZTg2MDc5ZTQyYThlNDc4YzYzMzc1MTYifQ=="/>
  </w:docVars>
  <w:rsids>
    <w:rsidRoot w:val="00A14947"/>
    <w:rsid w:val="000006B5"/>
    <w:rsid w:val="000019B3"/>
    <w:rsid w:val="000022EB"/>
    <w:rsid w:val="000060B3"/>
    <w:rsid w:val="00011D2B"/>
    <w:rsid w:val="00014436"/>
    <w:rsid w:val="00016875"/>
    <w:rsid w:val="000169EB"/>
    <w:rsid w:val="00021C71"/>
    <w:rsid w:val="00021C75"/>
    <w:rsid w:val="00022B5E"/>
    <w:rsid w:val="00023A17"/>
    <w:rsid w:val="00025294"/>
    <w:rsid w:val="000338DE"/>
    <w:rsid w:val="00034E36"/>
    <w:rsid w:val="00035C66"/>
    <w:rsid w:val="0004364B"/>
    <w:rsid w:val="00047DFE"/>
    <w:rsid w:val="00061B1F"/>
    <w:rsid w:val="0006330A"/>
    <w:rsid w:val="00065AA5"/>
    <w:rsid w:val="00065EA5"/>
    <w:rsid w:val="00066B42"/>
    <w:rsid w:val="000733C4"/>
    <w:rsid w:val="00074783"/>
    <w:rsid w:val="00075083"/>
    <w:rsid w:val="000773CC"/>
    <w:rsid w:val="0008070B"/>
    <w:rsid w:val="000810AC"/>
    <w:rsid w:val="00081A02"/>
    <w:rsid w:val="00082231"/>
    <w:rsid w:val="000876D7"/>
    <w:rsid w:val="00092D38"/>
    <w:rsid w:val="0009377B"/>
    <w:rsid w:val="00095025"/>
    <w:rsid w:val="000960AD"/>
    <w:rsid w:val="00097DD0"/>
    <w:rsid w:val="000A20C9"/>
    <w:rsid w:val="000A311D"/>
    <w:rsid w:val="000B058F"/>
    <w:rsid w:val="000B4467"/>
    <w:rsid w:val="000B4DB9"/>
    <w:rsid w:val="000C09AC"/>
    <w:rsid w:val="000C3B3A"/>
    <w:rsid w:val="000C767F"/>
    <w:rsid w:val="000D0D7C"/>
    <w:rsid w:val="000D147C"/>
    <w:rsid w:val="000D2EA0"/>
    <w:rsid w:val="000D30BF"/>
    <w:rsid w:val="000D5A44"/>
    <w:rsid w:val="000D6C85"/>
    <w:rsid w:val="000D7884"/>
    <w:rsid w:val="000E0975"/>
    <w:rsid w:val="000E0F2D"/>
    <w:rsid w:val="000E17BD"/>
    <w:rsid w:val="000E3A8E"/>
    <w:rsid w:val="000E3ED2"/>
    <w:rsid w:val="000E58AE"/>
    <w:rsid w:val="000E750C"/>
    <w:rsid w:val="000E7688"/>
    <w:rsid w:val="000E7934"/>
    <w:rsid w:val="000F0AF3"/>
    <w:rsid w:val="000F671D"/>
    <w:rsid w:val="00100D6D"/>
    <w:rsid w:val="00100EFC"/>
    <w:rsid w:val="00102FBB"/>
    <w:rsid w:val="001052A8"/>
    <w:rsid w:val="001060D1"/>
    <w:rsid w:val="00110B0A"/>
    <w:rsid w:val="00114CC7"/>
    <w:rsid w:val="001155CC"/>
    <w:rsid w:val="00126674"/>
    <w:rsid w:val="00127F3A"/>
    <w:rsid w:val="00131F42"/>
    <w:rsid w:val="001357F1"/>
    <w:rsid w:val="00140FA8"/>
    <w:rsid w:val="00142FEB"/>
    <w:rsid w:val="00143A2D"/>
    <w:rsid w:val="00145A41"/>
    <w:rsid w:val="00150F76"/>
    <w:rsid w:val="00151675"/>
    <w:rsid w:val="00151BD4"/>
    <w:rsid w:val="0015452A"/>
    <w:rsid w:val="00155F43"/>
    <w:rsid w:val="00157435"/>
    <w:rsid w:val="00160D8C"/>
    <w:rsid w:val="0016268A"/>
    <w:rsid w:val="001627C5"/>
    <w:rsid w:val="001636A7"/>
    <w:rsid w:val="00165DF1"/>
    <w:rsid w:val="00167286"/>
    <w:rsid w:val="001714FE"/>
    <w:rsid w:val="0017339C"/>
    <w:rsid w:val="0017504D"/>
    <w:rsid w:val="0017671A"/>
    <w:rsid w:val="001770BB"/>
    <w:rsid w:val="00177422"/>
    <w:rsid w:val="0018419A"/>
    <w:rsid w:val="00184590"/>
    <w:rsid w:val="001870D1"/>
    <w:rsid w:val="0018781E"/>
    <w:rsid w:val="00191848"/>
    <w:rsid w:val="0019262D"/>
    <w:rsid w:val="00192B00"/>
    <w:rsid w:val="00195F0F"/>
    <w:rsid w:val="001A1B35"/>
    <w:rsid w:val="001A1EC3"/>
    <w:rsid w:val="001A48A2"/>
    <w:rsid w:val="001A6F61"/>
    <w:rsid w:val="001A7F39"/>
    <w:rsid w:val="001B2038"/>
    <w:rsid w:val="001B72B8"/>
    <w:rsid w:val="001C4998"/>
    <w:rsid w:val="001C5553"/>
    <w:rsid w:val="001C69B3"/>
    <w:rsid w:val="001D1529"/>
    <w:rsid w:val="001D1AF3"/>
    <w:rsid w:val="001D2AC8"/>
    <w:rsid w:val="001D5595"/>
    <w:rsid w:val="001D7874"/>
    <w:rsid w:val="001D7F22"/>
    <w:rsid w:val="001E37C2"/>
    <w:rsid w:val="001F0B9D"/>
    <w:rsid w:val="001F0F17"/>
    <w:rsid w:val="001F3347"/>
    <w:rsid w:val="001F4923"/>
    <w:rsid w:val="001F6138"/>
    <w:rsid w:val="001F69E4"/>
    <w:rsid w:val="00201B57"/>
    <w:rsid w:val="00204BFD"/>
    <w:rsid w:val="002050A6"/>
    <w:rsid w:val="002059A7"/>
    <w:rsid w:val="002125B4"/>
    <w:rsid w:val="002155B8"/>
    <w:rsid w:val="00217BFD"/>
    <w:rsid w:val="0022104F"/>
    <w:rsid w:val="002223EE"/>
    <w:rsid w:val="002236EB"/>
    <w:rsid w:val="00224839"/>
    <w:rsid w:val="002249B2"/>
    <w:rsid w:val="00226574"/>
    <w:rsid w:val="00227771"/>
    <w:rsid w:val="002278EC"/>
    <w:rsid w:val="0023280E"/>
    <w:rsid w:val="0023554D"/>
    <w:rsid w:val="002377D1"/>
    <w:rsid w:val="002402DB"/>
    <w:rsid w:val="0024446B"/>
    <w:rsid w:val="00246A6C"/>
    <w:rsid w:val="002506BC"/>
    <w:rsid w:val="00251E3A"/>
    <w:rsid w:val="00254345"/>
    <w:rsid w:val="002619F0"/>
    <w:rsid w:val="00264557"/>
    <w:rsid w:val="00264C0D"/>
    <w:rsid w:val="00275B90"/>
    <w:rsid w:val="00277E7B"/>
    <w:rsid w:val="002805AB"/>
    <w:rsid w:val="002805EF"/>
    <w:rsid w:val="00284204"/>
    <w:rsid w:val="00284C93"/>
    <w:rsid w:val="0028749D"/>
    <w:rsid w:val="002904C4"/>
    <w:rsid w:val="00291773"/>
    <w:rsid w:val="00291786"/>
    <w:rsid w:val="00293A08"/>
    <w:rsid w:val="00296512"/>
    <w:rsid w:val="002A13B2"/>
    <w:rsid w:val="002A168C"/>
    <w:rsid w:val="002A3DC7"/>
    <w:rsid w:val="002A76C4"/>
    <w:rsid w:val="002B0C07"/>
    <w:rsid w:val="002B3B36"/>
    <w:rsid w:val="002B49E2"/>
    <w:rsid w:val="002B5AA4"/>
    <w:rsid w:val="002B7B00"/>
    <w:rsid w:val="002B7C44"/>
    <w:rsid w:val="002C0F98"/>
    <w:rsid w:val="002C2B17"/>
    <w:rsid w:val="002C2F9D"/>
    <w:rsid w:val="002C5D3C"/>
    <w:rsid w:val="002C7870"/>
    <w:rsid w:val="002C78E2"/>
    <w:rsid w:val="002D2034"/>
    <w:rsid w:val="002D3DD0"/>
    <w:rsid w:val="002E1F3A"/>
    <w:rsid w:val="002E20B1"/>
    <w:rsid w:val="002E298A"/>
    <w:rsid w:val="002F10DE"/>
    <w:rsid w:val="002F3094"/>
    <w:rsid w:val="00301978"/>
    <w:rsid w:val="00301F21"/>
    <w:rsid w:val="0030332C"/>
    <w:rsid w:val="003051C2"/>
    <w:rsid w:val="00305B65"/>
    <w:rsid w:val="00312296"/>
    <w:rsid w:val="00312B4E"/>
    <w:rsid w:val="00314102"/>
    <w:rsid w:val="00314F0E"/>
    <w:rsid w:val="00321D8E"/>
    <w:rsid w:val="00325928"/>
    <w:rsid w:val="00330C31"/>
    <w:rsid w:val="00331681"/>
    <w:rsid w:val="00331C57"/>
    <w:rsid w:val="00332863"/>
    <w:rsid w:val="00332C1E"/>
    <w:rsid w:val="003350B1"/>
    <w:rsid w:val="00335E57"/>
    <w:rsid w:val="0033684D"/>
    <w:rsid w:val="00337B42"/>
    <w:rsid w:val="00341B42"/>
    <w:rsid w:val="0034348F"/>
    <w:rsid w:val="00344F15"/>
    <w:rsid w:val="00345418"/>
    <w:rsid w:val="00356653"/>
    <w:rsid w:val="0035743F"/>
    <w:rsid w:val="00357BE2"/>
    <w:rsid w:val="00360029"/>
    <w:rsid w:val="0036170C"/>
    <w:rsid w:val="00361890"/>
    <w:rsid w:val="00361C70"/>
    <w:rsid w:val="003627C8"/>
    <w:rsid w:val="00366E0F"/>
    <w:rsid w:val="00371DC1"/>
    <w:rsid w:val="00374250"/>
    <w:rsid w:val="00381A72"/>
    <w:rsid w:val="00384676"/>
    <w:rsid w:val="00390857"/>
    <w:rsid w:val="00392602"/>
    <w:rsid w:val="00394BD5"/>
    <w:rsid w:val="00394D30"/>
    <w:rsid w:val="00395A08"/>
    <w:rsid w:val="00395EFF"/>
    <w:rsid w:val="003A0317"/>
    <w:rsid w:val="003A4BF3"/>
    <w:rsid w:val="003A599D"/>
    <w:rsid w:val="003B298A"/>
    <w:rsid w:val="003B420D"/>
    <w:rsid w:val="003B63BD"/>
    <w:rsid w:val="003C0DF1"/>
    <w:rsid w:val="003C6C16"/>
    <w:rsid w:val="003D794D"/>
    <w:rsid w:val="003E1F13"/>
    <w:rsid w:val="003E3058"/>
    <w:rsid w:val="003E5832"/>
    <w:rsid w:val="003E76A9"/>
    <w:rsid w:val="003F0809"/>
    <w:rsid w:val="003F4813"/>
    <w:rsid w:val="003F6A8C"/>
    <w:rsid w:val="003F755C"/>
    <w:rsid w:val="00401563"/>
    <w:rsid w:val="00406F01"/>
    <w:rsid w:val="00407C42"/>
    <w:rsid w:val="00411DD9"/>
    <w:rsid w:val="0041389D"/>
    <w:rsid w:val="00416D50"/>
    <w:rsid w:val="00416E82"/>
    <w:rsid w:val="00416FD5"/>
    <w:rsid w:val="00417756"/>
    <w:rsid w:val="00417772"/>
    <w:rsid w:val="00420E6A"/>
    <w:rsid w:val="00425A9E"/>
    <w:rsid w:val="00426644"/>
    <w:rsid w:val="00426D6B"/>
    <w:rsid w:val="004271E2"/>
    <w:rsid w:val="00431E6C"/>
    <w:rsid w:val="00432982"/>
    <w:rsid w:val="00433CE7"/>
    <w:rsid w:val="004368F4"/>
    <w:rsid w:val="0044067B"/>
    <w:rsid w:val="00440847"/>
    <w:rsid w:val="004416A2"/>
    <w:rsid w:val="0044183F"/>
    <w:rsid w:val="0044453A"/>
    <w:rsid w:val="004447F4"/>
    <w:rsid w:val="00445E22"/>
    <w:rsid w:val="004479E5"/>
    <w:rsid w:val="0045120B"/>
    <w:rsid w:val="00452738"/>
    <w:rsid w:val="00453C1D"/>
    <w:rsid w:val="00456091"/>
    <w:rsid w:val="0046462A"/>
    <w:rsid w:val="00466321"/>
    <w:rsid w:val="004668FD"/>
    <w:rsid w:val="004704B3"/>
    <w:rsid w:val="004828F8"/>
    <w:rsid w:val="00484B9B"/>
    <w:rsid w:val="004853A0"/>
    <w:rsid w:val="004855F6"/>
    <w:rsid w:val="0048661E"/>
    <w:rsid w:val="0049147E"/>
    <w:rsid w:val="0049223B"/>
    <w:rsid w:val="004928F7"/>
    <w:rsid w:val="004931CB"/>
    <w:rsid w:val="00494670"/>
    <w:rsid w:val="00497C7B"/>
    <w:rsid w:val="004A0808"/>
    <w:rsid w:val="004A2A36"/>
    <w:rsid w:val="004A3823"/>
    <w:rsid w:val="004A5BD9"/>
    <w:rsid w:val="004B2C62"/>
    <w:rsid w:val="004B30D9"/>
    <w:rsid w:val="004C08C8"/>
    <w:rsid w:val="004C1EF6"/>
    <w:rsid w:val="004D676D"/>
    <w:rsid w:val="004D7F71"/>
    <w:rsid w:val="004E6946"/>
    <w:rsid w:val="004F14CB"/>
    <w:rsid w:val="004F1AD8"/>
    <w:rsid w:val="004F1E05"/>
    <w:rsid w:val="0050333B"/>
    <w:rsid w:val="005039CB"/>
    <w:rsid w:val="0050558F"/>
    <w:rsid w:val="00505B37"/>
    <w:rsid w:val="00506286"/>
    <w:rsid w:val="0050638A"/>
    <w:rsid w:val="00510813"/>
    <w:rsid w:val="00511990"/>
    <w:rsid w:val="00511DE0"/>
    <w:rsid w:val="00513271"/>
    <w:rsid w:val="00514152"/>
    <w:rsid w:val="00514870"/>
    <w:rsid w:val="00514B9B"/>
    <w:rsid w:val="00514F06"/>
    <w:rsid w:val="00517A28"/>
    <w:rsid w:val="00517F02"/>
    <w:rsid w:val="00522102"/>
    <w:rsid w:val="00524303"/>
    <w:rsid w:val="005258A2"/>
    <w:rsid w:val="005271CA"/>
    <w:rsid w:val="005274EF"/>
    <w:rsid w:val="005276A4"/>
    <w:rsid w:val="005357AB"/>
    <w:rsid w:val="005401AE"/>
    <w:rsid w:val="00542E07"/>
    <w:rsid w:val="00543679"/>
    <w:rsid w:val="00545424"/>
    <w:rsid w:val="005514B2"/>
    <w:rsid w:val="00552E02"/>
    <w:rsid w:val="005547D7"/>
    <w:rsid w:val="00554A7B"/>
    <w:rsid w:val="0055572C"/>
    <w:rsid w:val="005569B5"/>
    <w:rsid w:val="0056106A"/>
    <w:rsid w:val="005632B8"/>
    <w:rsid w:val="005720AE"/>
    <w:rsid w:val="00577CE3"/>
    <w:rsid w:val="00580DCD"/>
    <w:rsid w:val="00585E33"/>
    <w:rsid w:val="00594D77"/>
    <w:rsid w:val="00594E03"/>
    <w:rsid w:val="005969E4"/>
    <w:rsid w:val="00597FAF"/>
    <w:rsid w:val="005A06B7"/>
    <w:rsid w:val="005A1741"/>
    <w:rsid w:val="005A1759"/>
    <w:rsid w:val="005A64C3"/>
    <w:rsid w:val="005A68A7"/>
    <w:rsid w:val="005A6CF2"/>
    <w:rsid w:val="005B0728"/>
    <w:rsid w:val="005B20FB"/>
    <w:rsid w:val="005B6407"/>
    <w:rsid w:val="005D03F9"/>
    <w:rsid w:val="005D0B6D"/>
    <w:rsid w:val="005D36AB"/>
    <w:rsid w:val="005D6CEE"/>
    <w:rsid w:val="005E613D"/>
    <w:rsid w:val="005F20A8"/>
    <w:rsid w:val="005F77A6"/>
    <w:rsid w:val="00600310"/>
    <w:rsid w:val="0060280A"/>
    <w:rsid w:val="00602DF7"/>
    <w:rsid w:val="006100AD"/>
    <w:rsid w:val="006169EA"/>
    <w:rsid w:val="00617CC3"/>
    <w:rsid w:val="006310BE"/>
    <w:rsid w:val="00636BDF"/>
    <w:rsid w:val="006377A6"/>
    <w:rsid w:val="00637A3D"/>
    <w:rsid w:val="006411EF"/>
    <w:rsid w:val="00660B7A"/>
    <w:rsid w:val="006616DA"/>
    <w:rsid w:val="00665728"/>
    <w:rsid w:val="00667472"/>
    <w:rsid w:val="00670D02"/>
    <w:rsid w:val="0067130F"/>
    <w:rsid w:val="006748B8"/>
    <w:rsid w:val="006775C3"/>
    <w:rsid w:val="006847B7"/>
    <w:rsid w:val="0068626A"/>
    <w:rsid w:val="0069231F"/>
    <w:rsid w:val="0069290A"/>
    <w:rsid w:val="0069578A"/>
    <w:rsid w:val="0069775A"/>
    <w:rsid w:val="00697813"/>
    <w:rsid w:val="006A0DBB"/>
    <w:rsid w:val="006A3EE8"/>
    <w:rsid w:val="006A72BF"/>
    <w:rsid w:val="006B03F2"/>
    <w:rsid w:val="006B2A31"/>
    <w:rsid w:val="006B37DC"/>
    <w:rsid w:val="006B4AE7"/>
    <w:rsid w:val="006B4F68"/>
    <w:rsid w:val="006B4F89"/>
    <w:rsid w:val="006B5BCC"/>
    <w:rsid w:val="006B67C0"/>
    <w:rsid w:val="006B769B"/>
    <w:rsid w:val="006C0592"/>
    <w:rsid w:val="006C1466"/>
    <w:rsid w:val="006C272E"/>
    <w:rsid w:val="006C3ABC"/>
    <w:rsid w:val="006C5479"/>
    <w:rsid w:val="006D13B5"/>
    <w:rsid w:val="006E12FF"/>
    <w:rsid w:val="006E41F6"/>
    <w:rsid w:val="006E607E"/>
    <w:rsid w:val="006F14D3"/>
    <w:rsid w:val="006F773B"/>
    <w:rsid w:val="007006F1"/>
    <w:rsid w:val="00702DC9"/>
    <w:rsid w:val="00704D7A"/>
    <w:rsid w:val="00705DC7"/>
    <w:rsid w:val="00706C5D"/>
    <w:rsid w:val="00710278"/>
    <w:rsid w:val="00711339"/>
    <w:rsid w:val="00714655"/>
    <w:rsid w:val="00717726"/>
    <w:rsid w:val="0072034E"/>
    <w:rsid w:val="007270F2"/>
    <w:rsid w:val="00731222"/>
    <w:rsid w:val="007315D9"/>
    <w:rsid w:val="00732922"/>
    <w:rsid w:val="00733A75"/>
    <w:rsid w:val="007347B0"/>
    <w:rsid w:val="00735C82"/>
    <w:rsid w:val="00741ECF"/>
    <w:rsid w:val="007444AB"/>
    <w:rsid w:val="0075162E"/>
    <w:rsid w:val="00752B81"/>
    <w:rsid w:val="00754034"/>
    <w:rsid w:val="007558B7"/>
    <w:rsid w:val="007560D3"/>
    <w:rsid w:val="00756556"/>
    <w:rsid w:val="00757006"/>
    <w:rsid w:val="00757A97"/>
    <w:rsid w:val="007618C4"/>
    <w:rsid w:val="0076244E"/>
    <w:rsid w:val="0076249B"/>
    <w:rsid w:val="00765F08"/>
    <w:rsid w:val="00767658"/>
    <w:rsid w:val="00767863"/>
    <w:rsid w:val="00767980"/>
    <w:rsid w:val="007702C3"/>
    <w:rsid w:val="007707BD"/>
    <w:rsid w:val="00770B19"/>
    <w:rsid w:val="0077463F"/>
    <w:rsid w:val="00774D25"/>
    <w:rsid w:val="00781EF2"/>
    <w:rsid w:val="007836EA"/>
    <w:rsid w:val="00784CDA"/>
    <w:rsid w:val="007906C4"/>
    <w:rsid w:val="007930E3"/>
    <w:rsid w:val="007931D3"/>
    <w:rsid w:val="007940EA"/>
    <w:rsid w:val="007960EA"/>
    <w:rsid w:val="007967E8"/>
    <w:rsid w:val="007968F9"/>
    <w:rsid w:val="007A0023"/>
    <w:rsid w:val="007A2170"/>
    <w:rsid w:val="007A22BF"/>
    <w:rsid w:val="007A3323"/>
    <w:rsid w:val="007A40A6"/>
    <w:rsid w:val="007B417F"/>
    <w:rsid w:val="007B4F64"/>
    <w:rsid w:val="007B72B8"/>
    <w:rsid w:val="007B7A58"/>
    <w:rsid w:val="007C0424"/>
    <w:rsid w:val="007C21B5"/>
    <w:rsid w:val="007C2EB1"/>
    <w:rsid w:val="007C5C18"/>
    <w:rsid w:val="007C6D6A"/>
    <w:rsid w:val="007D78F1"/>
    <w:rsid w:val="007E4BD2"/>
    <w:rsid w:val="007F0EB4"/>
    <w:rsid w:val="007F1619"/>
    <w:rsid w:val="00801393"/>
    <w:rsid w:val="00802F88"/>
    <w:rsid w:val="008102F1"/>
    <w:rsid w:val="0081293E"/>
    <w:rsid w:val="00813613"/>
    <w:rsid w:val="00814549"/>
    <w:rsid w:val="00815465"/>
    <w:rsid w:val="00816A7D"/>
    <w:rsid w:val="0081775B"/>
    <w:rsid w:val="00817E9A"/>
    <w:rsid w:val="00820455"/>
    <w:rsid w:val="00820AA7"/>
    <w:rsid w:val="008214C0"/>
    <w:rsid w:val="00826EAA"/>
    <w:rsid w:val="008306BD"/>
    <w:rsid w:val="00831A80"/>
    <w:rsid w:val="0083258A"/>
    <w:rsid w:val="00833743"/>
    <w:rsid w:val="0083390B"/>
    <w:rsid w:val="008340A4"/>
    <w:rsid w:val="008409F8"/>
    <w:rsid w:val="008415E0"/>
    <w:rsid w:val="00841884"/>
    <w:rsid w:val="00855231"/>
    <w:rsid w:val="0086451F"/>
    <w:rsid w:val="0087135F"/>
    <w:rsid w:val="00872B2C"/>
    <w:rsid w:val="00872D94"/>
    <w:rsid w:val="00873198"/>
    <w:rsid w:val="00876246"/>
    <w:rsid w:val="00880364"/>
    <w:rsid w:val="00885AE2"/>
    <w:rsid w:val="00890207"/>
    <w:rsid w:val="00891592"/>
    <w:rsid w:val="00891E9E"/>
    <w:rsid w:val="00892484"/>
    <w:rsid w:val="008A03FB"/>
    <w:rsid w:val="008A2F68"/>
    <w:rsid w:val="008A34E0"/>
    <w:rsid w:val="008A3AB4"/>
    <w:rsid w:val="008A70BE"/>
    <w:rsid w:val="008B4874"/>
    <w:rsid w:val="008B4FA6"/>
    <w:rsid w:val="008B5282"/>
    <w:rsid w:val="008B5AF3"/>
    <w:rsid w:val="008B7425"/>
    <w:rsid w:val="008B7B9A"/>
    <w:rsid w:val="008B7C17"/>
    <w:rsid w:val="008C018F"/>
    <w:rsid w:val="008C2879"/>
    <w:rsid w:val="008C2D01"/>
    <w:rsid w:val="008C40E6"/>
    <w:rsid w:val="008C4705"/>
    <w:rsid w:val="008C6CE0"/>
    <w:rsid w:val="008D0C6E"/>
    <w:rsid w:val="008D0F7A"/>
    <w:rsid w:val="008D68E4"/>
    <w:rsid w:val="008D7DA9"/>
    <w:rsid w:val="008E0506"/>
    <w:rsid w:val="008E0CFF"/>
    <w:rsid w:val="008E34FA"/>
    <w:rsid w:val="008E42E2"/>
    <w:rsid w:val="008E5D6B"/>
    <w:rsid w:val="008E76F0"/>
    <w:rsid w:val="008E7F23"/>
    <w:rsid w:val="008F15FE"/>
    <w:rsid w:val="008F2D29"/>
    <w:rsid w:val="008F33D9"/>
    <w:rsid w:val="008F4965"/>
    <w:rsid w:val="008F5175"/>
    <w:rsid w:val="008F5187"/>
    <w:rsid w:val="008F558D"/>
    <w:rsid w:val="008F60D8"/>
    <w:rsid w:val="008F7A7C"/>
    <w:rsid w:val="009024EE"/>
    <w:rsid w:val="00902727"/>
    <w:rsid w:val="0090312B"/>
    <w:rsid w:val="00903179"/>
    <w:rsid w:val="009043CD"/>
    <w:rsid w:val="00905DEA"/>
    <w:rsid w:val="00915A10"/>
    <w:rsid w:val="00916E1D"/>
    <w:rsid w:val="0091736D"/>
    <w:rsid w:val="00921796"/>
    <w:rsid w:val="0093037A"/>
    <w:rsid w:val="0093230A"/>
    <w:rsid w:val="00933E5F"/>
    <w:rsid w:val="009357B0"/>
    <w:rsid w:val="00940E4A"/>
    <w:rsid w:val="0094154D"/>
    <w:rsid w:val="0094319D"/>
    <w:rsid w:val="00945271"/>
    <w:rsid w:val="0094713B"/>
    <w:rsid w:val="00947D4D"/>
    <w:rsid w:val="0095155F"/>
    <w:rsid w:val="009542F5"/>
    <w:rsid w:val="00954429"/>
    <w:rsid w:val="009563CE"/>
    <w:rsid w:val="00960853"/>
    <w:rsid w:val="009634EC"/>
    <w:rsid w:val="00971F54"/>
    <w:rsid w:val="00976328"/>
    <w:rsid w:val="009766F1"/>
    <w:rsid w:val="0097680D"/>
    <w:rsid w:val="00982438"/>
    <w:rsid w:val="0098404C"/>
    <w:rsid w:val="00985283"/>
    <w:rsid w:val="00986014"/>
    <w:rsid w:val="009909CE"/>
    <w:rsid w:val="00990E99"/>
    <w:rsid w:val="00992CED"/>
    <w:rsid w:val="00995046"/>
    <w:rsid w:val="00995992"/>
    <w:rsid w:val="00997E56"/>
    <w:rsid w:val="009A03E5"/>
    <w:rsid w:val="009A0B23"/>
    <w:rsid w:val="009A0F3B"/>
    <w:rsid w:val="009A1BB4"/>
    <w:rsid w:val="009A2628"/>
    <w:rsid w:val="009A27B0"/>
    <w:rsid w:val="009A3200"/>
    <w:rsid w:val="009B0897"/>
    <w:rsid w:val="009B0C6C"/>
    <w:rsid w:val="009B1F02"/>
    <w:rsid w:val="009B7BD9"/>
    <w:rsid w:val="009C077E"/>
    <w:rsid w:val="009C18FA"/>
    <w:rsid w:val="009C292B"/>
    <w:rsid w:val="009C7DD5"/>
    <w:rsid w:val="009D235A"/>
    <w:rsid w:val="009D7AC6"/>
    <w:rsid w:val="009E227D"/>
    <w:rsid w:val="009E5019"/>
    <w:rsid w:val="009F0C99"/>
    <w:rsid w:val="009F26CF"/>
    <w:rsid w:val="009F427B"/>
    <w:rsid w:val="009F4577"/>
    <w:rsid w:val="009F5121"/>
    <w:rsid w:val="00A04241"/>
    <w:rsid w:val="00A04F1B"/>
    <w:rsid w:val="00A0501B"/>
    <w:rsid w:val="00A11160"/>
    <w:rsid w:val="00A12C72"/>
    <w:rsid w:val="00A13A6C"/>
    <w:rsid w:val="00A143EC"/>
    <w:rsid w:val="00A14947"/>
    <w:rsid w:val="00A14F74"/>
    <w:rsid w:val="00A237CD"/>
    <w:rsid w:val="00A23F1F"/>
    <w:rsid w:val="00A242FE"/>
    <w:rsid w:val="00A25165"/>
    <w:rsid w:val="00A2636A"/>
    <w:rsid w:val="00A32A83"/>
    <w:rsid w:val="00A35AE7"/>
    <w:rsid w:val="00A368DB"/>
    <w:rsid w:val="00A423AA"/>
    <w:rsid w:val="00A44F76"/>
    <w:rsid w:val="00A46081"/>
    <w:rsid w:val="00A462A8"/>
    <w:rsid w:val="00A474EF"/>
    <w:rsid w:val="00A47B13"/>
    <w:rsid w:val="00A52427"/>
    <w:rsid w:val="00A53EC6"/>
    <w:rsid w:val="00A54E11"/>
    <w:rsid w:val="00A55C0F"/>
    <w:rsid w:val="00A63E8B"/>
    <w:rsid w:val="00A7028A"/>
    <w:rsid w:val="00A765F5"/>
    <w:rsid w:val="00A77ECB"/>
    <w:rsid w:val="00A8386F"/>
    <w:rsid w:val="00A8713F"/>
    <w:rsid w:val="00A90BA1"/>
    <w:rsid w:val="00A97195"/>
    <w:rsid w:val="00A97A9A"/>
    <w:rsid w:val="00AA0209"/>
    <w:rsid w:val="00AA0671"/>
    <w:rsid w:val="00AA2531"/>
    <w:rsid w:val="00AA28C5"/>
    <w:rsid w:val="00AA6E4F"/>
    <w:rsid w:val="00AB07A6"/>
    <w:rsid w:val="00AB1E09"/>
    <w:rsid w:val="00AB5330"/>
    <w:rsid w:val="00AB54A7"/>
    <w:rsid w:val="00AB7747"/>
    <w:rsid w:val="00AB7DBC"/>
    <w:rsid w:val="00AC14CE"/>
    <w:rsid w:val="00AC2A56"/>
    <w:rsid w:val="00AC32EA"/>
    <w:rsid w:val="00AC3FFA"/>
    <w:rsid w:val="00AD055E"/>
    <w:rsid w:val="00AD47A7"/>
    <w:rsid w:val="00AE2282"/>
    <w:rsid w:val="00AE3812"/>
    <w:rsid w:val="00AF0CBF"/>
    <w:rsid w:val="00AF257F"/>
    <w:rsid w:val="00AF33CF"/>
    <w:rsid w:val="00AF33DB"/>
    <w:rsid w:val="00AF4D50"/>
    <w:rsid w:val="00AF6179"/>
    <w:rsid w:val="00AF67E3"/>
    <w:rsid w:val="00B074C0"/>
    <w:rsid w:val="00B128DF"/>
    <w:rsid w:val="00B12938"/>
    <w:rsid w:val="00B1295A"/>
    <w:rsid w:val="00B17061"/>
    <w:rsid w:val="00B20A45"/>
    <w:rsid w:val="00B2266A"/>
    <w:rsid w:val="00B22C5C"/>
    <w:rsid w:val="00B24F30"/>
    <w:rsid w:val="00B31ABF"/>
    <w:rsid w:val="00B33BE3"/>
    <w:rsid w:val="00B3662C"/>
    <w:rsid w:val="00B37FEB"/>
    <w:rsid w:val="00B404FF"/>
    <w:rsid w:val="00B42E48"/>
    <w:rsid w:val="00B43908"/>
    <w:rsid w:val="00B45C6C"/>
    <w:rsid w:val="00B50D36"/>
    <w:rsid w:val="00B53B5D"/>
    <w:rsid w:val="00B5534D"/>
    <w:rsid w:val="00B57A6F"/>
    <w:rsid w:val="00B6055E"/>
    <w:rsid w:val="00B60730"/>
    <w:rsid w:val="00B62650"/>
    <w:rsid w:val="00B6317D"/>
    <w:rsid w:val="00B635F4"/>
    <w:rsid w:val="00B64B97"/>
    <w:rsid w:val="00B70AA6"/>
    <w:rsid w:val="00B7124E"/>
    <w:rsid w:val="00B71A12"/>
    <w:rsid w:val="00B7723F"/>
    <w:rsid w:val="00B80534"/>
    <w:rsid w:val="00B8433C"/>
    <w:rsid w:val="00B86ABB"/>
    <w:rsid w:val="00B87491"/>
    <w:rsid w:val="00B921A6"/>
    <w:rsid w:val="00B929E9"/>
    <w:rsid w:val="00BA1522"/>
    <w:rsid w:val="00BA285C"/>
    <w:rsid w:val="00BA29E9"/>
    <w:rsid w:val="00BA6A93"/>
    <w:rsid w:val="00BA7142"/>
    <w:rsid w:val="00BB1151"/>
    <w:rsid w:val="00BB237C"/>
    <w:rsid w:val="00BB41A3"/>
    <w:rsid w:val="00BB7219"/>
    <w:rsid w:val="00BC32DC"/>
    <w:rsid w:val="00BC35B6"/>
    <w:rsid w:val="00BC4D6D"/>
    <w:rsid w:val="00BC5D15"/>
    <w:rsid w:val="00BD1B51"/>
    <w:rsid w:val="00BD2146"/>
    <w:rsid w:val="00BD4389"/>
    <w:rsid w:val="00BD4596"/>
    <w:rsid w:val="00BD5A65"/>
    <w:rsid w:val="00BD6B24"/>
    <w:rsid w:val="00BD74B9"/>
    <w:rsid w:val="00BE1376"/>
    <w:rsid w:val="00BE1405"/>
    <w:rsid w:val="00BE312D"/>
    <w:rsid w:val="00BE7899"/>
    <w:rsid w:val="00BF02C2"/>
    <w:rsid w:val="00BF0950"/>
    <w:rsid w:val="00BF186E"/>
    <w:rsid w:val="00BF1C20"/>
    <w:rsid w:val="00BF2DF6"/>
    <w:rsid w:val="00BF5766"/>
    <w:rsid w:val="00C000B4"/>
    <w:rsid w:val="00C02349"/>
    <w:rsid w:val="00C02942"/>
    <w:rsid w:val="00C10578"/>
    <w:rsid w:val="00C10DB1"/>
    <w:rsid w:val="00C124B2"/>
    <w:rsid w:val="00C135BC"/>
    <w:rsid w:val="00C15C95"/>
    <w:rsid w:val="00C2596A"/>
    <w:rsid w:val="00C27537"/>
    <w:rsid w:val="00C305FC"/>
    <w:rsid w:val="00C328FE"/>
    <w:rsid w:val="00C32DE2"/>
    <w:rsid w:val="00C33507"/>
    <w:rsid w:val="00C37F24"/>
    <w:rsid w:val="00C40819"/>
    <w:rsid w:val="00C4409D"/>
    <w:rsid w:val="00C44E72"/>
    <w:rsid w:val="00C45A06"/>
    <w:rsid w:val="00C47E5B"/>
    <w:rsid w:val="00C50B26"/>
    <w:rsid w:val="00C57D66"/>
    <w:rsid w:val="00C600BB"/>
    <w:rsid w:val="00C61E4B"/>
    <w:rsid w:val="00C61F6C"/>
    <w:rsid w:val="00C6408E"/>
    <w:rsid w:val="00C6471C"/>
    <w:rsid w:val="00C64BFF"/>
    <w:rsid w:val="00C670C2"/>
    <w:rsid w:val="00C704E9"/>
    <w:rsid w:val="00C763C9"/>
    <w:rsid w:val="00C77A83"/>
    <w:rsid w:val="00C80057"/>
    <w:rsid w:val="00C82232"/>
    <w:rsid w:val="00C82913"/>
    <w:rsid w:val="00C972B1"/>
    <w:rsid w:val="00CA17E9"/>
    <w:rsid w:val="00CA2CCE"/>
    <w:rsid w:val="00CA4133"/>
    <w:rsid w:val="00CA43FD"/>
    <w:rsid w:val="00CA7EF8"/>
    <w:rsid w:val="00CC489B"/>
    <w:rsid w:val="00CD2BCD"/>
    <w:rsid w:val="00CD3A4C"/>
    <w:rsid w:val="00CD68EF"/>
    <w:rsid w:val="00CE0943"/>
    <w:rsid w:val="00CE10E9"/>
    <w:rsid w:val="00CE2177"/>
    <w:rsid w:val="00CE2910"/>
    <w:rsid w:val="00CE51E1"/>
    <w:rsid w:val="00CE5393"/>
    <w:rsid w:val="00CF26C8"/>
    <w:rsid w:val="00CF278D"/>
    <w:rsid w:val="00CF3333"/>
    <w:rsid w:val="00CF36BE"/>
    <w:rsid w:val="00CF6000"/>
    <w:rsid w:val="00CF60C4"/>
    <w:rsid w:val="00D003F3"/>
    <w:rsid w:val="00D0364F"/>
    <w:rsid w:val="00D06834"/>
    <w:rsid w:val="00D071B9"/>
    <w:rsid w:val="00D079DD"/>
    <w:rsid w:val="00D10391"/>
    <w:rsid w:val="00D11A20"/>
    <w:rsid w:val="00D13F1B"/>
    <w:rsid w:val="00D14EBC"/>
    <w:rsid w:val="00D15401"/>
    <w:rsid w:val="00D224A9"/>
    <w:rsid w:val="00D308ED"/>
    <w:rsid w:val="00D331AB"/>
    <w:rsid w:val="00D34B3E"/>
    <w:rsid w:val="00D36D86"/>
    <w:rsid w:val="00D37140"/>
    <w:rsid w:val="00D40822"/>
    <w:rsid w:val="00D428AA"/>
    <w:rsid w:val="00D50A34"/>
    <w:rsid w:val="00D53EFA"/>
    <w:rsid w:val="00D60A19"/>
    <w:rsid w:val="00D63290"/>
    <w:rsid w:val="00D63CE4"/>
    <w:rsid w:val="00D64177"/>
    <w:rsid w:val="00D678D7"/>
    <w:rsid w:val="00D71231"/>
    <w:rsid w:val="00D7130F"/>
    <w:rsid w:val="00D769A6"/>
    <w:rsid w:val="00D77133"/>
    <w:rsid w:val="00D81434"/>
    <w:rsid w:val="00D92CC5"/>
    <w:rsid w:val="00D93BFE"/>
    <w:rsid w:val="00D94A7C"/>
    <w:rsid w:val="00D95896"/>
    <w:rsid w:val="00D97A78"/>
    <w:rsid w:val="00DA2962"/>
    <w:rsid w:val="00DB2983"/>
    <w:rsid w:val="00DB3AF6"/>
    <w:rsid w:val="00DC1257"/>
    <w:rsid w:val="00DC3C7B"/>
    <w:rsid w:val="00DC3DC0"/>
    <w:rsid w:val="00DC5B2B"/>
    <w:rsid w:val="00DC7211"/>
    <w:rsid w:val="00DD05FA"/>
    <w:rsid w:val="00DD318D"/>
    <w:rsid w:val="00DD4040"/>
    <w:rsid w:val="00DD5621"/>
    <w:rsid w:val="00DD612C"/>
    <w:rsid w:val="00DD6713"/>
    <w:rsid w:val="00DD6793"/>
    <w:rsid w:val="00DD7214"/>
    <w:rsid w:val="00DD739B"/>
    <w:rsid w:val="00DE4A5A"/>
    <w:rsid w:val="00DE59C0"/>
    <w:rsid w:val="00DF2112"/>
    <w:rsid w:val="00DF2E12"/>
    <w:rsid w:val="00DF514A"/>
    <w:rsid w:val="00DF6690"/>
    <w:rsid w:val="00DF6804"/>
    <w:rsid w:val="00DF68B0"/>
    <w:rsid w:val="00E01795"/>
    <w:rsid w:val="00E0358D"/>
    <w:rsid w:val="00E04323"/>
    <w:rsid w:val="00E04B4A"/>
    <w:rsid w:val="00E070A2"/>
    <w:rsid w:val="00E10D7B"/>
    <w:rsid w:val="00E14E4F"/>
    <w:rsid w:val="00E15D5B"/>
    <w:rsid w:val="00E20BE3"/>
    <w:rsid w:val="00E23145"/>
    <w:rsid w:val="00E2656A"/>
    <w:rsid w:val="00E30FAC"/>
    <w:rsid w:val="00E34240"/>
    <w:rsid w:val="00E35DBE"/>
    <w:rsid w:val="00E37027"/>
    <w:rsid w:val="00E412D0"/>
    <w:rsid w:val="00E424B4"/>
    <w:rsid w:val="00E43815"/>
    <w:rsid w:val="00E43F73"/>
    <w:rsid w:val="00E45F43"/>
    <w:rsid w:val="00E50BB5"/>
    <w:rsid w:val="00E56322"/>
    <w:rsid w:val="00E577B8"/>
    <w:rsid w:val="00E60982"/>
    <w:rsid w:val="00E6245E"/>
    <w:rsid w:val="00E62C62"/>
    <w:rsid w:val="00E63954"/>
    <w:rsid w:val="00E654C1"/>
    <w:rsid w:val="00E65D97"/>
    <w:rsid w:val="00E67B18"/>
    <w:rsid w:val="00E70FD0"/>
    <w:rsid w:val="00E72A5A"/>
    <w:rsid w:val="00E72EA0"/>
    <w:rsid w:val="00E73354"/>
    <w:rsid w:val="00E7748A"/>
    <w:rsid w:val="00E83D39"/>
    <w:rsid w:val="00E86FA6"/>
    <w:rsid w:val="00E9242D"/>
    <w:rsid w:val="00E95922"/>
    <w:rsid w:val="00E97D15"/>
    <w:rsid w:val="00EA60AA"/>
    <w:rsid w:val="00EB3845"/>
    <w:rsid w:val="00EB4CE6"/>
    <w:rsid w:val="00EB5255"/>
    <w:rsid w:val="00EB5C47"/>
    <w:rsid w:val="00EC0C85"/>
    <w:rsid w:val="00EC5DEC"/>
    <w:rsid w:val="00EC6660"/>
    <w:rsid w:val="00EC70C7"/>
    <w:rsid w:val="00ED05F2"/>
    <w:rsid w:val="00ED0639"/>
    <w:rsid w:val="00ED203B"/>
    <w:rsid w:val="00ED3F64"/>
    <w:rsid w:val="00ED5EA4"/>
    <w:rsid w:val="00ED6678"/>
    <w:rsid w:val="00ED7A2C"/>
    <w:rsid w:val="00EE0F7A"/>
    <w:rsid w:val="00EE11DB"/>
    <w:rsid w:val="00EE5D75"/>
    <w:rsid w:val="00EE66D8"/>
    <w:rsid w:val="00EF0C19"/>
    <w:rsid w:val="00EF2652"/>
    <w:rsid w:val="00EF414B"/>
    <w:rsid w:val="00EF4755"/>
    <w:rsid w:val="00EF7135"/>
    <w:rsid w:val="00F027DB"/>
    <w:rsid w:val="00F14A7A"/>
    <w:rsid w:val="00F15B43"/>
    <w:rsid w:val="00F16975"/>
    <w:rsid w:val="00F16FCE"/>
    <w:rsid w:val="00F212E2"/>
    <w:rsid w:val="00F22985"/>
    <w:rsid w:val="00F22D65"/>
    <w:rsid w:val="00F24501"/>
    <w:rsid w:val="00F27A2F"/>
    <w:rsid w:val="00F27AA8"/>
    <w:rsid w:val="00F306A7"/>
    <w:rsid w:val="00F31C7D"/>
    <w:rsid w:val="00F32A68"/>
    <w:rsid w:val="00F3383E"/>
    <w:rsid w:val="00F36B38"/>
    <w:rsid w:val="00F377E0"/>
    <w:rsid w:val="00F44DBF"/>
    <w:rsid w:val="00F465A7"/>
    <w:rsid w:val="00F46ACA"/>
    <w:rsid w:val="00F50B7C"/>
    <w:rsid w:val="00F52C7A"/>
    <w:rsid w:val="00F533D5"/>
    <w:rsid w:val="00F550E6"/>
    <w:rsid w:val="00F562E0"/>
    <w:rsid w:val="00F655EE"/>
    <w:rsid w:val="00F737A7"/>
    <w:rsid w:val="00F74345"/>
    <w:rsid w:val="00F74399"/>
    <w:rsid w:val="00F80A0A"/>
    <w:rsid w:val="00F82B19"/>
    <w:rsid w:val="00F83D15"/>
    <w:rsid w:val="00F844F4"/>
    <w:rsid w:val="00F85E07"/>
    <w:rsid w:val="00F90067"/>
    <w:rsid w:val="00F91BB0"/>
    <w:rsid w:val="00F9212D"/>
    <w:rsid w:val="00F9355D"/>
    <w:rsid w:val="00F965DA"/>
    <w:rsid w:val="00FA406A"/>
    <w:rsid w:val="00FA40A1"/>
    <w:rsid w:val="00FA424B"/>
    <w:rsid w:val="00FA4895"/>
    <w:rsid w:val="00FA4A9D"/>
    <w:rsid w:val="00FB1B4A"/>
    <w:rsid w:val="00FB4547"/>
    <w:rsid w:val="00FB503A"/>
    <w:rsid w:val="00FB516C"/>
    <w:rsid w:val="00FB5F55"/>
    <w:rsid w:val="00FD0236"/>
    <w:rsid w:val="00FD10E3"/>
    <w:rsid w:val="00FD18F4"/>
    <w:rsid w:val="00FD2AED"/>
    <w:rsid w:val="00FD54DB"/>
    <w:rsid w:val="00FD5732"/>
    <w:rsid w:val="00FD5940"/>
    <w:rsid w:val="00FD5EC3"/>
    <w:rsid w:val="00FD619F"/>
    <w:rsid w:val="00FE053D"/>
    <w:rsid w:val="00FE2F05"/>
    <w:rsid w:val="00FE365B"/>
    <w:rsid w:val="00FE395E"/>
    <w:rsid w:val="00FE68D7"/>
    <w:rsid w:val="00FF21E1"/>
    <w:rsid w:val="00FF2CCF"/>
    <w:rsid w:val="00FF528E"/>
    <w:rsid w:val="01060B1F"/>
    <w:rsid w:val="011253ED"/>
    <w:rsid w:val="0120770F"/>
    <w:rsid w:val="012114A4"/>
    <w:rsid w:val="01290F7E"/>
    <w:rsid w:val="014A4B87"/>
    <w:rsid w:val="01524368"/>
    <w:rsid w:val="015D1E09"/>
    <w:rsid w:val="016F45ED"/>
    <w:rsid w:val="01CF32DE"/>
    <w:rsid w:val="01DE1773"/>
    <w:rsid w:val="01EA636A"/>
    <w:rsid w:val="01F50E56"/>
    <w:rsid w:val="02697903"/>
    <w:rsid w:val="02C92423"/>
    <w:rsid w:val="02F96569"/>
    <w:rsid w:val="02FC45A7"/>
    <w:rsid w:val="030D40BE"/>
    <w:rsid w:val="033B50CF"/>
    <w:rsid w:val="034759E4"/>
    <w:rsid w:val="034A3564"/>
    <w:rsid w:val="03555A65"/>
    <w:rsid w:val="036D7252"/>
    <w:rsid w:val="036E1D5B"/>
    <w:rsid w:val="036E328E"/>
    <w:rsid w:val="03716D43"/>
    <w:rsid w:val="03957B59"/>
    <w:rsid w:val="0397517E"/>
    <w:rsid w:val="03AA7B5F"/>
    <w:rsid w:val="03C926DB"/>
    <w:rsid w:val="03EA7B21"/>
    <w:rsid w:val="04131BA8"/>
    <w:rsid w:val="04185410"/>
    <w:rsid w:val="04357D70"/>
    <w:rsid w:val="043D4E77"/>
    <w:rsid w:val="046248DD"/>
    <w:rsid w:val="04657F2A"/>
    <w:rsid w:val="047D5273"/>
    <w:rsid w:val="04956A61"/>
    <w:rsid w:val="04974587"/>
    <w:rsid w:val="04AE18D1"/>
    <w:rsid w:val="04C87066"/>
    <w:rsid w:val="04CE3D21"/>
    <w:rsid w:val="04D1736D"/>
    <w:rsid w:val="04D47B94"/>
    <w:rsid w:val="04DA6D5C"/>
    <w:rsid w:val="04DF7276"/>
    <w:rsid w:val="051949B2"/>
    <w:rsid w:val="05340028"/>
    <w:rsid w:val="053D68EF"/>
    <w:rsid w:val="05575AC4"/>
    <w:rsid w:val="055A7363"/>
    <w:rsid w:val="055F7E59"/>
    <w:rsid w:val="05830F8B"/>
    <w:rsid w:val="058330C0"/>
    <w:rsid w:val="058E66B3"/>
    <w:rsid w:val="059211F2"/>
    <w:rsid w:val="0596483F"/>
    <w:rsid w:val="059A3EA8"/>
    <w:rsid w:val="059E3C64"/>
    <w:rsid w:val="05AA78F6"/>
    <w:rsid w:val="05C018BB"/>
    <w:rsid w:val="05C87FDC"/>
    <w:rsid w:val="05E76E48"/>
    <w:rsid w:val="05EE467B"/>
    <w:rsid w:val="05F83EAE"/>
    <w:rsid w:val="0600615C"/>
    <w:rsid w:val="060774EA"/>
    <w:rsid w:val="061C3F4A"/>
    <w:rsid w:val="063E7D85"/>
    <w:rsid w:val="06417D8C"/>
    <w:rsid w:val="065026A6"/>
    <w:rsid w:val="066C1A43"/>
    <w:rsid w:val="06AC0092"/>
    <w:rsid w:val="06B31420"/>
    <w:rsid w:val="06BD2494"/>
    <w:rsid w:val="06E17D3B"/>
    <w:rsid w:val="070D04BC"/>
    <w:rsid w:val="07126147"/>
    <w:rsid w:val="071A149F"/>
    <w:rsid w:val="07287718"/>
    <w:rsid w:val="07293586"/>
    <w:rsid w:val="07295285"/>
    <w:rsid w:val="075E313A"/>
    <w:rsid w:val="07636392"/>
    <w:rsid w:val="076E45C9"/>
    <w:rsid w:val="07740BAF"/>
    <w:rsid w:val="07770C56"/>
    <w:rsid w:val="078B7CA7"/>
    <w:rsid w:val="07A07BF6"/>
    <w:rsid w:val="07AA40C2"/>
    <w:rsid w:val="07AE3409"/>
    <w:rsid w:val="07C74150"/>
    <w:rsid w:val="07F65A68"/>
    <w:rsid w:val="08273E74"/>
    <w:rsid w:val="082C41D1"/>
    <w:rsid w:val="08332819"/>
    <w:rsid w:val="083F3F3A"/>
    <w:rsid w:val="084560A8"/>
    <w:rsid w:val="085B1D6F"/>
    <w:rsid w:val="087846CF"/>
    <w:rsid w:val="08852948"/>
    <w:rsid w:val="088968DD"/>
    <w:rsid w:val="088A61B1"/>
    <w:rsid w:val="08962DA7"/>
    <w:rsid w:val="08BF5E5A"/>
    <w:rsid w:val="08C0169B"/>
    <w:rsid w:val="08DA7138"/>
    <w:rsid w:val="08E458C1"/>
    <w:rsid w:val="08E53B03"/>
    <w:rsid w:val="08E73603"/>
    <w:rsid w:val="08EF0550"/>
    <w:rsid w:val="08F0070A"/>
    <w:rsid w:val="09023F99"/>
    <w:rsid w:val="092217DD"/>
    <w:rsid w:val="0926237D"/>
    <w:rsid w:val="093A7294"/>
    <w:rsid w:val="093D1475"/>
    <w:rsid w:val="094B14B8"/>
    <w:rsid w:val="09722ECD"/>
    <w:rsid w:val="09776735"/>
    <w:rsid w:val="097C01EF"/>
    <w:rsid w:val="09BC05EC"/>
    <w:rsid w:val="09CF6571"/>
    <w:rsid w:val="09D138DC"/>
    <w:rsid w:val="09EC352B"/>
    <w:rsid w:val="0A143CC5"/>
    <w:rsid w:val="0A2368BD"/>
    <w:rsid w:val="0A263993"/>
    <w:rsid w:val="0A2D3AC2"/>
    <w:rsid w:val="0A2D5046"/>
    <w:rsid w:val="0A342DB3"/>
    <w:rsid w:val="0A595E3B"/>
    <w:rsid w:val="0A60541B"/>
    <w:rsid w:val="0A656ED5"/>
    <w:rsid w:val="0A8A693C"/>
    <w:rsid w:val="0AA755DF"/>
    <w:rsid w:val="0AB03401"/>
    <w:rsid w:val="0AE53B72"/>
    <w:rsid w:val="0B120D44"/>
    <w:rsid w:val="0B1F52D6"/>
    <w:rsid w:val="0B3B3792"/>
    <w:rsid w:val="0B3D3250"/>
    <w:rsid w:val="0B57681E"/>
    <w:rsid w:val="0B585767"/>
    <w:rsid w:val="0B5D195B"/>
    <w:rsid w:val="0B651FA6"/>
    <w:rsid w:val="0B7A6AF5"/>
    <w:rsid w:val="0B7C0033"/>
    <w:rsid w:val="0B837613"/>
    <w:rsid w:val="0B974E6D"/>
    <w:rsid w:val="0BAF230B"/>
    <w:rsid w:val="0BB35109"/>
    <w:rsid w:val="0BBC0D77"/>
    <w:rsid w:val="0BBE064B"/>
    <w:rsid w:val="0BC87EA6"/>
    <w:rsid w:val="0BD27BF6"/>
    <w:rsid w:val="0BE67BA2"/>
    <w:rsid w:val="0C3B3C7D"/>
    <w:rsid w:val="0C724AF9"/>
    <w:rsid w:val="0C760F26"/>
    <w:rsid w:val="0C8E0B86"/>
    <w:rsid w:val="0CA10937"/>
    <w:rsid w:val="0CA57A5D"/>
    <w:rsid w:val="0CAB2EAE"/>
    <w:rsid w:val="0CC71353"/>
    <w:rsid w:val="0CE92310"/>
    <w:rsid w:val="0CF34325"/>
    <w:rsid w:val="0D1424ED"/>
    <w:rsid w:val="0D156991"/>
    <w:rsid w:val="0D1F511A"/>
    <w:rsid w:val="0D4B23B2"/>
    <w:rsid w:val="0D5D3A06"/>
    <w:rsid w:val="0D621C7D"/>
    <w:rsid w:val="0D753CB1"/>
    <w:rsid w:val="0D887163"/>
    <w:rsid w:val="0D8E6743"/>
    <w:rsid w:val="0DA27AF9"/>
    <w:rsid w:val="0DE30F92"/>
    <w:rsid w:val="0E0407B3"/>
    <w:rsid w:val="0E464928"/>
    <w:rsid w:val="0E73034D"/>
    <w:rsid w:val="0E84265F"/>
    <w:rsid w:val="0E9C279A"/>
    <w:rsid w:val="0E9C5936"/>
    <w:rsid w:val="0ECA5559"/>
    <w:rsid w:val="0ED85EC8"/>
    <w:rsid w:val="0EF16F8A"/>
    <w:rsid w:val="0F047E85"/>
    <w:rsid w:val="0F130CAE"/>
    <w:rsid w:val="0F13775A"/>
    <w:rsid w:val="0F220EF1"/>
    <w:rsid w:val="0F4D6EB9"/>
    <w:rsid w:val="0F543075"/>
    <w:rsid w:val="0F5A59EB"/>
    <w:rsid w:val="0F5F45FE"/>
    <w:rsid w:val="0F847DFE"/>
    <w:rsid w:val="0F865924"/>
    <w:rsid w:val="0F9A112B"/>
    <w:rsid w:val="0FAE6C29"/>
    <w:rsid w:val="0FBC7598"/>
    <w:rsid w:val="0FC1695C"/>
    <w:rsid w:val="0FC91CB4"/>
    <w:rsid w:val="0FD348E1"/>
    <w:rsid w:val="0FE8038D"/>
    <w:rsid w:val="0FFE195E"/>
    <w:rsid w:val="100771EA"/>
    <w:rsid w:val="10086339"/>
    <w:rsid w:val="101D790A"/>
    <w:rsid w:val="102B2027"/>
    <w:rsid w:val="1032785A"/>
    <w:rsid w:val="10401F77"/>
    <w:rsid w:val="104906FF"/>
    <w:rsid w:val="105D61AE"/>
    <w:rsid w:val="106D2F64"/>
    <w:rsid w:val="10804148"/>
    <w:rsid w:val="10806817"/>
    <w:rsid w:val="10A06571"/>
    <w:rsid w:val="10B63710"/>
    <w:rsid w:val="10C5247C"/>
    <w:rsid w:val="10C74DD9"/>
    <w:rsid w:val="10EE19D3"/>
    <w:rsid w:val="10EE5416"/>
    <w:rsid w:val="10F10820"/>
    <w:rsid w:val="111B02EE"/>
    <w:rsid w:val="111C2F7A"/>
    <w:rsid w:val="111D7BC2"/>
    <w:rsid w:val="112A6783"/>
    <w:rsid w:val="112F02CD"/>
    <w:rsid w:val="114737DC"/>
    <w:rsid w:val="114F7F97"/>
    <w:rsid w:val="115A7068"/>
    <w:rsid w:val="116369AF"/>
    <w:rsid w:val="11665CA1"/>
    <w:rsid w:val="117417AC"/>
    <w:rsid w:val="118440E5"/>
    <w:rsid w:val="118B7221"/>
    <w:rsid w:val="11B52E1D"/>
    <w:rsid w:val="11D2670F"/>
    <w:rsid w:val="12180BBD"/>
    <w:rsid w:val="121B3D31"/>
    <w:rsid w:val="122136E2"/>
    <w:rsid w:val="125F42F7"/>
    <w:rsid w:val="126B7053"/>
    <w:rsid w:val="127D19B3"/>
    <w:rsid w:val="1299596E"/>
    <w:rsid w:val="12A04F4F"/>
    <w:rsid w:val="12BB7F99"/>
    <w:rsid w:val="12CC5D44"/>
    <w:rsid w:val="12E81295"/>
    <w:rsid w:val="12E84200"/>
    <w:rsid w:val="12E869DD"/>
    <w:rsid w:val="12FB03D7"/>
    <w:rsid w:val="130354DD"/>
    <w:rsid w:val="130B7EEE"/>
    <w:rsid w:val="132328CD"/>
    <w:rsid w:val="134A0A16"/>
    <w:rsid w:val="13785584"/>
    <w:rsid w:val="137E43A8"/>
    <w:rsid w:val="138008DC"/>
    <w:rsid w:val="13904FC3"/>
    <w:rsid w:val="13951726"/>
    <w:rsid w:val="13AF2F6F"/>
    <w:rsid w:val="13C20EF5"/>
    <w:rsid w:val="13C52412"/>
    <w:rsid w:val="13CA1B57"/>
    <w:rsid w:val="13D26EE3"/>
    <w:rsid w:val="13E62E35"/>
    <w:rsid w:val="13FC4382"/>
    <w:rsid w:val="14170540"/>
    <w:rsid w:val="14302302"/>
    <w:rsid w:val="14396509"/>
    <w:rsid w:val="143C4803"/>
    <w:rsid w:val="143E4A1F"/>
    <w:rsid w:val="14641FAC"/>
    <w:rsid w:val="147F6DE6"/>
    <w:rsid w:val="14913692"/>
    <w:rsid w:val="14977C8B"/>
    <w:rsid w:val="149A3C1F"/>
    <w:rsid w:val="14BC76F2"/>
    <w:rsid w:val="14BF71E2"/>
    <w:rsid w:val="14DD2C3C"/>
    <w:rsid w:val="14ED1FA1"/>
    <w:rsid w:val="14EF1875"/>
    <w:rsid w:val="151E215B"/>
    <w:rsid w:val="1525173B"/>
    <w:rsid w:val="153361F3"/>
    <w:rsid w:val="1554425B"/>
    <w:rsid w:val="156E726C"/>
    <w:rsid w:val="15785D0F"/>
    <w:rsid w:val="158741A4"/>
    <w:rsid w:val="15F64E85"/>
    <w:rsid w:val="16087E1D"/>
    <w:rsid w:val="16491459"/>
    <w:rsid w:val="165322D8"/>
    <w:rsid w:val="165E1206"/>
    <w:rsid w:val="16730B9D"/>
    <w:rsid w:val="16734728"/>
    <w:rsid w:val="16B93EFB"/>
    <w:rsid w:val="16CB6312"/>
    <w:rsid w:val="16E01DBD"/>
    <w:rsid w:val="16EA49EA"/>
    <w:rsid w:val="16F13FCB"/>
    <w:rsid w:val="17011D34"/>
    <w:rsid w:val="170854A6"/>
    <w:rsid w:val="17141A67"/>
    <w:rsid w:val="17214184"/>
    <w:rsid w:val="175977B2"/>
    <w:rsid w:val="17701D14"/>
    <w:rsid w:val="17735226"/>
    <w:rsid w:val="17891B04"/>
    <w:rsid w:val="179761F4"/>
    <w:rsid w:val="17D9680D"/>
    <w:rsid w:val="18041ADC"/>
    <w:rsid w:val="18055854"/>
    <w:rsid w:val="18153CE9"/>
    <w:rsid w:val="181B6E25"/>
    <w:rsid w:val="182201B4"/>
    <w:rsid w:val="182B52BA"/>
    <w:rsid w:val="182C1032"/>
    <w:rsid w:val="18382622"/>
    <w:rsid w:val="18463EA2"/>
    <w:rsid w:val="18597D6F"/>
    <w:rsid w:val="18775734"/>
    <w:rsid w:val="187B413A"/>
    <w:rsid w:val="189F624C"/>
    <w:rsid w:val="18CF3263"/>
    <w:rsid w:val="18E17362"/>
    <w:rsid w:val="19211B49"/>
    <w:rsid w:val="192A37C4"/>
    <w:rsid w:val="192B4E46"/>
    <w:rsid w:val="196C5B8A"/>
    <w:rsid w:val="1981715C"/>
    <w:rsid w:val="19856C4C"/>
    <w:rsid w:val="19A277FE"/>
    <w:rsid w:val="19C023E3"/>
    <w:rsid w:val="19C17984"/>
    <w:rsid w:val="19CF4AB6"/>
    <w:rsid w:val="19F45B80"/>
    <w:rsid w:val="1A1C66C0"/>
    <w:rsid w:val="1A42393B"/>
    <w:rsid w:val="1A495ECC"/>
    <w:rsid w:val="1A5959E3"/>
    <w:rsid w:val="1A912A37"/>
    <w:rsid w:val="1A9B5FFB"/>
    <w:rsid w:val="1AAD45DE"/>
    <w:rsid w:val="1ACB068F"/>
    <w:rsid w:val="1B046F80"/>
    <w:rsid w:val="1B3267B5"/>
    <w:rsid w:val="1B40161D"/>
    <w:rsid w:val="1B441859"/>
    <w:rsid w:val="1B4639EC"/>
    <w:rsid w:val="1B527002"/>
    <w:rsid w:val="1B6606B1"/>
    <w:rsid w:val="1B6A12F3"/>
    <w:rsid w:val="1B7C7BDB"/>
    <w:rsid w:val="1B9A0DC1"/>
    <w:rsid w:val="1BAB226E"/>
    <w:rsid w:val="1BBC26CD"/>
    <w:rsid w:val="1C0C4C88"/>
    <w:rsid w:val="1C350C93"/>
    <w:rsid w:val="1C5E7925"/>
    <w:rsid w:val="1C744D56"/>
    <w:rsid w:val="1C752FA8"/>
    <w:rsid w:val="1C7663AE"/>
    <w:rsid w:val="1C8054A9"/>
    <w:rsid w:val="1C910559"/>
    <w:rsid w:val="1C9B1AA4"/>
    <w:rsid w:val="1CA05B4B"/>
    <w:rsid w:val="1CA67605"/>
    <w:rsid w:val="1CB3762C"/>
    <w:rsid w:val="1CC23925"/>
    <w:rsid w:val="1CDA2E0B"/>
    <w:rsid w:val="1CFB72CE"/>
    <w:rsid w:val="1CFD070F"/>
    <w:rsid w:val="1CFF6D16"/>
    <w:rsid w:val="1D102A85"/>
    <w:rsid w:val="1D3F49FC"/>
    <w:rsid w:val="1D5F6196"/>
    <w:rsid w:val="1D6132A5"/>
    <w:rsid w:val="1D6372A4"/>
    <w:rsid w:val="1D653A46"/>
    <w:rsid w:val="1D76522A"/>
    <w:rsid w:val="1D8E56D5"/>
    <w:rsid w:val="1D9B4C90"/>
    <w:rsid w:val="1E0C16EA"/>
    <w:rsid w:val="1E0D7291"/>
    <w:rsid w:val="1E1E4F79"/>
    <w:rsid w:val="1E3010ED"/>
    <w:rsid w:val="1E391DB3"/>
    <w:rsid w:val="1E3D5D47"/>
    <w:rsid w:val="1E442E08"/>
    <w:rsid w:val="1E5D1F46"/>
    <w:rsid w:val="1E7159F1"/>
    <w:rsid w:val="1E764DB5"/>
    <w:rsid w:val="1E7A43DA"/>
    <w:rsid w:val="1E7F010E"/>
    <w:rsid w:val="1E9A6CF6"/>
    <w:rsid w:val="1E9D0594"/>
    <w:rsid w:val="1EA1074C"/>
    <w:rsid w:val="1EBD0C36"/>
    <w:rsid w:val="1EC2450F"/>
    <w:rsid w:val="1F132604"/>
    <w:rsid w:val="1F264A2D"/>
    <w:rsid w:val="1F38650F"/>
    <w:rsid w:val="1F3A4035"/>
    <w:rsid w:val="1F464788"/>
    <w:rsid w:val="1F49071C"/>
    <w:rsid w:val="1F5F691E"/>
    <w:rsid w:val="1F647304"/>
    <w:rsid w:val="1F8B1B50"/>
    <w:rsid w:val="1FA92F69"/>
    <w:rsid w:val="1FB265DC"/>
    <w:rsid w:val="1FD20711"/>
    <w:rsid w:val="1FE7539E"/>
    <w:rsid w:val="1FF57F5C"/>
    <w:rsid w:val="203A08AD"/>
    <w:rsid w:val="203E5DA7"/>
    <w:rsid w:val="204A64FA"/>
    <w:rsid w:val="20671BE0"/>
    <w:rsid w:val="20735A50"/>
    <w:rsid w:val="2079211C"/>
    <w:rsid w:val="207F45CD"/>
    <w:rsid w:val="20963CB8"/>
    <w:rsid w:val="209E4427"/>
    <w:rsid w:val="20A81A1B"/>
    <w:rsid w:val="20B07FB6"/>
    <w:rsid w:val="20B646FB"/>
    <w:rsid w:val="21042B4C"/>
    <w:rsid w:val="2137764C"/>
    <w:rsid w:val="213B74B1"/>
    <w:rsid w:val="215A2310"/>
    <w:rsid w:val="216B6728"/>
    <w:rsid w:val="218706EC"/>
    <w:rsid w:val="218915B7"/>
    <w:rsid w:val="218D2B42"/>
    <w:rsid w:val="21A8172A"/>
    <w:rsid w:val="21BE5AE6"/>
    <w:rsid w:val="21C106E6"/>
    <w:rsid w:val="21DC478A"/>
    <w:rsid w:val="21DE318A"/>
    <w:rsid w:val="21EF5B80"/>
    <w:rsid w:val="21F11323"/>
    <w:rsid w:val="221E19EC"/>
    <w:rsid w:val="22521696"/>
    <w:rsid w:val="22576990"/>
    <w:rsid w:val="226B2757"/>
    <w:rsid w:val="226F0499"/>
    <w:rsid w:val="227E248B"/>
    <w:rsid w:val="228C2DF9"/>
    <w:rsid w:val="229E0D7F"/>
    <w:rsid w:val="22AA14D2"/>
    <w:rsid w:val="22C4398D"/>
    <w:rsid w:val="22D24584"/>
    <w:rsid w:val="22DB168B"/>
    <w:rsid w:val="22E9024C"/>
    <w:rsid w:val="22F369D5"/>
    <w:rsid w:val="22F47480"/>
    <w:rsid w:val="23256DAA"/>
    <w:rsid w:val="2338088B"/>
    <w:rsid w:val="2342795C"/>
    <w:rsid w:val="237C10C0"/>
    <w:rsid w:val="238E0DF3"/>
    <w:rsid w:val="23B87C1E"/>
    <w:rsid w:val="23DE1C48"/>
    <w:rsid w:val="23FF6756"/>
    <w:rsid w:val="240210CD"/>
    <w:rsid w:val="244020ED"/>
    <w:rsid w:val="244B45EE"/>
    <w:rsid w:val="244E1F2B"/>
    <w:rsid w:val="24545B99"/>
    <w:rsid w:val="245E1D64"/>
    <w:rsid w:val="247605D1"/>
    <w:rsid w:val="24B959FC"/>
    <w:rsid w:val="24BF09F7"/>
    <w:rsid w:val="24C73744"/>
    <w:rsid w:val="24CF3471"/>
    <w:rsid w:val="24D84597"/>
    <w:rsid w:val="24F133E8"/>
    <w:rsid w:val="2500187D"/>
    <w:rsid w:val="25034EC9"/>
    <w:rsid w:val="250550E5"/>
    <w:rsid w:val="252030B6"/>
    <w:rsid w:val="2528626C"/>
    <w:rsid w:val="252D53FE"/>
    <w:rsid w:val="253A4D8F"/>
    <w:rsid w:val="253D662D"/>
    <w:rsid w:val="254259F1"/>
    <w:rsid w:val="255045B2"/>
    <w:rsid w:val="25826C83"/>
    <w:rsid w:val="25BB4AB6"/>
    <w:rsid w:val="25C1725E"/>
    <w:rsid w:val="25CD5C03"/>
    <w:rsid w:val="25E940BF"/>
    <w:rsid w:val="25EC2D81"/>
    <w:rsid w:val="25FE400E"/>
    <w:rsid w:val="26094761"/>
    <w:rsid w:val="261750D0"/>
    <w:rsid w:val="267047E0"/>
    <w:rsid w:val="26B12B51"/>
    <w:rsid w:val="26B722D5"/>
    <w:rsid w:val="26C8461C"/>
    <w:rsid w:val="26DA1C32"/>
    <w:rsid w:val="26EC6F34"/>
    <w:rsid w:val="270218DC"/>
    <w:rsid w:val="27105233"/>
    <w:rsid w:val="271433BD"/>
    <w:rsid w:val="272C4BAB"/>
    <w:rsid w:val="273E043A"/>
    <w:rsid w:val="276322B2"/>
    <w:rsid w:val="277057A2"/>
    <w:rsid w:val="277327DA"/>
    <w:rsid w:val="27BF77CD"/>
    <w:rsid w:val="27C923FA"/>
    <w:rsid w:val="27DB3EDB"/>
    <w:rsid w:val="27DF5779"/>
    <w:rsid w:val="281A0EA7"/>
    <w:rsid w:val="2826784C"/>
    <w:rsid w:val="284657F9"/>
    <w:rsid w:val="284949FB"/>
    <w:rsid w:val="28497097"/>
    <w:rsid w:val="28665E9B"/>
    <w:rsid w:val="287542D1"/>
    <w:rsid w:val="288A7DDB"/>
    <w:rsid w:val="289A15E5"/>
    <w:rsid w:val="28A95D87"/>
    <w:rsid w:val="28FA6780"/>
    <w:rsid w:val="290A0F1C"/>
    <w:rsid w:val="29206EB8"/>
    <w:rsid w:val="292D69B8"/>
    <w:rsid w:val="292E2C8F"/>
    <w:rsid w:val="293715E5"/>
    <w:rsid w:val="29595666"/>
    <w:rsid w:val="297B5976"/>
    <w:rsid w:val="29874881"/>
    <w:rsid w:val="29A053DC"/>
    <w:rsid w:val="29CA0B66"/>
    <w:rsid w:val="29E325E0"/>
    <w:rsid w:val="29F3509E"/>
    <w:rsid w:val="29F55728"/>
    <w:rsid w:val="2A21112E"/>
    <w:rsid w:val="2A452503"/>
    <w:rsid w:val="2A8B3997"/>
    <w:rsid w:val="2ABE5B1A"/>
    <w:rsid w:val="2ABF1892"/>
    <w:rsid w:val="2AD25A69"/>
    <w:rsid w:val="2AD96DF8"/>
    <w:rsid w:val="2AEF2177"/>
    <w:rsid w:val="2AF251CF"/>
    <w:rsid w:val="2AFE685E"/>
    <w:rsid w:val="2B136F1C"/>
    <w:rsid w:val="2B163BA8"/>
    <w:rsid w:val="2B231E21"/>
    <w:rsid w:val="2B3246DA"/>
    <w:rsid w:val="2B534B42"/>
    <w:rsid w:val="2B5658EB"/>
    <w:rsid w:val="2B5A44AF"/>
    <w:rsid w:val="2B674404"/>
    <w:rsid w:val="2B88437A"/>
    <w:rsid w:val="2B966A97"/>
    <w:rsid w:val="2BA936A8"/>
    <w:rsid w:val="2BBD4024"/>
    <w:rsid w:val="2C007BC9"/>
    <w:rsid w:val="2C041C52"/>
    <w:rsid w:val="2C1125C1"/>
    <w:rsid w:val="2C2E1852"/>
    <w:rsid w:val="2C315A5A"/>
    <w:rsid w:val="2C3C1C06"/>
    <w:rsid w:val="2C4B1C25"/>
    <w:rsid w:val="2CA3146B"/>
    <w:rsid w:val="2CB87DBF"/>
    <w:rsid w:val="2CC6515A"/>
    <w:rsid w:val="2CCB451E"/>
    <w:rsid w:val="2CD373D1"/>
    <w:rsid w:val="2CED6B8B"/>
    <w:rsid w:val="2CF972DD"/>
    <w:rsid w:val="2D1C7470"/>
    <w:rsid w:val="2D1F6F98"/>
    <w:rsid w:val="2D2D51D9"/>
    <w:rsid w:val="2D480265"/>
    <w:rsid w:val="2D48750D"/>
    <w:rsid w:val="2D764993"/>
    <w:rsid w:val="2D79041E"/>
    <w:rsid w:val="2D8C63A3"/>
    <w:rsid w:val="2D9862F2"/>
    <w:rsid w:val="2D9E56F5"/>
    <w:rsid w:val="2DAC5FE4"/>
    <w:rsid w:val="2DAF405B"/>
    <w:rsid w:val="2DC773DC"/>
    <w:rsid w:val="2DD6761F"/>
    <w:rsid w:val="2DDC528E"/>
    <w:rsid w:val="2DFF6B75"/>
    <w:rsid w:val="2E3C7D3A"/>
    <w:rsid w:val="2E440A2C"/>
    <w:rsid w:val="2E532A1D"/>
    <w:rsid w:val="2E667F96"/>
    <w:rsid w:val="2E67471B"/>
    <w:rsid w:val="2E8226AB"/>
    <w:rsid w:val="2E9239D6"/>
    <w:rsid w:val="2EC90F31"/>
    <w:rsid w:val="2ECB6A58"/>
    <w:rsid w:val="2EE45D6B"/>
    <w:rsid w:val="2F0F21C0"/>
    <w:rsid w:val="2F5051AF"/>
    <w:rsid w:val="2F5B427F"/>
    <w:rsid w:val="2F7013AD"/>
    <w:rsid w:val="2FB27C17"/>
    <w:rsid w:val="2FBC2844"/>
    <w:rsid w:val="2FD065E6"/>
    <w:rsid w:val="2FD96870"/>
    <w:rsid w:val="2FDD7395"/>
    <w:rsid w:val="2FDE44D1"/>
    <w:rsid w:val="2FF87D20"/>
    <w:rsid w:val="30052006"/>
    <w:rsid w:val="300F506A"/>
    <w:rsid w:val="303625F7"/>
    <w:rsid w:val="304A273E"/>
    <w:rsid w:val="304F36B8"/>
    <w:rsid w:val="30554A9D"/>
    <w:rsid w:val="30571319"/>
    <w:rsid w:val="30580BC9"/>
    <w:rsid w:val="307C26FF"/>
    <w:rsid w:val="308B46F0"/>
    <w:rsid w:val="309B06AC"/>
    <w:rsid w:val="30A02388"/>
    <w:rsid w:val="30A27C8C"/>
    <w:rsid w:val="30AC7B38"/>
    <w:rsid w:val="30D53BBD"/>
    <w:rsid w:val="30E27C07"/>
    <w:rsid w:val="311253E8"/>
    <w:rsid w:val="311E2ED7"/>
    <w:rsid w:val="31321ACF"/>
    <w:rsid w:val="31413001"/>
    <w:rsid w:val="31442B7D"/>
    <w:rsid w:val="31484A62"/>
    <w:rsid w:val="315619EE"/>
    <w:rsid w:val="315C449C"/>
    <w:rsid w:val="317258B0"/>
    <w:rsid w:val="3183186B"/>
    <w:rsid w:val="31945827"/>
    <w:rsid w:val="319C60F2"/>
    <w:rsid w:val="31A57A34"/>
    <w:rsid w:val="31B82709"/>
    <w:rsid w:val="31B9528D"/>
    <w:rsid w:val="31BD3D26"/>
    <w:rsid w:val="31D05482"/>
    <w:rsid w:val="31D95FF5"/>
    <w:rsid w:val="31E367AE"/>
    <w:rsid w:val="320F1351"/>
    <w:rsid w:val="3216448E"/>
    <w:rsid w:val="32195D2C"/>
    <w:rsid w:val="3220355E"/>
    <w:rsid w:val="32400B34"/>
    <w:rsid w:val="328238D1"/>
    <w:rsid w:val="329E6876"/>
    <w:rsid w:val="32C0264B"/>
    <w:rsid w:val="32C4038E"/>
    <w:rsid w:val="32E225C2"/>
    <w:rsid w:val="32E4633A"/>
    <w:rsid w:val="32EB76C8"/>
    <w:rsid w:val="330B7D6A"/>
    <w:rsid w:val="333015F2"/>
    <w:rsid w:val="334B6320"/>
    <w:rsid w:val="33656452"/>
    <w:rsid w:val="336B1473"/>
    <w:rsid w:val="336E3E55"/>
    <w:rsid w:val="33775400"/>
    <w:rsid w:val="339C4E66"/>
    <w:rsid w:val="339F5A3D"/>
    <w:rsid w:val="33C543BD"/>
    <w:rsid w:val="33D934D4"/>
    <w:rsid w:val="33EA7980"/>
    <w:rsid w:val="33FE2F6A"/>
    <w:rsid w:val="340E07E5"/>
    <w:rsid w:val="34235BF7"/>
    <w:rsid w:val="343D5072"/>
    <w:rsid w:val="344A2B14"/>
    <w:rsid w:val="34584A72"/>
    <w:rsid w:val="34633A4D"/>
    <w:rsid w:val="34785CDC"/>
    <w:rsid w:val="34A0767E"/>
    <w:rsid w:val="34C04B85"/>
    <w:rsid w:val="34C615B6"/>
    <w:rsid w:val="34CC177B"/>
    <w:rsid w:val="34D64F62"/>
    <w:rsid w:val="34F5482E"/>
    <w:rsid w:val="35114909"/>
    <w:rsid w:val="35341922"/>
    <w:rsid w:val="355C15A5"/>
    <w:rsid w:val="355C2AFF"/>
    <w:rsid w:val="356279EA"/>
    <w:rsid w:val="356660A7"/>
    <w:rsid w:val="35702700"/>
    <w:rsid w:val="358C5FA8"/>
    <w:rsid w:val="35B17CF9"/>
    <w:rsid w:val="35B86192"/>
    <w:rsid w:val="35C15DF1"/>
    <w:rsid w:val="35C3492C"/>
    <w:rsid w:val="35D344DD"/>
    <w:rsid w:val="35E13004"/>
    <w:rsid w:val="36074A7F"/>
    <w:rsid w:val="36127662"/>
    <w:rsid w:val="363E2205"/>
    <w:rsid w:val="36484E32"/>
    <w:rsid w:val="36493630"/>
    <w:rsid w:val="36541A28"/>
    <w:rsid w:val="36575075"/>
    <w:rsid w:val="365913A4"/>
    <w:rsid w:val="367125DA"/>
    <w:rsid w:val="36923549"/>
    <w:rsid w:val="36B75FBF"/>
    <w:rsid w:val="36BA5D2F"/>
    <w:rsid w:val="36BD0C45"/>
    <w:rsid w:val="36F56D67"/>
    <w:rsid w:val="37055B02"/>
    <w:rsid w:val="37090236"/>
    <w:rsid w:val="370B0879"/>
    <w:rsid w:val="37103F4C"/>
    <w:rsid w:val="37105707"/>
    <w:rsid w:val="37125B5D"/>
    <w:rsid w:val="37181AD8"/>
    <w:rsid w:val="373C4996"/>
    <w:rsid w:val="373C5375"/>
    <w:rsid w:val="37735EDE"/>
    <w:rsid w:val="37826121"/>
    <w:rsid w:val="3793032E"/>
    <w:rsid w:val="37AD13F0"/>
    <w:rsid w:val="37B7711F"/>
    <w:rsid w:val="37B87D95"/>
    <w:rsid w:val="37BA68D2"/>
    <w:rsid w:val="37D2688C"/>
    <w:rsid w:val="37D56B99"/>
    <w:rsid w:val="37E00298"/>
    <w:rsid w:val="37FE39FA"/>
    <w:rsid w:val="3801173C"/>
    <w:rsid w:val="380A4A95"/>
    <w:rsid w:val="38107BD1"/>
    <w:rsid w:val="385201EA"/>
    <w:rsid w:val="38705A4C"/>
    <w:rsid w:val="38983E4E"/>
    <w:rsid w:val="389C3213"/>
    <w:rsid w:val="38A02D03"/>
    <w:rsid w:val="38AF2F46"/>
    <w:rsid w:val="38B302F9"/>
    <w:rsid w:val="38B642D4"/>
    <w:rsid w:val="38BD38B5"/>
    <w:rsid w:val="38CD5177"/>
    <w:rsid w:val="38D62BC9"/>
    <w:rsid w:val="38F12CD3"/>
    <w:rsid w:val="38F94775"/>
    <w:rsid w:val="391D4354"/>
    <w:rsid w:val="392971ED"/>
    <w:rsid w:val="39316051"/>
    <w:rsid w:val="39325651"/>
    <w:rsid w:val="393F076E"/>
    <w:rsid w:val="39404602"/>
    <w:rsid w:val="395C1320"/>
    <w:rsid w:val="39675BB3"/>
    <w:rsid w:val="39706B79"/>
    <w:rsid w:val="39A24859"/>
    <w:rsid w:val="39AA074E"/>
    <w:rsid w:val="39B53C0B"/>
    <w:rsid w:val="39BD1693"/>
    <w:rsid w:val="39BF18AF"/>
    <w:rsid w:val="39E135D3"/>
    <w:rsid w:val="39E66E3B"/>
    <w:rsid w:val="39EC4A20"/>
    <w:rsid w:val="3A12378C"/>
    <w:rsid w:val="3A302088"/>
    <w:rsid w:val="3A331558"/>
    <w:rsid w:val="3A4D0DFD"/>
    <w:rsid w:val="3A500759"/>
    <w:rsid w:val="3A5169AB"/>
    <w:rsid w:val="3A59760D"/>
    <w:rsid w:val="3A654204"/>
    <w:rsid w:val="3A8521B0"/>
    <w:rsid w:val="3A872856"/>
    <w:rsid w:val="3A8B1791"/>
    <w:rsid w:val="3A9C574C"/>
    <w:rsid w:val="3AA575A8"/>
    <w:rsid w:val="3AB962FE"/>
    <w:rsid w:val="3ADA04E1"/>
    <w:rsid w:val="3AE92A88"/>
    <w:rsid w:val="3B3763D1"/>
    <w:rsid w:val="3B3B4F65"/>
    <w:rsid w:val="3B8C3A12"/>
    <w:rsid w:val="3BC9431F"/>
    <w:rsid w:val="3BD01B51"/>
    <w:rsid w:val="3BE850ED"/>
    <w:rsid w:val="3BFF41E4"/>
    <w:rsid w:val="3C103A96"/>
    <w:rsid w:val="3C153A08"/>
    <w:rsid w:val="3C1C407C"/>
    <w:rsid w:val="3C2F6E1E"/>
    <w:rsid w:val="3C460065"/>
    <w:rsid w:val="3C463BC1"/>
    <w:rsid w:val="3C4F64BA"/>
    <w:rsid w:val="3C5738CA"/>
    <w:rsid w:val="3C74603E"/>
    <w:rsid w:val="3C7F70D3"/>
    <w:rsid w:val="3C81109D"/>
    <w:rsid w:val="3CCD6091"/>
    <w:rsid w:val="3CDA245A"/>
    <w:rsid w:val="3D145A6E"/>
    <w:rsid w:val="3D1E06B7"/>
    <w:rsid w:val="3D3103CE"/>
    <w:rsid w:val="3D436353"/>
    <w:rsid w:val="3D513672"/>
    <w:rsid w:val="3D516CC2"/>
    <w:rsid w:val="3D532A3A"/>
    <w:rsid w:val="3D7B3D3F"/>
    <w:rsid w:val="3D7D1865"/>
    <w:rsid w:val="3D840E45"/>
    <w:rsid w:val="3D966C5A"/>
    <w:rsid w:val="3DAB4624"/>
    <w:rsid w:val="3DC72AE0"/>
    <w:rsid w:val="3DEC0798"/>
    <w:rsid w:val="3E350391"/>
    <w:rsid w:val="3E483B2C"/>
    <w:rsid w:val="3E4A24D8"/>
    <w:rsid w:val="3E88226F"/>
    <w:rsid w:val="3E9A1FA2"/>
    <w:rsid w:val="3EB075EF"/>
    <w:rsid w:val="3EC55C9F"/>
    <w:rsid w:val="3EDA0523"/>
    <w:rsid w:val="3F3855C7"/>
    <w:rsid w:val="3F450160"/>
    <w:rsid w:val="3F870779"/>
    <w:rsid w:val="3F9248D9"/>
    <w:rsid w:val="3FA87B55"/>
    <w:rsid w:val="3FB5178A"/>
    <w:rsid w:val="3FB62E0C"/>
    <w:rsid w:val="3FBE48FB"/>
    <w:rsid w:val="3FC65745"/>
    <w:rsid w:val="3FFD4EDF"/>
    <w:rsid w:val="40041DC9"/>
    <w:rsid w:val="4037219F"/>
    <w:rsid w:val="406960D0"/>
    <w:rsid w:val="407056B1"/>
    <w:rsid w:val="407A6407"/>
    <w:rsid w:val="40825598"/>
    <w:rsid w:val="40A11D0E"/>
    <w:rsid w:val="40BC0DFF"/>
    <w:rsid w:val="40C1450F"/>
    <w:rsid w:val="40CF0629"/>
    <w:rsid w:val="40DC2D46"/>
    <w:rsid w:val="40E561CF"/>
    <w:rsid w:val="40E8793D"/>
    <w:rsid w:val="40F938F8"/>
    <w:rsid w:val="41055DF9"/>
    <w:rsid w:val="41280A12"/>
    <w:rsid w:val="41313092"/>
    <w:rsid w:val="41322966"/>
    <w:rsid w:val="41384420"/>
    <w:rsid w:val="41483F38"/>
    <w:rsid w:val="41594397"/>
    <w:rsid w:val="41635215"/>
    <w:rsid w:val="417D62D7"/>
    <w:rsid w:val="4182744A"/>
    <w:rsid w:val="419E624E"/>
    <w:rsid w:val="41CC2DBB"/>
    <w:rsid w:val="41D103D1"/>
    <w:rsid w:val="41D852BC"/>
    <w:rsid w:val="41F12821"/>
    <w:rsid w:val="41F93969"/>
    <w:rsid w:val="41FD4D22"/>
    <w:rsid w:val="4200449D"/>
    <w:rsid w:val="42004757"/>
    <w:rsid w:val="42010CB6"/>
    <w:rsid w:val="42141C1A"/>
    <w:rsid w:val="421A6784"/>
    <w:rsid w:val="4224068F"/>
    <w:rsid w:val="42330CA9"/>
    <w:rsid w:val="423A3BCC"/>
    <w:rsid w:val="42497F67"/>
    <w:rsid w:val="424E57D2"/>
    <w:rsid w:val="427D0D80"/>
    <w:rsid w:val="42890CAC"/>
    <w:rsid w:val="4290203A"/>
    <w:rsid w:val="42916888"/>
    <w:rsid w:val="429513FF"/>
    <w:rsid w:val="42957651"/>
    <w:rsid w:val="42B26C49"/>
    <w:rsid w:val="42BA2C13"/>
    <w:rsid w:val="42F44377"/>
    <w:rsid w:val="430A1DED"/>
    <w:rsid w:val="430A2A3B"/>
    <w:rsid w:val="430E28CE"/>
    <w:rsid w:val="431840BE"/>
    <w:rsid w:val="431E7646"/>
    <w:rsid w:val="433A6FE6"/>
    <w:rsid w:val="43480868"/>
    <w:rsid w:val="434929F0"/>
    <w:rsid w:val="4350713C"/>
    <w:rsid w:val="43543068"/>
    <w:rsid w:val="43560B8E"/>
    <w:rsid w:val="435E3EE6"/>
    <w:rsid w:val="43654F54"/>
    <w:rsid w:val="436653E0"/>
    <w:rsid w:val="43C4431A"/>
    <w:rsid w:val="43E02B4D"/>
    <w:rsid w:val="43E048FB"/>
    <w:rsid w:val="43FE4D82"/>
    <w:rsid w:val="441B1DD7"/>
    <w:rsid w:val="44213794"/>
    <w:rsid w:val="44380293"/>
    <w:rsid w:val="447D039C"/>
    <w:rsid w:val="448544B2"/>
    <w:rsid w:val="449B0822"/>
    <w:rsid w:val="44A21BB1"/>
    <w:rsid w:val="44B951CC"/>
    <w:rsid w:val="44CD14E0"/>
    <w:rsid w:val="44D268C3"/>
    <w:rsid w:val="44F20B0B"/>
    <w:rsid w:val="44F7014F"/>
    <w:rsid w:val="452E5F4C"/>
    <w:rsid w:val="453445B7"/>
    <w:rsid w:val="4536399E"/>
    <w:rsid w:val="454C1CD1"/>
    <w:rsid w:val="45505AB1"/>
    <w:rsid w:val="45612018"/>
    <w:rsid w:val="45672114"/>
    <w:rsid w:val="456B1EEC"/>
    <w:rsid w:val="45742C2C"/>
    <w:rsid w:val="458946E9"/>
    <w:rsid w:val="458D2861"/>
    <w:rsid w:val="458D686B"/>
    <w:rsid w:val="459E05CA"/>
    <w:rsid w:val="459E5A0D"/>
    <w:rsid w:val="45A47C0E"/>
    <w:rsid w:val="45AB6D4F"/>
    <w:rsid w:val="45AF4585"/>
    <w:rsid w:val="45B608B1"/>
    <w:rsid w:val="45C67B21"/>
    <w:rsid w:val="45FD79E7"/>
    <w:rsid w:val="46005117"/>
    <w:rsid w:val="4609775D"/>
    <w:rsid w:val="460E39A2"/>
    <w:rsid w:val="462128E4"/>
    <w:rsid w:val="462B20C6"/>
    <w:rsid w:val="463D7880"/>
    <w:rsid w:val="46465038"/>
    <w:rsid w:val="46577FD6"/>
    <w:rsid w:val="46695516"/>
    <w:rsid w:val="468679DC"/>
    <w:rsid w:val="468772B0"/>
    <w:rsid w:val="46966CED"/>
    <w:rsid w:val="4698770F"/>
    <w:rsid w:val="469A39A2"/>
    <w:rsid w:val="46CD058C"/>
    <w:rsid w:val="46D955A7"/>
    <w:rsid w:val="4712301E"/>
    <w:rsid w:val="47133957"/>
    <w:rsid w:val="47213261"/>
    <w:rsid w:val="4723347D"/>
    <w:rsid w:val="47282841"/>
    <w:rsid w:val="47727F60"/>
    <w:rsid w:val="478A52AA"/>
    <w:rsid w:val="479530A5"/>
    <w:rsid w:val="47961D70"/>
    <w:rsid w:val="47A07E0C"/>
    <w:rsid w:val="47B75973"/>
    <w:rsid w:val="47C148F2"/>
    <w:rsid w:val="47FC0CFA"/>
    <w:rsid w:val="48414F44"/>
    <w:rsid w:val="484418FD"/>
    <w:rsid w:val="484F3DFE"/>
    <w:rsid w:val="4870272E"/>
    <w:rsid w:val="487915CE"/>
    <w:rsid w:val="488F069E"/>
    <w:rsid w:val="48AE321A"/>
    <w:rsid w:val="48C32083"/>
    <w:rsid w:val="48D00720"/>
    <w:rsid w:val="48EE7ABB"/>
    <w:rsid w:val="48EF5D2E"/>
    <w:rsid w:val="48FD385A"/>
    <w:rsid w:val="490C57F6"/>
    <w:rsid w:val="492359B6"/>
    <w:rsid w:val="492C413F"/>
    <w:rsid w:val="49375FAE"/>
    <w:rsid w:val="494405DD"/>
    <w:rsid w:val="494B0A69"/>
    <w:rsid w:val="4961028C"/>
    <w:rsid w:val="49911273"/>
    <w:rsid w:val="49935F6C"/>
    <w:rsid w:val="499E6DEB"/>
    <w:rsid w:val="49DC7715"/>
    <w:rsid w:val="49EF60DA"/>
    <w:rsid w:val="4A023139"/>
    <w:rsid w:val="4A05330E"/>
    <w:rsid w:val="4A0F5456"/>
    <w:rsid w:val="4A3D4856"/>
    <w:rsid w:val="4A58343D"/>
    <w:rsid w:val="4A6D3162"/>
    <w:rsid w:val="4A7144FF"/>
    <w:rsid w:val="4A7B576F"/>
    <w:rsid w:val="4AF561A9"/>
    <w:rsid w:val="4AFE13FC"/>
    <w:rsid w:val="4B074E64"/>
    <w:rsid w:val="4B0D3661"/>
    <w:rsid w:val="4B307C3F"/>
    <w:rsid w:val="4B8B7905"/>
    <w:rsid w:val="4BA3693A"/>
    <w:rsid w:val="4BAB1C93"/>
    <w:rsid w:val="4BC14203"/>
    <w:rsid w:val="4BCF2936"/>
    <w:rsid w:val="4BD27220"/>
    <w:rsid w:val="4BF70A34"/>
    <w:rsid w:val="4C03387D"/>
    <w:rsid w:val="4C0B44E0"/>
    <w:rsid w:val="4C121D12"/>
    <w:rsid w:val="4C252D04"/>
    <w:rsid w:val="4C42721C"/>
    <w:rsid w:val="4C4A0649"/>
    <w:rsid w:val="4C51283A"/>
    <w:rsid w:val="4C59698F"/>
    <w:rsid w:val="4C7E5ECA"/>
    <w:rsid w:val="4C81068A"/>
    <w:rsid w:val="4C876AA5"/>
    <w:rsid w:val="4CB132D9"/>
    <w:rsid w:val="4CC90623"/>
    <w:rsid w:val="4CE74E5D"/>
    <w:rsid w:val="4CEF795D"/>
    <w:rsid w:val="4D0E00FB"/>
    <w:rsid w:val="4D176606"/>
    <w:rsid w:val="4D184A41"/>
    <w:rsid w:val="4D22533F"/>
    <w:rsid w:val="4D267823"/>
    <w:rsid w:val="4D3A507C"/>
    <w:rsid w:val="4D445EFB"/>
    <w:rsid w:val="4D5123C6"/>
    <w:rsid w:val="4D7762D0"/>
    <w:rsid w:val="4D7C5695"/>
    <w:rsid w:val="4D8C33FE"/>
    <w:rsid w:val="4DD059E1"/>
    <w:rsid w:val="4DEC4FB0"/>
    <w:rsid w:val="4E075D8A"/>
    <w:rsid w:val="4E1D23DC"/>
    <w:rsid w:val="4E275EA3"/>
    <w:rsid w:val="4E2F0959"/>
    <w:rsid w:val="4E30647F"/>
    <w:rsid w:val="4E345F70"/>
    <w:rsid w:val="4E3C3076"/>
    <w:rsid w:val="4E3E294A"/>
    <w:rsid w:val="4E9E5ADF"/>
    <w:rsid w:val="4E9E788D"/>
    <w:rsid w:val="4EA34EA3"/>
    <w:rsid w:val="4EC00FAD"/>
    <w:rsid w:val="4ED73521"/>
    <w:rsid w:val="4EF31987"/>
    <w:rsid w:val="4EF851EF"/>
    <w:rsid w:val="4F041DE6"/>
    <w:rsid w:val="4F0A4F22"/>
    <w:rsid w:val="4F277857"/>
    <w:rsid w:val="4F310701"/>
    <w:rsid w:val="4F377D0D"/>
    <w:rsid w:val="4F40618C"/>
    <w:rsid w:val="4F552958"/>
    <w:rsid w:val="4F591587"/>
    <w:rsid w:val="4F675ED1"/>
    <w:rsid w:val="4F691C49"/>
    <w:rsid w:val="4F6C798B"/>
    <w:rsid w:val="4F820F5D"/>
    <w:rsid w:val="4F8C69B7"/>
    <w:rsid w:val="4F9843DC"/>
    <w:rsid w:val="4F9F38BD"/>
    <w:rsid w:val="4FA233AD"/>
    <w:rsid w:val="4FA36DBE"/>
    <w:rsid w:val="4FB01626"/>
    <w:rsid w:val="4FC52DEA"/>
    <w:rsid w:val="4FC62A8C"/>
    <w:rsid w:val="4FD06AC1"/>
    <w:rsid w:val="4FDC241B"/>
    <w:rsid w:val="4FE20F0D"/>
    <w:rsid w:val="4FE51552"/>
    <w:rsid w:val="50047BC4"/>
    <w:rsid w:val="504F52E3"/>
    <w:rsid w:val="50504C4B"/>
    <w:rsid w:val="505E1082"/>
    <w:rsid w:val="50615016"/>
    <w:rsid w:val="50760AC1"/>
    <w:rsid w:val="509077A2"/>
    <w:rsid w:val="509C6E7C"/>
    <w:rsid w:val="50B27620"/>
    <w:rsid w:val="50B8620F"/>
    <w:rsid w:val="50E81293"/>
    <w:rsid w:val="50EC143A"/>
    <w:rsid w:val="51121E6C"/>
    <w:rsid w:val="512C1C7F"/>
    <w:rsid w:val="5133250E"/>
    <w:rsid w:val="51366528"/>
    <w:rsid w:val="51402E7D"/>
    <w:rsid w:val="51404C2B"/>
    <w:rsid w:val="514774AD"/>
    <w:rsid w:val="5153670D"/>
    <w:rsid w:val="5162104E"/>
    <w:rsid w:val="51735001"/>
    <w:rsid w:val="517448D5"/>
    <w:rsid w:val="51793319"/>
    <w:rsid w:val="5181771E"/>
    <w:rsid w:val="5196484B"/>
    <w:rsid w:val="51AF2767"/>
    <w:rsid w:val="51B94BFE"/>
    <w:rsid w:val="51D75590"/>
    <w:rsid w:val="51ED4DB3"/>
    <w:rsid w:val="51F6353C"/>
    <w:rsid w:val="51F80FD7"/>
    <w:rsid w:val="52043EAB"/>
    <w:rsid w:val="523302EC"/>
    <w:rsid w:val="5237602E"/>
    <w:rsid w:val="524349D3"/>
    <w:rsid w:val="52505342"/>
    <w:rsid w:val="526037D7"/>
    <w:rsid w:val="527903F5"/>
    <w:rsid w:val="528C3EFA"/>
    <w:rsid w:val="52996AF1"/>
    <w:rsid w:val="529C2335"/>
    <w:rsid w:val="529F2C8A"/>
    <w:rsid w:val="52A13BC2"/>
    <w:rsid w:val="52C21B2E"/>
    <w:rsid w:val="52CC2C1B"/>
    <w:rsid w:val="52DB4C0C"/>
    <w:rsid w:val="52DD4E28"/>
    <w:rsid w:val="52F14B27"/>
    <w:rsid w:val="53191BD8"/>
    <w:rsid w:val="533F61F8"/>
    <w:rsid w:val="535029F5"/>
    <w:rsid w:val="535345E0"/>
    <w:rsid w:val="536D782E"/>
    <w:rsid w:val="53A039CC"/>
    <w:rsid w:val="53A1505A"/>
    <w:rsid w:val="53D37FD9"/>
    <w:rsid w:val="53F021CF"/>
    <w:rsid w:val="54063E08"/>
    <w:rsid w:val="54102FDB"/>
    <w:rsid w:val="542B1BC3"/>
    <w:rsid w:val="543437E8"/>
    <w:rsid w:val="54854F15"/>
    <w:rsid w:val="548D0188"/>
    <w:rsid w:val="548E3F00"/>
    <w:rsid w:val="549332C4"/>
    <w:rsid w:val="54A46E20"/>
    <w:rsid w:val="54AF45A2"/>
    <w:rsid w:val="54DC2EBD"/>
    <w:rsid w:val="54E63D3C"/>
    <w:rsid w:val="54F73313"/>
    <w:rsid w:val="54F80955"/>
    <w:rsid w:val="55175CA3"/>
    <w:rsid w:val="552D54C7"/>
    <w:rsid w:val="555170A7"/>
    <w:rsid w:val="55517717"/>
    <w:rsid w:val="55524F2D"/>
    <w:rsid w:val="555313D1"/>
    <w:rsid w:val="55567C55"/>
    <w:rsid w:val="556C2493"/>
    <w:rsid w:val="55711857"/>
    <w:rsid w:val="557B26D6"/>
    <w:rsid w:val="55803261"/>
    <w:rsid w:val="5587536D"/>
    <w:rsid w:val="559030DD"/>
    <w:rsid w:val="55960BE5"/>
    <w:rsid w:val="55983288"/>
    <w:rsid w:val="559B174B"/>
    <w:rsid w:val="55A7171D"/>
    <w:rsid w:val="55C104B2"/>
    <w:rsid w:val="55C2758D"/>
    <w:rsid w:val="55CE0CF4"/>
    <w:rsid w:val="56066443"/>
    <w:rsid w:val="56091A90"/>
    <w:rsid w:val="5638226F"/>
    <w:rsid w:val="564E1B99"/>
    <w:rsid w:val="56710779"/>
    <w:rsid w:val="567710EF"/>
    <w:rsid w:val="56B22A9C"/>
    <w:rsid w:val="56D14F27"/>
    <w:rsid w:val="56D6047E"/>
    <w:rsid w:val="56DE6BCA"/>
    <w:rsid w:val="56F20FE4"/>
    <w:rsid w:val="56FD6023"/>
    <w:rsid w:val="57080F55"/>
    <w:rsid w:val="572D3AF8"/>
    <w:rsid w:val="57323268"/>
    <w:rsid w:val="57376AD1"/>
    <w:rsid w:val="575424EC"/>
    <w:rsid w:val="575663BC"/>
    <w:rsid w:val="575925A3"/>
    <w:rsid w:val="575C2093"/>
    <w:rsid w:val="57630324"/>
    <w:rsid w:val="577D0987"/>
    <w:rsid w:val="57A31A70"/>
    <w:rsid w:val="57B123DF"/>
    <w:rsid w:val="57B72A76"/>
    <w:rsid w:val="57C3426C"/>
    <w:rsid w:val="57CE1F93"/>
    <w:rsid w:val="57DC32D5"/>
    <w:rsid w:val="58247055"/>
    <w:rsid w:val="58262DCD"/>
    <w:rsid w:val="583152CE"/>
    <w:rsid w:val="58627B7D"/>
    <w:rsid w:val="58675193"/>
    <w:rsid w:val="587753D7"/>
    <w:rsid w:val="588743D1"/>
    <w:rsid w:val="5887701A"/>
    <w:rsid w:val="58AB1524"/>
    <w:rsid w:val="58B77EC9"/>
    <w:rsid w:val="58C16652"/>
    <w:rsid w:val="58C62AAF"/>
    <w:rsid w:val="58C83E84"/>
    <w:rsid w:val="58C85C32"/>
    <w:rsid w:val="58DB731F"/>
    <w:rsid w:val="58DE5456"/>
    <w:rsid w:val="58E862D4"/>
    <w:rsid w:val="58F06F37"/>
    <w:rsid w:val="58F76517"/>
    <w:rsid w:val="59097FF9"/>
    <w:rsid w:val="59191F2D"/>
    <w:rsid w:val="591C1ADA"/>
    <w:rsid w:val="593434C3"/>
    <w:rsid w:val="593B3DAA"/>
    <w:rsid w:val="59516618"/>
    <w:rsid w:val="59814033"/>
    <w:rsid w:val="598E49C1"/>
    <w:rsid w:val="59A61E49"/>
    <w:rsid w:val="59C02DAD"/>
    <w:rsid w:val="59C0439F"/>
    <w:rsid w:val="59CD102D"/>
    <w:rsid w:val="59D52CBB"/>
    <w:rsid w:val="59EF3692"/>
    <w:rsid w:val="5A0377E4"/>
    <w:rsid w:val="5A0A5E9A"/>
    <w:rsid w:val="5A0C5FF2"/>
    <w:rsid w:val="5A53777D"/>
    <w:rsid w:val="5A5A0B0C"/>
    <w:rsid w:val="5A655703"/>
    <w:rsid w:val="5A6B5A38"/>
    <w:rsid w:val="5A7F37AB"/>
    <w:rsid w:val="5A867B53"/>
    <w:rsid w:val="5A9D30EE"/>
    <w:rsid w:val="5ABE2233"/>
    <w:rsid w:val="5AD54636"/>
    <w:rsid w:val="5B060C94"/>
    <w:rsid w:val="5B070568"/>
    <w:rsid w:val="5B0A0784"/>
    <w:rsid w:val="5B3A26EB"/>
    <w:rsid w:val="5B527A35"/>
    <w:rsid w:val="5B6D277B"/>
    <w:rsid w:val="5B7976B8"/>
    <w:rsid w:val="5B8641CC"/>
    <w:rsid w:val="5B991B08"/>
    <w:rsid w:val="5BA504AD"/>
    <w:rsid w:val="5BAD55B3"/>
    <w:rsid w:val="5BAF4E87"/>
    <w:rsid w:val="5BBC1352"/>
    <w:rsid w:val="5BD25E4A"/>
    <w:rsid w:val="5BDF5D95"/>
    <w:rsid w:val="5BFE7528"/>
    <w:rsid w:val="5C133668"/>
    <w:rsid w:val="5C2F67ED"/>
    <w:rsid w:val="5C3E620B"/>
    <w:rsid w:val="5C444EBD"/>
    <w:rsid w:val="5C537F09"/>
    <w:rsid w:val="5C545A2F"/>
    <w:rsid w:val="5C5679F9"/>
    <w:rsid w:val="5C5B500F"/>
    <w:rsid w:val="5C621EFA"/>
    <w:rsid w:val="5C645C72"/>
    <w:rsid w:val="5C6739B4"/>
    <w:rsid w:val="5C6E6AF1"/>
    <w:rsid w:val="5C702869"/>
    <w:rsid w:val="5C9F314E"/>
    <w:rsid w:val="5CA02A22"/>
    <w:rsid w:val="5CAA0DD4"/>
    <w:rsid w:val="5CD07710"/>
    <w:rsid w:val="5CD31049"/>
    <w:rsid w:val="5CD71AFE"/>
    <w:rsid w:val="5CFD6F06"/>
    <w:rsid w:val="5CFF3025"/>
    <w:rsid w:val="5D1F5277"/>
    <w:rsid w:val="5D2673CB"/>
    <w:rsid w:val="5D467A6D"/>
    <w:rsid w:val="5D695CD0"/>
    <w:rsid w:val="5D753EAF"/>
    <w:rsid w:val="5D78615F"/>
    <w:rsid w:val="5DBC7D30"/>
    <w:rsid w:val="5DE3706A"/>
    <w:rsid w:val="5DF9063C"/>
    <w:rsid w:val="5DFE3EA4"/>
    <w:rsid w:val="5E056FE1"/>
    <w:rsid w:val="5E070FAB"/>
    <w:rsid w:val="5E196F30"/>
    <w:rsid w:val="5E2467F1"/>
    <w:rsid w:val="5E280FED"/>
    <w:rsid w:val="5E287173"/>
    <w:rsid w:val="5E361890"/>
    <w:rsid w:val="5E3B2A02"/>
    <w:rsid w:val="5E5D0BCB"/>
    <w:rsid w:val="5E652175"/>
    <w:rsid w:val="5ECC7AFE"/>
    <w:rsid w:val="5EE50BC0"/>
    <w:rsid w:val="5EF332DD"/>
    <w:rsid w:val="5F131BD1"/>
    <w:rsid w:val="5F1A2B43"/>
    <w:rsid w:val="5F1A2F60"/>
    <w:rsid w:val="5F2B4E8C"/>
    <w:rsid w:val="5F381638"/>
    <w:rsid w:val="5F593A88"/>
    <w:rsid w:val="5F5F6BC4"/>
    <w:rsid w:val="5F8566A4"/>
    <w:rsid w:val="5F8E1258"/>
    <w:rsid w:val="5FB05672"/>
    <w:rsid w:val="5FB837BB"/>
    <w:rsid w:val="5FBB029F"/>
    <w:rsid w:val="5FC529B3"/>
    <w:rsid w:val="5FCF78A6"/>
    <w:rsid w:val="5FF217E7"/>
    <w:rsid w:val="600635DB"/>
    <w:rsid w:val="601B6F8F"/>
    <w:rsid w:val="60294C93"/>
    <w:rsid w:val="602A0F80"/>
    <w:rsid w:val="603B13E0"/>
    <w:rsid w:val="604F4E8B"/>
    <w:rsid w:val="60575AEE"/>
    <w:rsid w:val="60695F4D"/>
    <w:rsid w:val="607B393B"/>
    <w:rsid w:val="608F5084"/>
    <w:rsid w:val="609F196E"/>
    <w:rsid w:val="60A07495"/>
    <w:rsid w:val="60A51842"/>
    <w:rsid w:val="60A725D1"/>
    <w:rsid w:val="60CC405A"/>
    <w:rsid w:val="60D22C83"/>
    <w:rsid w:val="610619ED"/>
    <w:rsid w:val="61096DE8"/>
    <w:rsid w:val="6110461A"/>
    <w:rsid w:val="61107F4E"/>
    <w:rsid w:val="611376F6"/>
    <w:rsid w:val="616768DD"/>
    <w:rsid w:val="61706E67"/>
    <w:rsid w:val="61750921"/>
    <w:rsid w:val="61834DEC"/>
    <w:rsid w:val="61891CD7"/>
    <w:rsid w:val="6190775E"/>
    <w:rsid w:val="619459BA"/>
    <w:rsid w:val="61AB4343"/>
    <w:rsid w:val="61E215D8"/>
    <w:rsid w:val="61F871B7"/>
    <w:rsid w:val="61FA2BD4"/>
    <w:rsid w:val="61FB296E"/>
    <w:rsid w:val="621B3775"/>
    <w:rsid w:val="623205C0"/>
    <w:rsid w:val="62347E94"/>
    <w:rsid w:val="62364782"/>
    <w:rsid w:val="62614A02"/>
    <w:rsid w:val="62740F21"/>
    <w:rsid w:val="628250A4"/>
    <w:rsid w:val="628A21AA"/>
    <w:rsid w:val="62AE40EB"/>
    <w:rsid w:val="62C5728E"/>
    <w:rsid w:val="62D96C8E"/>
    <w:rsid w:val="62E775FD"/>
    <w:rsid w:val="62F34C34"/>
    <w:rsid w:val="62FC4A7D"/>
    <w:rsid w:val="63050D85"/>
    <w:rsid w:val="6316519C"/>
    <w:rsid w:val="631D6B7A"/>
    <w:rsid w:val="634B0990"/>
    <w:rsid w:val="636150E7"/>
    <w:rsid w:val="63644F37"/>
    <w:rsid w:val="63676048"/>
    <w:rsid w:val="637049A3"/>
    <w:rsid w:val="6388493C"/>
    <w:rsid w:val="63911DA1"/>
    <w:rsid w:val="63927568"/>
    <w:rsid w:val="6394356A"/>
    <w:rsid w:val="63A159FD"/>
    <w:rsid w:val="63A23524"/>
    <w:rsid w:val="63A31776"/>
    <w:rsid w:val="63C61B2C"/>
    <w:rsid w:val="63D3192F"/>
    <w:rsid w:val="63D40BE9"/>
    <w:rsid w:val="63D43B3C"/>
    <w:rsid w:val="63D77671"/>
    <w:rsid w:val="63F26259"/>
    <w:rsid w:val="63FD075A"/>
    <w:rsid w:val="64025D70"/>
    <w:rsid w:val="64102431"/>
    <w:rsid w:val="64122457"/>
    <w:rsid w:val="64246961"/>
    <w:rsid w:val="643E149E"/>
    <w:rsid w:val="645C7B76"/>
    <w:rsid w:val="646A444D"/>
    <w:rsid w:val="647E7AED"/>
    <w:rsid w:val="648570CD"/>
    <w:rsid w:val="649D4417"/>
    <w:rsid w:val="64A5243A"/>
    <w:rsid w:val="64CA2D32"/>
    <w:rsid w:val="64D911C7"/>
    <w:rsid w:val="64E33DF4"/>
    <w:rsid w:val="64F531DE"/>
    <w:rsid w:val="65242442"/>
    <w:rsid w:val="652A37D1"/>
    <w:rsid w:val="65373578"/>
    <w:rsid w:val="65447420"/>
    <w:rsid w:val="65493C57"/>
    <w:rsid w:val="655D3BA6"/>
    <w:rsid w:val="6578453C"/>
    <w:rsid w:val="65C23A09"/>
    <w:rsid w:val="65D11E9E"/>
    <w:rsid w:val="660B1854"/>
    <w:rsid w:val="66100C18"/>
    <w:rsid w:val="66126280"/>
    <w:rsid w:val="66140709"/>
    <w:rsid w:val="663568D1"/>
    <w:rsid w:val="66417024"/>
    <w:rsid w:val="6663682A"/>
    <w:rsid w:val="66770C98"/>
    <w:rsid w:val="668919F2"/>
    <w:rsid w:val="66B91848"/>
    <w:rsid w:val="66BB0B84"/>
    <w:rsid w:val="671F124A"/>
    <w:rsid w:val="67346B89"/>
    <w:rsid w:val="677A33C6"/>
    <w:rsid w:val="679B09B6"/>
    <w:rsid w:val="67AC2BC3"/>
    <w:rsid w:val="67B11F87"/>
    <w:rsid w:val="67B850C4"/>
    <w:rsid w:val="67BA52E0"/>
    <w:rsid w:val="67D22629"/>
    <w:rsid w:val="67F74DDB"/>
    <w:rsid w:val="67FA3518"/>
    <w:rsid w:val="68021FAB"/>
    <w:rsid w:val="681F6961"/>
    <w:rsid w:val="682140F7"/>
    <w:rsid w:val="68294213"/>
    <w:rsid w:val="683C720D"/>
    <w:rsid w:val="684133A2"/>
    <w:rsid w:val="684E77D6"/>
    <w:rsid w:val="6852376A"/>
    <w:rsid w:val="685A617B"/>
    <w:rsid w:val="685F7C35"/>
    <w:rsid w:val="68610A2F"/>
    <w:rsid w:val="68792AA5"/>
    <w:rsid w:val="687F3E33"/>
    <w:rsid w:val="68805514"/>
    <w:rsid w:val="68925915"/>
    <w:rsid w:val="68A815DC"/>
    <w:rsid w:val="68D221B5"/>
    <w:rsid w:val="68E63EB3"/>
    <w:rsid w:val="68EA3008"/>
    <w:rsid w:val="68EC14C9"/>
    <w:rsid w:val="68EE5CF9"/>
    <w:rsid w:val="690164B5"/>
    <w:rsid w:val="690507DD"/>
    <w:rsid w:val="690F3152"/>
    <w:rsid w:val="69197A15"/>
    <w:rsid w:val="69252C2D"/>
    <w:rsid w:val="69316E2F"/>
    <w:rsid w:val="69434E61"/>
    <w:rsid w:val="694A4441"/>
    <w:rsid w:val="694A61EF"/>
    <w:rsid w:val="694E2071"/>
    <w:rsid w:val="69707E8B"/>
    <w:rsid w:val="69766163"/>
    <w:rsid w:val="697A3B33"/>
    <w:rsid w:val="697F1A1F"/>
    <w:rsid w:val="69CB5582"/>
    <w:rsid w:val="69D44760"/>
    <w:rsid w:val="6A153D32"/>
    <w:rsid w:val="6A3749C6"/>
    <w:rsid w:val="6A425119"/>
    <w:rsid w:val="6A520EC7"/>
    <w:rsid w:val="6A633A0D"/>
    <w:rsid w:val="6A691C02"/>
    <w:rsid w:val="6A9A31A7"/>
    <w:rsid w:val="6A9C1A8B"/>
    <w:rsid w:val="6A9F07BD"/>
    <w:rsid w:val="6ACD70D8"/>
    <w:rsid w:val="6AF723A7"/>
    <w:rsid w:val="6AF87E20"/>
    <w:rsid w:val="6B000899"/>
    <w:rsid w:val="6B250CC2"/>
    <w:rsid w:val="6B272C8C"/>
    <w:rsid w:val="6B322639"/>
    <w:rsid w:val="6B712159"/>
    <w:rsid w:val="6B76151E"/>
    <w:rsid w:val="6B824366"/>
    <w:rsid w:val="6B855C05"/>
    <w:rsid w:val="6B8A321B"/>
    <w:rsid w:val="6BA73DCD"/>
    <w:rsid w:val="6BC93D43"/>
    <w:rsid w:val="6BD526E8"/>
    <w:rsid w:val="6BE20961"/>
    <w:rsid w:val="6BF54B38"/>
    <w:rsid w:val="6BFA214F"/>
    <w:rsid w:val="6C313697"/>
    <w:rsid w:val="6C44786E"/>
    <w:rsid w:val="6C521962"/>
    <w:rsid w:val="6C636C38"/>
    <w:rsid w:val="6C7C61CD"/>
    <w:rsid w:val="6C933265"/>
    <w:rsid w:val="6C9411BA"/>
    <w:rsid w:val="6C9A56E0"/>
    <w:rsid w:val="6CA67BE1"/>
    <w:rsid w:val="6CB22A29"/>
    <w:rsid w:val="6CD25A3C"/>
    <w:rsid w:val="6CD52274"/>
    <w:rsid w:val="6CE334FC"/>
    <w:rsid w:val="6D090170"/>
    <w:rsid w:val="6D0D1A0E"/>
    <w:rsid w:val="6D347DEC"/>
    <w:rsid w:val="6D357DB9"/>
    <w:rsid w:val="6D3671B7"/>
    <w:rsid w:val="6D4C4C2C"/>
    <w:rsid w:val="6D561607"/>
    <w:rsid w:val="6D567859"/>
    <w:rsid w:val="6D5D0BE7"/>
    <w:rsid w:val="6D7D3037"/>
    <w:rsid w:val="6D836174"/>
    <w:rsid w:val="6D981C1F"/>
    <w:rsid w:val="6DA11190"/>
    <w:rsid w:val="6DB34098"/>
    <w:rsid w:val="6DB545B6"/>
    <w:rsid w:val="6DB92326"/>
    <w:rsid w:val="6DCE3893"/>
    <w:rsid w:val="6DDD7632"/>
    <w:rsid w:val="6DE02FB4"/>
    <w:rsid w:val="6DE309C1"/>
    <w:rsid w:val="6E1A0886"/>
    <w:rsid w:val="6E1A2DE0"/>
    <w:rsid w:val="6E22035D"/>
    <w:rsid w:val="6E35746E"/>
    <w:rsid w:val="6E4A0A40"/>
    <w:rsid w:val="6E514CED"/>
    <w:rsid w:val="6E625D89"/>
    <w:rsid w:val="6E6D78C5"/>
    <w:rsid w:val="6E855B2D"/>
    <w:rsid w:val="6E9E2C69"/>
    <w:rsid w:val="6EA463A2"/>
    <w:rsid w:val="6EB563D5"/>
    <w:rsid w:val="6ED529FF"/>
    <w:rsid w:val="6ED92677"/>
    <w:rsid w:val="6EDC3CAF"/>
    <w:rsid w:val="6EE32018"/>
    <w:rsid w:val="6F103A37"/>
    <w:rsid w:val="6F1170A3"/>
    <w:rsid w:val="6F141779"/>
    <w:rsid w:val="6F225983"/>
    <w:rsid w:val="6F23376B"/>
    <w:rsid w:val="6F2E3EBD"/>
    <w:rsid w:val="6F5B5AA7"/>
    <w:rsid w:val="6F6F075E"/>
    <w:rsid w:val="6F765F90"/>
    <w:rsid w:val="6F926B42"/>
    <w:rsid w:val="6F9B77A5"/>
    <w:rsid w:val="6FA14A5D"/>
    <w:rsid w:val="6FA348AB"/>
    <w:rsid w:val="6FB7056B"/>
    <w:rsid w:val="6FC82564"/>
    <w:rsid w:val="6FC96B2D"/>
    <w:rsid w:val="6FCC3E02"/>
    <w:rsid w:val="6FF02664"/>
    <w:rsid w:val="6FFC5590"/>
    <w:rsid w:val="7023738E"/>
    <w:rsid w:val="70375FC5"/>
    <w:rsid w:val="70484CFA"/>
    <w:rsid w:val="7064228D"/>
    <w:rsid w:val="706D1DD0"/>
    <w:rsid w:val="707F2C23"/>
    <w:rsid w:val="70856B87"/>
    <w:rsid w:val="708741CD"/>
    <w:rsid w:val="70980188"/>
    <w:rsid w:val="70A73F27"/>
    <w:rsid w:val="70C76378"/>
    <w:rsid w:val="70CE410E"/>
    <w:rsid w:val="70D527EE"/>
    <w:rsid w:val="70D76E94"/>
    <w:rsid w:val="70DF36C1"/>
    <w:rsid w:val="70F330A2"/>
    <w:rsid w:val="70F96E79"/>
    <w:rsid w:val="71241A1C"/>
    <w:rsid w:val="715B5300"/>
    <w:rsid w:val="717E737E"/>
    <w:rsid w:val="718F346A"/>
    <w:rsid w:val="71AB71D1"/>
    <w:rsid w:val="71C72AD3"/>
    <w:rsid w:val="71D27F8A"/>
    <w:rsid w:val="71FE6FD0"/>
    <w:rsid w:val="7207227E"/>
    <w:rsid w:val="72121874"/>
    <w:rsid w:val="721455EC"/>
    <w:rsid w:val="72192C03"/>
    <w:rsid w:val="7233543C"/>
    <w:rsid w:val="723D2D95"/>
    <w:rsid w:val="72457E9C"/>
    <w:rsid w:val="72496E30"/>
    <w:rsid w:val="72553024"/>
    <w:rsid w:val="72AD19B1"/>
    <w:rsid w:val="72D220AB"/>
    <w:rsid w:val="72D336FA"/>
    <w:rsid w:val="72DE072E"/>
    <w:rsid w:val="72EE0533"/>
    <w:rsid w:val="73016D6C"/>
    <w:rsid w:val="73122968"/>
    <w:rsid w:val="731F06ED"/>
    <w:rsid w:val="731F5D5E"/>
    <w:rsid w:val="73735C77"/>
    <w:rsid w:val="73B47087"/>
    <w:rsid w:val="73BE1CB4"/>
    <w:rsid w:val="73C10213"/>
    <w:rsid w:val="73C31078"/>
    <w:rsid w:val="73C51AD5"/>
    <w:rsid w:val="73C92407"/>
    <w:rsid w:val="73CC2623"/>
    <w:rsid w:val="74110764"/>
    <w:rsid w:val="74123DAE"/>
    <w:rsid w:val="74130252"/>
    <w:rsid w:val="741E793C"/>
    <w:rsid w:val="74254FE6"/>
    <w:rsid w:val="742835D1"/>
    <w:rsid w:val="744A79EB"/>
    <w:rsid w:val="745E3944"/>
    <w:rsid w:val="74624D35"/>
    <w:rsid w:val="74856C75"/>
    <w:rsid w:val="74933140"/>
    <w:rsid w:val="74956EB9"/>
    <w:rsid w:val="74E97204"/>
    <w:rsid w:val="74EB41E7"/>
    <w:rsid w:val="74F87447"/>
    <w:rsid w:val="74FD680C"/>
    <w:rsid w:val="75061B64"/>
    <w:rsid w:val="75104791"/>
    <w:rsid w:val="753B6854"/>
    <w:rsid w:val="753C3C41"/>
    <w:rsid w:val="753F5076"/>
    <w:rsid w:val="754461E9"/>
    <w:rsid w:val="75480A32"/>
    <w:rsid w:val="754E52B9"/>
    <w:rsid w:val="75660855"/>
    <w:rsid w:val="756C4AB2"/>
    <w:rsid w:val="75A55274"/>
    <w:rsid w:val="75AC3648"/>
    <w:rsid w:val="75B0387E"/>
    <w:rsid w:val="75CA0DE4"/>
    <w:rsid w:val="75CB690A"/>
    <w:rsid w:val="75CC31A5"/>
    <w:rsid w:val="75D60E5A"/>
    <w:rsid w:val="75E63832"/>
    <w:rsid w:val="760A5684"/>
    <w:rsid w:val="76335480"/>
    <w:rsid w:val="7635099D"/>
    <w:rsid w:val="765E32DA"/>
    <w:rsid w:val="767C4A83"/>
    <w:rsid w:val="769413F2"/>
    <w:rsid w:val="769F743F"/>
    <w:rsid w:val="76D65566"/>
    <w:rsid w:val="77071BC4"/>
    <w:rsid w:val="770C0F88"/>
    <w:rsid w:val="771A5453"/>
    <w:rsid w:val="771B741D"/>
    <w:rsid w:val="77244524"/>
    <w:rsid w:val="77440722"/>
    <w:rsid w:val="77485A94"/>
    <w:rsid w:val="775A7F45"/>
    <w:rsid w:val="77762421"/>
    <w:rsid w:val="77A36FD6"/>
    <w:rsid w:val="77AB254F"/>
    <w:rsid w:val="77B56B1F"/>
    <w:rsid w:val="77DF669D"/>
    <w:rsid w:val="78085BF3"/>
    <w:rsid w:val="780A371A"/>
    <w:rsid w:val="780F09F4"/>
    <w:rsid w:val="781E5417"/>
    <w:rsid w:val="781E71C5"/>
    <w:rsid w:val="7847671C"/>
    <w:rsid w:val="78544995"/>
    <w:rsid w:val="78574485"/>
    <w:rsid w:val="78615304"/>
    <w:rsid w:val="787E6801"/>
    <w:rsid w:val="78811502"/>
    <w:rsid w:val="7899684C"/>
    <w:rsid w:val="78A21BA4"/>
    <w:rsid w:val="78A90480"/>
    <w:rsid w:val="78B655B5"/>
    <w:rsid w:val="78B74F24"/>
    <w:rsid w:val="78F04092"/>
    <w:rsid w:val="78FE3474"/>
    <w:rsid w:val="794013BD"/>
    <w:rsid w:val="794F04F8"/>
    <w:rsid w:val="795C61F7"/>
    <w:rsid w:val="79615EA0"/>
    <w:rsid w:val="797A667D"/>
    <w:rsid w:val="79823784"/>
    <w:rsid w:val="798474FC"/>
    <w:rsid w:val="79863274"/>
    <w:rsid w:val="79906FF5"/>
    <w:rsid w:val="79975481"/>
    <w:rsid w:val="79A25A9A"/>
    <w:rsid w:val="79C82EBC"/>
    <w:rsid w:val="79D7762B"/>
    <w:rsid w:val="79DE4E5E"/>
    <w:rsid w:val="79E93803"/>
    <w:rsid w:val="79E96556"/>
    <w:rsid w:val="79F91C98"/>
    <w:rsid w:val="79FC1788"/>
    <w:rsid w:val="7A1B6759"/>
    <w:rsid w:val="7A364017"/>
    <w:rsid w:val="7A37631C"/>
    <w:rsid w:val="7A3B22B0"/>
    <w:rsid w:val="7A401675"/>
    <w:rsid w:val="7A5A200A"/>
    <w:rsid w:val="7A8265E1"/>
    <w:rsid w:val="7A951A85"/>
    <w:rsid w:val="7ABE2599"/>
    <w:rsid w:val="7AED2E7F"/>
    <w:rsid w:val="7B002BB2"/>
    <w:rsid w:val="7B0703E4"/>
    <w:rsid w:val="7B187EFC"/>
    <w:rsid w:val="7B2E3BC3"/>
    <w:rsid w:val="7B3A4316"/>
    <w:rsid w:val="7B42141C"/>
    <w:rsid w:val="7B4C3F6D"/>
    <w:rsid w:val="7B5D6256"/>
    <w:rsid w:val="7B686D42"/>
    <w:rsid w:val="7B7937CC"/>
    <w:rsid w:val="7B7A0BB6"/>
    <w:rsid w:val="7B811F45"/>
    <w:rsid w:val="7B841746"/>
    <w:rsid w:val="7B8B4B71"/>
    <w:rsid w:val="7BB265A2"/>
    <w:rsid w:val="7BC40083"/>
    <w:rsid w:val="7BD55DED"/>
    <w:rsid w:val="7BE15D2E"/>
    <w:rsid w:val="7BE36F8F"/>
    <w:rsid w:val="7BFC5A6F"/>
    <w:rsid w:val="7C0B180E"/>
    <w:rsid w:val="7C17320C"/>
    <w:rsid w:val="7C1939AF"/>
    <w:rsid w:val="7C266648"/>
    <w:rsid w:val="7C291756"/>
    <w:rsid w:val="7C302B45"/>
    <w:rsid w:val="7C417926"/>
    <w:rsid w:val="7C6C5AC7"/>
    <w:rsid w:val="7CB974BC"/>
    <w:rsid w:val="7CC6544B"/>
    <w:rsid w:val="7CCE0618"/>
    <w:rsid w:val="7CD662C0"/>
    <w:rsid w:val="7CE27C74"/>
    <w:rsid w:val="7CF30034"/>
    <w:rsid w:val="7D0239FF"/>
    <w:rsid w:val="7D3F7CE2"/>
    <w:rsid w:val="7D5947FB"/>
    <w:rsid w:val="7D5E40CD"/>
    <w:rsid w:val="7D6F5DD2"/>
    <w:rsid w:val="7D937D0D"/>
    <w:rsid w:val="7DCD56F2"/>
    <w:rsid w:val="7DD50326"/>
    <w:rsid w:val="7DD520D4"/>
    <w:rsid w:val="7DF34C50"/>
    <w:rsid w:val="7DF52AB2"/>
    <w:rsid w:val="7E0230E5"/>
    <w:rsid w:val="7E584AB3"/>
    <w:rsid w:val="7E5B14C1"/>
    <w:rsid w:val="7E6478FC"/>
    <w:rsid w:val="7E6A3164"/>
    <w:rsid w:val="7E745D91"/>
    <w:rsid w:val="7E9E696A"/>
    <w:rsid w:val="7EA45F4A"/>
    <w:rsid w:val="7EAA17B2"/>
    <w:rsid w:val="7ED06D3F"/>
    <w:rsid w:val="7EF70770"/>
    <w:rsid w:val="7F001CE7"/>
    <w:rsid w:val="7F2D4191"/>
    <w:rsid w:val="7F3B240A"/>
    <w:rsid w:val="7F4F235A"/>
    <w:rsid w:val="7FB36C26"/>
    <w:rsid w:val="7FB623D9"/>
    <w:rsid w:val="7FCB7C32"/>
    <w:rsid w:val="7FE47E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0" w:semiHidden="0" w:name="heading 2" w:locked="1"/>
    <w:lsdException w:qFormat="1" w:uiPriority="0" w:name="heading 3" w:locked="1"/>
    <w:lsdException w:qFormat="1" w:unhideWhenUsed="0" w:uiPriority="0" w:semiHidden="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ocked="1"/>
    <w:lsdException w:unhideWhenUsed="0" w:uiPriority="0" w:semiHidden="0" w:name="index 2" w:locked="1"/>
    <w:lsdException w:unhideWhenUsed="0" w:uiPriority="0" w:semiHidden="0" w:name="index 3" w:locked="1"/>
    <w:lsdException w:unhideWhenUsed="0" w:uiPriority="0" w:semiHidden="0" w:name="index 4" w:locked="1"/>
    <w:lsdException w:qFormat="1" w:uiPriority="99" w:semiHidden="0" w:name="index 5" w:locked="1"/>
    <w:lsdException w:unhideWhenUsed="0" w:uiPriority="0" w:semiHidden="0" w:name="index 6" w:locked="1"/>
    <w:lsdException w:unhideWhenUsed="0" w:uiPriority="0" w:semiHidden="0" w:name="index 7" w:locked="1"/>
    <w:lsdException w:unhideWhenUsed="0" w:uiPriority="0" w:semiHidden="0" w:name="index 8" w:locked="1"/>
    <w:lsdException w:unhideWhenUsed="0" w:uiPriority="0" w:semiHidden="0" w:name="index 9" w:locked="1"/>
    <w:lsdException w:unhideWhenUsed="0" w:uiPriority="0" w:semiHidden="0" w:name="toc 1" w:locked="1"/>
    <w:lsdException w:qFormat="1"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iPriority="99" w:semiHidden="0" w:name="Normal Indent" w:locked="1"/>
    <w:lsdException w:unhideWhenUsed="0" w:uiPriority="0" w:semiHidden="0" w:name="footnote text" w:locked="1"/>
    <w:lsdException w:qFormat="1" w:unhideWhenUsed="0" w:uiPriority="99" w:name="annotation text"/>
    <w:lsdException w:qFormat="1" w:unhideWhenUsed="0" w:uiPriority="99" w:semiHidden="0" w:name="header"/>
    <w:lsdException w:qFormat="1" w:unhideWhenUsed="0" w:uiPriority="99" w:semiHidden="0" w:name="footer"/>
    <w:lsdException w:unhideWhenUsed="0" w:uiPriority="0" w:semiHidden="0" w:name="index heading" w:locked="1"/>
    <w:lsdException w:qFormat="1" w:uiPriority="0" w:name="caption" w:locked="1"/>
    <w:lsdException w:qFormat="1" w:uiPriority="99" w:semiHidden="0" w:name="table of figures" w:locked="1"/>
    <w:lsdException w:unhideWhenUsed="0" w:uiPriority="0" w:semiHidden="0" w:name="envelope address" w:locked="1"/>
    <w:lsdException w:unhideWhenUsed="0" w:uiPriority="0" w:semiHidden="0" w:name="envelope return" w:locked="1"/>
    <w:lsdException w:unhideWhenUsed="0" w:uiPriority="0" w:semiHidden="0" w:name="footnote reference" w:locked="1"/>
    <w:lsdException w:qFormat="1" w:unhideWhenUsed="0" w:uiPriority="99" w:name="annotation reference"/>
    <w:lsdException w:unhideWhenUsed="0" w:uiPriority="0" w:semiHidden="0" w:name="line number" w:locked="1"/>
    <w:lsdException w:qFormat="1" w:unhideWhenUsed="0" w:uiPriority="0" w:semiHidden="0" w:name="page number" w:locked="1"/>
    <w:lsdException w:unhideWhenUsed="0" w:uiPriority="0" w:semiHidden="0" w:name="endnote reference" w:locked="1"/>
    <w:lsdException w:unhideWhenUsed="0" w:uiPriority="0" w:semiHidden="0" w:name="endnote text" w:locked="1"/>
    <w:lsdException w:unhideWhenUsed="0" w:uiPriority="0" w:semiHidden="0" w:name="table of authorities" w:locked="1"/>
    <w:lsdException w:unhideWhenUsed="0" w:uiPriority="0" w:semiHidden="0" w:name="macro" w:locked="1"/>
    <w:lsdException w:unhideWhenUsed="0" w:uiPriority="0" w:semiHidden="0" w:name="toa heading" w:locked="1"/>
    <w:lsdException w:qFormat="1" w:uiPriority="99" w:semiHidden="0" w:name="List" w:locked="1"/>
    <w:lsdException w:unhideWhenUsed="0" w:uiPriority="0" w:semiHidden="0" w:name="List Bullet" w:locked="1"/>
    <w:lsdException w:unhideWhenUsed="0" w:uiPriority="0" w:semiHidden="0" w:name="List Number" w:locked="1"/>
    <w:lsdException w:unhideWhenUsed="0" w:uiPriority="0" w:semiHidden="0" w:name="List 2" w:locked="1"/>
    <w:lsdException w:unhideWhenUsed="0" w:uiPriority="0" w:semiHidden="0" w:name="List 3" w:locked="1"/>
    <w:lsdException w:unhideWhenUsed="0" w:uiPriority="0" w:semiHidden="0" w:name="List 4" w:locked="1"/>
    <w:lsdException w:unhideWhenUsed="0" w:uiPriority="0" w:semiHidden="0" w:name="List 5" w:locked="1"/>
    <w:lsdException w:unhideWhenUsed="0" w:uiPriority="0" w:semiHidden="0" w:name="List Bullet 2" w:locked="1"/>
    <w:lsdException w:unhideWhenUsed="0" w:uiPriority="0" w:semiHidden="0" w:name="List Bullet 3" w:locked="1"/>
    <w:lsdException w:unhideWhenUsed="0" w:uiPriority="0" w:semiHidden="0" w:name="List Bullet 4" w:locked="1"/>
    <w:lsdException w:unhideWhenUsed="0" w:uiPriority="0" w:semiHidden="0" w:name="List Bullet 5" w:locked="1"/>
    <w:lsdException w:unhideWhenUsed="0" w:uiPriority="0" w:semiHidden="0" w:name="List Number 2" w:locked="1"/>
    <w:lsdException w:unhideWhenUsed="0" w:uiPriority="0" w:semiHidden="0" w:name="List Number 3" w:locked="1"/>
    <w:lsdException w:unhideWhenUsed="0" w:uiPriority="0" w:semiHidden="0" w:name="List Number 4" w:locked="1"/>
    <w:lsdException w:unhideWhenUsed="0" w:uiPriority="0" w:semiHidden="0" w:name="List Number 5" w:locked="1"/>
    <w:lsdException w:qFormat="1" w:unhideWhenUsed="0" w:uiPriority="0" w:semiHidden="0" w:name="Title" w:locked="1"/>
    <w:lsdException w:unhideWhenUsed="0" w:uiPriority="0" w:semiHidden="0" w:name="Closing" w:locked="1"/>
    <w:lsdException w:unhideWhenUsed="0" w:uiPriority="0" w:semiHidden="0" w:name="Signature" w:locked="1"/>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ocked="1"/>
    <w:lsdException w:unhideWhenUsed="0" w:uiPriority="0" w:semiHidden="0" w:name="List Continue 2" w:locked="1"/>
    <w:lsdException w:unhideWhenUsed="0" w:uiPriority="0" w:semiHidden="0" w:name="List Continue 3" w:locked="1"/>
    <w:lsdException w:unhideWhenUsed="0" w:uiPriority="0" w:semiHidden="0" w:name="List Continue 4" w:locked="1"/>
    <w:lsdException w:unhideWhenUsed="0" w:uiPriority="0" w:semiHidden="0" w:name="List Continue 5" w:locked="1"/>
    <w:lsdException w:unhideWhenUsed="0" w:uiPriority="0" w:semiHidden="0" w:name="Message Header" w:locked="1"/>
    <w:lsdException w:unhideWhenUsed="0" w:uiPriority="0" w:semiHidden="0" w:name="Subtitle" w:locked="1"/>
    <w:lsdException w:unhideWhenUsed="0" w:uiPriority="0" w:semiHidden="0" w:name="Salutation" w:locked="1"/>
    <w:lsdException w:qFormat="1" w:unhideWhenUsed="0" w:uiPriority="0" w:semiHidden="0" w:name="Date"/>
    <w:lsdException w:qFormat="1" w:uiPriority="99" w:semiHidden="0" w:name="Body Text First Indent" w:locked="1"/>
    <w:lsdException w:qFormat="1" w:uiPriority="99" w:semiHidden="0" w:name="Body Text First Indent 2" w:locked="1"/>
    <w:lsdException w:unhideWhenUsed="0" w:uiPriority="0" w:semiHidden="0" w:name="Note Heading" w:locked="1"/>
    <w:lsdException w:qFormat="1" w:uiPriority="0" w:semiHidden="0" w:name="Body Text 2" w:locked="1"/>
    <w:lsdException w:unhideWhenUsed="0" w:uiPriority="0" w:semiHidden="0" w:name="Body Text 3" w:locked="1"/>
    <w:lsdException w:qFormat="1" w:uiPriority="99" w:semiHidden="0" w:name="Body Text Indent 2" w:locked="1"/>
    <w:lsdException w:qFormat="1" w:unhideWhenUsed="0" w:uiPriority="0" w:semiHidden="0" w:name="Body Text Indent 3" w:locked="1"/>
    <w:lsdException w:qFormat="1" w:unhideWhenUsed="0" w:uiPriority="0" w:semiHidden="0" w:name="Block Text" w:locked="1"/>
    <w:lsdException w:qFormat="1" w:uiPriority="99" w:semiHidden="0" w:name="Hyperlink" w:locked="1"/>
    <w:lsdException w:unhideWhenUsed="0" w:uiPriority="0" w:semiHidden="0" w:name="FollowedHyperlink" w:locked="1"/>
    <w:lsdException w:qFormat="1" w:unhideWhenUsed="0" w:uiPriority="0" w:semiHidden="0" w:name="Strong" w:locked="1"/>
    <w:lsdException w:unhideWhenUsed="0" w:uiPriority="0" w:semiHidden="0" w:name="Emphasis" w:locked="1"/>
    <w:lsdException w:qFormat="1" w:uiPriority="99" w:semiHidden="0" w:name="Document Map" w:locked="1"/>
    <w:lsdException w:qFormat="1" w:uiPriority="0" w:semiHidden="0" w:name="Plain Text" w:locked="1"/>
    <w:lsdException w:unhideWhenUsed="0" w:uiPriority="0" w:semiHidden="0" w:name="E-mail Signature" w:locked="1"/>
    <w:lsdException w:qFormat="1" w:unhideWhenUsed="0" w:uiPriority="0" w:semiHidden="0" w:name="Normal (Web)"/>
    <w:lsdException w:unhideWhenUsed="0" w:uiPriority="0" w:semiHidden="0" w:name="HTML Acronym" w:locked="1"/>
    <w:lsdException w:unhideWhenUsed="0" w:uiPriority="0" w:semiHidden="0" w:name="HTML Address" w:locked="1"/>
    <w:lsdException w:unhideWhenUsed="0" w:uiPriority="0" w:semiHidden="0" w:name="HTML Cite" w:locked="1"/>
    <w:lsdException w:unhideWhenUsed="0" w:uiPriority="0" w:semiHidden="0" w:name="HTML Code" w:locked="1"/>
    <w:lsdException w:unhideWhenUsed="0" w:uiPriority="0" w:semiHidden="0" w:name="HTML Definition" w:locked="1"/>
    <w:lsdException w:unhideWhenUsed="0" w:uiPriority="0" w:semiHidden="0" w:name="HTML Keyboard" w:locked="1"/>
    <w:lsdException w:qFormat="1" w:unhideWhenUsed="0" w:uiPriority="0" w:semiHidden="0" w:name="HTML Preformatted" w:locked="1"/>
    <w:lsdException w:unhideWhenUsed="0" w:uiPriority="0" w:semiHidden="0" w:name="HTML Sample" w:locked="1"/>
    <w:lsdException w:uiPriority="0" w:name="HTML Typewriter" w:locked="1"/>
    <w:lsdException w:unhideWhenUsed="0" w:uiPriority="0" w:semiHidden="0" w:name="HTML Variable" w:locked="1"/>
    <w:lsdException w:qFormat="1" w:uiPriority="99" w:name="Normal Table"/>
    <w:lsdException w:qFormat="1" w:unhideWhenUsed="0" w:uiPriority="99" w:name="annotation subject"/>
    <w:lsdException w:uiPriority="0" w:name="Table Simple 1" w:locked="1"/>
    <w:lsdException w:uiPriority="0" w:name="Table Simple 2" w:locked="1"/>
    <w:lsdException w:uiPriority="0" w:name="Table Simple 3" w:locked="1"/>
    <w:lsdException w:uiPriority="0" w:name="Table Classic 1" w:locked="1"/>
    <w:lsdException w:uiPriority="0" w:name="Table Classic 2" w:locked="1"/>
    <w:lsdException w:uiPriority="0" w:name="Table Classic 3" w:locked="1"/>
    <w:lsdException w:uiPriority="0" w:name="Table Classic 4" w:locked="1"/>
    <w:lsdException w:uiPriority="0" w:name="Table Colorful 1" w:locked="1"/>
    <w:lsdException w:uiPriority="0" w:name="Table Colorful 2" w:locked="1"/>
    <w:lsdException w:uiPriority="0" w:name="Table Colorful 3" w:locked="1"/>
    <w:lsdException w:uiPriority="0" w:name="Table Columns 1" w:locked="1"/>
    <w:lsdException w:uiPriority="0" w:name="Table Columns 2" w:locked="1"/>
    <w:lsdException w:uiPriority="0" w:name="Table Columns 3" w:locked="1"/>
    <w:lsdException w:uiPriority="0" w:name="Table Columns 4" w:locked="1"/>
    <w:lsdException w:uiPriority="0" w:name="Table Columns 5" w:locked="1"/>
    <w:lsdException w:uiPriority="0" w:name="Table Grid 1" w:locked="1"/>
    <w:lsdException w:uiPriority="0" w:name="Table Grid 2" w:locked="1"/>
    <w:lsdException w:uiPriority="0" w:name="Table Grid 3" w:locked="1"/>
    <w:lsdException w:uiPriority="0" w:name="Table Grid 4" w:locked="1"/>
    <w:lsdException w:uiPriority="0" w:name="Table Grid 5" w:locked="1"/>
    <w:lsdException w:uiPriority="0" w:name="Table Grid 6" w:locked="1"/>
    <w:lsdException w:uiPriority="0" w:name="Table Grid 7" w:locked="1"/>
    <w:lsdException w:uiPriority="0" w:name="Table Grid 8" w:locked="1"/>
    <w:lsdException w:uiPriority="0" w:name="Table List 1" w:locked="1"/>
    <w:lsdException w:uiPriority="0" w:name="Table List 2" w:locked="1"/>
    <w:lsdException w:uiPriority="0" w:name="Table List 3" w:locked="1"/>
    <w:lsdException w:uiPriority="0" w:name="Table List 4" w:locked="1"/>
    <w:lsdException w:uiPriority="0" w:name="Table List 5" w:locked="1"/>
    <w:lsdException w:uiPriority="0" w:name="Table List 6" w:locked="1"/>
    <w:lsdException w:uiPriority="0" w:name="Table List 7" w:locked="1"/>
    <w:lsdException w:uiPriority="0" w:name="Table List 8" w:locked="1"/>
    <w:lsdException w:uiPriority="0" w:name="Table 3D effects 1" w:locked="1"/>
    <w:lsdException w:uiPriority="0" w:name="Table 3D effects 2" w:locked="1"/>
    <w:lsdException w:uiPriority="0" w:name="Table 3D effects 3" w:locked="1"/>
    <w:lsdException w:uiPriority="0" w:name="Table Contemporary" w:locked="1"/>
    <w:lsdException w:uiPriority="0" w:name="Table Elegant" w:locked="1"/>
    <w:lsdException w:uiPriority="0" w:name="Table Professional" w:locked="1"/>
    <w:lsdException w:uiPriority="0" w:name="Table Subtle 1" w:locked="1"/>
    <w:lsdException w:uiPriority="0" w:name="Table Subtle 2" w:locked="1"/>
    <w:lsdException w:uiPriority="0" w:name="Table Web 1" w:locked="1"/>
    <w:lsdException w:uiPriority="0" w:name="Table Web 2" w:locked="1"/>
    <w:lsdException w:uiPriority="0" w:name="Table Web 3" w:locked="1"/>
    <w:lsdException w:qFormat="1" w:unhideWhenUsed="0" w:uiPriority="99" w:name="Balloon Text"/>
    <w:lsdException w:qFormat="1" w:unhideWhenUsed="0" w:uiPriority="59" w:semiHidden="0" w:name="Table Grid"/>
    <w:lsdException w:uiPriority="0" w:name="Table Theme" w:locked="1"/>
    <w:lsdException w:qFormat="1" w:uiPriority="99" w:semiHidden="0"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adjustRightInd w:val="0"/>
      <w:snapToGrid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autoRedefine/>
    <w:qFormat/>
    <w:locked/>
    <w:uiPriority w:val="99"/>
    <w:pPr>
      <w:keepNext/>
      <w:overflowPunct w:val="0"/>
      <w:spacing w:before="120" w:after="160" w:line="259" w:lineRule="auto"/>
      <w:ind w:left="432" w:hanging="432"/>
      <w:outlineLvl w:val="0"/>
    </w:pPr>
    <w:rPr>
      <w:rFonts w:eastAsia="黑体"/>
      <w:b/>
      <w:bCs/>
      <w:color w:val="000000"/>
      <w:kern w:val="44"/>
      <w:sz w:val="30"/>
      <w:szCs w:val="30"/>
    </w:rPr>
  </w:style>
  <w:style w:type="paragraph" w:styleId="5">
    <w:name w:val="heading 2"/>
    <w:basedOn w:val="1"/>
    <w:next w:val="1"/>
    <w:link w:val="38"/>
    <w:autoRedefine/>
    <w:qFormat/>
    <w:locked/>
    <w:uiPriority w:val="0"/>
    <w:pPr>
      <w:keepNext/>
      <w:keepLines/>
      <w:adjustRightInd/>
      <w:snapToGrid/>
      <w:spacing w:before="260" w:after="260" w:line="416" w:lineRule="auto"/>
      <w:outlineLvl w:val="1"/>
    </w:pPr>
    <w:rPr>
      <w:rFonts w:ascii="Arial" w:hAnsi="Arial" w:eastAsia="黑体"/>
      <w:b/>
      <w:bCs/>
      <w:sz w:val="32"/>
      <w:szCs w:val="32"/>
    </w:rPr>
  </w:style>
  <w:style w:type="paragraph" w:styleId="6">
    <w:name w:val="heading 4"/>
    <w:basedOn w:val="1"/>
    <w:next w:val="1"/>
    <w:autoRedefine/>
    <w:qFormat/>
    <w:locked/>
    <w:uiPriority w:val="0"/>
    <w:pPr>
      <w:keepNext/>
      <w:keepLines/>
      <w:spacing w:before="280" w:after="290" w:line="376" w:lineRule="auto"/>
      <w:outlineLvl w:val="3"/>
    </w:pPr>
    <w:rPr>
      <w:rFonts w:ascii="Arial" w:hAnsi="Arial" w:eastAsia="黑体"/>
      <w:b/>
      <w:bCs/>
      <w:sz w:val="28"/>
      <w:szCs w:val="28"/>
    </w:rPr>
  </w:style>
  <w:style w:type="character" w:default="1" w:styleId="33">
    <w:name w:val="Default Paragraph Font"/>
    <w:autoRedefine/>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link w:val="115"/>
    <w:autoRedefine/>
    <w:unhideWhenUsed/>
    <w:qFormat/>
    <w:locked/>
    <w:uiPriority w:val="99"/>
    <w:pPr>
      <w:adjustRightInd/>
      <w:snapToGrid/>
      <w:spacing w:line="360" w:lineRule="auto"/>
      <w:ind w:firstLine="420" w:firstLineChars="200"/>
    </w:pPr>
    <w:rPr>
      <w:kern w:val="2"/>
      <w:szCs w:val="22"/>
    </w:rPr>
  </w:style>
  <w:style w:type="paragraph" w:styleId="3">
    <w:name w:val="Body Text Indent"/>
    <w:basedOn w:val="1"/>
    <w:link w:val="64"/>
    <w:autoRedefine/>
    <w:qFormat/>
    <w:uiPriority w:val="0"/>
    <w:pPr>
      <w:spacing w:after="120"/>
      <w:ind w:left="420" w:leftChars="200"/>
    </w:pPr>
    <w:rPr>
      <w:kern w:val="0"/>
      <w:sz w:val="24"/>
      <w:szCs w:val="20"/>
    </w:rPr>
  </w:style>
  <w:style w:type="paragraph" w:styleId="7">
    <w:name w:val="Normal Indent"/>
    <w:basedOn w:val="1"/>
    <w:next w:val="2"/>
    <w:link w:val="86"/>
    <w:autoRedefine/>
    <w:unhideWhenUsed/>
    <w:qFormat/>
    <w:locked/>
    <w:uiPriority w:val="99"/>
    <w:pPr>
      <w:adjustRightInd/>
      <w:snapToGrid/>
      <w:spacing w:line="360" w:lineRule="auto"/>
      <w:ind w:firstLine="420" w:firstLineChars="200"/>
    </w:pPr>
    <w:rPr>
      <w:rFonts w:ascii="Calibri" w:hAnsi="Calibri"/>
      <w:sz w:val="24"/>
      <w:szCs w:val="22"/>
    </w:rPr>
  </w:style>
  <w:style w:type="paragraph" w:styleId="8">
    <w:name w:val="index 5"/>
    <w:basedOn w:val="1"/>
    <w:next w:val="1"/>
    <w:autoRedefine/>
    <w:unhideWhenUsed/>
    <w:qFormat/>
    <w:locked/>
    <w:uiPriority w:val="99"/>
    <w:pPr>
      <w:spacing w:line="360" w:lineRule="auto"/>
      <w:jc w:val="center"/>
    </w:pPr>
    <w:rPr>
      <w:rFonts w:ascii="宋体" w:hAnsi="宋体" w:cs="宋体"/>
      <w:b/>
      <w:bCs/>
      <w:kern w:val="0"/>
      <w:szCs w:val="21"/>
    </w:rPr>
  </w:style>
  <w:style w:type="paragraph" w:styleId="9">
    <w:name w:val="Document Map"/>
    <w:basedOn w:val="1"/>
    <w:link w:val="82"/>
    <w:autoRedefine/>
    <w:unhideWhenUsed/>
    <w:qFormat/>
    <w:locked/>
    <w:uiPriority w:val="99"/>
    <w:pPr>
      <w:adjustRightInd/>
      <w:snapToGrid/>
      <w:spacing w:line="360" w:lineRule="auto"/>
      <w:ind w:firstLine="200" w:firstLineChars="200"/>
    </w:pPr>
    <w:rPr>
      <w:rFonts w:ascii="宋体"/>
      <w:sz w:val="18"/>
      <w:szCs w:val="18"/>
    </w:rPr>
  </w:style>
  <w:style w:type="paragraph" w:styleId="10">
    <w:name w:val="annotation text"/>
    <w:basedOn w:val="1"/>
    <w:link w:val="56"/>
    <w:autoRedefine/>
    <w:semiHidden/>
    <w:qFormat/>
    <w:uiPriority w:val="99"/>
    <w:pPr>
      <w:jc w:val="left"/>
      <w:pPrChange w:id="0" w:author="flh" w:date="2024-04-22T22:10:00Z">
        <w:pPr>
          <w:widowControl w:val="0"/>
          <w:adjustRightInd w:val="0"/>
          <w:snapToGrid w:val="0"/>
        </w:pPr>
      </w:pPrChange>
    </w:pPr>
    <w:rPr>
      <w:kern w:val="0"/>
      <w:sz w:val="24"/>
      <w:szCs w:val="20"/>
      <w:rPrChange w:id="1" w:author="flh" w:date="2024-04-22T22:10:00Z">
        <w:rPr>
          <w:rFonts w:eastAsia="宋体"/>
          <w:sz w:val="24"/>
          <w:lang w:val="en-US" w:eastAsia="zh-CN" w:bidi="ar-SA"/>
        </w:rPr>
      </w:rPrChange>
    </w:rPr>
  </w:style>
  <w:style w:type="paragraph" w:styleId="11">
    <w:name w:val="Body Text"/>
    <w:basedOn w:val="1"/>
    <w:next w:val="1"/>
    <w:link w:val="55"/>
    <w:autoRedefine/>
    <w:qFormat/>
    <w:uiPriority w:val="99"/>
    <w:pPr>
      <w:widowControl/>
      <w:spacing w:before="60" w:after="160" w:line="259" w:lineRule="auto"/>
      <w:ind w:right="113"/>
    </w:pPr>
    <w:rPr>
      <w:kern w:val="0"/>
      <w:sz w:val="18"/>
      <w:szCs w:val="20"/>
    </w:rPr>
  </w:style>
  <w:style w:type="paragraph" w:styleId="12">
    <w:name w:val="Block Text"/>
    <w:basedOn w:val="1"/>
    <w:autoRedefine/>
    <w:qFormat/>
    <w:locked/>
    <w:uiPriority w:val="0"/>
    <w:pPr>
      <w:adjustRightInd/>
      <w:spacing w:line="420" w:lineRule="exact"/>
      <w:ind w:left="101" w:leftChars="48" w:right="149" w:rightChars="71" w:firstLine="426" w:firstLineChars="203"/>
    </w:pPr>
    <w:rPr>
      <w:rFonts w:ascii="Calibri" w:hAnsi="Calibri"/>
    </w:rPr>
  </w:style>
  <w:style w:type="paragraph" w:styleId="13">
    <w:name w:val="Plain Text"/>
    <w:basedOn w:val="1"/>
    <w:link w:val="71"/>
    <w:autoRedefine/>
    <w:unhideWhenUsed/>
    <w:qFormat/>
    <w:locked/>
    <w:uiPriority w:val="0"/>
    <w:pPr>
      <w:adjustRightInd/>
      <w:snapToGrid/>
    </w:pPr>
    <w:rPr>
      <w:rFonts w:ascii="宋体" w:hAnsi="Courier New"/>
      <w:sz w:val="24"/>
      <w:szCs w:val="20"/>
    </w:rPr>
  </w:style>
  <w:style w:type="paragraph" w:styleId="14">
    <w:name w:val="Date"/>
    <w:basedOn w:val="1"/>
    <w:next w:val="1"/>
    <w:link w:val="51"/>
    <w:autoRedefine/>
    <w:qFormat/>
    <w:uiPriority w:val="0"/>
    <w:pPr>
      <w:ind w:left="100" w:leftChars="2500"/>
    </w:pPr>
    <w:rPr>
      <w:kern w:val="0"/>
      <w:sz w:val="24"/>
      <w:szCs w:val="20"/>
    </w:rPr>
  </w:style>
  <w:style w:type="paragraph" w:styleId="15">
    <w:name w:val="Body Text Indent 2"/>
    <w:basedOn w:val="1"/>
    <w:link w:val="122"/>
    <w:autoRedefine/>
    <w:unhideWhenUsed/>
    <w:qFormat/>
    <w:locked/>
    <w:uiPriority w:val="99"/>
    <w:pPr>
      <w:adjustRightInd/>
      <w:snapToGrid/>
      <w:spacing w:after="120" w:line="480" w:lineRule="auto"/>
      <w:ind w:left="420" w:leftChars="200" w:firstLine="200" w:firstLineChars="200"/>
    </w:pPr>
    <w:rPr>
      <w:sz w:val="24"/>
      <w:szCs w:val="22"/>
    </w:rPr>
  </w:style>
  <w:style w:type="paragraph" w:styleId="16">
    <w:name w:val="Balloon Text"/>
    <w:basedOn w:val="1"/>
    <w:link w:val="60"/>
    <w:autoRedefine/>
    <w:semiHidden/>
    <w:qFormat/>
    <w:uiPriority w:val="99"/>
    <w:rPr>
      <w:kern w:val="0"/>
      <w:sz w:val="18"/>
      <w:szCs w:val="20"/>
    </w:rPr>
  </w:style>
  <w:style w:type="paragraph" w:styleId="17">
    <w:name w:val="footer"/>
    <w:basedOn w:val="1"/>
    <w:link w:val="50"/>
    <w:autoRedefine/>
    <w:qFormat/>
    <w:uiPriority w:val="99"/>
    <w:pPr>
      <w:tabs>
        <w:tab w:val="center" w:pos="4153"/>
        <w:tab w:val="right" w:pos="8306"/>
      </w:tabs>
      <w:jc w:val="left"/>
    </w:pPr>
    <w:rPr>
      <w:kern w:val="0"/>
      <w:sz w:val="18"/>
      <w:szCs w:val="20"/>
    </w:rPr>
  </w:style>
  <w:style w:type="paragraph" w:styleId="18">
    <w:name w:val="header"/>
    <w:basedOn w:val="1"/>
    <w:next w:val="19"/>
    <w:link w:val="62"/>
    <w:autoRedefine/>
    <w:qFormat/>
    <w:uiPriority w:val="99"/>
    <w:pPr>
      <w:pBdr>
        <w:bottom w:val="single" w:color="auto" w:sz="6" w:space="1"/>
      </w:pBdr>
      <w:tabs>
        <w:tab w:val="center" w:pos="4153"/>
        <w:tab w:val="right" w:pos="8306"/>
      </w:tabs>
      <w:jc w:val="center"/>
    </w:pPr>
    <w:rPr>
      <w:kern w:val="0"/>
      <w:sz w:val="18"/>
      <w:szCs w:val="20"/>
    </w:rPr>
  </w:style>
  <w:style w:type="paragraph" w:customStyle="1" w:styleId="19">
    <w:name w:val="样式5"/>
    <w:basedOn w:val="20"/>
    <w:link w:val="123"/>
    <w:autoRedefine/>
    <w:qFormat/>
    <w:uiPriority w:val="0"/>
    <w:pPr>
      <w:adjustRightInd/>
      <w:spacing w:line="360" w:lineRule="auto"/>
      <w:ind w:firstLine="510"/>
    </w:pPr>
    <w:rPr>
      <w:sz w:val="24"/>
    </w:rPr>
  </w:style>
  <w:style w:type="paragraph" w:customStyle="1" w:styleId="20">
    <w:name w:val="正文1"/>
    <w:next w:val="1"/>
    <w:autoRedefine/>
    <w:qFormat/>
    <w:uiPriority w:val="0"/>
    <w:pPr>
      <w:widowControl w:val="0"/>
      <w:adjustRightInd w:val="0"/>
      <w:spacing w:line="360" w:lineRule="atLeast"/>
    </w:pPr>
    <w:rPr>
      <w:rFonts w:ascii="Arial" w:hAnsi="Times New Roman" w:eastAsia="宋体" w:cs="Times New Roman"/>
      <w:sz w:val="34"/>
      <w:lang w:val="en-US" w:eastAsia="zh-CN" w:bidi="ar-SA"/>
    </w:rPr>
  </w:style>
  <w:style w:type="paragraph" w:styleId="21">
    <w:name w:val="List"/>
    <w:basedOn w:val="1"/>
    <w:autoRedefine/>
    <w:unhideWhenUsed/>
    <w:qFormat/>
    <w:locked/>
    <w:uiPriority w:val="99"/>
    <w:pPr>
      <w:adjustRightInd/>
      <w:snapToGrid/>
      <w:spacing w:line="360" w:lineRule="auto"/>
      <w:ind w:left="200" w:hanging="200" w:hangingChars="200"/>
      <w:contextualSpacing/>
    </w:pPr>
    <w:rPr>
      <w:sz w:val="24"/>
      <w:szCs w:val="22"/>
    </w:rPr>
  </w:style>
  <w:style w:type="paragraph" w:styleId="22">
    <w:name w:val="Body Text Indent 3"/>
    <w:basedOn w:val="1"/>
    <w:autoRedefine/>
    <w:qFormat/>
    <w:locked/>
    <w:uiPriority w:val="0"/>
    <w:pPr>
      <w:spacing w:after="120"/>
      <w:ind w:left="420"/>
    </w:pPr>
    <w:rPr>
      <w:sz w:val="16"/>
      <w:szCs w:val="16"/>
    </w:rPr>
  </w:style>
  <w:style w:type="paragraph" w:styleId="23">
    <w:name w:val="table of figures"/>
    <w:basedOn w:val="1"/>
    <w:next w:val="1"/>
    <w:autoRedefine/>
    <w:unhideWhenUsed/>
    <w:qFormat/>
    <w:locked/>
    <w:uiPriority w:val="99"/>
  </w:style>
  <w:style w:type="paragraph" w:styleId="24">
    <w:name w:val="toc 2"/>
    <w:basedOn w:val="1"/>
    <w:next w:val="1"/>
    <w:autoRedefine/>
    <w:qFormat/>
    <w:locked/>
    <w:uiPriority w:val="0"/>
    <w:pPr>
      <w:adjustRightInd/>
      <w:snapToGrid/>
      <w:spacing w:line="500" w:lineRule="exact"/>
      <w:ind w:firstLine="630" w:firstLineChars="200"/>
    </w:pPr>
    <w:rPr>
      <w:rFonts w:eastAsia="黑体"/>
      <w:bCs/>
      <w:sz w:val="24"/>
      <w:szCs w:val="20"/>
    </w:rPr>
  </w:style>
  <w:style w:type="paragraph" w:styleId="25">
    <w:name w:val="Body Text 2"/>
    <w:basedOn w:val="1"/>
    <w:link w:val="83"/>
    <w:autoRedefine/>
    <w:unhideWhenUsed/>
    <w:qFormat/>
    <w:locked/>
    <w:uiPriority w:val="0"/>
    <w:pPr>
      <w:adjustRightInd/>
      <w:snapToGrid/>
      <w:spacing w:line="360" w:lineRule="auto"/>
      <w:ind w:firstLine="200" w:firstLineChars="200"/>
    </w:pPr>
    <w:rPr>
      <w:b/>
      <w:sz w:val="32"/>
      <w:szCs w:val="20"/>
    </w:rPr>
  </w:style>
  <w:style w:type="paragraph" w:styleId="26">
    <w:name w:val="HTML Preformatted"/>
    <w:basedOn w:val="1"/>
    <w:qFormat/>
    <w:locked/>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27">
    <w:name w:val="Normal (Web)"/>
    <w:basedOn w:val="1"/>
    <w:link w:val="53"/>
    <w:autoRedefine/>
    <w:qFormat/>
    <w:uiPriority w:val="0"/>
    <w:pPr>
      <w:widowControl/>
      <w:spacing w:after="50" w:afterLines="50" w:line="360" w:lineRule="auto"/>
      <w:jc w:val="center"/>
    </w:pPr>
    <w:rPr>
      <w:b/>
      <w:kern w:val="0"/>
      <w:szCs w:val="20"/>
    </w:rPr>
  </w:style>
  <w:style w:type="paragraph" w:styleId="28">
    <w:name w:val="Title"/>
    <w:basedOn w:val="1"/>
    <w:next w:val="1"/>
    <w:autoRedefine/>
    <w:qFormat/>
    <w:locked/>
    <w:uiPriority w:val="0"/>
    <w:pPr>
      <w:jc w:val="center"/>
    </w:pPr>
    <w:rPr>
      <w:bCs/>
      <w:szCs w:val="32"/>
    </w:rPr>
  </w:style>
  <w:style w:type="paragraph" w:styleId="29">
    <w:name w:val="annotation subject"/>
    <w:basedOn w:val="10"/>
    <w:next w:val="10"/>
    <w:link w:val="61"/>
    <w:autoRedefine/>
    <w:semiHidden/>
    <w:qFormat/>
    <w:uiPriority w:val="99"/>
    <w:rPr>
      <w:b/>
    </w:rPr>
  </w:style>
  <w:style w:type="paragraph" w:styleId="30">
    <w:name w:val="Body Text First Indent"/>
    <w:basedOn w:val="11"/>
    <w:next w:val="1"/>
    <w:link w:val="84"/>
    <w:autoRedefine/>
    <w:unhideWhenUsed/>
    <w:qFormat/>
    <w:locked/>
    <w:uiPriority w:val="99"/>
    <w:pPr>
      <w:widowControl w:val="0"/>
      <w:adjustRightInd/>
      <w:snapToGrid/>
      <w:spacing w:before="0" w:after="120" w:line="360" w:lineRule="auto"/>
      <w:ind w:right="0" w:firstLine="420" w:firstLineChars="100"/>
    </w:pPr>
    <w:rPr>
      <w:kern w:val="2"/>
      <w:sz w:val="24"/>
      <w:szCs w:val="22"/>
    </w:rPr>
  </w:style>
  <w:style w:type="table" w:styleId="32">
    <w:name w:val="Table Grid"/>
    <w:basedOn w:val="31"/>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autoRedefine/>
    <w:qFormat/>
    <w:locked/>
    <w:uiPriority w:val="0"/>
    <w:rPr>
      <w:b/>
      <w:bCs/>
    </w:rPr>
  </w:style>
  <w:style w:type="character" w:styleId="35">
    <w:name w:val="page number"/>
    <w:basedOn w:val="33"/>
    <w:autoRedefine/>
    <w:qFormat/>
    <w:locked/>
    <w:uiPriority w:val="0"/>
  </w:style>
  <w:style w:type="character" w:styleId="36">
    <w:name w:val="Hyperlink"/>
    <w:autoRedefine/>
    <w:unhideWhenUsed/>
    <w:qFormat/>
    <w:locked/>
    <w:uiPriority w:val="99"/>
    <w:rPr>
      <w:color w:val="0000FF"/>
      <w:u w:val="single"/>
    </w:rPr>
  </w:style>
  <w:style w:type="character" w:styleId="37">
    <w:name w:val="annotation reference"/>
    <w:autoRedefine/>
    <w:semiHidden/>
    <w:qFormat/>
    <w:uiPriority w:val="99"/>
    <w:rPr>
      <w:sz w:val="21"/>
    </w:rPr>
  </w:style>
  <w:style w:type="character" w:customStyle="1" w:styleId="38">
    <w:name w:val="标题 2 字符"/>
    <w:basedOn w:val="33"/>
    <w:link w:val="5"/>
    <w:autoRedefine/>
    <w:qFormat/>
    <w:uiPriority w:val="0"/>
    <w:rPr>
      <w:rFonts w:ascii="Arial" w:hAnsi="Arial" w:eastAsia="黑体"/>
      <w:b/>
      <w:bCs/>
      <w:kern w:val="2"/>
      <w:sz w:val="32"/>
      <w:szCs w:val="32"/>
    </w:rPr>
  </w:style>
  <w:style w:type="paragraph" w:customStyle="1" w:styleId="39">
    <w:name w:val="Default"/>
    <w:basedOn w:val="40"/>
    <w:next w:val="1"/>
    <w:autoRedefine/>
    <w:qFormat/>
    <w:uiPriority w:val="0"/>
    <w:pPr>
      <w:autoSpaceDE w:val="0"/>
      <w:autoSpaceDN w:val="0"/>
      <w:adjustRightInd w:val="0"/>
    </w:pPr>
    <w:rPr>
      <w:rFonts w:ascii="宋体" w:hAnsi="Calibri"/>
      <w:color w:val="000000"/>
      <w:sz w:val="24"/>
    </w:rPr>
  </w:style>
  <w:style w:type="paragraph" w:customStyle="1" w:styleId="40">
    <w:name w:val="纯文本1"/>
    <w:basedOn w:val="1"/>
    <w:qFormat/>
    <w:uiPriority w:val="0"/>
    <w:pPr>
      <w:snapToGrid/>
      <w:spacing w:line="240" w:lineRule="auto"/>
    </w:pPr>
    <w:rPr>
      <w:rFonts w:ascii="宋体" w:hAnsi="Courier New" w:cs="Courier New"/>
      <w:kern w:val="0"/>
      <w:szCs w:val="21"/>
    </w:rPr>
  </w:style>
  <w:style w:type="paragraph" w:customStyle="1" w:styleId="41">
    <w:name w:val="文本"/>
    <w:basedOn w:val="42"/>
    <w:autoRedefine/>
    <w:qFormat/>
    <w:uiPriority w:val="0"/>
    <w:pPr>
      <w:spacing w:line="500" w:lineRule="exact"/>
      <w:ind w:firstLine="560"/>
      <w:jc w:val="left"/>
    </w:pPr>
    <w:rPr>
      <w:rFonts w:ascii="宋体" w:hAnsi="宋体" w:eastAsia="汉鼎简书宋" w:cs="宋体"/>
      <w:kern w:val="2"/>
      <w:sz w:val="28"/>
    </w:rPr>
  </w:style>
  <w:style w:type="paragraph" w:customStyle="1" w:styleId="42">
    <w:name w:val="[1]正文"/>
    <w:basedOn w:val="1"/>
    <w:link w:val="98"/>
    <w:autoRedefine/>
    <w:qFormat/>
    <w:uiPriority w:val="0"/>
    <w:pPr>
      <w:widowControl/>
      <w:spacing w:line="360" w:lineRule="auto"/>
      <w:ind w:firstLine="200" w:firstLineChars="200"/>
    </w:pPr>
    <w:rPr>
      <w:kern w:val="0"/>
      <w:sz w:val="24"/>
      <w:szCs w:val="28"/>
    </w:rPr>
  </w:style>
  <w:style w:type="paragraph" w:customStyle="1" w:styleId="43">
    <w:name w:val="报告表样式"/>
    <w:basedOn w:val="1"/>
    <w:autoRedefine/>
    <w:qFormat/>
    <w:uiPriority w:val="0"/>
    <w:pPr>
      <w:ind w:firstLine="480" w:firstLineChars="200"/>
      <w:jc w:val="center"/>
    </w:pPr>
    <w:rPr>
      <w:snapToGrid w:val="0"/>
      <w:color w:val="000000"/>
      <w:kern w:val="0"/>
      <w:sz w:val="24"/>
    </w:rPr>
  </w:style>
  <w:style w:type="paragraph" w:customStyle="1" w:styleId="44">
    <w:name w:val="一级标题"/>
    <w:basedOn w:val="1"/>
    <w:autoRedefine/>
    <w:qFormat/>
    <w:uiPriority w:val="0"/>
    <w:pPr>
      <w:ind w:firstLine="539"/>
    </w:pPr>
    <w:rPr>
      <w:rFonts w:eastAsia="黑体"/>
      <w:sz w:val="28"/>
    </w:rPr>
  </w:style>
  <w:style w:type="paragraph" w:customStyle="1" w:styleId="45">
    <w:name w:val="表头"/>
    <w:basedOn w:val="24"/>
    <w:next w:val="1"/>
    <w:link w:val="119"/>
    <w:autoRedefine/>
    <w:qFormat/>
    <w:uiPriority w:val="0"/>
    <w:pPr>
      <w:spacing w:before="100" w:beforeLines="100"/>
      <w:ind w:left="0" w:firstLine="0" w:firstLineChars="0"/>
      <w:contextualSpacing w:val="0"/>
      <w:jc w:val="center"/>
    </w:pPr>
    <w:rPr>
      <w:rFonts w:cs="宋体"/>
      <w:b/>
      <w:kern w:val="0"/>
      <w:sz w:val="20"/>
      <w:szCs w:val="24"/>
    </w:rPr>
  </w:style>
  <w:style w:type="paragraph" w:customStyle="1" w:styleId="46">
    <w:name w:val="0正文"/>
    <w:basedOn w:val="1"/>
    <w:autoRedefine/>
    <w:qFormat/>
    <w:uiPriority w:val="0"/>
    <w:pPr>
      <w:spacing w:line="360" w:lineRule="auto"/>
      <w:ind w:firstLine="480" w:firstLineChars="200"/>
    </w:pPr>
    <w:rPr>
      <w:rFonts w:ascii="Calibri" w:hAnsi="Calibri" w:cs="黑体"/>
      <w:sz w:val="24"/>
      <w:szCs w:val="20"/>
    </w:rPr>
  </w:style>
  <w:style w:type="paragraph" w:customStyle="1" w:styleId="47">
    <w:name w:val="报告书正文"/>
    <w:basedOn w:val="1"/>
    <w:link w:val="99"/>
    <w:autoRedefine/>
    <w:qFormat/>
    <w:uiPriority w:val="0"/>
    <w:pPr>
      <w:adjustRightInd/>
      <w:snapToGrid/>
      <w:ind w:firstLine="560" w:firstLineChars="200"/>
    </w:pPr>
    <w:rPr>
      <w:rFonts w:ascii="宋体" w:hAnsi="宋体"/>
      <w:kern w:val="0"/>
      <w:sz w:val="28"/>
    </w:rPr>
  </w:style>
  <w:style w:type="paragraph" w:customStyle="1" w:styleId="48">
    <w:name w:val="A样式 小四 行距: 1.5 倍行距 首行缩进:  2 字符"/>
    <w:basedOn w:val="1"/>
    <w:autoRedefine/>
    <w:qFormat/>
    <w:uiPriority w:val="0"/>
    <w:pPr>
      <w:ind w:firstLine="480"/>
      <w:pPrChange w:id="2" w:author="flh" w:date="2024-04-22T22:09:00Z">
        <w:pPr>
          <w:widowControl w:val="0"/>
          <w:adjustRightInd w:val="0"/>
          <w:snapToGrid w:val="0"/>
          <w:ind w:firstLine="480"/>
          <w:jc w:val="both"/>
        </w:pPr>
      </w:pPrChange>
    </w:pPr>
    <w:rPr>
      <w:rFonts w:ascii="Calibri" w:hAnsi="Calibri" w:cs="宋体"/>
      <w:szCs w:val="22"/>
      <w:rPrChange w:id="3" w:author="flh" w:date="2024-04-22T22:09:00Z">
        <w:rPr>
          <w:rFonts w:ascii="Calibri" w:hAnsi="Calibri" w:eastAsia="宋体" w:cs="宋体"/>
          <w:kern w:val="2"/>
          <w:sz w:val="21"/>
          <w:szCs w:val="22"/>
          <w:lang w:val="en-US" w:eastAsia="zh-CN" w:bidi="ar-SA"/>
        </w:rPr>
      </w:rPrChange>
    </w:rPr>
  </w:style>
  <w:style w:type="paragraph" w:customStyle="1" w:styleId="49">
    <w:name w:val="样式 正文缩进正文缩进2正文缩进 Char Char正文缩进 Char Char Char Char正文缩进 Char ..."/>
    <w:basedOn w:val="7"/>
    <w:autoRedefine/>
    <w:qFormat/>
    <w:uiPriority w:val="0"/>
    <w:pPr>
      <w:spacing w:line="240" w:lineRule="auto"/>
      <w:ind w:firstLine="0" w:firstLineChars="0"/>
    </w:pPr>
    <w:rPr>
      <w:rFonts w:ascii="Times New Roman"/>
      <w:w w:val="80"/>
      <w:sz w:val="18"/>
      <w:szCs w:val="15"/>
    </w:rPr>
  </w:style>
  <w:style w:type="character" w:customStyle="1" w:styleId="50">
    <w:name w:val="页脚 字符1"/>
    <w:link w:val="17"/>
    <w:autoRedefine/>
    <w:qFormat/>
    <w:locked/>
    <w:uiPriority w:val="99"/>
    <w:rPr>
      <w:sz w:val="18"/>
    </w:rPr>
  </w:style>
  <w:style w:type="character" w:customStyle="1" w:styleId="51">
    <w:name w:val="日期 字符1"/>
    <w:link w:val="14"/>
    <w:autoRedefine/>
    <w:qFormat/>
    <w:locked/>
    <w:uiPriority w:val="0"/>
    <w:rPr>
      <w:rFonts w:ascii="Times New Roman" w:hAnsi="Times New Roman" w:eastAsia="宋体"/>
      <w:sz w:val="24"/>
    </w:rPr>
  </w:style>
  <w:style w:type="character" w:customStyle="1" w:styleId="52">
    <w:name w:val="页脚 字符"/>
    <w:basedOn w:val="33"/>
    <w:autoRedefine/>
    <w:qFormat/>
    <w:uiPriority w:val="99"/>
  </w:style>
  <w:style w:type="character" w:customStyle="1" w:styleId="53">
    <w:name w:val="普通(网站) 字符"/>
    <w:link w:val="27"/>
    <w:autoRedefine/>
    <w:qFormat/>
    <w:locked/>
    <w:uiPriority w:val="0"/>
    <w:rPr>
      <w:b/>
      <w:sz w:val="21"/>
    </w:rPr>
  </w:style>
  <w:style w:type="character" w:customStyle="1" w:styleId="54">
    <w:name w:val="正文文本 字符1"/>
    <w:autoRedefine/>
    <w:semiHidden/>
    <w:qFormat/>
    <w:uiPriority w:val="0"/>
    <w:rPr>
      <w:rFonts w:ascii="Times New Roman" w:hAnsi="Times New Roman" w:eastAsia="宋体"/>
      <w:sz w:val="24"/>
    </w:rPr>
  </w:style>
  <w:style w:type="character" w:customStyle="1" w:styleId="55">
    <w:name w:val="正文文本 字符"/>
    <w:link w:val="11"/>
    <w:autoRedefine/>
    <w:qFormat/>
    <w:locked/>
    <w:uiPriority w:val="99"/>
    <w:rPr>
      <w:sz w:val="18"/>
    </w:rPr>
  </w:style>
  <w:style w:type="character" w:customStyle="1" w:styleId="56">
    <w:name w:val="批注文字 字符"/>
    <w:link w:val="10"/>
    <w:autoRedefine/>
    <w:semiHidden/>
    <w:qFormat/>
    <w:locked/>
    <w:uiPriority w:val="99"/>
    <w:rPr>
      <w:sz w:val="24"/>
    </w:rPr>
  </w:style>
  <w:style w:type="character" w:customStyle="1" w:styleId="57">
    <w:name w:val="表格 Char"/>
    <w:link w:val="58"/>
    <w:autoRedefine/>
    <w:qFormat/>
    <w:locked/>
    <w:uiPriority w:val="0"/>
    <w:rPr>
      <w:rFonts w:ascii="宋体"/>
      <w:sz w:val="21"/>
    </w:rPr>
  </w:style>
  <w:style w:type="paragraph" w:customStyle="1" w:styleId="58">
    <w:name w:val="表格"/>
    <w:basedOn w:val="1"/>
    <w:next w:val="1"/>
    <w:link w:val="57"/>
    <w:autoRedefine/>
    <w:qFormat/>
    <w:uiPriority w:val="0"/>
    <w:pPr>
      <w:spacing w:beforeLines="10" w:afterLines="10" w:line="259" w:lineRule="auto"/>
      <w:jc w:val="center"/>
    </w:pPr>
    <w:rPr>
      <w:rFonts w:ascii="宋体"/>
      <w:kern w:val="0"/>
      <w:szCs w:val="20"/>
    </w:rPr>
  </w:style>
  <w:style w:type="character" w:customStyle="1" w:styleId="59">
    <w:name w:val="日期 字符"/>
    <w:autoRedefine/>
    <w:semiHidden/>
    <w:qFormat/>
    <w:uiPriority w:val="0"/>
    <w:rPr>
      <w:rFonts w:ascii="Times New Roman" w:hAnsi="Times New Roman" w:eastAsia="宋体"/>
      <w:sz w:val="24"/>
    </w:rPr>
  </w:style>
  <w:style w:type="character" w:customStyle="1" w:styleId="60">
    <w:name w:val="批注框文本 字符"/>
    <w:link w:val="16"/>
    <w:autoRedefine/>
    <w:semiHidden/>
    <w:qFormat/>
    <w:locked/>
    <w:uiPriority w:val="99"/>
    <w:rPr>
      <w:rFonts w:ascii="Times New Roman" w:hAnsi="Times New Roman" w:eastAsia="宋体"/>
      <w:sz w:val="18"/>
    </w:rPr>
  </w:style>
  <w:style w:type="character" w:customStyle="1" w:styleId="61">
    <w:name w:val="批注主题 字符"/>
    <w:link w:val="29"/>
    <w:autoRedefine/>
    <w:semiHidden/>
    <w:qFormat/>
    <w:locked/>
    <w:uiPriority w:val="99"/>
    <w:rPr>
      <w:rFonts w:ascii="Times New Roman" w:hAnsi="Times New Roman" w:eastAsia="宋体"/>
      <w:b/>
      <w:kern w:val="2"/>
      <w:sz w:val="24"/>
    </w:rPr>
  </w:style>
  <w:style w:type="character" w:customStyle="1" w:styleId="62">
    <w:name w:val="页眉 字符"/>
    <w:link w:val="18"/>
    <w:autoRedefine/>
    <w:qFormat/>
    <w:locked/>
    <w:uiPriority w:val="99"/>
    <w:rPr>
      <w:sz w:val="18"/>
    </w:rPr>
  </w:style>
  <w:style w:type="character" w:customStyle="1" w:styleId="63">
    <w:name w:val="批注文字 字符1"/>
    <w:autoRedefine/>
    <w:semiHidden/>
    <w:qFormat/>
    <w:uiPriority w:val="0"/>
    <w:rPr>
      <w:rFonts w:ascii="Times New Roman" w:hAnsi="Times New Roman" w:eastAsia="宋体"/>
      <w:sz w:val="24"/>
    </w:rPr>
  </w:style>
  <w:style w:type="character" w:customStyle="1" w:styleId="64">
    <w:name w:val="正文文本缩进 字符"/>
    <w:link w:val="3"/>
    <w:autoRedefine/>
    <w:qFormat/>
    <w:locked/>
    <w:uiPriority w:val="0"/>
    <w:rPr>
      <w:rFonts w:ascii="Times New Roman" w:hAnsi="Times New Roman" w:eastAsia="宋体"/>
      <w:sz w:val="24"/>
    </w:rPr>
  </w:style>
  <w:style w:type="paragraph" w:customStyle="1" w:styleId="65">
    <w:name w:val="正文_10"/>
    <w:autoRedefine/>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66">
    <w:name w:val="普通(网站)2"/>
    <w:basedOn w:val="1"/>
    <w:autoRedefine/>
    <w:qFormat/>
    <w:uiPriority w:val="0"/>
    <w:pPr>
      <w:widowControl/>
      <w:spacing w:before="100" w:beforeAutospacing="1" w:after="100" w:afterAutospacing="1"/>
      <w:jc w:val="left"/>
    </w:pPr>
    <w:rPr>
      <w:rFonts w:ascii="宋体" w:hAnsi="宋体"/>
      <w:sz w:val="24"/>
      <w:szCs w:val="20"/>
    </w:rPr>
  </w:style>
  <w:style w:type="paragraph" w:customStyle="1" w:styleId="67">
    <w:name w:val="表文字"/>
    <w:basedOn w:val="1"/>
    <w:autoRedefine/>
    <w:qFormat/>
    <w:uiPriority w:val="0"/>
    <w:pPr>
      <w:overflowPunct w:val="0"/>
      <w:autoSpaceDE w:val="0"/>
      <w:autoSpaceDN w:val="0"/>
      <w:jc w:val="center"/>
    </w:pPr>
    <w:rPr>
      <w:kern w:val="0"/>
      <w:szCs w:val="20"/>
    </w:rPr>
  </w:style>
  <w:style w:type="paragraph" w:customStyle="1" w:styleId="68">
    <w:name w:val="本文正文"/>
    <w:basedOn w:val="1"/>
    <w:link w:val="76"/>
    <w:autoRedefine/>
    <w:qFormat/>
    <w:uiPriority w:val="0"/>
    <w:pPr>
      <w:autoSpaceDE w:val="0"/>
      <w:autoSpaceDN w:val="0"/>
      <w:spacing w:line="360" w:lineRule="auto"/>
      <w:ind w:firstLine="200" w:firstLineChars="200"/>
    </w:pPr>
    <w:rPr>
      <w:rFonts w:cs="宋体"/>
      <w:kern w:val="0"/>
      <w:sz w:val="24"/>
    </w:rPr>
  </w:style>
  <w:style w:type="paragraph" w:customStyle="1" w:styleId="69">
    <w:name w:val="本文表格"/>
    <w:basedOn w:val="67"/>
    <w:link w:val="111"/>
    <w:autoRedefine/>
    <w:qFormat/>
    <w:uiPriority w:val="0"/>
    <w:pPr>
      <w:jc w:val="both"/>
      <w:pPrChange w:id="4" w:author="flh" w:date="2024-04-22T22:20:00Z">
        <w:pPr>
          <w:widowControl w:val="0"/>
          <w:overflowPunct w:val="0"/>
          <w:autoSpaceDE w:val="0"/>
          <w:autoSpaceDN w:val="0"/>
          <w:adjustRightInd w:val="0"/>
          <w:snapToGrid w:val="0"/>
          <w:jc w:val="center"/>
        </w:pPr>
      </w:pPrChange>
    </w:pPr>
    <w:rPr>
      <w:szCs w:val="21"/>
      <w:rPrChange w:id="5" w:author="flh" w:date="2024-04-22T22:20:00Z">
        <w:rPr>
          <w:rFonts w:eastAsia="宋体"/>
          <w:sz w:val="21"/>
          <w:szCs w:val="21"/>
          <w:lang w:val="en-US" w:eastAsia="zh-CN" w:bidi="ar-SA"/>
        </w:rPr>
      </w:rPrChange>
    </w:rPr>
  </w:style>
  <w:style w:type="paragraph" w:customStyle="1" w:styleId="70">
    <w:name w:val="表格名字"/>
    <w:basedOn w:val="69"/>
    <w:link w:val="149"/>
    <w:autoRedefine/>
    <w:qFormat/>
    <w:uiPriority w:val="0"/>
    <w:pPr>
      <w:spacing w:before="50" w:beforeLines="50" w:line="360" w:lineRule="auto"/>
    </w:pPr>
    <w:rPr>
      <w:b/>
    </w:rPr>
  </w:style>
  <w:style w:type="character" w:customStyle="1" w:styleId="71">
    <w:name w:val="纯文本 字符"/>
    <w:link w:val="13"/>
    <w:autoRedefine/>
    <w:qFormat/>
    <w:locked/>
    <w:uiPriority w:val="0"/>
    <w:rPr>
      <w:rFonts w:ascii="宋体" w:hAnsi="Courier New"/>
      <w:kern w:val="2"/>
      <w:sz w:val="24"/>
    </w:rPr>
  </w:style>
  <w:style w:type="character" w:customStyle="1" w:styleId="72">
    <w:name w:val="纯文本 Char1"/>
    <w:autoRedefine/>
    <w:qFormat/>
    <w:uiPriority w:val="0"/>
    <w:rPr>
      <w:rFonts w:ascii="宋体" w:hAnsi="Courier New" w:cs="Courier New"/>
      <w:kern w:val="2"/>
      <w:sz w:val="21"/>
      <w:szCs w:val="21"/>
    </w:rPr>
  </w:style>
  <w:style w:type="character" w:customStyle="1" w:styleId="73">
    <w:name w:val="图名 Char"/>
    <w:link w:val="74"/>
    <w:autoRedefine/>
    <w:qFormat/>
    <w:locked/>
    <w:uiPriority w:val="0"/>
    <w:rPr>
      <w:b/>
      <w:color w:val="000000"/>
      <w:sz w:val="21"/>
      <w:szCs w:val="21"/>
    </w:rPr>
  </w:style>
  <w:style w:type="paragraph" w:customStyle="1" w:styleId="74">
    <w:name w:val="图名"/>
    <w:basedOn w:val="1"/>
    <w:link w:val="73"/>
    <w:autoRedefine/>
    <w:qFormat/>
    <w:uiPriority w:val="0"/>
    <w:pPr>
      <w:autoSpaceDE w:val="0"/>
      <w:autoSpaceDN w:val="0"/>
      <w:spacing w:after="50" w:afterLines="50" w:line="360" w:lineRule="auto"/>
      <w:jc w:val="center"/>
    </w:pPr>
    <w:rPr>
      <w:b/>
      <w:color w:val="000000"/>
      <w:kern w:val="0"/>
      <w:szCs w:val="21"/>
    </w:rPr>
  </w:style>
  <w:style w:type="character" w:customStyle="1" w:styleId="75">
    <w:name w:val="fontstyle11"/>
    <w:autoRedefine/>
    <w:qFormat/>
    <w:uiPriority w:val="0"/>
    <w:rPr>
      <w:rFonts w:hint="default" w:ascii="Times New Roman" w:hAnsi="Times New Roman" w:cs="Times New Roman"/>
      <w:color w:val="000000"/>
      <w:sz w:val="24"/>
      <w:szCs w:val="24"/>
    </w:rPr>
  </w:style>
  <w:style w:type="character" w:customStyle="1" w:styleId="76">
    <w:name w:val="本文正文 Char"/>
    <w:link w:val="68"/>
    <w:autoRedefine/>
    <w:qFormat/>
    <w:locked/>
    <w:uiPriority w:val="0"/>
    <w:rPr>
      <w:rFonts w:cs="宋体"/>
      <w:sz w:val="24"/>
      <w:szCs w:val="24"/>
    </w:rPr>
  </w:style>
  <w:style w:type="character" w:customStyle="1" w:styleId="77">
    <w:name w:val="A本文表格 Char"/>
    <w:link w:val="78"/>
    <w:autoRedefine/>
    <w:qFormat/>
    <w:uiPriority w:val="0"/>
    <w:rPr>
      <w:color w:val="000000"/>
      <w:sz w:val="21"/>
      <w:szCs w:val="21"/>
    </w:rPr>
  </w:style>
  <w:style w:type="paragraph" w:customStyle="1" w:styleId="78">
    <w:name w:val="A本文表格"/>
    <w:basedOn w:val="1"/>
    <w:link w:val="77"/>
    <w:autoRedefine/>
    <w:qFormat/>
    <w:uiPriority w:val="0"/>
    <w:pPr>
      <w:autoSpaceDE w:val="0"/>
      <w:autoSpaceDN w:val="0"/>
      <w:jc w:val="center"/>
    </w:pPr>
    <w:rPr>
      <w:color w:val="000000"/>
      <w:kern w:val="0"/>
      <w:szCs w:val="21"/>
    </w:rPr>
  </w:style>
  <w:style w:type="paragraph" w:customStyle="1" w:styleId="79">
    <w:name w:val="本文表名"/>
    <w:basedOn w:val="1"/>
    <w:autoRedefine/>
    <w:qFormat/>
    <w:uiPriority w:val="0"/>
    <w:pPr>
      <w:spacing w:before="50" w:beforeLines="50"/>
      <w:jc w:val="center"/>
    </w:pPr>
    <w:rPr>
      <w:b/>
    </w:rPr>
  </w:style>
  <w:style w:type="character" w:customStyle="1" w:styleId="80">
    <w:name w:val="font51"/>
    <w:autoRedefine/>
    <w:qFormat/>
    <w:uiPriority w:val="0"/>
    <w:rPr>
      <w:rFonts w:hint="default" w:ascii="Times New Roman" w:hAnsi="Times New Roman" w:cs="Times New Roman"/>
      <w:b/>
      <w:color w:val="000000"/>
      <w:sz w:val="22"/>
      <w:szCs w:val="22"/>
      <w:vertAlign w:val="subscript"/>
    </w:rPr>
  </w:style>
  <w:style w:type="character" w:customStyle="1" w:styleId="81">
    <w:name w:val="font61"/>
    <w:autoRedefine/>
    <w:qFormat/>
    <w:uiPriority w:val="0"/>
    <w:rPr>
      <w:rFonts w:hint="default" w:ascii="Times New Roman" w:hAnsi="Times New Roman" w:cs="Times New Roman"/>
      <w:b/>
      <w:color w:val="000000"/>
      <w:sz w:val="21"/>
      <w:szCs w:val="21"/>
      <w:u w:val="none"/>
      <w:vertAlign w:val="superscript"/>
    </w:rPr>
  </w:style>
  <w:style w:type="character" w:customStyle="1" w:styleId="82">
    <w:name w:val="文档结构图 字符"/>
    <w:basedOn w:val="33"/>
    <w:link w:val="9"/>
    <w:autoRedefine/>
    <w:qFormat/>
    <w:uiPriority w:val="99"/>
    <w:rPr>
      <w:rFonts w:ascii="宋体"/>
      <w:kern w:val="2"/>
      <w:sz w:val="18"/>
      <w:szCs w:val="18"/>
    </w:rPr>
  </w:style>
  <w:style w:type="character" w:customStyle="1" w:styleId="83">
    <w:name w:val="正文文本 2 字符"/>
    <w:basedOn w:val="33"/>
    <w:link w:val="25"/>
    <w:autoRedefine/>
    <w:qFormat/>
    <w:uiPriority w:val="0"/>
    <w:rPr>
      <w:b/>
      <w:kern w:val="2"/>
      <w:sz w:val="32"/>
    </w:rPr>
  </w:style>
  <w:style w:type="character" w:customStyle="1" w:styleId="84">
    <w:name w:val="正文文本首行缩进 字符"/>
    <w:basedOn w:val="55"/>
    <w:link w:val="30"/>
    <w:autoRedefine/>
    <w:qFormat/>
    <w:uiPriority w:val="99"/>
    <w:rPr>
      <w:kern w:val="2"/>
      <w:sz w:val="24"/>
      <w:szCs w:val="22"/>
    </w:rPr>
  </w:style>
  <w:style w:type="table" w:customStyle="1" w:styleId="85">
    <w:name w:val="浅色底纹1"/>
    <w:basedOn w:val="31"/>
    <w:autoRedefine/>
    <w:qFormat/>
    <w:uiPriority w:val="60"/>
    <w:rPr>
      <w:color w:val="000000"/>
    </w:rPr>
    <w:tblPr>
      <w:tblBorders>
        <w:top w:val="single" w:color="000000" w:sz="8" w:space="0"/>
        <w:bottom w:val="single" w:color="000000" w:sz="8" w:space="0"/>
      </w:tblBorders>
    </w:tblPr>
    <w:tblStylePr w:type="firstRow">
      <w:pPr>
        <w:spacing w:before="0" w:after="0" w:line="240" w:lineRule="auto"/>
      </w:pPr>
      <w:rPr>
        <w:b/>
        <w:bCs/>
      </w:rPr>
      <w:tcPr>
        <w:tcBorders>
          <w:top w:val="single" w:color="000000" w:sz="8" w:space="0"/>
          <w:left w:val="nil"/>
          <w:bottom w:val="single" w:color="000000" w:sz="8" w:space="0"/>
          <w:right w:val="nil"/>
          <w:insideH w:val="nil"/>
          <w:insideV w:val="nil"/>
        </w:tcBorders>
      </w:tcPr>
    </w:tblStylePr>
    <w:tblStylePr w:type="lastRow">
      <w:pPr>
        <w:spacing w:before="0" w:after="0" w:line="240" w:lineRule="auto"/>
      </w:pPr>
      <w:rPr>
        <w:b/>
        <w:bCs/>
      </w:rPr>
      <w:tcPr>
        <w:tcBorders>
          <w:top w:val="single" w:color="000000" w:sz="8" w:space="0"/>
          <w:left w:val="nil"/>
          <w:bottom w:val="single" w:color="000000" w:sz="8" w:space="0"/>
          <w:right w:val="nil"/>
          <w:insideH w:val="nil"/>
          <w:insideV w:val="nil"/>
        </w:tcBorders>
      </w:tcPr>
    </w:tblStylePr>
    <w:tblStylePr w:type="firstCol">
      <w:rPr>
        <w:b/>
        <w:bCs/>
      </w:rPr>
    </w:tblStylePr>
    <w:tblStylePr w:type="lastCol">
      <w:rPr>
        <w:b/>
        <w:bCs/>
      </w:rPr>
    </w:tblStylePr>
    <w:tblStylePr w:type="band1Vert">
      <w:tcPr>
        <w:tcBorders>
          <w:left w:val="nil"/>
          <w:right w:val="nil"/>
          <w:insideH w:val="nil"/>
          <w:insideV w:val="nil"/>
        </w:tcBorders>
        <w:shd w:val="clear" w:color="auto" w:fill="C0C0C0"/>
      </w:tcPr>
    </w:tblStylePr>
    <w:tblStylePr w:type="band1Horz">
      <w:tcPr>
        <w:tcBorders>
          <w:left w:val="nil"/>
          <w:right w:val="nil"/>
          <w:insideH w:val="nil"/>
          <w:insideV w:val="nil"/>
        </w:tcBorders>
        <w:shd w:val="clear" w:color="auto" w:fill="C0C0C0"/>
      </w:tcPr>
    </w:tblStylePr>
  </w:style>
  <w:style w:type="character" w:customStyle="1" w:styleId="86">
    <w:name w:val="正文缩进 字符"/>
    <w:link w:val="7"/>
    <w:autoRedefine/>
    <w:qFormat/>
    <w:locked/>
    <w:uiPriority w:val="99"/>
    <w:rPr>
      <w:rFonts w:ascii="Calibri" w:hAnsi="Calibri"/>
      <w:kern w:val="2"/>
      <w:sz w:val="24"/>
      <w:szCs w:val="22"/>
    </w:rPr>
  </w:style>
  <w:style w:type="paragraph" w:customStyle="1" w:styleId="87">
    <w:name w:val="p0"/>
    <w:basedOn w:val="1"/>
    <w:autoRedefine/>
    <w:qFormat/>
    <w:uiPriority w:val="0"/>
    <w:pPr>
      <w:widowControl/>
      <w:adjustRightInd/>
      <w:snapToGrid/>
      <w:spacing w:line="360" w:lineRule="auto"/>
      <w:ind w:firstLine="200" w:firstLineChars="200"/>
    </w:pPr>
    <w:rPr>
      <w:rFonts w:ascii="宋体"/>
      <w:kern w:val="0"/>
      <w:sz w:val="24"/>
      <w:szCs w:val="21"/>
    </w:rPr>
  </w:style>
  <w:style w:type="character" w:customStyle="1" w:styleId="88">
    <w:name w:val="zwb-正文 Char"/>
    <w:link w:val="89"/>
    <w:autoRedefine/>
    <w:qFormat/>
    <w:locked/>
    <w:uiPriority w:val="0"/>
    <w:rPr>
      <w:sz w:val="24"/>
      <w:szCs w:val="24"/>
    </w:rPr>
  </w:style>
  <w:style w:type="paragraph" w:customStyle="1" w:styleId="89">
    <w:name w:val="zwb-正文"/>
    <w:basedOn w:val="1"/>
    <w:link w:val="88"/>
    <w:autoRedefine/>
    <w:qFormat/>
    <w:uiPriority w:val="0"/>
    <w:pPr>
      <w:adjustRightInd/>
      <w:snapToGrid/>
      <w:spacing w:line="360" w:lineRule="auto"/>
      <w:ind w:firstLine="480" w:firstLineChars="200"/>
    </w:pPr>
    <w:rPr>
      <w:kern w:val="0"/>
      <w:sz w:val="24"/>
    </w:rPr>
  </w:style>
  <w:style w:type="table" w:customStyle="1" w:styleId="90">
    <w:name w:val="样式1"/>
    <w:basedOn w:val="31"/>
    <w:autoRedefine/>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91">
    <w:name w:val="No Spacing"/>
    <w:link w:val="125"/>
    <w:autoRedefine/>
    <w:qFormat/>
    <w:uiPriority w:val="1"/>
    <w:pPr>
      <w:widowControl w:val="0"/>
      <w:spacing w:before="50" w:beforeLines="50"/>
      <w:jc w:val="center"/>
    </w:pPr>
    <w:rPr>
      <w:rFonts w:ascii="Times New Roman" w:hAnsi="Times New Roman" w:eastAsia="宋体" w:cs="Times New Roman"/>
      <w:kern w:val="2"/>
      <w:sz w:val="21"/>
      <w:szCs w:val="22"/>
      <w:lang w:val="en-US" w:eastAsia="zh-CN" w:bidi="ar-SA"/>
    </w:rPr>
  </w:style>
  <w:style w:type="character" w:customStyle="1" w:styleId="92">
    <w:name w:val="fontstyle01"/>
    <w:autoRedefine/>
    <w:qFormat/>
    <w:uiPriority w:val="0"/>
    <w:rPr>
      <w:rFonts w:hint="eastAsia" w:ascii="宋体" w:hAnsi="宋体" w:eastAsia="宋体"/>
      <w:color w:val="000000"/>
      <w:sz w:val="24"/>
      <w:szCs w:val="24"/>
    </w:rPr>
  </w:style>
  <w:style w:type="character" w:customStyle="1" w:styleId="93">
    <w:name w:val="fontstyle21"/>
    <w:basedOn w:val="33"/>
    <w:autoRedefine/>
    <w:qFormat/>
    <w:uiPriority w:val="0"/>
    <w:rPr>
      <w:rFonts w:hint="default" w:ascii="Times New Roman" w:hAnsi="Times New Roman" w:cs="Times New Roman"/>
      <w:color w:val="000000"/>
      <w:sz w:val="24"/>
      <w:szCs w:val="24"/>
    </w:rPr>
  </w:style>
  <w:style w:type="character" w:customStyle="1" w:styleId="94">
    <w:name w:val="cucd-0 Char Char Char"/>
    <w:link w:val="95"/>
    <w:autoRedefine/>
    <w:qFormat/>
    <w:uiPriority w:val="0"/>
    <w:rPr>
      <w:rFonts w:eastAsia="Times New Roman"/>
      <w:sz w:val="24"/>
      <w:szCs w:val="24"/>
    </w:rPr>
  </w:style>
  <w:style w:type="paragraph" w:customStyle="1" w:styleId="95">
    <w:name w:val="cucd-0"/>
    <w:link w:val="94"/>
    <w:autoRedefine/>
    <w:qFormat/>
    <w:uiPriority w:val="0"/>
    <w:pPr>
      <w:spacing w:line="360" w:lineRule="auto"/>
      <w:ind w:firstLine="200" w:firstLineChars="200"/>
      <w:jc w:val="both"/>
    </w:pPr>
    <w:rPr>
      <w:rFonts w:ascii="Times New Roman" w:hAnsi="Times New Roman" w:eastAsia="Times New Roman" w:cs="Times New Roman"/>
      <w:sz w:val="24"/>
      <w:szCs w:val="24"/>
      <w:lang w:val="en-US" w:eastAsia="zh-CN" w:bidi="ar-SA"/>
    </w:rPr>
  </w:style>
  <w:style w:type="paragraph" w:customStyle="1" w:styleId="96">
    <w:name w:val="样式19"/>
    <w:basedOn w:val="1"/>
    <w:autoRedefine/>
    <w:qFormat/>
    <w:uiPriority w:val="0"/>
    <w:pPr>
      <w:adjustRightInd/>
      <w:snapToGrid/>
      <w:spacing w:beforeLines="50" w:line="560" w:lineRule="atLeast"/>
      <w:ind w:firstLine="480" w:firstLineChars="200"/>
    </w:pPr>
    <w:rPr>
      <w:sz w:val="24"/>
    </w:rPr>
  </w:style>
  <w:style w:type="character" w:styleId="97">
    <w:name w:val="Placeholder Text"/>
    <w:autoRedefine/>
    <w:unhideWhenUsed/>
    <w:qFormat/>
    <w:uiPriority w:val="99"/>
    <w:rPr>
      <w:color w:val="808080"/>
    </w:rPr>
  </w:style>
  <w:style w:type="character" w:customStyle="1" w:styleId="98">
    <w:name w:val="[1]正文 Char Char"/>
    <w:link w:val="42"/>
    <w:autoRedefine/>
    <w:qFormat/>
    <w:locked/>
    <w:uiPriority w:val="0"/>
    <w:rPr>
      <w:sz w:val="24"/>
      <w:szCs w:val="28"/>
    </w:rPr>
  </w:style>
  <w:style w:type="character" w:customStyle="1" w:styleId="99">
    <w:name w:val="报告书正文 Char"/>
    <w:link w:val="47"/>
    <w:autoRedefine/>
    <w:qFormat/>
    <w:locked/>
    <w:uiPriority w:val="0"/>
    <w:rPr>
      <w:rFonts w:ascii="宋体" w:hAnsi="宋体"/>
      <w:sz w:val="28"/>
      <w:szCs w:val="24"/>
    </w:rPr>
  </w:style>
  <w:style w:type="paragraph" w:customStyle="1" w:styleId="100">
    <w:name w:val="0"/>
    <w:basedOn w:val="1"/>
    <w:autoRedefine/>
    <w:qFormat/>
    <w:uiPriority w:val="0"/>
    <w:pPr>
      <w:widowControl/>
      <w:adjustRightInd/>
      <w:snapToGrid/>
      <w:spacing w:before="100" w:beforeAutospacing="1" w:after="100" w:afterAutospacing="1"/>
      <w:jc w:val="left"/>
    </w:pPr>
    <w:rPr>
      <w:rFonts w:ascii="宋体" w:hAnsi="宋体" w:cs="宋体"/>
      <w:kern w:val="0"/>
      <w:sz w:val="24"/>
    </w:rPr>
  </w:style>
  <w:style w:type="character" w:customStyle="1" w:styleId="101">
    <w:name w:val="表 Char"/>
    <w:link w:val="102"/>
    <w:autoRedefine/>
    <w:qFormat/>
    <w:locked/>
    <w:uiPriority w:val="0"/>
    <w:rPr>
      <w:sz w:val="24"/>
    </w:rPr>
  </w:style>
  <w:style w:type="paragraph" w:customStyle="1" w:styleId="102">
    <w:name w:val="表"/>
    <w:link w:val="101"/>
    <w:autoRedefine/>
    <w:qFormat/>
    <w:uiPriority w:val="0"/>
    <w:pPr>
      <w:spacing w:line="440" w:lineRule="exact"/>
      <w:ind w:firstLine="200" w:firstLineChars="200"/>
      <w:jc w:val="both"/>
    </w:pPr>
    <w:rPr>
      <w:rFonts w:ascii="Times New Roman" w:hAnsi="Times New Roman" w:eastAsia="宋体" w:cs="Times New Roman"/>
      <w:sz w:val="24"/>
      <w:lang w:val="en-US" w:eastAsia="zh-CN" w:bidi="ar-SA"/>
    </w:rPr>
  </w:style>
  <w:style w:type="paragraph" w:customStyle="1" w:styleId="103">
    <w:name w:val="表头格式"/>
    <w:basedOn w:val="1"/>
    <w:autoRedefine/>
    <w:qFormat/>
    <w:uiPriority w:val="0"/>
    <w:pPr>
      <w:adjustRightInd/>
      <w:snapToGrid/>
      <w:spacing w:beforeLines="50" w:line="360" w:lineRule="auto"/>
      <w:jc w:val="center"/>
    </w:pPr>
    <w:rPr>
      <w:b/>
    </w:rPr>
  </w:style>
  <w:style w:type="character" w:customStyle="1" w:styleId="104">
    <w:name w:val="表内文字 Char"/>
    <w:autoRedefine/>
    <w:qFormat/>
    <w:locked/>
    <w:uiPriority w:val="0"/>
    <w:rPr>
      <w:rFonts w:ascii="Times New Roman" w:hAnsi="Times New Roman" w:cs="Times New Roman"/>
      <w:szCs w:val="21"/>
    </w:rPr>
  </w:style>
  <w:style w:type="character" w:customStyle="1" w:styleId="105">
    <w:name w:val="图表标题 Char"/>
    <w:link w:val="106"/>
    <w:autoRedefine/>
    <w:qFormat/>
    <w:locked/>
    <w:uiPriority w:val="0"/>
    <w:rPr>
      <w:b/>
      <w:szCs w:val="21"/>
    </w:rPr>
  </w:style>
  <w:style w:type="paragraph" w:customStyle="1" w:styleId="106">
    <w:name w:val="图表标题"/>
    <w:basedOn w:val="1"/>
    <w:link w:val="105"/>
    <w:autoRedefine/>
    <w:qFormat/>
    <w:uiPriority w:val="0"/>
    <w:pPr>
      <w:adjustRightInd/>
      <w:snapToGrid/>
      <w:spacing w:line="360" w:lineRule="auto"/>
      <w:jc w:val="center"/>
    </w:pPr>
    <w:rPr>
      <w:b/>
      <w:kern w:val="0"/>
      <w:sz w:val="20"/>
      <w:szCs w:val="21"/>
    </w:rPr>
  </w:style>
  <w:style w:type="paragraph" w:customStyle="1" w:styleId="107">
    <w:name w:val="正文2 Char"/>
    <w:basedOn w:val="1"/>
    <w:autoRedefine/>
    <w:semiHidden/>
    <w:qFormat/>
    <w:uiPriority w:val="99"/>
    <w:pPr>
      <w:spacing w:line="360" w:lineRule="auto"/>
      <w:ind w:firstLine="414" w:firstLineChars="197"/>
      <w:jc w:val="left"/>
    </w:pPr>
    <w:rPr>
      <w:rFonts w:ascii="宋体" w:hAnsi="宋体"/>
      <w:color w:val="000000"/>
      <w:szCs w:val="21"/>
    </w:rPr>
  </w:style>
  <w:style w:type="character" w:customStyle="1" w:styleId="108">
    <w:name w:val="文章正文 Char Char Char"/>
    <w:link w:val="109"/>
    <w:autoRedefine/>
    <w:qFormat/>
    <w:uiPriority w:val="0"/>
    <w:rPr>
      <w:sz w:val="24"/>
    </w:rPr>
  </w:style>
  <w:style w:type="paragraph" w:customStyle="1" w:styleId="109">
    <w:name w:val="文章正文"/>
    <w:basedOn w:val="1"/>
    <w:link w:val="108"/>
    <w:autoRedefine/>
    <w:qFormat/>
    <w:uiPriority w:val="0"/>
    <w:pPr>
      <w:adjustRightInd/>
      <w:snapToGrid/>
      <w:spacing w:line="440" w:lineRule="exact"/>
      <w:ind w:firstLine="600" w:firstLineChars="200"/>
    </w:pPr>
    <w:rPr>
      <w:kern w:val="0"/>
      <w:sz w:val="24"/>
      <w:szCs w:val="20"/>
    </w:rPr>
  </w:style>
  <w:style w:type="paragraph" w:styleId="110">
    <w:name w:val="List Paragraph"/>
    <w:basedOn w:val="1"/>
    <w:autoRedefine/>
    <w:unhideWhenUsed/>
    <w:qFormat/>
    <w:uiPriority w:val="99"/>
    <w:pPr>
      <w:adjustRightInd/>
      <w:snapToGrid/>
      <w:spacing w:line="360" w:lineRule="auto"/>
      <w:ind w:firstLine="420" w:firstLineChars="200"/>
    </w:pPr>
    <w:rPr>
      <w:sz w:val="24"/>
      <w:szCs w:val="22"/>
    </w:rPr>
  </w:style>
  <w:style w:type="character" w:customStyle="1" w:styleId="111">
    <w:name w:val="本文表格 Char"/>
    <w:link w:val="69"/>
    <w:autoRedefine/>
    <w:qFormat/>
    <w:locked/>
    <w:uiPriority w:val="0"/>
    <w:rPr>
      <w:sz w:val="21"/>
      <w:szCs w:val="21"/>
    </w:rPr>
  </w:style>
  <w:style w:type="table" w:customStyle="1" w:styleId="112">
    <w:name w:val="小表"/>
    <w:basedOn w:val="31"/>
    <w:autoRedefine/>
    <w:qFormat/>
    <w:uiPriority w:val="99"/>
    <w:pPr>
      <w:jc w:val="both"/>
    </w:pPr>
    <w:rPr>
      <w:rFonts w:ascii="Calibri" w:hAnsi="Calibri"/>
      <w:kern w:val="2"/>
      <w:sz w:val="21"/>
      <w:szCs w:val="22"/>
    </w:rPr>
    <w:tblPr>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
    <w:trPr>
      <w:jc w:val="center"/>
    </w:trPr>
    <w:tcPr>
      <w:vAlign w:val="center"/>
    </w:tcPr>
  </w:style>
  <w:style w:type="paragraph" w:customStyle="1" w:styleId="113">
    <w:name w:val="Table Paragraph"/>
    <w:basedOn w:val="1"/>
    <w:autoRedefine/>
    <w:qFormat/>
    <w:uiPriority w:val="1"/>
    <w:pPr>
      <w:autoSpaceDE w:val="0"/>
      <w:autoSpaceDN w:val="0"/>
      <w:adjustRightInd/>
      <w:snapToGrid/>
      <w:jc w:val="left"/>
    </w:pPr>
    <w:rPr>
      <w:rFonts w:ascii="宋体" w:hAnsi="宋体" w:cs="宋体"/>
      <w:kern w:val="0"/>
      <w:sz w:val="22"/>
      <w:szCs w:val="22"/>
      <w:lang w:val="zh-CN" w:bidi="zh-CN"/>
    </w:rPr>
  </w:style>
  <w:style w:type="table" w:customStyle="1" w:styleId="114">
    <w:name w:val="Table Normal"/>
    <w:autoRedefine/>
    <w:semiHidden/>
    <w:unhideWhenUsed/>
    <w:qFormat/>
    <w:uiPriority w:val="2"/>
    <w:pPr>
      <w:widowControl w:val="0"/>
      <w:autoSpaceDE w:val="0"/>
      <w:autoSpaceDN w:val="0"/>
    </w:pPr>
    <w:rPr>
      <w:rFonts w:ascii="Calibri" w:hAnsi="Calibri"/>
      <w:sz w:val="22"/>
      <w:szCs w:val="22"/>
      <w:lang w:eastAsia="en-US"/>
    </w:rPr>
    <w:tblPr>
      <w:tblCellMar>
        <w:top w:w="0" w:type="dxa"/>
        <w:left w:w="0" w:type="dxa"/>
        <w:bottom w:w="0" w:type="dxa"/>
        <w:right w:w="0" w:type="dxa"/>
      </w:tblCellMar>
    </w:tblPr>
  </w:style>
  <w:style w:type="character" w:customStyle="1" w:styleId="115">
    <w:name w:val="正文文本首行缩进 2 字符"/>
    <w:basedOn w:val="64"/>
    <w:link w:val="2"/>
    <w:autoRedefine/>
    <w:qFormat/>
    <w:uiPriority w:val="99"/>
    <w:rPr>
      <w:rFonts w:ascii="Times New Roman" w:hAnsi="Times New Roman" w:eastAsia="宋体"/>
      <w:kern w:val="2"/>
      <w:sz w:val="24"/>
      <w:szCs w:val="22"/>
    </w:rPr>
  </w:style>
  <w:style w:type="paragraph" w:customStyle="1" w:styleId="116">
    <w:name w:val="样式 表文字 + 字符缩放: 90%"/>
    <w:basedOn w:val="1"/>
    <w:autoRedefine/>
    <w:qFormat/>
    <w:uiPriority w:val="0"/>
    <w:pPr>
      <w:keepNext/>
      <w:snapToGrid/>
      <w:spacing w:line="240" w:lineRule="exact"/>
      <w:ind w:left="-50" w:leftChars="-50" w:right="-50" w:rightChars="-50"/>
      <w:jc w:val="center"/>
      <w:textAlignment w:val="baseline"/>
    </w:pPr>
    <w:rPr>
      <w:rFonts w:cs="宋体"/>
      <w:kern w:val="0"/>
      <w:sz w:val="18"/>
      <w:szCs w:val="18"/>
    </w:rPr>
  </w:style>
  <w:style w:type="character" w:customStyle="1" w:styleId="117">
    <w:name w:val="表格的字 Char"/>
    <w:link w:val="118"/>
    <w:autoRedefine/>
    <w:qFormat/>
    <w:uiPriority w:val="0"/>
    <w:rPr>
      <w:bCs/>
      <w:kern w:val="2"/>
      <w:sz w:val="21"/>
      <w:szCs w:val="18"/>
    </w:rPr>
  </w:style>
  <w:style w:type="paragraph" w:customStyle="1" w:styleId="118">
    <w:name w:val="表格的字"/>
    <w:basedOn w:val="1"/>
    <w:link w:val="117"/>
    <w:autoRedefine/>
    <w:qFormat/>
    <w:uiPriority w:val="0"/>
    <w:pPr>
      <w:jc w:val="center"/>
    </w:pPr>
    <w:rPr>
      <w:bCs/>
      <w:szCs w:val="18"/>
    </w:rPr>
  </w:style>
  <w:style w:type="character" w:customStyle="1" w:styleId="119">
    <w:name w:val="表头 Char"/>
    <w:link w:val="45"/>
    <w:autoRedefine/>
    <w:qFormat/>
    <w:uiPriority w:val="0"/>
    <w:rPr>
      <w:rFonts w:cs="宋体"/>
      <w:b/>
      <w:szCs w:val="24"/>
    </w:rPr>
  </w:style>
  <w:style w:type="character" w:customStyle="1" w:styleId="120">
    <w:name w:val="报告表正文 Char"/>
    <w:link w:val="121"/>
    <w:autoRedefine/>
    <w:qFormat/>
    <w:uiPriority w:val="0"/>
    <w:rPr>
      <w:kern w:val="2"/>
      <w:sz w:val="24"/>
      <w:szCs w:val="24"/>
    </w:rPr>
  </w:style>
  <w:style w:type="paragraph" w:customStyle="1" w:styleId="121">
    <w:name w:val="报告表正文"/>
    <w:basedOn w:val="15"/>
    <w:link w:val="120"/>
    <w:autoRedefine/>
    <w:qFormat/>
    <w:uiPriority w:val="0"/>
    <w:pPr>
      <w:spacing w:after="0" w:line="360" w:lineRule="auto"/>
      <w:ind w:left="0" w:leftChars="0"/>
    </w:pPr>
    <w:rPr>
      <w:szCs w:val="24"/>
    </w:rPr>
  </w:style>
  <w:style w:type="character" w:customStyle="1" w:styleId="122">
    <w:name w:val="正文文本缩进 2 字符"/>
    <w:basedOn w:val="33"/>
    <w:link w:val="15"/>
    <w:autoRedefine/>
    <w:qFormat/>
    <w:uiPriority w:val="99"/>
    <w:rPr>
      <w:kern w:val="2"/>
      <w:sz w:val="24"/>
      <w:szCs w:val="22"/>
    </w:rPr>
  </w:style>
  <w:style w:type="character" w:customStyle="1" w:styleId="123">
    <w:name w:val="样式5 Char2"/>
    <w:link w:val="19"/>
    <w:autoRedefine/>
    <w:qFormat/>
    <w:uiPriority w:val="0"/>
    <w:rPr>
      <w:sz w:val="24"/>
      <w:szCs w:val="24"/>
    </w:rPr>
  </w:style>
  <w:style w:type="table" w:customStyle="1" w:styleId="124">
    <w:name w:val="表格样式3"/>
    <w:basedOn w:val="31"/>
    <w:autoRedefine/>
    <w:qFormat/>
    <w:uiPriority w:val="0"/>
    <w:pPr>
      <w:jc w:val="center"/>
    </w:pPr>
    <w:tblPr>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
    <w:trPr>
      <w:jc w:val="center"/>
    </w:trPr>
    <w:tcPr>
      <w:vAlign w:val="center"/>
    </w:tcPr>
  </w:style>
  <w:style w:type="character" w:customStyle="1" w:styleId="125">
    <w:name w:val="无间隔 字符"/>
    <w:link w:val="91"/>
    <w:autoRedefine/>
    <w:qFormat/>
    <w:uiPriority w:val="1"/>
    <w:rPr>
      <w:kern w:val="2"/>
      <w:sz w:val="21"/>
      <w:szCs w:val="22"/>
    </w:rPr>
  </w:style>
  <w:style w:type="paragraph" w:customStyle="1" w:styleId="126">
    <w:name w:val="本文图表标题"/>
    <w:basedOn w:val="1"/>
    <w:autoRedefine/>
    <w:qFormat/>
    <w:uiPriority w:val="0"/>
    <w:pPr>
      <w:adjustRightInd/>
      <w:snapToGrid/>
      <w:spacing w:before="50" w:beforeLines="50" w:after="50" w:afterLines="50"/>
      <w:jc w:val="center"/>
    </w:pPr>
    <w:rPr>
      <w:b/>
    </w:rPr>
  </w:style>
  <w:style w:type="character" w:customStyle="1" w:styleId="127">
    <w:name w:val="表格文字 Char"/>
    <w:link w:val="128"/>
    <w:autoRedefine/>
    <w:qFormat/>
    <w:uiPriority w:val="0"/>
    <w:rPr>
      <w:rFonts w:ascii="宋体" w:hAnsi="宋体"/>
      <w:b/>
      <w:kern w:val="2"/>
      <w:sz w:val="21"/>
      <w:szCs w:val="24"/>
    </w:rPr>
  </w:style>
  <w:style w:type="paragraph" w:customStyle="1" w:styleId="128">
    <w:name w:val="表格文字"/>
    <w:basedOn w:val="1"/>
    <w:next w:val="1"/>
    <w:link w:val="127"/>
    <w:autoRedefine/>
    <w:qFormat/>
    <w:uiPriority w:val="0"/>
    <w:pPr>
      <w:adjustRightInd/>
      <w:snapToGrid/>
      <w:spacing w:line="320" w:lineRule="exact"/>
      <w:jc w:val="center"/>
    </w:pPr>
    <w:rPr>
      <w:rFonts w:ascii="宋体" w:hAnsi="宋体"/>
      <w:b/>
    </w:rPr>
  </w:style>
  <w:style w:type="character" w:customStyle="1" w:styleId="129">
    <w:name w:val="表名图名格式 Char"/>
    <w:link w:val="130"/>
    <w:autoRedefine/>
    <w:qFormat/>
    <w:locked/>
    <w:uiPriority w:val="0"/>
    <w:rPr>
      <w:b/>
      <w:szCs w:val="24"/>
    </w:rPr>
  </w:style>
  <w:style w:type="paragraph" w:customStyle="1" w:styleId="130">
    <w:name w:val="表名图名格式"/>
    <w:basedOn w:val="1"/>
    <w:link w:val="129"/>
    <w:autoRedefine/>
    <w:qFormat/>
    <w:uiPriority w:val="0"/>
    <w:pPr>
      <w:adjustRightInd/>
      <w:snapToGrid/>
      <w:spacing w:line="360" w:lineRule="auto"/>
      <w:jc w:val="center"/>
    </w:pPr>
    <w:rPr>
      <w:b/>
      <w:kern w:val="0"/>
      <w:sz w:val="20"/>
    </w:rPr>
  </w:style>
  <w:style w:type="paragraph" w:customStyle="1" w:styleId="131">
    <w:name w:val="WPS Plain"/>
    <w:autoRedefine/>
    <w:qFormat/>
    <w:uiPriority w:val="0"/>
    <w:rPr>
      <w:rFonts w:ascii="Calibri" w:hAnsi="Calibri" w:eastAsia="宋体" w:cs="Times New Roman"/>
      <w:sz w:val="21"/>
      <w:szCs w:val="22"/>
      <w:lang w:val="en-US" w:eastAsia="zh-CN" w:bidi="ar-SA"/>
    </w:rPr>
  </w:style>
  <w:style w:type="paragraph" w:customStyle="1" w:styleId="132">
    <w:name w:val="图片名字"/>
    <w:basedOn w:val="79"/>
    <w:autoRedefine/>
    <w:qFormat/>
    <w:uiPriority w:val="0"/>
    <w:pPr>
      <w:spacing w:after="50" w:afterLines="50" w:line="360" w:lineRule="auto"/>
    </w:pPr>
    <w:rPr>
      <w:bCs/>
    </w:rPr>
  </w:style>
  <w:style w:type="paragraph" w:customStyle="1" w:styleId="133">
    <w:name w:val="表名"/>
    <w:basedOn w:val="1"/>
    <w:link w:val="134"/>
    <w:autoRedefine/>
    <w:qFormat/>
    <w:uiPriority w:val="0"/>
    <w:pPr>
      <w:widowControl/>
      <w:overflowPunct w:val="0"/>
      <w:adjustRightInd/>
      <w:spacing w:before="50" w:beforeLines="50" w:line="360" w:lineRule="auto"/>
      <w:jc w:val="center"/>
      <w:textAlignment w:val="baseline"/>
    </w:pPr>
    <w:rPr>
      <w:rFonts w:cs="宋体"/>
      <w:b/>
      <w:kern w:val="0"/>
      <w:szCs w:val="20"/>
    </w:rPr>
  </w:style>
  <w:style w:type="character" w:customStyle="1" w:styleId="134">
    <w:name w:val="表名 字符"/>
    <w:basedOn w:val="33"/>
    <w:link w:val="133"/>
    <w:autoRedefine/>
    <w:qFormat/>
    <w:uiPriority w:val="0"/>
    <w:rPr>
      <w:rFonts w:cs="宋体"/>
      <w:b/>
      <w:sz w:val="21"/>
    </w:rPr>
  </w:style>
  <w:style w:type="paragraph" w:customStyle="1" w:styleId="135">
    <w:name w:val="【正文】"/>
    <w:basedOn w:val="1"/>
    <w:autoRedefine/>
    <w:qFormat/>
    <w:uiPriority w:val="0"/>
    <w:pPr>
      <w:widowControl/>
      <w:adjustRightInd/>
      <w:snapToGrid/>
      <w:spacing w:line="440" w:lineRule="exact"/>
      <w:ind w:firstLine="544" w:firstLineChars="200"/>
      <w:jc w:val="left"/>
    </w:pPr>
    <w:rPr>
      <w:rFonts w:ascii="宋体" w:hAnsi="宋体" w:cs="宋体"/>
      <w:spacing w:val="16"/>
      <w:sz w:val="24"/>
    </w:rPr>
  </w:style>
  <w:style w:type="table" w:customStyle="1" w:styleId="136">
    <w:name w:val="灰度表格1"/>
    <w:basedOn w:val="31"/>
    <w:autoRedefine/>
    <w:qFormat/>
    <w:uiPriority w:val="59"/>
    <w:pPr>
      <w:jc w:val="center"/>
    </w:p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
    <w:tcPr>
      <w:vAlign w:val="center"/>
    </w:tcPr>
  </w:style>
  <w:style w:type="table" w:customStyle="1" w:styleId="137">
    <w:name w:val="浅色底纹11"/>
    <w:basedOn w:val="31"/>
    <w:autoRedefine/>
    <w:qFormat/>
    <w:uiPriority w:val="60"/>
    <w:rPr>
      <w:color w:val="000000"/>
    </w:rPr>
    <w:tblPr>
      <w:tblBorders>
        <w:top w:val="single" w:color="000000" w:sz="8" w:space="0"/>
        <w:bottom w:val="single" w:color="000000" w:sz="8" w:space="0"/>
      </w:tblBorders>
    </w:tblPr>
    <w:tblStylePr w:type="firstRow">
      <w:pPr>
        <w:spacing w:before="0" w:after="0" w:line="240" w:lineRule="auto"/>
      </w:pPr>
      <w:rPr>
        <w:b/>
        <w:bCs/>
      </w:rPr>
      <w:tcPr>
        <w:tcBorders>
          <w:top w:val="single" w:color="000000" w:sz="8" w:space="0"/>
          <w:left w:val="nil"/>
          <w:bottom w:val="single" w:color="000000" w:sz="8" w:space="0"/>
          <w:right w:val="nil"/>
          <w:insideH w:val="nil"/>
          <w:insideV w:val="nil"/>
        </w:tcBorders>
      </w:tcPr>
    </w:tblStylePr>
    <w:tblStylePr w:type="lastRow">
      <w:pPr>
        <w:spacing w:before="0" w:after="0" w:line="240" w:lineRule="auto"/>
      </w:pPr>
      <w:rPr>
        <w:b/>
        <w:bCs/>
      </w:rPr>
      <w:tcPr>
        <w:tcBorders>
          <w:top w:val="single" w:color="000000" w:sz="8" w:space="0"/>
          <w:left w:val="nil"/>
          <w:bottom w:val="single" w:color="000000" w:sz="8" w:space="0"/>
          <w:right w:val="nil"/>
          <w:insideH w:val="nil"/>
          <w:insideV w:val="nil"/>
        </w:tcBorders>
      </w:tcPr>
    </w:tblStylePr>
    <w:tblStylePr w:type="firstCol">
      <w:rPr>
        <w:b/>
        <w:bCs/>
      </w:rPr>
    </w:tblStylePr>
    <w:tblStylePr w:type="lastCol">
      <w:rPr>
        <w:b/>
        <w:bCs/>
      </w:rPr>
    </w:tblStylePr>
    <w:tblStylePr w:type="band1Vert">
      <w:tcPr>
        <w:tcBorders>
          <w:left w:val="nil"/>
          <w:right w:val="nil"/>
          <w:insideH w:val="nil"/>
          <w:insideV w:val="nil"/>
        </w:tcBorders>
        <w:shd w:val="clear" w:color="auto" w:fill="C0C0C0"/>
      </w:tcPr>
    </w:tblStylePr>
    <w:tblStylePr w:type="band1Horz">
      <w:tcPr>
        <w:tcBorders>
          <w:left w:val="nil"/>
          <w:right w:val="nil"/>
          <w:insideH w:val="nil"/>
          <w:insideV w:val="nil"/>
        </w:tcBorders>
        <w:shd w:val="clear" w:color="auto" w:fill="C0C0C0"/>
      </w:tcPr>
    </w:tblStylePr>
  </w:style>
  <w:style w:type="table" w:customStyle="1" w:styleId="138">
    <w:name w:val="小表1"/>
    <w:basedOn w:val="31"/>
    <w:autoRedefine/>
    <w:qFormat/>
    <w:uiPriority w:val="99"/>
    <w:pPr>
      <w:jc w:val="both"/>
    </w:pPr>
    <w:rPr>
      <w:rFonts w:ascii="Calibri" w:hAnsi="Calibri"/>
      <w:kern w:val="2"/>
      <w:sz w:val="21"/>
      <w:szCs w:val="22"/>
    </w:rPr>
    <w:tblPr>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
    <w:trPr>
      <w:jc w:val="center"/>
    </w:trPr>
    <w:tcPr>
      <w:vAlign w:val="center"/>
    </w:tcPr>
  </w:style>
  <w:style w:type="table" w:customStyle="1" w:styleId="139">
    <w:name w:val="Table Normal1"/>
    <w:autoRedefine/>
    <w:semiHidden/>
    <w:unhideWhenUsed/>
    <w:qFormat/>
    <w:uiPriority w:val="2"/>
    <w:pPr>
      <w:widowControl w:val="0"/>
      <w:autoSpaceDE w:val="0"/>
      <w:autoSpaceDN w:val="0"/>
    </w:pPr>
    <w:rPr>
      <w:rFonts w:ascii="Calibri" w:hAnsi="Calibri"/>
      <w:sz w:val="22"/>
      <w:szCs w:val="22"/>
      <w:lang w:eastAsia="en-US"/>
    </w:rPr>
    <w:tblPr>
      <w:tblCellMar>
        <w:top w:w="0" w:type="dxa"/>
        <w:left w:w="0" w:type="dxa"/>
        <w:bottom w:w="0" w:type="dxa"/>
        <w:right w:w="0" w:type="dxa"/>
      </w:tblCellMar>
    </w:tblPr>
  </w:style>
  <w:style w:type="paragraph" w:customStyle="1" w:styleId="140">
    <w:name w:val="Char"/>
    <w:basedOn w:val="1"/>
    <w:autoRedefine/>
    <w:qFormat/>
    <w:uiPriority w:val="0"/>
    <w:pPr>
      <w:adjustRightInd/>
      <w:snapToGrid/>
      <w:spacing w:line="360" w:lineRule="auto"/>
      <w:ind w:firstLine="200" w:firstLineChars="200"/>
    </w:pPr>
    <w:rPr>
      <w:rFonts w:ascii="宋体" w:hAnsi="宋体" w:cs="宋体"/>
      <w:sz w:val="24"/>
    </w:rPr>
  </w:style>
  <w:style w:type="character" w:customStyle="1" w:styleId="141">
    <w:name w:val="fontstyle31"/>
    <w:basedOn w:val="33"/>
    <w:autoRedefine/>
    <w:qFormat/>
    <w:uiPriority w:val="0"/>
    <w:rPr>
      <w:rFonts w:hint="eastAsia" w:ascii="宋体" w:hAnsi="宋体" w:eastAsia="宋体"/>
      <w:color w:val="000000"/>
      <w:sz w:val="22"/>
      <w:szCs w:val="22"/>
    </w:rPr>
  </w:style>
  <w:style w:type="character" w:customStyle="1" w:styleId="142">
    <w:name w:val="font01"/>
    <w:basedOn w:val="33"/>
    <w:autoRedefine/>
    <w:qFormat/>
    <w:uiPriority w:val="0"/>
    <w:rPr>
      <w:rFonts w:hint="default" w:ascii="Times New Roman" w:hAnsi="Times New Roman" w:cs="Times New Roman"/>
      <w:color w:val="000000"/>
      <w:sz w:val="21"/>
      <w:szCs w:val="21"/>
      <w:u w:val="none"/>
      <w:vertAlign w:val="superscript"/>
    </w:rPr>
  </w:style>
  <w:style w:type="character" w:customStyle="1" w:styleId="143">
    <w:name w:val="font21"/>
    <w:basedOn w:val="33"/>
    <w:autoRedefine/>
    <w:qFormat/>
    <w:uiPriority w:val="0"/>
    <w:rPr>
      <w:rFonts w:hint="eastAsia" w:ascii="宋体" w:hAnsi="宋体" w:eastAsia="宋体" w:cs="宋体"/>
      <w:color w:val="000000"/>
      <w:sz w:val="21"/>
      <w:szCs w:val="21"/>
      <w:u w:val="none"/>
    </w:rPr>
  </w:style>
  <w:style w:type="character" w:customStyle="1" w:styleId="144">
    <w:name w:val="font41"/>
    <w:basedOn w:val="33"/>
    <w:autoRedefine/>
    <w:qFormat/>
    <w:uiPriority w:val="0"/>
    <w:rPr>
      <w:rFonts w:hint="default" w:ascii="Times New Roman" w:hAnsi="Times New Roman" w:cs="Times New Roman"/>
      <w:color w:val="000000"/>
      <w:sz w:val="21"/>
      <w:szCs w:val="21"/>
      <w:u w:val="none"/>
    </w:rPr>
  </w:style>
  <w:style w:type="character" w:customStyle="1" w:styleId="145">
    <w:name w:val="font11"/>
    <w:basedOn w:val="33"/>
    <w:autoRedefine/>
    <w:qFormat/>
    <w:uiPriority w:val="0"/>
    <w:rPr>
      <w:rFonts w:hint="default" w:ascii="Times New Roman" w:hAnsi="Times New Roman" w:cs="Times New Roman"/>
      <w:color w:val="000000"/>
      <w:sz w:val="21"/>
      <w:szCs w:val="21"/>
      <w:u w:val="none"/>
      <w:vertAlign w:val="superscript"/>
    </w:rPr>
  </w:style>
  <w:style w:type="character" w:customStyle="1" w:styleId="146">
    <w:name w:val="font31"/>
    <w:basedOn w:val="33"/>
    <w:autoRedefine/>
    <w:qFormat/>
    <w:uiPriority w:val="0"/>
    <w:rPr>
      <w:rFonts w:hint="default" w:ascii="Times New Roman" w:hAnsi="Times New Roman" w:cs="Times New Roman"/>
      <w:color w:val="000000"/>
      <w:sz w:val="21"/>
      <w:szCs w:val="21"/>
      <w:u w:val="none"/>
    </w:rPr>
  </w:style>
  <w:style w:type="paragraph" w:customStyle="1" w:styleId="147">
    <w:name w:val="修订1"/>
    <w:autoRedefine/>
    <w:hidden/>
    <w:semiHidden/>
    <w:qFormat/>
    <w:uiPriority w:val="99"/>
    <w:rPr>
      <w:rFonts w:ascii="Times New Roman" w:hAnsi="Times New Roman" w:eastAsia="宋体" w:cs="Times New Roman"/>
      <w:kern w:val="2"/>
      <w:sz w:val="21"/>
      <w:szCs w:val="24"/>
      <w:lang w:val="en-US" w:eastAsia="zh-CN" w:bidi="ar-SA"/>
    </w:rPr>
  </w:style>
  <w:style w:type="paragraph" w:customStyle="1" w:styleId="148">
    <w:name w:val="表格中文字"/>
    <w:basedOn w:val="1"/>
    <w:autoRedefine/>
    <w:qFormat/>
    <w:uiPriority w:val="0"/>
    <w:pPr>
      <w:jc w:val="center"/>
    </w:pPr>
    <w:rPr>
      <w:rFonts w:ascii="Calibri" w:hAnsi="Calibri"/>
      <w:kern w:val="18"/>
      <w:sz w:val="20"/>
      <w:szCs w:val="21"/>
    </w:rPr>
  </w:style>
  <w:style w:type="character" w:customStyle="1" w:styleId="149">
    <w:name w:val="表格名字 Char"/>
    <w:link w:val="70"/>
    <w:autoRedefine/>
    <w:qFormat/>
    <w:uiPriority w:val="0"/>
    <w:rPr>
      <w:b/>
    </w:rPr>
  </w:style>
  <w:style w:type="paragraph" w:customStyle="1" w:styleId="150">
    <w:name w:val="西西表内"/>
    <w:basedOn w:val="1"/>
    <w:link w:val="151"/>
    <w:autoRedefine/>
    <w:qFormat/>
    <w:uiPriority w:val="0"/>
    <w:pPr>
      <w:jc w:val="center"/>
    </w:pPr>
    <w:rPr>
      <w:rFonts w:eastAsiaTheme="minorEastAsia"/>
    </w:rPr>
  </w:style>
  <w:style w:type="character" w:customStyle="1" w:styleId="151">
    <w:name w:val="西西表内 Char"/>
    <w:link w:val="150"/>
    <w:autoRedefine/>
    <w:qFormat/>
    <w:locked/>
    <w:uiPriority w:val="0"/>
    <w:rPr>
      <w:rFonts w:eastAsiaTheme="minorEastAsia"/>
      <w:kern w:val="2"/>
      <w:sz w:val="21"/>
      <w:szCs w:val="24"/>
    </w:rPr>
  </w:style>
  <w:style w:type="paragraph" w:customStyle="1" w:styleId="152">
    <w:name w:val="【表头】"/>
    <w:basedOn w:val="1"/>
    <w:autoRedefine/>
    <w:qFormat/>
    <w:uiPriority w:val="0"/>
    <w:pPr>
      <w:spacing w:before="50" w:beforeLines="50" w:line="360" w:lineRule="auto"/>
      <w:jc w:val="center"/>
    </w:pPr>
    <w:rPr>
      <w:b/>
      <w:kern w:val="0"/>
    </w:rPr>
  </w:style>
  <w:style w:type="paragraph" w:customStyle="1" w:styleId="153">
    <w:name w:val="样式 小四 行距: 1.5 倍行距"/>
    <w:basedOn w:val="1"/>
    <w:autoRedefine/>
    <w:qFormat/>
    <w:uiPriority w:val="0"/>
    <w:pPr>
      <w:widowControl/>
      <w:spacing w:line="360" w:lineRule="auto"/>
      <w:ind w:firstLine="200" w:firstLineChars="200"/>
      <w:jc w:val="left"/>
    </w:pPr>
    <w:rPr>
      <w:rFonts w:cs="宋体"/>
      <w:sz w:val="24"/>
    </w:rPr>
  </w:style>
  <w:style w:type="paragraph" w:customStyle="1" w:styleId="154">
    <w:name w:val="表格内容"/>
    <w:basedOn w:val="1"/>
    <w:autoRedefine/>
    <w:qFormat/>
    <w:uiPriority w:val="0"/>
    <w:pPr>
      <w:spacing w:line="360" w:lineRule="atLeast"/>
      <w:jc w:val="center"/>
    </w:pPr>
    <w:rPr>
      <w:iCs/>
      <w:kern w:val="0"/>
      <w:sz w:val="20"/>
      <w:szCs w:val="20"/>
    </w:rPr>
  </w:style>
  <w:style w:type="paragraph" w:customStyle="1" w:styleId="155">
    <w:name w:val="文华表正文"/>
    <w:basedOn w:val="121"/>
    <w:autoRedefine/>
    <w:qFormat/>
    <w:uiPriority w:val="0"/>
    <w:pPr>
      <w:ind w:firstLine="480"/>
    </w:pPr>
    <w:rPr>
      <w:kern w:val="0"/>
    </w:rPr>
  </w:style>
  <w:style w:type="paragraph" w:customStyle="1" w:styleId="156">
    <w:name w:val="A本文正文"/>
    <w:basedOn w:val="1"/>
    <w:autoRedefine/>
    <w:qFormat/>
    <w:uiPriority w:val="0"/>
    <w:pPr>
      <w:spacing w:line="360" w:lineRule="auto"/>
      <w:ind w:firstLine="200" w:firstLineChars="200"/>
    </w:pPr>
    <w:rPr>
      <w:color w:val="000000"/>
      <w:sz w:val="24"/>
    </w:rPr>
  </w:style>
  <w:style w:type="paragraph" w:customStyle="1" w:styleId="157">
    <w:name w:val="A本文表名"/>
    <w:basedOn w:val="1"/>
    <w:autoRedefine/>
    <w:qFormat/>
    <w:uiPriority w:val="0"/>
    <w:pPr>
      <w:spacing w:before="50" w:beforeLines="50" w:line="360" w:lineRule="auto"/>
      <w:jc w:val="center"/>
    </w:pPr>
    <w:rPr>
      <w:b/>
    </w:rPr>
  </w:style>
  <w:style w:type="character" w:customStyle="1" w:styleId="158">
    <w:name w:val="样式 正文01 + Times New Roman Char"/>
    <w:link w:val="159"/>
    <w:autoRedefine/>
    <w:qFormat/>
    <w:uiPriority w:val="0"/>
    <w:rPr>
      <w:bCs/>
    </w:rPr>
  </w:style>
  <w:style w:type="paragraph" w:customStyle="1" w:styleId="159">
    <w:name w:val="样式 正文01 + Times New Roman"/>
    <w:basedOn w:val="160"/>
    <w:link w:val="158"/>
    <w:autoRedefine/>
    <w:qFormat/>
    <w:uiPriority w:val="0"/>
    <w:pPr>
      <w:ind w:firstLine="0" w:firstLineChars="0"/>
    </w:pPr>
    <w:rPr>
      <w:bCs/>
    </w:rPr>
  </w:style>
  <w:style w:type="paragraph" w:customStyle="1" w:styleId="160">
    <w:name w:val="正文01"/>
    <w:basedOn w:val="7"/>
    <w:autoRedefine/>
    <w:qFormat/>
    <w:uiPriority w:val="0"/>
    <w:pPr>
      <w:ind w:firstLine="480"/>
    </w:pPr>
  </w:style>
  <w:style w:type="paragraph" w:customStyle="1" w:styleId="161">
    <w:name w:val="S表格标题"/>
    <w:basedOn w:val="1"/>
    <w:next w:val="1"/>
    <w:autoRedefine/>
    <w:qFormat/>
    <w:uiPriority w:val="0"/>
    <w:pPr>
      <w:jc w:val="center"/>
    </w:pPr>
    <w:rPr>
      <w:b/>
      <w:snapToGrid w:val="0"/>
      <w:sz w:val="22"/>
    </w:rPr>
  </w:style>
  <w:style w:type="paragraph" w:customStyle="1" w:styleId="162">
    <w:name w:val="A正文"/>
    <w:basedOn w:val="1"/>
    <w:autoRedefine/>
    <w:qFormat/>
    <w:uiPriority w:val="0"/>
    <w:pPr>
      <w:widowControl/>
      <w:overflowPunct w:val="0"/>
      <w:autoSpaceDE w:val="0"/>
      <w:autoSpaceDN w:val="0"/>
      <w:ind w:firstLine="200"/>
      <w:textAlignment w:val="baseline"/>
    </w:pPr>
    <w:rPr>
      <w:color w:val="000000"/>
    </w:rPr>
  </w:style>
  <w:style w:type="paragraph" w:customStyle="1" w:styleId="163">
    <w:name w:val="表格填充项"/>
    <w:basedOn w:val="1"/>
    <w:autoRedefine/>
    <w:qFormat/>
    <w:uiPriority w:val="0"/>
    <w:pPr>
      <w:spacing w:line="240" w:lineRule="atLeast"/>
      <w:jc w:val="center"/>
    </w:pPr>
    <w:rPr>
      <w:rFonts w:ascii="宋体" w:hAnsi="宋体"/>
      <w:b/>
    </w:rPr>
  </w:style>
  <w:style w:type="paragraph" w:customStyle="1" w:styleId="164">
    <w:name w:val="7表格(治)"/>
    <w:autoRedefine/>
    <w:qFormat/>
    <w:uiPriority w:val="0"/>
    <w:pPr>
      <w:jc w:val="center"/>
    </w:pPr>
    <w:rPr>
      <w:rFonts w:ascii="Calibri" w:hAnsi="Calibri" w:eastAsia="宋体" w:cs="Times New Roman"/>
      <w:sz w:val="21"/>
      <w:szCs w:val="22"/>
      <w:lang w:val="en-US" w:eastAsia="zh-CN" w:bidi="ar-SA"/>
    </w:rPr>
  </w:style>
  <w:style w:type="paragraph" w:customStyle="1" w:styleId="165">
    <w:name w:val="表标题"/>
    <w:basedOn w:val="1"/>
    <w:autoRedefine/>
    <w:qFormat/>
    <w:uiPriority w:val="0"/>
    <w:pPr>
      <w:spacing w:before="50" w:beforeLines="50"/>
      <w:jc w:val="center"/>
    </w:pPr>
    <w:rPr>
      <w:b/>
    </w:rPr>
  </w:style>
  <w:style w:type="paragraph" w:customStyle="1" w:styleId="166">
    <w:name w:val="样式 hb11"/>
    <w:basedOn w:val="1"/>
    <w:autoRedefine/>
    <w:qFormat/>
    <w:uiPriority w:val="0"/>
    <w:pPr>
      <w:keepNext/>
      <w:pageBreakBefore/>
      <w:topLinePunct/>
      <w:spacing w:before="120" w:after="120" w:line="360" w:lineRule="auto"/>
      <w:jc w:val="left"/>
      <w:textAlignment w:val="baseline"/>
      <w:outlineLvl w:val="0"/>
    </w:pPr>
    <w:rPr>
      <w:b/>
      <w:bCs/>
      <w:kern w:val="4"/>
      <w:sz w:val="44"/>
      <w:szCs w:val="44"/>
    </w:rPr>
  </w:style>
  <w:style w:type="paragraph" w:customStyle="1" w:styleId="167">
    <w:name w:val="样式 首行缩进:  2 字符"/>
    <w:basedOn w:val="1"/>
    <w:autoRedefine/>
    <w:qFormat/>
    <w:uiPriority w:val="0"/>
    <w:pPr>
      <w:spacing w:line="460" w:lineRule="exact"/>
      <w:ind w:firstLine="471"/>
    </w:pPr>
    <w:rPr>
      <w:sz w:val="24"/>
    </w:rPr>
  </w:style>
  <w:style w:type="paragraph" w:customStyle="1" w:styleId="168">
    <w:name w:val="高-正文"/>
    <w:basedOn w:val="1"/>
    <w:autoRedefine/>
    <w:qFormat/>
    <w:uiPriority w:val="0"/>
    <w:pPr>
      <w:topLinePunct/>
      <w:spacing w:line="360" w:lineRule="auto"/>
      <w:ind w:firstLine="600" w:firstLineChars="200"/>
      <w:jc w:val="left"/>
    </w:pPr>
    <w:rPr>
      <w:snapToGrid w:val="0"/>
      <w:kern w:val="0"/>
      <w:sz w:val="20"/>
      <w:szCs w:val="20"/>
    </w:rPr>
  </w:style>
  <w:style w:type="paragraph" w:customStyle="1" w:styleId="169">
    <w:name w:val="YYH表格"/>
    <w:basedOn w:val="1"/>
    <w:autoRedefine/>
    <w:qFormat/>
    <w:uiPriority w:val="0"/>
    <w:pPr>
      <w:jc w:val="center"/>
    </w:pPr>
    <w:rPr>
      <w:color w:val="000000"/>
      <w:szCs w:val="22"/>
    </w:rPr>
  </w:style>
  <w:style w:type="paragraph" w:customStyle="1" w:styleId="170">
    <w:name w:val="C2"/>
    <w:basedOn w:val="1"/>
    <w:autoRedefine/>
    <w:qFormat/>
    <w:uiPriority w:val="0"/>
    <w:pPr>
      <w:spacing w:line="360" w:lineRule="auto"/>
    </w:pPr>
    <w:rPr>
      <w:bCs/>
      <w:color w:val="000000"/>
      <w:kern w:val="0"/>
      <w:sz w:val="28"/>
      <w:szCs w:val="20"/>
    </w:rPr>
  </w:style>
  <w:style w:type="paragraph" w:customStyle="1" w:styleId="171">
    <w:name w:val="YYH表头"/>
    <w:basedOn w:val="172"/>
    <w:autoRedefine/>
    <w:qFormat/>
    <w:uiPriority w:val="0"/>
    <w:pPr>
      <w:spacing w:line="240" w:lineRule="auto"/>
      <w:ind w:firstLine="0" w:firstLineChars="0"/>
      <w:jc w:val="center"/>
    </w:pPr>
    <w:rPr>
      <w:b/>
    </w:rPr>
  </w:style>
  <w:style w:type="paragraph" w:customStyle="1" w:styleId="172">
    <w:name w:val="YYH正文"/>
    <w:basedOn w:val="1"/>
    <w:autoRedefine/>
    <w:qFormat/>
    <w:uiPriority w:val="0"/>
    <w:pPr>
      <w:spacing w:line="360" w:lineRule="auto"/>
      <w:ind w:firstLine="200" w:firstLineChars="200"/>
    </w:pPr>
    <w:rPr>
      <w:rFonts w:cstheme="minorBidi"/>
      <w:sz w:val="24"/>
      <w:szCs w:val="22"/>
    </w:rPr>
  </w:style>
  <w:style w:type="paragraph" w:customStyle="1" w:styleId="173">
    <w:name w:val="表格(另)"/>
    <w:basedOn w:val="1"/>
    <w:next w:val="1"/>
    <w:autoRedefine/>
    <w:qFormat/>
    <w:uiPriority w:val="0"/>
    <w:pPr>
      <w:spacing w:line="240" w:lineRule="exact"/>
      <w:jc w:val="center"/>
    </w:pPr>
    <w:rPr>
      <w:bCs/>
      <w:color w:val="000000"/>
      <w:sz w:val="24"/>
      <w:szCs w:val="21"/>
    </w:rPr>
  </w:style>
  <w:style w:type="paragraph" w:customStyle="1" w:styleId="174">
    <w:name w:val="正文（源通）"/>
    <w:basedOn w:val="1"/>
    <w:autoRedefine/>
    <w:qFormat/>
    <w:uiPriority w:val="0"/>
    <w:pPr>
      <w:spacing w:line="500" w:lineRule="exact"/>
      <w:ind w:firstLine="480" w:firstLineChars="200"/>
    </w:pPr>
    <w:rPr>
      <w:rFonts w:eastAsia="Times New Roman"/>
      <w:bCs/>
      <w:color w:val="FF0000"/>
      <w:sz w:val="24"/>
      <w:szCs w:val="28"/>
    </w:rPr>
  </w:style>
  <w:style w:type="paragraph" w:customStyle="1" w:styleId="175">
    <w:name w:val="表头—高"/>
    <w:basedOn w:val="1"/>
    <w:autoRedefine/>
    <w:qFormat/>
    <w:uiPriority w:val="0"/>
    <w:pPr>
      <w:spacing w:beforeLines="40" w:afterLines="40"/>
      <w:jc w:val="center"/>
    </w:pPr>
    <w:rPr>
      <w:rFonts w:cs="宋体"/>
      <w:b/>
      <w:kern w:val="0"/>
      <w:sz w:val="24"/>
      <w:szCs w:val="20"/>
    </w:rPr>
  </w:style>
  <w:style w:type="paragraph" w:customStyle="1" w:styleId="176">
    <w:name w:val="YYH标题四"/>
    <w:basedOn w:val="1"/>
    <w:autoRedefine/>
    <w:qFormat/>
    <w:uiPriority w:val="0"/>
    <w:pPr>
      <w:spacing w:line="360" w:lineRule="auto"/>
      <w:outlineLvl w:val="3"/>
    </w:pPr>
    <w:rPr>
      <w:rFonts w:cstheme="minorBidi"/>
      <w:b/>
      <w:sz w:val="28"/>
      <w:szCs w:val="22"/>
    </w:rPr>
  </w:style>
  <w:style w:type="paragraph" w:customStyle="1" w:styleId="177">
    <w:name w:val="1西西表头"/>
    <w:next w:val="1"/>
    <w:autoRedefine/>
    <w:unhideWhenUsed/>
    <w:qFormat/>
    <w:uiPriority w:val="0"/>
    <w:pPr>
      <w:widowControl w:val="0"/>
      <w:adjustRightInd w:val="0"/>
      <w:snapToGrid w:val="0"/>
      <w:spacing w:beforeLines="50"/>
      <w:jc w:val="center"/>
    </w:pPr>
    <w:rPr>
      <w:rFonts w:ascii="Times New Roman" w:hAnsi="Times New Roman" w:eastAsia="宋体" w:cs="Times New Roman"/>
      <w:b/>
      <w:color w:val="000000"/>
      <w:kern w:val="2"/>
      <w:sz w:val="21"/>
      <w:szCs w:val="24"/>
      <w:lang w:val="en-US" w:eastAsia="zh-CN" w:bidi="ar-SA"/>
    </w:rPr>
  </w:style>
  <w:style w:type="paragraph" w:customStyle="1" w:styleId="178">
    <w:name w:val="Table Text"/>
    <w:basedOn w:val="1"/>
    <w:autoRedefine/>
    <w:semiHidden/>
    <w:qFormat/>
    <w:uiPriority w:val="0"/>
    <w:rPr>
      <w:rFonts w:ascii="宋体" w:hAnsi="宋体" w:cs="宋体"/>
      <w:sz w:val="24"/>
      <w:lang w:eastAsia="en-US"/>
    </w:rPr>
  </w:style>
  <w:style w:type="paragraph" w:customStyle="1" w:styleId="179">
    <w:name w:val="1西西正文"/>
    <w:basedOn w:val="1"/>
    <w:autoRedefine/>
    <w:unhideWhenUsed/>
    <w:qFormat/>
    <w:uiPriority w:val="0"/>
    <w:pPr>
      <w:spacing w:line="360" w:lineRule="auto"/>
      <w:ind w:firstLine="200" w:firstLineChars="200"/>
    </w:pPr>
    <w:rPr>
      <w:kern w:val="0"/>
      <w:sz w:val="24"/>
    </w:rPr>
  </w:style>
  <w:style w:type="paragraph" w:customStyle="1" w:styleId="180">
    <w:name w:val="1西西图名"/>
    <w:autoRedefine/>
    <w:unhideWhenUsed/>
    <w:qFormat/>
    <w:uiPriority w:val="0"/>
    <w:pPr>
      <w:widowControl w:val="0"/>
      <w:adjustRightInd w:val="0"/>
      <w:snapToGrid w:val="0"/>
      <w:spacing w:afterLines="50" w:line="360" w:lineRule="auto"/>
      <w:jc w:val="center"/>
    </w:pPr>
    <w:rPr>
      <w:rFonts w:ascii="Times New Roman" w:hAnsi="Times New Roman" w:eastAsia="宋体" w:cs="Times New Roman"/>
      <w:b/>
      <w:color w:val="000000"/>
      <w:kern w:val="2"/>
      <w:sz w:val="21"/>
      <w:szCs w:val="24"/>
      <w:lang w:val="en-US" w:eastAsia="zh-CN" w:bidi="ar-SA"/>
    </w:rPr>
  </w:style>
  <w:style w:type="paragraph" w:customStyle="1" w:styleId="181">
    <w:name w:val="1西西表内"/>
    <w:basedOn w:val="1"/>
    <w:autoRedefine/>
    <w:unhideWhenUsed/>
    <w:qFormat/>
    <w:uiPriority w:val="0"/>
    <w:pPr>
      <w:jc w:val="center"/>
    </w:pPr>
    <w:rPr>
      <w:szCs w:val="21"/>
    </w:rPr>
  </w:style>
  <w:style w:type="paragraph" w:customStyle="1" w:styleId="182">
    <w:name w:val="Revision"/>
    <w:autoRedefine/>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1" Type="http://schemas.microsoft.com/office/2011/relationships/people" Target="people.xml"/><Relationship Id="rId50" Type="http://schemas.openxmlformats.org/officeDocument/2006/relationships/fontTable" Target="fontTable.xml"/><Relationship Id="rId5" Type="http://schemas.openxmlformats.org/officeDocument/2006/relationships/header" Target="header1.xml"/><Relationship Id="rId49" Type="http://schemas.openxmlformats.org/officeDocument/2006/relationships/customXml" Target="../customXml/item2.xml"/><Relationship Id="rId48" Type="http://schemas.openxmlformats.org/officeDocument/2006/relationships/numbering" Target="numbering.xml"/><Relationship Id="rId47" Type="http://schemas.openxmlformats.org/officeDocument/2006/relationships/customXml" Target="../customXml/item1.xml"/><Relationship Id="rId46" Type="http://schemas.openxmlformats.org/officeDocument/2006/relationships/image" Target="media/image31.png"/><Relationship Id="rId45" Type="http://schemas.openxmlformats.org/officeDocument/2006/relationships/image" Target="media/image30.png"/><Relationship Id="rId44" Type="http://schemas.openxmlformats.org/officeDocument/2006/relationships/image" Target="media/image29.jpeg"/><Relationship Id="rId43" Type="http://schemas.openxmlformats.org/officeDocument/2006/relationships/image" Target="media/image28.jpeg"/><Relationship Id="rId42" Type="http://schemas.openxmlformats.org/officeDocument/2006/relationships/image" Target="media/image27.jpeg"/><Relationship Id="rId41" Type="http://schemas.openxmlformats.org/officeDocument/2006/relationships/image" Target="media/image26.png"/><Relationship Id="rId40" Type="http://schemas.openxmlformats.org/officeDocument/2006/relationships/image" Target="media/image25.jpeg"/><Relationship Id="rId4" Type="http://schemas.microsoft.com/office/2011/relationships/commentsExtended" Target="commentsExtended.xml"/><Relationship Id="rId39" Type="http://schemas.openxmlformats.org/officeDocument/2006/relationships/image" Target="media/image24.jpeg"/><Relationship Id="rId38" Type="http://schemas.openxmlformats.org/officeDocument/2006/relationships/image" Target="media/image23.png"/><Relationship Id="rId37" Type="http://schemas.openxmlformats.org/officeDocument/2006/relationships/image" Target="media/image22.png"/><Relationship Id="rId36" Type="http://schemas.openxmlformats.org/officeDocument/2006/relationships/image" Target="media/image21.png"/><Relationship Id="rId35" Type="http://schemas.openxmlformats.org/officeDocument/2006/relationships/image" Target="media/image20.png"/><Relationship Id="rId34" Type="http://schemas.openxmlformats.org/officeDocument/2006/relationships/image" Target="media/image19.png"/><Relationship Id="rId33" Type="http://schemas.openxmlformats.org/officeDocument/2006/relationships/image" Target="media/image18.png"/><Relationship Id="rId32" Type="http://schemas.openxmlformats.org/officeDocument/2006/relationships/image" Target="media/image17.png"/><Relationship Id="rId31" Type="http://schemas.openxmlformats.org/officeDocument/2006/relationships/image" Target="media/image16.png"/><Relationship Id="rId30" Type="http://schemas.openxmlformats.org/officeDocument/2006/relationships/image" Target="media/image15.png"/><Relationship Id="rId3" Type="http://schemas.openxmlformats.org/officeDocument/2006/relationships/comments" Target="comments.xml"/><Relationship Id="rId29" Type="http://schemas.openxmlformats.org/officeDocument/2006/relationships/image" Target="media/image14.png"/><Relationship Id="rId28" Type="http://schemas.openxmlformats.org/officeDocument/2006/relationships/image" Target="media/image13.wmf"/><Relationship Id="rId27" Type="http://schemas.openxmlformats.org/officeDocument/2006/relationships/oleObject" Target="embeddings/oleObject5.bin"/><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emf"/><Relationship Id="rId18" Type="http://schemas.openxmlformats.org/officeDocument/2006/relationships/oleObject" Target="embeddings/oleObject4.bin"/><Relationship Id="rId17" Type="http://schemas.openxmlformats.org/officeDocument/2006/relationships/image" Target="media/image4.emf"/><Relationship Id="rId16" Type="http://schemas.openxmlformats.org/officeDocument/2006/relationships/oleObject" Target="embeddings/oleObject3.bin"/><Relationship Id="rId15" Type="http://schemas.openxmlformats.org/officeDocument/2006/relationships/image" Target="media/image3.emf"/><Relationship Id="rId14" Type="http://schemas.openxmlformats.org/officeDocument/2006/relationships/oleObject" Target="embeddings/oleObject2.bin"/><Relationship Id="rId13" Type="http://schemas.openxmlformats.org/officeDocument/2006/relationships/image" Target="media/image2.emf"/><Relationship Id="rId12" Type="http://schemas.openxmlformats.org/officeDocument/2006/relationships/oleObject" Target="embeddings/oleObject1.bin"/><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52F3E81-8789-4144-B4C0-6321AA735000}">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94</Pages>
  <Words>46177</Words>
  <Characters>52393</Characters>
  <Lines>319</Lines>
  <Paragraphs>89</Paragraphs>
  <TotalTime>3</TotalTime>
  <ScaleCrop>false</ScaleCrop>
  <LinksUpToDate>false</LinksUpToDate>
  <CharactersWithSpaces>52767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2024-04-22T14:47:00Z</dcterms:created>
  <dc:creator>lhj</dc:creator>
  <cp:lastModifiedBy>铭</cp:lastModifiedBy>
  <cp:lastPrinted>2022-08-02T01:21:00Z</cp:lastPrinted>
  <dcterms:modified xsi:type="dcterms:W3CDTF">2025-10-22T05:04:47Z</dcterms:modified>
  <dc:title>附件2</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A2B1D88444024814A98E3F32C4A8EBBF_13</vt:lpwstr>
  </property>
  <property fmtid="{D5CDD505-2E9C-101B-9397-08002B2CF9AE}" pid="4" name="KSOTemplateDocerSaveRecord">
    <vt:lpwstr>eyJoZGlkIjoiZjE4MWM0ODg0ZTg2MDc5ZTQyYThlNDc4YzYzMzc1MTYiLCJ1c2VySWQiOiI0MjM0MTYzMDYifQ==</vt:lpwstr>
  </property>
</Properties>
</file>