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center"/>
        <w:textAlignment w:val="auto"/>
        <w:rPr>
          <w:rFonts w:hint="eastAsia" w:ascii="仿宋_GB2312" w:hAnsi="仿宋_GB2312" w:eastAsia="仿宋_GB2312" w:cs="仿宋_GB2312"/>
          <w:color w:val="auto"/>
          <w:sz w:val="32"/>
          <w:szCs w:val="32"/>
          <w:highlight w:val="none"/>
        </w:rPr>
      </w:pPr>
    </w:p>
    <w:p w14:paraId="29251D1C">
      <w:pPr>
        <w:keepNext w:val="0"/>
        <w:keepLines w:val="0"/>
        <w:pageBreakBefore w:val="0"/>
        <w:widowControl w:val="0"/>
        <w:kinsoku/>
        <w:wordWrap/>
        <w:overflowPunct/>
        <w:topLinePunct w:val="0"/>
        <w:bidi w:val="0"/>
        <w:snapToGrid w:val="0"/>
        <w:spacing w:line="560" w:lineRule="exact"/>
        <w:ind w:left="0" w:leftChars="0"/>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5</w:t>
      </w:r>
      <w:r>
        <w:rPr>
          <w:rFonts w:hint="eastAsia" w:ascii="仿宋_GB2312" w:hAnsi="黑体" w:eastAsia="仿宋_GB2312" w:cs="Arial"/>
          <w:color w:val="auto"/>
          <w:sz w:val="32"/>
          <w:szCs w:val="32"/>
          <w:highlight w:val="none"/>
        </w:rPr>
        <w:t>〕</w:t>
      </w:r>
      <w:r>
        <w:rPr>
          <w:rFonts w:hint="eastAsia" w:ascii="仿宋_GB2312" w:hAnsi="Calibri" w:eastAsia="仿宋_GB2312" w:cs="Arial"/>
          <w:color w:val="auto"/>
          <w:sz w:val="32"/>
          <w:szCs w:val="32"/>
          <w:highlight w:val="none"/>
          <w:lang w:val="en-US" w:eastAsia="zh-CN"/>
        </w:rPr>
        <w:t>23</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ind w:left="0" w:leftChars="0"/>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ind w:left="0" w:leftChars="0"/>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379CDB47">
      <w:pPr>
        <w:keepNext w:val="0"/>
        <w:keepLines w:val="0"/>
        <w:pageBreakBefore w:val="0"/>
        <w:widowControl w:val="0"/>
        <w:kinsoku/>
        <w:wordWrap/>
        <w:overflowPunct/>
        <w:topLinePunct w:val="0"/>
        <w:autoSpaceDE w:val="0"/>
        <w:bidi w:val="0"/>
        <w:spacing w:line="560" w:lineRule="exact"/>
        <w:ind w:left="0" w:leftChars="0"/>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关于东乌珠穆沁旗巴音额日和图现代畜牧业专业合作社生物质燃料综合开发利用项目</w:t>
      </w:r>
    </w:p>
    <w:p w14:paraId="745B315E">
      <w:pPr>
        <w:keepNext w:val="0"/>
        <w:keepLines w:val="0"/>
        <w:pageBreakBefore w:val="0"/>
        <w:widowControl w:val="0"/>
        <w:kinsoku/>
        <w:wordWrap/>
        <w:overflowPunct/>
        <w:topLinePunct w:val="0"/>
        <w:autoSpaceDE w:val="0"/>
        <w:bidi w:val="0"/>
        <w:spacing w:line="560" w:lineRule="exact"/>
        <w:ind w:left="0" w:leftChars="0"/>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 xml:space="preserve">环境影响报告表的批复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ind w:left="0" w:leftChars="0"/>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7323A254">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东乌珠穆沁旗巴音额日和图现代畜牧业专业合作社:</w:t>
      </w:r>
    </w:p>
    <w:p w14:paraId="5597E2B4">
      <w:pPr>
        <w:keepNext w:val="0"/>
        <w:keepLines w:val="0"/>
        <w:pageBreakBefore w:val="0"/>
        <w:widowControl w:val="0"/>
        <w:kinsoku/>
        <w:wordWrap/>
        <w:overflowPunct/>
        <w:topLinePunct w:val="0"/>
        <w:autoSpaceDE w:val="0"/>
        <w:autoSpaceDN/>
        <w:bidi w:val="0"/>
        <w:adjustRightInd w:val="0"/>
        <w:snapToGrid w:val="0"/>
        <w:spacing w:line="560" w:lineRule="exact"/>
        <w:ind w:left="0" w:lef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val="en-US" w:eastAsia="zh-CN"/>
        </w:rPr>
        <w:t>内蒙古智合项目管理</w:t>
      </w:r>
      <w:r>
        <w:rPr>
          <w:rFonts w:hint="eastAsia" w:ascii="仿宋_GB2312" w:hAnsi="仿宋_GB2312" w:eastAsia="仿宋_GB2312" w:cs="仿宋_GB2312"/>
          <w:bCs/>
          <w:color w:val="auto"/>
          <w:sz w:val="32"/>
          <w:szCs w:val="32"/>
          <w:highlight w:val="none"/>
          <w:lang w:eastAsia="zh-CN"/>
        </w:rPr>
        <w:t>有限公司</w:t>
      </w:r>
      <w:r>
        <w:rPr>
          <w:rFonts w:hint="eastAsia" w:ascii="仿宋_GB2312" w:hAnsi="仿宋_GB2312" w:eastAsia="仿宋_GB2312" w:cs="仿宋_GB2312"/>
          <w:bCs/>
          <w:color w:val="auto"/>
          <w:sz w:val="32"/>
          <w:szCs w:val="32"/>
          <w:highlight w:val="none"/>
        </w:rPr>
        <w:t>编制的《东乌珠穆沁旗巴音额日和图现代畜牧业专业合作社生物质燃料综合开发利用项目环境影响报告表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60" w:lineRule="exact"/>
        <w:ind w:left="0" w:leftChars="0"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6322C23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本项目位于内蒙古自治区锡林郭勒盟</w:t>
      </w:r>
      <w:r>
        <w:rPr>
          <w:rFonts w:hint="eastAsia" w:ascii="仿宋_GB2312" w:hAnsi="仿宋_GB2312" w:eastAsia="仿宋_GB2312" w:cs="仿宋_GB2312"/>
          <w:color w:val="auto"/>
          <w:sz w:val="32"/>
          <w:szCs w:val="32"/>
          <w:highlight w:val="none"/>
          <w:lang w:val="en-US" w:eastAsia="zh-CN"/>
        </w:rPr>
        <w:t>东乌珠穆沁旗乌里雅斯太镇宝力根街造纸厂院12号</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坐标为东经：116°59′2.542″北纬：45°28′27.680″,</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扩建</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原环评于2020年1月20日取得批复，批复文号为东环审表〔2020〕02号，原项目设置有1条有机肥生产线，年产2万吨有机肥，本次扩建项目通过增加有机肥产品生产设备、生物质燃料生产线提升产能及产品，形成年产2.5万吨颗粒有机肥、2.5万吨粉状有机肥以及16.8万吨生物质颗粒的生产规模，总占地面积19800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主体工程为生产车间（占地面积为4700m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vertAlign w:val="baseline"/>
          <w:lang w:val="en-US" w:eastAsia="zh-CN"/>
        </w:rPr>
        <w:t>，全封闭</w:t>
      </w:r>
      <w:r>
        <w:rPr>
          <w:rFonts w:hint="eastAsia" w:ascii="仿宋_GB2312" w:hAnsi="仿宋_GB2312" w:eastAsia="仿宋_GB2312" w:cs="仿宋_GB2312"/>
          <w:color w:val="auto"/>
          <w:sz w:val="32"/>
          <w:szCs w:val="32"/>
          <w:highlight w:val="none"/>
          <w:lang w:val="en-US" w:eastAsia="zh-CN"/>
        </w:rPr>
        <w:t>），发酵区、陈化区（占地面积2500m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vertAlign w:val="baseline"/>
          <w:lang w:val="en-US" w:eastAsia="zh-CN"/>
        </w:rPr>
        <w:t>，设置</w:t>
      </w:r>
      <w:r>
        <w:rPr>
          <w:rFonts w:hint="eastAsia" w:ascii="仿宋_GB2312" w:hAnsi="仿宋_GB2312" w:eastAsia="仿宋_GB2312" w:cs="仿宋_GB2312"/>
          <w:color w:val="auto"/>
          <w:sz w:val="32"/>
          <w:szCs w:val="32"/>
          <w:highlight w:val="none"/>
          <w:lang w:val="en-US" w:eastAsia="zh-CN"/>
        </w:rPr>
        <w:t>6m</w:t>
      </w:r>
      <w:r>
        <w:rPr>
          <w:rFonts w:hint="eastAsia" w:ascii="仿宋_GB2312" w:hAnsi="仿宋_GB2312" w:eastAsia="仿宋_GB2312" w:cs="仿宋_GB2312"/>
          <w:color w:val="auto"/>
          <w:sz w:val="32"/>
          <w:szCs w:val="32"/>
          <w:highlight w:val="none"/>
          <w:vertAlign w:val="superscript"/>
          <w:lang w:val="en-US" w:eastAsia="zh-CN"/>
        </w:rPr>
        <w:t>3</w:t>
      </w:r>
      <w:r>
        <w:rPr>
          <w:rFonts w:hint="eastAsia" w:ascii="仿宋_GB2312" w:hAnsi="仿宋_GB2312" w:eastAsia="仿宋_GB2312" w:cs="仿宋_GB2312"/>
          <w:color w:val="auto"/>
          <w:sz w:val="32"/>
          <w:szCs w:val="32"/>
          <w:highlight w:val="none"/>
          <w:lang w:val="en-US" w:eastAsia="zh-CN"/>
        </w:rPr>
        <w:t>渗滤液收集池，全封闭）；辅助工程为库房（占地面积274m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，设置导流槽）、办公区域、员工宿舍餐厅、值班房；公用工程为供电系统、供水系统、排水系统、供暖系统。</w:t>
      </w:r>
      <w:r>
        <w:rPr>
          <w:rFonts w:hint="eastAsia" w:ascii="仿宋_GB2312" w:hAnsi="仿宋_GB2312" w:eastAsia="仿宋_GB2312" w:cs="仿宋_GB2312"/>
          <w:color w:val="auto"/>
          <w:sz w:val="32"/>
          <w:szCs w:val="32"/>
          <w:highlight w:val="none"/>
        </w:rPr>
        <w:t>项目总投资</w:t>
      </w:r>
      <w:r>
        <w:rPr>
          <w:rFonts w:hint="eastAsia" w:ascii="仿宋_GB2312" w:hAnsi="仿宋_GB2312" w:eastAsia="仿宋_GB2312" w:cs="仿宋_GB2312"/>
          <w:color w:val="auto"/>
          <w:sz w:val="32"/>
          <w:szCs w:val="32"/>
          <w:highlight w:val="none"/>
          <w:lang w:val="en-US" w:eastAsia="zh-CN"/>
        </w:rPr>
        <w:t>500</w:t>
      </w:r>
      <w:r>
        <w:rPr>
          <w:rFonts w:hint="eastAsia" w:ascii="仿宋_GB2312" w:hAnsi="仿宋_GB2312" w:eastAsia="仿宋_GB2312" w:cs="仿宋_GB2312"/>
          <w:color w:val="auto"/>
          <w:sz w:val="32"/>
          <w:szCs w:val="32"/>
          <w:highlight w:val="none"/>
        </w:rPr>
        <w:t>万元，其中环保投资</w:t>
      </w:r>
      <w:r>
        <w:rPr>
          <w:rFonts w:hint="eastAsia" w:ascii="仿宋_GB2312" w:hAnsi="仿宋_GB2312" w:eastAsia="仿宋_GB2312" w:cs="仿宋_GB2312"/>
          <w:color w:val="auto"/>
          <w:sz w:val="32"/>
          <w:szCs w:val="32"/>
          <w:highlight w:val="none"/>
          <w:lang w:val="en-US" w:eastAsia="zh-CN"/>
        </w:rPr>
        <w:t>43</w:t>
      </w:r>
      <w:r>
        <w:rPr>
          <w:rFonts w:hint="eastAsia" w:ascii="仿宋_GB2312" w:hAnsi="仿宋_GB2312" w:eastAsia="仿宋_GB2312" w:cs="仿宋_GB2312"/>
          <w:color w:val="auto"/>
          <w:sz w:val="32"/>
          <w:szCs w:val="32"/>
          <w:highlight w:val="none"/>
        </w:rPr>
        <w:t>万元，占总投资的</w:t>
      </w:r>
      <w:r>
        <w:rPr>
          <w:rFonts w:hint="eastAsia" w:ascii="仿宋_GB2312" w:hAnsi="仿宋_GB2312" w:eastAsia="仿宋_GB2312" w:cs="仿宋_GB2312"/>
          <w:color w:val="auto"/>
          <w:sz w:val="32"/>
          <w:szCs w:val="32"/>
          <w:highlight w:val="none"/>
          <w:lang w:val="en-US" w:eastAsia="zh-CN"/>
        </w:rPr>
        <w:t>8.6</w:t>
      </w:r>
      <w:r>
        <w:rPr>
          <w:rFonts w:hint="eastAsia" w:ascii="仿宋_GB2312" w:hAnsi="仿宋_GB2312" w:eastAsia="仿宋_GB2312" w:cs="仿宋_GB2312"/>
          <w:color w:val="auto"/>
          <w:sz w:val="32"/>
          <w:szCs w:val="32"/>
          <w:highlight w:val="none"/>
        </w:rPr>
        <w:t>%。</w:t>
      </w:r>
    </w:p>
    <w:p w14:paraId="290BDC4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鼓励类建设项目。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left="0" w:leftChars="0"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w:t>
      </w:r>
      <w:r>
        <w:rPr>
          <w:rFonts w:hint="eastAsia" w:ascii="黑体" w:hAnsi="黑体" w:eastAsia="黑体" w:cs="黑体"/>
          <w:color w:val="auto"/>
          <w:sz w:val="32"/>
          <w:szCs w:val="32"/>
          <w:highlight w:val="none"/>
        </w:rPr>
        <w:t>项目建设及运营过程中的相关责任</w:t>
      </w:r>
    </w:p>
    <w:p w14:paraId="14C2A56E">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rPr>
          <w:rFonts w:hint="eastAsia" w:ascii="楷体_GB2312" w:hAnsi="Calibri" w:eastAsia="楷体_GB2312" w:cs="Arial"/>
          <w:b w:val="0"/>
          <w:bCs w:val="0"/>
          <w:color w:val="auto"/>
          <w:sz w:val="32"/>
          <w:szCs w:val="32"/>
          <w:highlight w:val="none"/>
        </w:rPr>
      </w:pPr>
      <w:r>
        <w:rPr>
          <w:rFonts w:hint="eastAsia" w:ascii="楷体_GB2312" w:hAnsi="Calibri" w:eastAsia="楷体_GB2312" w:cs="Arial"/>
          <w:b w:val="0"/>
          <w:bCs w:val="0"/>
          <w:color w:val="auto"/>
          <w:sz w:val="32"/>
          <w:szCs w:val="32"/>
          <w:highlight w:val="none"/>
        </w:rPr>
        <w:t>（一）废气方面</w:t>
      </w:r>
    </w:p>
    <w:p w14:paraId="0918AB3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施工期现场</w:t>
      </w:r>
      <w:r>
        <w:rPr>
          <w:rFonts w:hint="eastAsia" w:ascii="仿宋_GB2312" w:hAnsi="仿宋_GB2312" w:eastAsia="仿宋_GB2312" w:cs="仿宋_GB2312"/>
          <w:color w:val="auto"/>
          <w:sz w:val="32"/>
          <w:szCs w:val="32"/>
          <w:highlight w:val="none"/>
          <w:lang w:val="en-US" w:eastAsia="zh-CN"/>
        </w:rPr>
        <w:t>通过洒水降尘、物料苫盖、</w:t>
      </w:r>
      <w:r>
        <w:rPr>
          <w:rFonts w:hint="eastAsia" w:ascii="仿宋_GB2312" w:hAnsi="仿宋_GB2312" w:eastAsia="仿宋_GB2312" w:cs="仿宋_GB2312"/>
          <w:color w:val="auto"/>
          <w:sz w:val="32"/>
          <w:szCs w:val="32"/>
          <w:highlight w:val="none"/>
        </w:rPr>
        <w:t>车辆</w:t>
      </w:r>
      <w:r>
        <w:rPr>
          <w:rFonts w:hint="eastAsia" w:ascii="仿宋_GB2312" w:hAnsi="仿宋_GB2312" w:eastAsia="仿宋_GB2312" w:cs="仿宋_GB2312"/>
          <w:color w:val="auto"/>
          <w:sz w:val="32"/>
          <w:szCs w:val="32"/>
          <w:highlight w:val="none"/>
          <w:lang w:val="en-US" w:eastAsia="zh-CN"/>
        </w:rPr>
        <w:t>减速慢行、物料密闭运输、</w:t>
      </w:r>
      <w:r>
        <w:rPr>
          <w:rFonts w:hint="eastAsia" w:ascii="仿宋_GB2312" w:hAnsi="仿宋_GB2312" w:eastAsia="仿宋_GB2312" w:cs="仿宋_GB2312"/>
          <w:color w:val="auto"/>
          <w:sz w:val="32"/>
          <w:szCs w:val="32"/>
          <w:highlight w:val="none"/>
        </w:rPr>
        <w:t>遇到恶劣天气禁止施工作业等措施，抑制扬尘污染</w:t>
      </w:r>
      <w:r>
        <w:rPr>
          <w:rFonts w:hint="eastAsia" w:ascii="仿宋_GB2312" w:hAnsi="仿宋_GB2312" w:eastAsia="仿宋_GB2312" w:cs="仿宋_GB2312"/>
          <w:color w:val="auto"/>
          <w:sz w:val="32"/>
          <w:szCs w:val="32"/>
          <w:highlight w:val="none"/>
          <w:lang w:val="en-US" w:eastAsia="zh-CN"/>
        </w:rPr>
        <w:t>。运营期生物质燃料生产线粉尘、有机肥生产线粉尘由各个集气罩收集，经布袋除尘器、除尘室处理后达标排放；发酵、陈化区臭气由集气罩收集，经生物除臭设备处理后达标排放；烘干工段为全封闭，烘干废气经生物除臭设备、布袋除尘器处理后达标排放；生产车间全封闭，定期清扫，发酵、陈化区及储存场所定期喷洒除臭剂防止异味扩散；厂区及厂区道路进行硬化，定期清扫，洒水降尘；生产过程中原料密闭运输，暂存于封闭库房，对生产的产品进行袋装贮存。</w:t>
      </w:r>
      <w:r>
        <w:rPr>
          <w:rFonts w:hint="eastAsia" w:ascii="仿宋_GB2312" w:hAnsi="仿宋_GB2312" w:eastAsia="仿宋_GB2312" w:cs="仿宋_GB2312"/>
          <w:color w:val="auto"/>
          <w:sz w:val="32"/>
          <w:szCs w:val="32"/>
          <w:highlight w:val="none"/>
        </w:rPr>
        <w:t>严格</w:t>
      </w:r>
      <w:r>
        <w:rPr>
          <w:rFonts w:hint="eastAsia" w:ascii="仿宋_GB2312" w:hAnsi="仿宋_GB2312" w:eastAsia="仿宋_GB2312" w:cs="仿宋_GB2312"/>
          <w:color w:val="auto"/>
          <w:sz w:val="32"/>
          <w:szCs w:val="32"/>
          <w:highlight w:val="none"/>
          <w:lang w:val="en-US" w:eastAsia="zh-CN"/>
        </w:rPr>
        <w:t>按照</w:t>
      </w:r>
      <w:r>
        <w:rPr>
          <w:rFonts w:hint="eastAsia" w:ascii="仿宋_GB2312" w:hAnsi="仿宋_GB2312" w:eastAsia="仿宋_GB2312" w:cs="仿宋_GB2312"/>
          <w:color w:val="auto"/>
          <w:sz w:val="32"/>
          <w:szCs w:val="32"/>
          <w:highlight w:val="none"/>
        </w:rPr>
        <w:t>《大气污染物综合排放标准》（GB16297-1996）</w:t>
      </w:r>
      <w:r>
        <w:rPr>
          <w:rFonts w:hint="eastAsia" w:ascii="仿宋_GB2312" w:hAnsi="仿宋_GB2312" w:eastAsia="仿宋_GB2312" w:cs="仿宋_GB2312"/>
          <w:color w:val="auto"/>
          <w:sz w:val="32"/>
          <w:szCs w:val="32"/>
          <w:highlight w:val="none"/>
          <w:lang w:eastAsia="zh-CN"/>
        </w:rPr>
        <w:t>、《恶臭污染物排放标准》（GB14554-93）</w:t>
      </w:r>
      <w:r>
        <w:rPr>
          <w:rFonts w:hint="eastAsia" w:ascii="仿宋_GB2312" w:hAnsi="仿宋_GB2312" w:eastAsia="仿宋_GB2312" w:cs="仿宋_GB2312"/>
          <w:color w:val="auto"/>
          <w:sz w:val="32"/>
          <w:szCs w:val="32"/>
          <w:highlight w:val="none"/>
        </w:rPr>
        <w:t>要求</w:t>
      </w:r>
      <w:r>
        <w:rPr>
          <w:rFonts w:hint="eastAsia" w:ascii="仿宋_GB2312" w:hAnsi="仿宋_GB2312" w:eastAsia="仿宋_GB2312" w:cs="仿宋_GB2312"/>
          <w:color w:val="auto"/>
          <w:sz w:val="32"/>
          <w:szCs w:val="32"/>
          <w:highlight w:val="none"/>
          <w:lang w:val="en-US" w:eastAsia="zh-CN"/>
        </w:rPr>
        <w:t>执行</w:t>
      </w:r>
      <w:r>
        <w:rPr>
          <w:rFonts w:hint="eastAsia" w:ascii="仿宋_GB2312" w:hAnsi="仿宋_GB2312" w:eastAsia="仿宋_GB2312" w:cs="仿宋_GB2312"/>
          <w:color w:val="auto"/>
          <w:sz w:val="32"/>
          <w:szCs w:val="32"/>
          <w:highlight w:val="none"/>
        </w:rPr>
        <w:t>。</w:t>
      </w:r>
    </w:p>
    <w:p w14:paraId="22CD5E80">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楷体_GB2312" w:hAnsi="Calibri" w:eastAsia="楷体_GB2312" w:cs="Arial"/>
          <w:b w:val="0"/>
          <w:bCs w:val="0"/>
          <w:color w:val="auto"/>
          <w:sz w:val="32"/>
          <w:szCs w:val="32"/>
          <w:highlight w:val="none"/>
        </w:rPr>
      </w:pPr>
      <w:r>
        <w:rPr>
          <w:rFonts w:hint="eastAsia" w:ascii="楷体_GB2312" w:hAnsi="Calibri" w:eastAsia="楷体_GB2312" w:cs="Arial"/>
          <w:b w:val="0"/>
          <w:bCs w:val="0"/>
          <w:color w:val="auto"/>
          <w:sz w:val="32"/>
          <w:szCs w:val="32"/>
          <w:highlight w:val="none"/>
        </w:rPr>
        <w:t>（二）废水方面</w:t>
      </w:r>
    </w:p>
    <w:p w14:paraId="7BA9569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生活污水经集中收集后，密闭罐车拉运至乌里雅斯太镇污水处理厂处理，严禁向外环境排放；生产过程中产生的废水全部回用，不得外排。严格按照《污水综合排放标准》（GB8978-1996）要求执行。</w:t>
      </w:r>
    </w:p>
    <w:p w14:paraId="503A1A26">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楷体_GB2312" w:hAnsi="Calibri" w:eastAsia="楷体_GB2312" w:cs="Arial"/>
          <w:b w:val="0"/>
          <w:bCs w:val="0"/>
          <w:color w:val="auto"/>
          <w:kern w:val="0"/>
          <w:sz w:val="32"/>
          <w:szCs w:val="32"/>
          <w:highlight w:val="none"/>
          <w:lang w:eastAsia="zh-CN"/>
        </w:rPr>
      </w:pPr>
      <w:r>
        <w:rPr>
          <w:rFonts w:hint="eastAsia" w:ascii="楷体_GB2312" w:hAnsi="Calibri" w:eastAsia="楷体_GB2312" w:cs="Arial"/>
          <w:b w:val="0"/>
          <w:bCs w:val="0"/>
          <w:color w:val="auto"/>
          <w:kern w:val="0"/>
          <w:sz w:val="32"/>
          <w:szCs w:val="32"/>
          <w:highlight w:val="none"/>
        </w:rPr>
        <w:t>（三）噪声方面</w:t>
      </w:r>
    </w:p>
    <w:p w14:paraId="2C8E6AD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加强运输车辆管理，采取减速慢行、禁止鸣笛等措施；采取减振、降噪等先进技术措施，选用低噪声设备和工艺减轻噪声污染。施工期执行《建筑施工场界环境噪声排放标准》（GB12523-2011）。运营期执行</w:t>
      </w:r>
      <w:r>
        <w:rPr>
          <w:rFonts w:hint="eastAsia" w:ascii="仿宋_GB2312" w:hAnsi="仿宋_GB2312" w:eastAsia="仿宋_GB2312" w:cs="仿宋_GB2312"/>
          <w:color w:val="auto"/>
          <w:sz w:val="32"/>
          <w:szCs w:val="32"/>
          <w:highlight w:val="none"/>
        </w:rPr>
        <w:t>《工业企业厂界环境噪声排放标准》（GB12348-2008）</w:t>
      </w:r>
      <w:r>
        <w:rPr>
          <w:rFonts w:hint="eastAsia" w:ascii="仿宋_GB2312" w:hAnsi="仿宋_GB2312" w:eastAsia="仿宋_GB2312" w:cs="仿宋_GB2312"/>
          <w:color w:val="auto"/>
          <w:sz w:val="32"/>
          <w:szCs w:val="32"/>
          <w:highlight w:val="none"/>
          <w:lang w:eastAsia="zh-CN"/>
        </w:rPr>
        <w:t>。</w:t>
      </w:r>
    </w:p>
    <w:p w14:paraId="1348C261">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楷体_GB2312" w:hAnsi="Calibri" w:eastAsia="楷体_GB2312" w:cs="Arial"/>
          <w:b w:val="0"/>
          <w:bCs w:val="0"/>
          <w:color w:val="auto"/>
          <w:sz w:val="32"/>
          <w:szCs w:val="32"/>
          <w:highlight w:val="none"/>
        </w:rPr>
      </w:pPr>
      <w:r>
        <w:rPr>
          <w:rFonts w:hint="eastAsia" w:ascii="楷体_GB2312" w:hAnsi="Calibri" w:eastAsia="楷体_GB2312" w:cs="Arial"/>
          <w:b w:val="0"/>
          <w:bCs w:val="0"/>
          <w:color w:val="auto"/>
          <w:sz w:val="32"/>
          <w:szCs w:val="32"/>
          <w:highlight w:val="none"/>
        </w:rPr>
        <w:t>（四）固废方面</w:t>
      </w:r>
    </w:p>
    <w:p w14:paraId="0859675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建设期产生的弃土、弃料等随产随清，及时回收综合利用或清运至正规处置场所</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建设期和营运期产生的生活垃圾集中收集后规范处置</w:t>
      </w:r>
      <w:r>
        <w:rPr>
          <w:rFonts w:hint="eastAsia" w:ascii="仿宋_GB2312" w:hAnsi="仿宋_GB2312" w:eastAsia="仿宋_GB2312" w:cs="仿宋_GB2312"/>
          <w:color w:val="auto"/>
          <w:sz w:val="32"/>
          <w:szCs w:val="32"/>
          <w:highlight w:val="none"/>
          <w:lang w:eastAsia="zh-CN"/>
        </w:rPr>
        <w:t>；运营期产生的</w:t>
      </w:r>
      <w:r>
        <w:rPr>
          <w:rFonts w:hint="eastAsia" w:ascii="仿宋_GB2312" w:hAnsi="仿宋_GB2312" w:eastAsia="仿宋_GB2312" w:cs="仿宋_GB2312"/>
          <w:color w:val="auto"/>
          <w:sz w:val="32"/>
          <w:szCs w:val="32"/>
          <w:highlight w:val="none"/>
          <w:lang w:val="en-US" w:eastAsia="zh-CN"/>
        </w:rPr>
        <w:t>收尘灰、不合格产品进行</w:t>
      </w:r>
      <w:r>
        <w:rPr>
          <w:rFonts w:hint="eastAsia" w:ascii="仿宋_GB2312" w:hAnsi="仿宋_GB2312" w:eastAsia="仿宋_GB2312" w:cs="仿宋_GB2312"/>
          <w:color w:val="auto"/>
          <w:sz w:val="32"/>
          <w:szCs w:val="32"/>
          <w:highlight w:val="none"/>
          <w:lang w:eastAsia="zh-CN"/>
        </w:rPr>
        <w:t>回收</w:t>
      </w:r>
      <w:r>
        <w:rPr>
          <w:rFonts w:hint="eastAsia" w:ascii="仿宋_GB2312" w:hAnsi="仿宋_GB2312" w:eastAsia="仿宋_GB2312" w:cs="仿宋_GB2312"/>
          <w:color w:val="auto"/>
          <w:sz w:val="32"/>
          <w:szCs w:val="32"/>
          <w:highlight w:val="none"/>
          <w:lang w:val="en-US" w:eastAsia="zh-CN"/>
        </w:rPr>
        <w:t>利用</w:t>
      </w:r>
      <w:r>
        <w:rPr>
          <w:rFonts w:hint="eastAsia" w:ascii="仿宋_GB2312" w:hAnsi="仿宋_GB2312" w:eastAsia="仿宋_GB2312" w:cs="仿宋_GB2312"/>
          <w:color w:val="auto"/>
          <w:sz w:val="32"/>
          <w:szCs w:val="32"/>
          <w:highlight w:val="none"/>
          <w:lang w:eastAsia="zh-CN"/>
        </w:rPr>
        <w:t>；废包装袋、</w:t>
      </w:r>
      <w:r>
        <w:rPr>
          <w:rFonts w:hint="eastAsia" w:ascii="仿宋_GB2312" w:hAnsi="仿宋_GB2312" w:eastAsia="仿宋_GB2312" w:cs="仿宋_GB2312"/>
          <w:color w:val="auto"/>
          <w:sz w:val="32"/>
          <w:szCs w:val="32"/>
          <w:highlight w:val="none"/>
          <w:lang w:val="en-US" w:eastAsia="zh-CN"/>
        </w:rPr>
        <w:t>废布袋暂存于一般固废暂存间，外售综合利用，</w:t>
      </w:r>
      <w:r>
        <w:rPr>
          <w:rFonts w:hint="eastAsia" w:ascii="仿宋_GB2312" w:hAnsi="仿宋_GB2312" w:eastAsia="仿宋_GB2312" w:cs="仿宋_GB2312"/>
          <w:color w:val="auto"/>
          <w:sz w:val="32"/>
          <w:szCs w:val="32"/>
          <w:highlight w:val="none"/>
        </w:rPr>
        <w:t>严格按照《一般工业固体废物贮存和填埋污染控制标准》（GB18599-2020）执行</w:t>
      </w:r>
      <w:r>
        <w:rPr>
          <w:rFonts w:hint="eastAsia" w:ascii="仿宋_GB2312" w:hAnsi="仿宋_GB2312" w:eastAsia="仿宋_GB2312" w:cs="仿宋_GB2312"/>
          <w:color w:val="auto"/>
          <w:sz w:val="32"/>
          <w:szCs w:val="32"/>
          <w:highlight w:val="none"/>
          <w:lang w:eastAsia="zh-CN"/>
        </w:rPr>
        <w:t>。</w:t>
      </w:r>
    </w:p>
    <w:p w14:paraId="4AA74BA2">
      <w:pPr>
        <w:keepNext w:val="0"/>
        <w:keepLines w:val="0"/>
        <w:pageBreakBefore w:val="0"/>
        <w:widowControl w:val="0"/>
        <w:numPr>
          <w:ilvl w:val="0"/>
          <w:numId w:val="1"/>
        </w:numPr>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08CE5E1E">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2C20B685">
      <w:pPr>
        <w:pStyle w:val="6"/>
        <w:keepNext w:val="0"/>
        <w:keepLines w:val="0"/>
        <w:pageBreakBefore w:val="0"/>
        <w:widowControl w:val="0"/>
        <w:kinsoku/>
        <w:wordWrap/>
        <w:overflowPunct/>
        <w:topLinePunct w:val="0"/>
        <w:bidi w:val="0"/>
        <w:spacing w:after="0" w:line="560" w:lineRule="exact"/>
        <w:ind w:left="0" w:leftChars="0"/>
        <w:rPr>
          <w:rFonts w:hint="eastAsia" w:ascii="仿宋_GB2312" w:hAnsi="Calibri" w:eastAsia="仿宋_GB2312" w:cs="Arial"/>
          <w:color w:val="auto"/>
          <w:sz w:val="32"/>
          <w:szCs w:val="32"/>
          <w:highlight w:val="none"/>
        </w:rPr>
      </w:pPr>
    </w:p>
    <w:p w14:paraId="2DC43482">
      <w:pPr>
        <w:pStyle w:val="6"/>
        <w:keepNext w:val="0"/>
        <w:keepLines w:val="0"/>
        <w:pageBreakBefore w:val="0"/>
        <w:widowControl w:val="0"/>
        <w:kinsoku/>
        <w:wordWrap/>
        <w:overflowPunct/>
        <w:topLinePunct w:val="0"/>
        <w:bidi w:val="0"/>
        <w:spacing w:after="0" w:line="560" w:lineRule="exact"/>
        <w:ind w:left="0" w:leftChars="0"/>
        <w:rPr>
          <w:rFonts w:hint="eastAsia"/>
          <w:color w:val="auto"/>
          <w:highlight w:val="none"/>
        </w:rPr>
      </w:pPr>
    </w:p>
    <w:p w14:paraId="00F5174F">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4160" w:firstLineChars="1300"/>
        <w:textAlignment w:val="auto"/>
        <w:rPr>
          <w:rFonts w:hint="eastAsia" w:ascii="仿宋_GB2312" w:hAnsi="Calibri" w:eastAsia="仿宋_GB2312" w:cs="Arial"/>
          <w:color w:val="auto"/>
          <w:sz w:val="32"/>
          <w:szCs w:val="32"/>
          <w:highlight w:val="none"/>
        </w:rPr>
      </w:pPr>
    </w:p>
    <w:p w14:paraId="51415374">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4160" w:firstLineChars="1300"/>
        <w:textAlignment w:val="auto"/>
        <w:rPr>
          <w:rFonts w:hint="eastAsia" w:ascii="仿宋_GB2312" w:hAnsi="Calibri" w:eastAsia="仿宋_GB2312" w:cs="Arial"/>
          <w:color w:val="auto"/>
          <w:sz w:val="32"/>
          <w:szCs w:val="32"/>
          <w:highlight w:val="none"/>
        </w:rPr>
      </w:pPr>
    </w:p>
    <w:p w14:paraId="24E7B61E">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4160" w:firstLineChars="1300"/>
        <w:textAlignment w:val="auto"/>
        <w:rPr>
          <w:rFonts w:hint="eastAsia" w:ascii="仿宋_GB2312" w:hAnsi="Calibri" w:eastAsia="仿宋_GB2312" w:cs="Arial"/>
          <w:color w:val="auto"/>
          <w:sz w:val="32"/>
          <w:szCs w:val="32"/>
          <w:highlight w:val="none"/>
        </w:rPr>
      </w:pP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left="0" w:leftChars="0"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5153EA69">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5</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10</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24</w:t>
      </w:r>
      <w:r>
        <w:rPr>
          <w:rFonts w:hint="eastAsia" w:ascii="仿宋_GB2312" w:hAnsi="Calibri" w:eastAsia="仿宋_GB2312" w:cs="Arial"/>
          <w:color w:val="auto"/>
          <w:sz w:val="32"/>
          <w:szCs w:val="32"/>
          <w:highlight w:val="none"/>
          <w:lang w:eastAsia="zh-CN"/>
        </w:rPr>
        <w:t>日</w:t>
      </w:r>
    </w:p>
    <w:p w14:paraId="347E4CCA">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76CBA801">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644AC8C8">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3946C4CA">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6A032C91">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50974646">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792A2455">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723CBF82">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5CDD7B99">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41609CCA">
      <w:pPr>
        <w:keepNext w:val="0"/>
        <w:keepLines w:val="0"/>
        <w:pageBreakBefore w:val="0"/>
        <w:widowControl w:val="0"/>
        <w:kinsoku/>
        <w:wordWrap/>
        <w:overflowPunct/>
        <w:topLinePunct w:val="0"/>
        <w:autoSpaceDE w:val="0"/>
        <w:autoSpaceDN w:val="0"/>
        <w:bidi w:val="0"/>
        <w:adjustRightInd w:val="0"/>
        <w:spacing w:line="560" w:lineRule="exact"/>
        <w:jc w:val="both"/>
        <w:rPr>
          <w:rFonts w:hint="default" w:ascii="仿宋_GB2312" w:hAnsi="Calibri" w:eastAsia="仿宋_GB2312" w:cs="Arial"/>
          <w:color w:val="auto"/>
          <w:sz w:val="32"/>
          <w:szCs w:val="32"/>
          <w:highlight w:val="none"/>
          <w:lang w:val="en-US" w:eastAsia="zh-CN"/>
        </w:rPr>
      </w:pPr>
    </w:p>
    <w:p w14:paraId="0CB5609B">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7CD5F628">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45CC5AFA">
      <w:pPr>
        <w:keepNext w:val="0"/>
        <w:keepLines w:val="0"/>
        <w:pageBreakBefore w:val="0"/>
        <w:widowControl w:val="0"/>
        <w:kinsoku/>
        <w:wordWrap/>
        <w:overflowPunct/>
        <w:topLinePunct w:val="0"/>
        <w:autoSpaceDE w:val="0"/>
        <w:autoSpaceDN w:val="0"/>
        <w:bidi w:val="0"/>
        <w:adjustRightInd w:val="0"/>
        <w:spacing w:line="560" w:lineRule="exact"/>
        <w:jc w:val="both"/>
        <w:rPr>
          <w:rFonts w:hint="default" w:ascii="仿宋_GB2312" w:hAnsi="Calibri" w:eastAsia="仿宋_GB2312" w:cs="Arial"/>
          <w:color w:val="auto"/>
          <w:sz w:val="32"/>
          <w:szCs w:val="32"/>
          <w:highlight w:val="none"/>
          <w:lang w:val="en-US" w:eastAsia="zh-CN"/>
        </w:rPr>
      </w:pPr>
    </w:p>
    <w:p w14:paraId="10A42233">
      <w:pPr>
        <w:keepNext w:val="0"/>
        <w:keepLines w:val="0"/>
        <w:pageBreakBefore w:val="0"/>
        <w:widowControl w:val="0"/>
        <w:kinsoku/>
        <w:wordWrap/>
        <w:overflowPunct/>
        <w:topLinePunct w:val="0"/>
        <w:autoSpaceDE w:val="0"/>
        <w:autoSpaceDN w:val="0"/>
        <w:bidi w:val="0"/>
        <w:adjustRightInd w:val="0"/>
        <w:spacing w:line="560" w:lineRule="exact"/>
        <w:ind w:left="0" w:leftChars="0" w:firstLine="640" w:firstLineChars="200"/>
        <w:jc w:val="center"/>
        <w:rPr>
          <w:rFonts w:hint="default"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ind w:left="0" w:leftChars="0"/>
        <w:jc w:val="both"/>
        <w:textAlignment w:val="auto"/>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highlight w:val="none"/>
          <w:lang w:val="en-US" w:eastAsia="zh-CN" w:bidi="ar-SA"/>
        </w:rPr>
        <w:t>抄送：盟生态环境综合行政执法支队       盟生态环境局东乌珠穆沁旗分局</w:t>
      </w:r>
    </w:p>
    <w:p w14:paraId="4ACD6116">
      <w:pPr>
        <w:pStyle w:val="4"/>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line="560" w:lineRule="exact"/>
        <w:ind w:left="0" w:leftChars="0"/>
        <w:jc w:val="both"/>
        <w:textAlignment w:val="auto"/>
        <w:rPr>
          <w:color w:val="auto"/>
          <w:highlight w:val="none"/>
        </w:rPr>
      </w:pPr>
      <w:r>
        <w:rPr>
          <w:rFonts w:hint="eastAsia" w:ascii="仿宋_GB2312" w:hAnsi="仿宋_GB2312" w:eastAsia="仿宋_GB2312" w:cs="仿宋_GB2312"/>
          <w:color w:val="auto"/>
          <w:kern w:val="2"/>
          <w:sz w:val="28"/>
          <w:szCs w:val="28"/>
          <w:highlight w:val="none"/>
          <w:lang w:val="en-US" w:eastAsia="zh-CN" w:bidi="ar-SA"/>
        </w:rPr>
        <w:t>锡林郭勒盟生态环境局办公室             2025年10月24</w:t>
      </w:r>
      <w:bookmarkStart w:id="1" w:name="_GoBack"/>
      <w:bookmarkEnd w:id="1"/>
      <w:r>
        <w:rPr>
          <w:rFonts w:hint="eastAsia" w:ascii="仿宋_GB2312" w:hAnsi="仿宋_GB2312" w:eastAsia="仿宋_GB2312" w:cs="仿宋_GB2312"/>
          <w:color w:val="auto"/>
          <w:kern w:val="2"/>
          <w:sz w:val="28"/>
          <w:szCs w:val="28"/>
          <w:highlight w:val="none"/>
          <w:lang w:val="en-US" w:eastAsia="zh-CN" w:bidi="ar-SA"/>
        </w:rPr>
        <w:t>日印发</w:t>
      </w: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4"/>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4"/>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4"/>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4"/>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4"/>
                      <w:rPr>
                        <w:rFonts w:hint="eastAsia" w:asciiTheme="minorEastAsia" w:hAnsiTheme="minorEastAsia" w:eastAsiaTheme="minorEastAsia" w:cstheme="minorEastAsia"/>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18EB6"/>
    <w:multiLevelType w:val="singleLevel"/>
    <w:tmpl w:val="3B018E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11CE9"/>
    <w:rsid w:val="00F44F67"/>
    <w:rsid w:val="00FF362D"/>
    <w:rsid w:val="01246D1A"/>
    <w:rsid w:val="014B4068"/>
    <w:rsid w:val="01D134FA"/>
    <w:rsid w:val="0204742C"/>
    <w:rsid w:val="02E66B31"/>
    <w:rsid w:val="03C94DF8"/>
    <w:rsid w:val="04BC5D9C"/>
    <w:rsid w:val="053D6920"/>
    <w:rsid w:val="05706B86"/>
    <w:rsid w:val="05882122"/>
    <w:rsid w:val="05E7509A"/>
    <w:rsid w:val="060354C6"/>
    <w:rsid w:val="071C34B5"/>
    <w:rsid w:val="07B90CB8"/>
    <w:rsid w:val="080261BB"/>
    <w:rsid w:val="08397703"/>
    <w:rsid w:val="088766C0"/>
    <w:rsid w:val="09102D8D"/>
    <w:rsid w:val="09615163"/>
    <w:rsid w:val="09776735"/>
    <w:rsid w:val="09862E1C"/>
    <w:rsid w:val="0B0E131B"/>
    <w:rsid w:val="0C0544CC"/>
    <w:rsid w:val="0CF63E15"/>
    <w:rsid w:val="0D136775"/>
    <w:rsid w:val="0D7A4A46"/>
    <w:rsid w:val="0D980131"/>
    <w:rsid w:val="0DA30884"/>
    <w:rsid w:val="0E1E1CB4"/>
    <w:rsid w:val="0F5D6655"/>
    <w:rsid w:val="0FEE34C9"/>
    <w:rsid w:val="117143B2"/>
    <w:rsid w:val="118063A3"/>
    <w:rsid w:val="11EA01E5"/>
    <w:rsid w:val="125F420A"/>
    <w:rsid w:val="12C67865"/>
    <w:rsid w:val="13425D97"/>
    <w:rsid w:val="14682881"/>
    <w:rsid w:val="14D40EDF"/>
    <w:rsid w:val="14E268E1"/>
    <w:rsid w:val="15595889"/>
    <w:rsid w:val="18D4224A"/>
    <w:rsid w:val="196C32C2"/>
    <w:rsid w:val="1A937147"/>
    <w:rsid w:val="1B1541F5"/>
    <w:rsid w:val="1B8151F1"/>
    <w:rsid w:val="1C9C6787"/>
    <w:rsid w:val="1F127786"/>
    <w:rsid w:val="1F463C49"/>
    <w:rsid w:val="1F9C6A9E"/>
    <w:rsid w:val="1FD53DA5"/>
    <w:rsid w:val="208A2D9A"/>
    <w:rsid w:val="208E79CF"/>
    <w:rsid w:val="2100305C"/>
    <w:rsid w:val="215D18CA"/>
    <w:rsid w:val="2234120F"/>
    <w:rsid w:val="22B12860"/>
    <w:rsid w:val="232748D0"/>
    <w:rsid w:val="236D70AB"/>
    <w:rsid w:val="23BB613A"/>
    <w:rsid w:val="23CE7442"/>
    <w:rsid w:val="23FC5D5D"/>
    <w:rsid w:val="24B86128"/>
    <w:rsid w:val="254479BB"/>
    <w:rsid w:val="25CE54D7"/>
    <w:rsid w:val="26B66697"/>
    <w:rsid w:val="26E52AD8"/>
    <w:rsid w:val="28221B0A"/>
    <w:rsid w:val="29424212"/>
    <w:rsid w:val="297D16EE"/>
    <w:rsid w:val="2AC84BEB"/>
    <w:rsid w:val="2ADB2B70"/>
    <w:rsid w:val="2AFA0B1C"/>
    <w:rsid w:val="2B553B0E"/>
    <w:rsid w:val="2BA32F62"/>
    <w:rsid w:val="2BAB49C5"/>
    <w:rsid w:val="2BC639DD"/>
    <w:rsid w:val="2C5E58D5"/>
    <w:rsid w:val="2E075A2A"/>
    <w:rsid w:val="2E1F501B"/>
    <w:rsid w:val="2ED753FC"/>
    <w:rsid w:val="2F4F1437"/>
    <w:rsid w:val="2F6824F8"/>
    <w:rsid w:val="2F8F5CD7"/>
    <w:rsid w:val="2F9652B7"/>
    <w:rsid w:val="2FA15A0A"/>
    <w:rsid w:val="2FB66037"/>
    <w:rsid w:val="2FE14059"/>
    <w:rsid w:val="30CD2F5B"/>
    <w:rsid w:val="30FD3114"/>
    <w:rsid w:val="310444A3"/>
    <w:rsid w:val="334F1746"/>
    <w:rsid w:val="342F5CDB"/>
    <w:rsid w:val="34A51AF9"/>
    <w:rsid w:val="34B166F0"/>
    <w:rsid w:val="34E268A9"/>
    <w:rsid w:val="35F766F6"/>
    <w:rsid w:val="368A2BE6"/>
    <w:rsid w:val="3828316D"/>
    <w:rsid w:val="385C5CD1"/>
    <w:rsid w:val="38C073F1"/>
    <w:rsid w:val="39A53079"/>
    <w:rsid w:val="3A105C66"/>
    <w:rsid w:val="3AAA2C4C"/>
    <w:rsid w:val="3B3836C7"/>
    <w:rsid w:val="3CAF1767"/>
    <w:rsid w:val="3CED35CD"/>
    <w:rsid w:val="3DD84CED"/>
    <w:rsid w:val="3ECB598F"/>
    <w:rsid w:val="3EE04D72"/>
    <w:rsid w:val="3F1B0236"/>
    <w:rsid w:val="40E65973"/>
    <w:rsid w:val="41070D79"/>
    <w:rsid w:val="414601C0"/>
    <w:rsid w:val="415428DD"/>
    <w:rsid w:val="41E579D9"/>
    <w:rsid w:val="42326612"/>
    <w:rsid w:val="42B9333F"/>
    <w:rsid w:val="436F39FE"/>
    <w:rsid w:val="43BC6374"/>
    <w:rsid w:val="43E066A9"/>
    <w:rsid w:val="44641089"/>
    <w:rsid w:val="44EC107E"/>
    <w:rsid w:val="45442C68"/>
    <w:rsid w:val="45D109A0"/>
    <w:rsid w:val="479F062A"/>
    <w:rsid w:val="47ED7875"/>
    <w:rsid w:val="487F2935"/>
    <w:rsid w:val="49535B70"/>
    <w:rsid w:val="496477F7"/>
    <w:rsid w:val="497D499A"/>
    <w:rsid w:val="49D96075"/>
    <w:rsid w:val="4A542F03"/>
    <w:rsid w:val="4AF3760A"/>
    <w:rsid w:val="4B552AA6"/>
    <w:rsid w:val="4B670384"/>
    <w:rsid w:val="4BF120D4"/>
    <w:rsid w:val="4DE66FB2"/>
    <w:rsid w:val="4F251D5C"/>
    <w:rsid w:val="4F2B7BF3"/>
    <w:rsid w:val="5060304C"/>
    <w:rsid w:val="50B213CE"/>
    <w:rsid w:val="5119144D"/>
    <w:rsid w:val="52901CAA"/>
    <w:rsid w:val="52EA0FEF"/>
    <w:rsid w:val="53F1148A"/>
    <w:rsid w:val="53FF0DCE"/>
    <w:rsid w:val="54603F5B"/>
    <w:rsid w:val="54E83610"/>
    <w:rsid w:val="553B42E8"/>
    <w:rsid w:val="55A61065"/>
    <w:rsid w:val="561623FF"/>
    <w:rsid w:val="56391260"/>
    <w:rsid w:val="57995095"/>
    <w:rsid w:val="58006EC2"/>
    <w:rsid w:val="581B1F4E"/>
    <w:rsid w:val="585D4D1D"/>
    <w:rsid w:val="585F62DF"/>
    <w:rsid w:val="58FA7DB6"/>
    <w:rsid w:val="5A6C17A9"/>
    <w:rsid w:val="5AB10EDB"/>
    <w:rsid w:val="5AFF7905"/>
    <w:rsid w:val="5BEF767F"/>
    <w:rsid w:val="5C435D6C"/>
    <w:rsid w:val="5C547A3A"/>
    <w:rsid w:val="5C666C4B"/>
    <w:rsid w:val="5D1F603D"/>
    <w:rsid w:val="5D373EE0"/>
    <w:rsid w:val="5DAD3649"/>
    <w:rsid w:val="5E2E29DB"/>
    <w:rsid w:val="5E3111C1"/>
    <w:rsid w:val="5E3A73D5"/>
    <w:rsid w:val="5E714676"/>
    <w:rsid w:val="5E7C0CB8"/>
    <w:rsid w:val="5F096FA4"/>
    <w:rsid w:val="5F1F4CE5"/>
    <w:rsid w:val="5F623CFA"/>
    <w:rsid w:val="5F954394"/>
    <w:rsid w:val="5F9920D6"/>
    <w:rsid w:val="5FA6467B"/>
    <w:rsid w:val="60C91F73"/>
    <w:rsid w:val="60E73507"/>
    <w:rsid w:val="6235508F"/>
    <w:rsid w:val="62AC1363"/>
    <w:rsid w:val="62B94D98"/>
    <w:rsid w:val="631B72A6"/>
    <w:rsid w:val="641A4CCC"/>
    <w:rsid w:val="64DF78E7"/>
    <w:rsid w:val="650F4BE9"/>
    <w:rsid w:val="652C7549"/>
    <w:rsid w:val="6663343E"/>
    <w:rsid w:val="67D5211A"/>
    <w:rsid w:val="685A2794"/>
    <w:rsid w:val="691C1682"/>
    <w:rsid w:val="6AD42215"/>
    <w:rsid w:val="6B623CC4"/>
    <w:rsid w:val="6B841E8D"/>
    <w:rsid w:val="6B8E4AB9"/>
    <w:rsid w:val="6BFF57BE"/>
    <w:rsid w:val="6CB26586"/>
    <w:rsid w:val="6CF7668E"/>
    <w:rsid w:val="6D4D192F"/>
    <w:rsid w:val="6E387165"/>
    <w:rsid w:val="6E71421E"/>
    <w:rsid w:val="6F084B83"/>
    <w:rsid w:val="6F1E6154"/>
    <w:rsid w:val="6F2422EF"/>
    <w:rsid w:val="6F55769C"/>
    <w:rsid w:val="6F9B4E77"/>
    <w:rsid w:val="6FAA5C3A"/>
    <w:rsid w:val="70EE7DA8"/>
    <w:rsid w:val="716A30B7"/>
    <w:rsid w:val="72E12285"/>
    <w:rsid w:val="73632ADC"/>
    <w:rsid w:val="73A4210F"/>
    <w:rsid w:val="746F1200"/>
    <w:rsid w:val="74A356FB"/>
    <w:rsid w:val="752E4C17"/>
    <w:rsid w:val="76B178AE"/>
    <w:rsid w:val="77550B81"/>
    <w:rsid w:val="785401A6"/>
    <w:rsid w:val="792E3203"/>
    <w:rsid w:val="7A1268B5"/>
    <w:rsid w:val="7A342CD0"/>
    <w:rsid w:val="7ABD49D6"/>
    <w:rsid w:val="7B9559F0"/>
    <w:rsid w:val="7BC97448"/>
    <w:rsid w:val="7E633B84"/>
    <w:rsid w:val="7ED92621"/>
    <w:rsid w:val="7F34107C"/>
    <w:rsid w:val="7FDD1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semiHidden/>
    <w:qFormat/>
    <w:uiPriority w:val="0"/>
    <w:pPr>
      <w:jc w:val="left"/>
    </w:pPr>
    <w:rPr>
      <w:kern w:val="0"/>
      <w:sz w:val="24"/>
      <w:szCs w:val="20"/>
    </w:rPr>
  </w:style>
  <w:style w:type="paragraph" w:styleId="3">
    <w:name w:val="Body Text Indent"/>
    <w:basedOn w:val="1"/>
    <w:next w:val="1"/>
    <w:semiHidden/>
    <w:qFormat/>
    <w:uiPriority w:val="0"/>
    <w:pPr>
      <w:spacing w:after="120"/>
      <w:ind w:left="420" w:leftChars="200"/>
    </w:pPr>
  </w:style>
  <w:style w:type="paragraph" w:styleId="4">
    <w:name w:val="footer"/>
    <w:basedOn w:val="1"/>
    <w:next w:val="1"/>
    <w:semiHidden/>
    <w:unhideWhenUsed/>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Body Text First Indent 2"/>
    <w:basedOn w:val="3"/>
    <w:next w:val="1"/>
    <w:unhideWhenUsed/>
    <w:qFormat/>
    <w:uiPriority w:val="0"/>
    <w:pPr>
      <w:ind w:firstLine="420" w:firstLineChars="200"/>
    </w:pPr>
  </w:style>
  <w:style w:type="paragraph" w:customStyle="1" w:styleId="9">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1659</Words>
  <Characters>1802</Characters>
  <Lines>0</Lines>
  <Paragraphs>0</Paragraphs>
  <TotalTime>26</TotalTime>
  <ScaleCrop>false</ScaleCrop>
  <LinksUpToDate>false</LinksUpToDate>
  <CharactersWithSpaces>1850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2025-10-16T09:25:00Z</cp:lastPrinted>
  <dcterms:modified xsi:type="dcterms:W3CDTF">2025-10-24T02:35:15Z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22BF55E8F35640F5BFD421200C3B8166_13</vt:lpwstr>
  </property>
  <property fmtid="{D5CDD505-2E9C-101B-9397-08002B2CF9AE}" pid="4" name="KSOTemplateDocerSaveRecord">
    <vt:lpwstr>eyJoZGlkIjoiNzQ5YzIwZGE2ZmU0ZDQ1NzU1ODA3Y2ZhM2Y3NzgzNmIiLCJ1c2VySWQiOiIyNzY5NTQ3NjAifQ==</vt:lpwstr>
  </property>
</Properties>
</file>