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5</w:t>
      </w:r>
      <w:r>
        <w:rPr>
          <w:rFonts w:hint="eastAsia" w:ascii="仿宋_GB2312" w:hAnsi="黑体" w:eastAsia="仿宋_GB2312" w:cs="Arial"/>
          <w:color w:val="auto"/>
          <w:sz w:val="32"/>
          <w:szCs w:val="32"/>
          <w:highlight w:val="none"/>
        </w:rPr>
        <w:t>〕</w:t>
      </w:r>
      <w:r>
        <w:rPr>
          <w:rFonts w:hint="eastAsia" w:ascii="仿宋_GB2312" w:hAnsi="黑体" w:eastAsia="仿宋_GB2312" w:cs="Arial"/>
          <w:color w:val="auto"/>
          <w:sz w:val="32"/>
          <w:szCs w:val="32"/>
          <w:highlight w:val="none"/>
          <w:lang w:val="en-US" w:eastAsia="zh-CN"/>
        </w:rPr>
        <w:t>22</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auto"/>
          <w:sz w:val="44"/>
          <w:szCs w:val="44"/>
          <w:highlight w:val="none"/>
          <w:lang w:val="en-US" w:eastAsia="zh-CN"/>
        </w:rPr>
        <w:t>东乌珠穆沁旗呼热图淖尔苏木巴彦查干嘎查二连盆地高力罕凹陷区块锦5井油气勘探项目</w:t>
      </w:r>
      <w:r>
        <w:rPr>
          <w:rFonts w:hint="eastAsia" w:ascii="方正小标宋简体" w:hAnsi="Calibri" w:eastAsia="方正小标宋简体" w:cs="Arial"/>
          <w:color w:val="auto"/>
          <w:sz w:val="44"/>
          <w:szCs w:val="44"/>
          <w:highlight w:val="none"/>
        </w:rPr>
        <w:t xml:space="preserve">环境影响报告表的批复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autoSpaceDN/>
        <w:bidi w:val="0"/>
        <w:spacing w:line="520" w:lineRule="exact"/>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内蒙古恒源石油技术服务有限公司:</w:t>
      </w:r>
    </w:p>
    <w:p w14:paraId="5597E2B4">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w:t>
      </w:r>
      <w:r>
        <w:rPr>
          <w:rFonts w:hint="eastAsia" w:ascii="仿宋_GB2312" w:hAnsi="仿宋_GB2312" w:eastAsia="仿宋_GB2312" w:cs="仿宋_GB2312"/>
          <w:bCs/>
          <w:color w:val="auto"/>
          <w:sz w:val="32"/>
          <w:szCs w:val="32"/>
          <w:highlight w:val="none"/>
          <w:lang w:val="en-US" w:eastAsia="zh-CN"/>
        </w:rPr>
        <w:t>内蒙古智合项目管理</w:t>
      </w:r>
      <w:r>
        <w:rPr>
          <w:rFonts w:hint="eastAsia" w:ascii="仿宋_GB2312" w:hAnsi="仿宋_GB2312" w:eastAsia="仿宋_GB2312" w:cs="仿宋_GB2312"/>
          <w:bCs/>
          <w:color w:val="auto"/>
          <w:sz w:val="32"/>
          <w:szCs w:val="32"/>
          <w:highlight w:val="none"/>
        </w:rPr>
        <w:t>有限公司编制的《</w:t>
      </w:r>
      <w:r>
        <w:rPr>
          <w:rFonts w:hint="eastAsia" w:ascii="仿宋_GB2312" w:hAnsi="仿宋_GB2312" w:eastAsia="仿宋_GB2312" w:cs="仿宋_GB2312"/>
          <w:bCs/>
          <w:color w:val="auto"/>
          <w:sz w:val="32"/>
          <w:szCs w:val="32"/>
          <w:highlight w:val="none"/>
          <w:lang w:val="en-US" w:eastAsia="zh-CN"/>
        </w:rPr>
        <w:t>东乌珠穆沁旗呼热图淖尔苏木巴彦查干嘎查二连盆地高力罕凹陷区块锦5井油气勘探项目</w:t>
      </w:r>
      <w:r>
        <w:rPr>
          <w:rFonts w:hint="eastAsia" w:ascii="仿宋_GB2312" w:hAnsi="仿宋_GB2312" w:eastAsia="仿宋_GB2312" w:cs="仿宋_GB2312"/>
          <w:bCs/>
          <w:color w:val="auto"/>
          <w:sz w:val="32"/>
          <w:szCs w:val="32"/>
          <w:highlight w:val="none"/>
        </w:rPr>
        <w:t>环境影响报告表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0F8E80A7">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rPr>
        <w:t>本项目位于内蒙古自治区锡林郭勒盟东乌珠穆沁旗呼热图淖尔苏木巴彦查干嘎</w:t>
      </w:r>
      <w:r>
        <w:rPr>
          <w:rFonts w:hint="eastAsia" w:ascii="仿宋_GB2312" w:hAnsi="仿宋_GB2312" w:eastAsia="仿宋_GB2312" w:cs="仿宋_GB2312"/>
          <w:color w:val="auto"/>
          <w:sz w:val="32"/>
          <w:szCs w:val="32"/>
          <w:highlight w:val="none"/>
          <w:lang w:val="en-US" w:eastAsia="zh-CN"/>
        </w:rPr>
        <w:t>查</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坐标为东经：118°20′27.405″北纬：45°27′48.674″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新建项目,拟建设探井一口，设计井深为1950m，总占地面积9000m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本项目主体工程为钻前工程、钻井工程、试油工程、钻后工程；辅助工程为钻井液配制、钻井液循环罐、钻井测定装置、钻井监控装置；储运工程为储油罐、污水收集罐；公用工程为物资堆放及生活区（占地面积为7624.08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）、进厂道路（63.04m）、供电工程、供水工程。</w:t>
      </w:r>
      <w:r>
        <w:rPr>
          <w:rFonts w:hint="eastAsia" w:ascii="仿宋_GB2312" w:hAnsi="仿宋_GB2312" w:eastAsia="仿宋_GB2312" w:cs="仿宋_GB2312"/>
          <w:bCs/>
          <w:color w:val="auto"/>
          <w:sz w:val="32"/>
          <w:szCs w:val="32"/>
          <w:highlight w:val="none"/>
          <w:lang w:val="en-US" w:eastAsia="zh-CN"/>
        </w:rPr>
        <w:t>总投资600</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86</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14.33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p>
    <w:p w14:paraId="290BDC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鼓励类建设项目。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w:t>
      </w:r>
      <w:r>
        <w:rPr>
          <w:rFonts w:hint="eastAsia" w:ascii="黑体" w:hAnsi="黑体" w:eastAsia="黑体" w:cs="Arial"/>
          <w:color w:val="auto"/>
          <w:sz w:val="32"/>
          <w:szCs w:val="32"/>
          <w:highlight w:val="none"/>
          <w:lang w:val="en-US" w:eastAsia="zh-CN"/>
        </w:rPr>
        <w:t>过程中的相关责任</w:t>
      </w:r>
    </w:p>
    <w:p w14:paraId="27419E9F">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499005F6">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default"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现场采取围挡，通过物料苫盖、施工场地和路面洒水降尘、车辆减速慢行、物料密闭运输、遇到恶劣天气禁止施工作业等措施，抑制施工扬尘污染。试油工程采用全密闭采油流程、储油罐口设置挥发烃吸附装置，定期对井场设备、管线、阀门等进行检查、检修，防止烃类泄漏及挥发；柴油机使用轻质燃料，定期检查、检修，不得超负荷运行。严格执行《大气污染物综合排放标准》（GB16297-1996）要求。</w:t>
      </w:r>
    </w:p>
    <w:p w14:paraId="5C39A412">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26844B2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生活污水</w:t>
      </w:r>
      <w:r>
        <w:rPr>
          <w:rFonts w:hint="eastAsia" w:ascii="仿宋_GB2312" w:hAnsi="仿宋_GB2312" w:eastAsia="仿宋_GB2312" w:cs="仿宋_GB2312"/>
          <w:sz w:val="32"/>
          <w:szCs w:val="32"/>
          <w:highlight w:val="none"/>
          <w:lang w:val="en-US" w:eastAsia="zh-CN"/>
        </w:rPr>
        <w:t>经收集后拉运至乌里雅斯太镇污水处理厂处理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生产废水</w:t>
      </w:r>
      <w:r>
        <w:rPr>
          <w:rFonts w:hint="eastAsia" w:ascii="仿宋_GB2312" w:hAnsi="仿宋_GB2312" w:eastAsia="仿宋_GB2312" w:cs="仿宋_GB2312"/>
          <w:sz w:val="32"/>
          <w:szCs w:val="32"/>
          <w:highlight w:val="none"/>
        </w:rPr>
        <w:t>经集中收集后交由</w:t>
      </w:r>
      <w:r>
        <w:rPr>
          <w:rFonts w:hint="eastAsia" w:ascii="仿宋_GB2312" w:hAnsi="仿宋_GB2312" w:eastAsia="仿宋_GB2312" w:cs="仿宋_GB2312"/>
          <w:sz w:val="32"/>
          <w:szCs w:val="32"/>
          <w:highlight w:val="none"/>
          <w:lang w:val="en-US" w:eastAsia="zh-CN"/>
        </w:rPr>
        <w:t>内蒙古哥瑞环保有限公司拉运至阿尔善集中处理站处理</w:t>
      </w:r>
      <w:r>
        <w:rPr>
          <w:rFonts w:hint="eastAsia" w:ascii="仿宋_GB2312" w:hAnsi="仿宋_GB2312" w:eastAsia="仿宋_GB2312" w:cs="仿宋_GB2312"/>
          <w:sz w:val="32"/>
          <w:szCs w:val="32"/>
          <w:highlight w:val="none"/>
          <w:lang w:eastAsia="zh-CN"/>
        </w:rPr>
        <w:t>，处理达标后</w:t>
      </w:r>
      <w:r>
        <w:rPr>
          <w:rFonts w:hint="eastAsia" w:ascii="仿宋_GB2312" w:hAnsi="仿宋_GB2312" w:eastAsia="仿宋_GB2312" w:cs="仿宋_GB2312"/>
          <w:sz w:val="32"/>
          <w:szCs w:val="32"/>
          <w:highlight w:val="none"/>
          <w:lang w:val="en-US" w:eastAsia="zh-CN"/>
        </w:rPr>
        <w:t>回用于钻井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严禁向外环境排放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严格落实一般防渗区及重点防渗区防渗措施。</w:t>
      </w:r>
    </w:p>
    <w:p w14:paraId="47DE12EC">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p>
    <w:p w14:paraId="627E9845">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施工期加强运输车辆管理，采取减速慢行、禁止鸣笛等措施；采用减振、降噪等先进技术措施，选用低噪声设备和工艺减轻噪声污染。施工期执行《建筑施工场界环境噪声排放标准》（GB12523-2011）。</w:t>
      </w:r>
    </w:p>
    <w:p w14:paraId="6A85DACC">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10E5A553">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val="en-US" w:eastAsia="zh-CN"/>
        </w:rPr>
        <w:t>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及时清运至</w:t>
      </w:r>
      <w:r>
        <w:rPr>
          <w:rFonts w:hint="eastAsia" w:ascii="仿宋_GB2312" w:eastAsia="仿宋_GB2312" w:cs="Arial"/>
          <w:color w:val="auto"/>
          <w:sz w:val="32"/>
          <w:szCs w:val="32"/>
          <w:highlight w:val="none"/>
          <w:lang w:val="en-US" w:eastAsia="zh-CN"/>
        </w:rPr>
        <w:t>正规处置场所；产生的泥浆、岩屑等一般固废交由内蒙古哥瑞环保有限公司拉运至阿尔善集中处理站处理；</w:t>
      </w:r>
      <w:r>
        <w:rPr>
          <w:rFonts w:hint="eastAsia" w:ascii="仿宋_GB2312" w:hAnsi="Calibri" w:eastAsia="仿宋_GB2312" w:cs="Arial"/>
          <w:color w:val="auto"/>
          <w:sz w:val="32"/>
          <w:szCs w:val="32"/>
          <w:highlight w:val="none"/>
          <w:lang w:val="en-US" w:eastAsia="zh-CN"/>
        </w:rPr>
        <w:t>产生的</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严格</w:t>
      </w:r>
      <w:r>
        <w:rPr>
          <w:rFonts w:hint="eastAsia" w:ascii="仿宋_GB2312" w:hAnsi="仿宋_GB2312" w:eastAsia="仿宋_GB2312" w:cs="仿宋_GB2312"/>
          <w:color w:val="auto"/>
          <w:sz w:val="32"/>
          <w:szCs w:val="32"/>
          <w:highlight w:val="none"/>
        </w:rPr>
        <w:t>执行《一般工业固体废物贮存和填埋污染控制标准》（GB18599-20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w:t>
      </w:r>
      <w:r>
        <w:rPr>
          <w:rFonts w:hint="eastAsia" w:ascii="仿宋_GB2312" w:eastAsia="仿宋_GB2312" w:cs="Arial"/>
          <w:color w:val="auto"/>
          <w:sz w:val="32"/>
          <w:szCs w:val="32"/>
          <w:highlight w:val="none"/>
          <w:lang w:val="en-US" w:eastAsia="zh-CN"/>
        </w:rPr>
        <w:t>。施工期产生的油泥（砂）、落地油、废润滑油及废油桶、含油废防渗膜等危险废物委托有资质的单位进行处置，严格执行《危险废物贮存污染控制标准》（GB18597-2023）、《危险废物转移联单制度》等相关法律法规及管理要求，张贴危险废物标识，建立危险废物台账，如实记载危险废物种类、数量、性质、产生环节、流向、贮存、利用处置等信息。</w:t>
      </w:r>
    </w:p>
    <w:p w14:paraId="74F313B8">
      <w:pPr>
        <w:keepNext w:val="0"/>
        <w:keepLines w:val="0"/>
        <w:pageBreakBefore w:val="0"/>
        <w:widowControl w:val="0"/>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lang w:val="en-US" w:eastAsia="zh-CN"/>
        </w:rPr>
      </w:pP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五</w:t>
      </w: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生态保护</w:t>
      </w:r>
      <w:r>
        <w:rPr>
          <w:rFonts w:hint="eastAsia" w:ascii="楷体_GB2312" w:hAnsi="Calibri" w:eastAsia="楷体_GB2312" w:cs="Arial"/>
          <w:b/>
          <w:bCs/>
          <w:color w:val="auto"/>
          <w:sz w:val="32"/>
          <w:szCs w:val="32"/>
          <w:highlight w:val="none"/>
        </w:rPr>
        <w:t>方面</w:t>
      </w:r>
    </w:p>
    <w:p w14:paraId="0AB0EE8B">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val="en-US" w:eastAsia="zh-CN"/>
        </w:rPr>
        <w:t>施工期剥离表土单独堆存，施工完成后对</w:t>
      </w:r>
      <w:r>
        <w:rPr>
          <w:rFonts w:hint="eastAsia" w:ascii="仿宋_GB2312" w:hAnsi="仿宋_GB2312" w:eastAsia="仿宋_GB2312" w:cs="仿宋_GB2312"/>
          <w:sz w:val="32"/>
          <w:szCs w:val="32"/>
          <w:highlight w:val="none"/>
        </w:rPr>
        <w:t>临时占地进行植被恢复，优先使用原生表土和乡土物种，恢复植被和土壤</w:t>
      </w:r>
      <w:r>
        <w:rPr>
          <w:rFonts w:hint="eastAsia" w:ascii="仿宋_GB2312" w:hAnsi="仿宋_GB2312" w:eastAsia="仿宋_GB2312" w:cs="仿宋_GB2312"/>
          <w:sz w:val="32"/>
          <w:szCs w:val="32"/>
          <w:highlight w:val="none"/>
          <w:lang w:val="en-US" w:eastAsia="zh-CN"/>
        </w:rPr>
        <w:t>。</w:t>
      </w:r>
    </w:p>
    <w:p w14:paraId="4AA74BA2">
      <w:pPr>
        <w:keepNext w:val="0"/>
        <w:keepLines w:val="0"/>
        <w:pageBreakBefore w:val="0"/>
        <w:widowControl w:val="0"/>
        <w:numPr>
          <w:ilvl w:val="0"/>
          <w:numId w:val="1"/>
        </w:numPr>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6F4E982C">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18B6BF93">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eastAsia" w:ascii="仿宋_GB2312" w:hAnsi="Calibri" w:eastAsia="仿宋_GB2312" w:cs="Arial"/>
          <w:color w:val="auto"/>
          <w:sz w:val="32"/>
          <w:szCs w:val="32"/>
          <w:highlight w:val="none"/>
          <w:lang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5</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10</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24</w:t>
      </w:r>
      <w:r>
        <w:rPr>
          <w:rFonts w:hint="eastAsia" w:ascii="仿宋_GB2312" w:hAnsi="Calibri" w:eastAsia="仿宋_GB2312" w:cs="Arial"/>
          <w:color w:val="auto"/>
          <w:sz w:val="32"/>
          <w:szCs w:val="32"/>
          <w:highlight w:val="none"/>
          <w:lang w:eastAsia="zh-CN"/>
        </w:rPr>
        <w:t>日</w:t>
      </w:r>
    </w:p>
    <w:p w14:paraId="277465C0">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default" w:ascii="仿宋_GB2312" w:hAnsi="Calibri" w:eastAsia="仿宋_GB2312" w:cs="Arial"/>
          <w:color w:val="auto"/>
          <w:sz w:val="32"/>
          <w:szCs w:val="32"/>
          <w:highlight w:val="none"/>
          <w:lang w:val="en-US" w:eastAsia="zh-CN"/>
        </w:rPr>
      </w:pPr>
      <w:bookmarkStart w:id="1" w:name="_GoBack"/>
      <w:bookmarkEnd w:id="1"/>
    </w:p>
    <w:p w14:paraId="35155A95">
      <w:pPr>
        <w:keepNext w:val="0"/>
        <w:keepLines w:val="0"/>
        <w:pageBreakBefore w:val="0"/>
        <w:widowControl w:val="0"/>
        <w:kinsoku/>
        <w:wordWrap/>
        <w:overflowPunct/>
        <w:topLinePunct w:val="0"/>
        <w:autoSpaceDE w:val="0"/>
        <w:autoSpaceDN w:val="0"/>
        <w:bidi w:val="0"/>
        <w:adjustRightInd w:val="0"/>
        <w:spacing w:line="560" w:lineRule="exact"/>
        <w:jc w:val="both"/>
        <w:rPr>
          <w:rFonts w:hint="default"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highlight w:val="none"/>
          <w:lang w:val="en-US" w:eastAsia="zh-CN" w:bidi="ar-SA"/>
        </w:rPr>
        <w:t>抄送：盟生态环境综合行政执法支队       盟生态环境局东乌珠穆沁旗分局</w:t>
      </w:r>
    </w:p>
    <w:p w14:paraId="68A44406">
      <w:pPr>
        <w:pStyle w:val="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highlight w:val="none"/>
        </w:rPr>
      </w:pPr>
      <w:r>
        <w:rPr>
          <w:rFonts w:hint="eastAsia" w:ascii="仿宋_GB2312" w:hAnsi="仿宋_GB2312" w:eastAsia="仿宋_GB2312" w:cs="仿宋_GB2312"/>
          <w:color w:val="auto"/>
          <w:kern w:val="2"/>
          <w:sz w:val="28"/>
          <w:szCs w:val="28"/>
          <w:highlight w:val="none"/>
          <w:lang w:val="en-US" w:eastAsia="zh-CN" w:bidi="ar-SA"/>
        </w:rPr>
        <w:t>锡林郭勒盟生态环境局办公室             2025年10月24日印发</w:t>
      </w:r>
    </w:p>
    <w:p w14:paraId="4ACD6116">
      <w:pPr>
        <w:ind w:firstLine="210" w:firstLineChars="100"/>
        <w:rPr>
          <w:highlight w:val="none"/>
        </w:rPr>
      </w:pP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3"/>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3"/>
                      <w:rPr>
                        <w:rFonts w:hint="eastAsia" w:asciiTheme="minorEastAsia" w:hAnsiTheme="minorEastAsia" w:eastAsiaTheme="minorEastAsia" w:cstheme="minorEastAsia"/>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18EB6"/>
    <w:multiLevelType w:val="singleLevel"/>
    <w:tmpl w:val="3B018E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F362D"/>
    <w:rsid w:val="01246D1A"/>
    <w:rsid w:val="014B4068"/>
    <w:rsid w:val="01D134FA"/>
    <w:rsid w:val="02B01361"/>
    <w:rsid w:val="03C94DF8"/>
    <w:rsid w:val="047A1C27"/>
    <w:rsid w:val="04BC5D9C"/>
    <w:rsid w:val="0509371D"/>
    <w:rsid w:val="05882122"/>
    <w:rsid w:val="05E7509A"/>
    <w:rsid w:val="069B5E85"/>
    <w:rsid w:val="07B90CB8"/>
    <w:rsid w:val="080261BB"/>
    <w:rsid w:val="08397703"/>
    <w:rsid w:val="08716E9D"/>
    <w:rsid w:val="088766C0"/>
    <w:rsid w:val="09102D8D"/>
    <w:rsid w:val="09615163"/>
    <w:rsid w:val="0B30462F"/>
    <w:rsid w:val="0CF63E15"/>
    <w:rsid w:val="0D136775"/>
    <w:rsid w:val="0D980131"/>
    <w:rsid w:val="0E1E1CB4"/>
    <w:rsid w:val="0EE859DF"/>
    <w:rsid w:val="0F5D6655"/>
    <w:rsid w:val="10EA3C90"/>
    <w:rsid w:val="117143B2"/>
    <w:rsid w:val="118063A3"/>
    <w:rsid w:val="11EA01E5"/>
    <w:rsid w:val="125F420A"/>
    <w:rsid w:val="14682881"/>
    <w:rsid w:val="1A937147"/>
    <w:rsid w:val="1B1541F5"/>
    <w:rsid w:val="1B8151F1"/>
    <w:rsid w:val="1FD53DA5"/>
    <w:rsid w:val="208E79CF"/>
    <w:rsid w:val="20905937"/>
    <w:rsid w:val="2100305C"/>
    <w:rsid w:val="229B303C"/>
    <w:rsid w:val="23BB613A"/>
    <w:rsid w:val="25A466AC"/>
    <w:rsid w:val="25CE54D7"/>
    <w:rsid w:val="26E52AD8"/>
    <w:rsid w:val="27361586"/>
    <w:rsid w:val="27784C3D"/>
    <w:rsid w:val="28221B0A"/>
    <w:rsid w:val="29424212"/>
    <w:rsid w:val="2AC84BEB"/>
    <w:rsid w:val="2ADF32BC"/>
    <w:rsid w:val="2AFA0B1C"/>
    <w:rsid w:val="2B056880"/>
    <w:rsid w:val="2B606BD1"/>
    <w:rsid w:val="2BAB49C5"/>
    <w:rsid w:val="2CE7698C"/>
    <w:rsid w:val="2E075A2A"/>
    <w:rsid w:val="2EFB7F7B"/>
    <w:rsid w:val="2F4F1437"/>
    <w:rsid w:val="2F6824F8"/>
    <w:rsid w:val="2F8F5CD7"/>
    <w:rsid w:val="2FA15A0A"/>
    <w:rsid w:val="30CD2F5B"/>
    <w:rsid w:val="30FD3114"/>
    <w:rsid w:val="310444A3"/>
    <w:rsid w:val="342F5CDB"/>
    <w:rsid w:val="34B166F0"/>
    <w:rsid w:val="34E268A9"/>
    <w:rsid w:val="38C073F1"/>
    <w:rsid w:val="3A105C66"/>
    <w:rsid w:val="3A4B4EF0"/>
    <w:rsid w:val="3B3836C7"/>
    <w:rsid w:val="3B5A7511"/>
    <w:rsid w:val="3B842122"/>
    <w:rsid w:val="3BAB3E99"/>
    <w:rsid w:val="3C025A83"/>
    <w:rsid w:val="3CAF1767"/>
    <w:rsid w:val="3DA52B6A"/>
    <w:rsid w:val="3DD84CED"/>
    <w:rsid w:val="3ECB598F"/>
    <w:rsid w:val="3EE04D72"/>
    <w:rsid w:val="414601C0"/>
    <w:rsid w:val="414D77A0"/>
    <w:rsid w:val="415428DD"/>
    <w:rsid w:val="436F39FE"/>
    <w:rsid w:val="43761230"/>
    <w:rsid w:val="43BC6374"/>
    <w:rsid w:val="43E066A9"/>
    <w:rsid w:val="44641089"/>
    <w:rsid w:val="479F062A"/>
    <w:rsid w:val="496477F7"/>
    <w:rsid w:val="49D96075"/>
    <w:rsid w:val="4A9B157C"/>
    <w:rsid w:val="4B552AA6"/>
    <w:rsid w:val="4B670384"/>
    <w:rsid w:val="4DE66FB2"/>
    <w:rsid w:val="4FA90AD2"/>
    <w:rsid w:val="50B213CE"/>
    <w:rsid w:val="5119144D"/>
    <w:rsid w:val="515B2324"/>
    <w:rsid w:val="52EA0FEF"/>
    <w:rsid w:val="532A5B93"/>
    <w:rsid w:val="54603F5B"/>
    <w:rsid w:val="56391260"/>
    <w:rsid w:val="57995095"/>
    <w:rsid w:val="58006EC2"/>
    <w:rsid w:val="589979C4"/>
    <w:rsid w:val="59DE3233"/>
    <w:rsid w:val="5A6C17A9"/>
    <w:rsid w:val="5AB10EDB"/>
    <w:rsid w:val="5C547A3A"/>
    <w:rsid w:val="5C666C4B"/>
    <w:rsid w:val="5D373EE0"/>
    <w:rsid w:val="5E0A56D8"/>
    <w:rsid w:val="5E2E29DB"/>
    <w:rsid w:val="5E3B6EA6"/>
    <w:rsid w:val="5E714676"/>
    <w:rsid w:val="5E7C0CB8"/>
    <w:rsid w:val="5F096FA4"/>
    <w:rsid w:val="5F623CFA"/>
    <w:rsid w:val="5F954394"/>
    <w:rsid w:val="5FA6467B"/>
    <w:rsid w:val="6151078F"/>
    <w:rsid w:val="61D5316E"/>
    <w:rsid w:val="6235508F"/>
    <w:rsid w:val="62AC1363"/>
    <w:rsid w:val="62B94D98"/>
    <w:rsid w:val="62DD22DA"/>
    <w:rsid w:val="641A4CCC"/>
    <w:rsid w:val="64DF78E7"/>
    <w:rsid w:val="685A2794"/>
    <w:rsid w:val="691C1682"/>
    <w:rsid w:val="6AD42215"/>
    <w:rsid w:val="6B623CC4"/>
    <w:rsid w:val="6B8E4AB9"/>
    <w:rsid w:val="6BFF57BE"/>
    <w:rsid w:val="6D4B0788"/>
    <w:rsid w:val="6D4D192F"/>
    <w:rsid w:val="6E387165"/>
    <w:rsid w:val="6E804461"/>
    <w:rsid w:val="6F084B83"/>
    <w:rsid w:val="6F1E6154"/>
    <w:rsid w:val="6F55769C"/>
    <w:rsid w:val="6F9B4E77"/>
    <w:rsid w:val="716A30B7"/>
    <w:rsid w:val="72E12285"/>
    <w:rsid w:val="73A4210F"/>
    <w:rsid w:val="746F1200"/>
    <w:rsid w:val="752E4C17"/>
    <w:rsid w:val="75355FA6"/>
    <w:rsid w:val="77550B81"/>
    <w:rsid w:val="7A342CD0"/>
    <w:rsid w:val="7ABD49D6"/>
    <w:rsid w:val="7B9559F0"/>
    <w:rsid w:val="7BFF2E69"/>
    <w:rsid w:val="7C1D7794"/>
    <w:rsid w:val="7E633B84"/>
    <w:rsid w:val="7F34107C"/>
    <w:rsid w:val="7FDD1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semiHidden/>
    <w:qFormat/>
    <w:uiPriority w:val="0"/>
    <w:pPr>
      <w:jc w:val="left"/>
    </w:pPr>
    <w:rPr>
      <w:kern w:val="0"/>
      <w:sz w:val="24"/>
      <w:szCs w:val="20"/>
    </w:rPr>
  </w:style>
  <w:style w:type="paragraph" w:styleId="3">
    <w:name w:val="footer"/>
    <w:basedOn w:val="1"/>
    <w:next w:val="1"/>
    <w:semiHidden/>
    <w:unhideWhenUsed/>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1613</Words>
  <Characters>1724</Characters>
  <Lines>0</Lines>
  <Paragraphs>0</Paragraphs>
  <TotalTime>16</TotalTime>
  <ScaleCrop>false</ScaleCrop>
  <LinksUpToDate>false</LinksUpToDate>
  <CharactersWithSpaces>1772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2025-10-16T08:48:00Z</cp:lastPrinted>
  <dcterms:modified xsi:type="dcterms:W3CDTF">2025-10-24T02:36:32Z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3752EBCB6F0A4F2E8115FD14C38A0A17_13</vt:lpwstr>
  </property>
  <property fmtid="{D5CDD505-2E9C-101B-9397-08002B2CF9AE}" pid="4" name="KSOTemplateDocerSaveRecord">
    <vt:lpwstr>eyJoZGlkIjoiNzQ5YzIwZGE2ZmU0ZDQ1NzU1ODA3Y2ZhM2Y3NzgzNmIiLCJ1c2VySWQiOiIyNzY5NTQ3NjAifQ==</vt:lpwstr>
  </property>
</Properties>
</file>