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FB712">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48E0E95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EA8A0C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77C98B3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18814C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A638D7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ECD62C3">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5440E1CC">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1F63A093">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34</w:t>
      </w:r>
      <w:r>
        <w:rPr>
          <w:rFonts w:hint="eastAsia" w:ascii="仿宋_GB2312" w:hAnsi="Times New Roman" w:eastAsia="仿宋_GB2312" w:cs="Arial"/>
          <w:color w:val="auto"/>
          <w:sz w:val="32"/>
          <w:szCs w:val="32"/>
          <w:highlight w:val="none"/>
          <w:lang w:bidi="en-US"/>
        </w:rPr>
        <w:t>号</w:t>
      </w:r>
    </w:p>
    <w:p w14:paraId="1BFA2F69">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p>
    <w:p w14:paraId="25ED4317">
      <w:pPr>
        <w:widowControl/>
        <w:spacing w:line="700" w:lineRule="exact"/>
        <w:jc w:val="center"/>
        <w:textAlignment w:val="baseline"/>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锡林郭勒盟生态环境局</w:t>
      </w:r>
    </w:p>
    <w:bookmarkEnd w:id="0"/>
    <w:p w14:paraId="3B4B33BC">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highlight w:val="none"/>
          <w:lang w:eastAsia="zh-CN"/>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eastAsia="zh-CN"/>
        </w:rPr>
        <w:t>阿巴嘎旗新建生活垃圾填埋场项目</w:t>
      </w:r>
    </w:p>
    <w:p w14:paraId="4E2C9C91">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lang w:eastAsia="zh-CN"/>
        </w:rPr>
        <w:t>环境影响报告书</w:t>
      </w:r>
      <w:r>
        <w:rPr>
          <w:rFonts w:hint="eastAsia" w:ascii="方正小标宋简体" w:hAnsi="方正小标宋简体" w:eastAsia="方正小标宋简体" w:cs="方正小标宋简体"/>
          <w:bCs/>
          <w:color w:val="auto"/>
          <w:sz w:val="44"/>
          <w:szCs w:val="44"/>
          <w:highlight w:val="none"/>
        </w:rPr>
        <w:t>的批复</w:t>
      </w:r>
    </w:p>
    <w:p w14:paraId="3A15A36C">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98F22F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阿巴嘎旗住房和城乡建设局</w:t>
      </w:r>
      <w:r>
        <w:rPr>
          <w:rFonts w:hint="eastAsia" w:ascii="仿宋_GB2312" w:hAnsi="仿宋_GB2312" w:eastAsia="仿宋_GB2312" w:cs="仿宋_GB2312"/>
          <w:color w:val="auto"/>
          <w:sz w:val="32"/>
          <w:szCs w:val="32"/>
          <w:lang w:bidi="en-US"/>
        </w:rPr>
        <w:t>：</w:t>
      </w:r>
    </w:p>
    <w:p w14:paraId="3999B54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 xml:space="preserve">    </w:t>
      </w: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eastAsia="zh-CN" w:bidi="en-US"/>
        </w:rPr>
        <w:t>阿巴嘎旗新建生活垃圾填埋场项目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6D969B19">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阿巴嘎旗新建生活垃圾填埋场项目位于阿巴嘎旗别力古台镇额尔敦宝拉格嘎查，坐标为E：114°57′24.85″、N：43°58′33.43″。总占地面积为48549.05平方米。本项目拟建生活垃圾填埋场一座，主要建设内容包括：填埋库区、渗滤液收集池及处理设施、渗滤液导流系统、填埋气导排系统以及其他公辅工程等。项目建成后总库容为38.7万立方米，有效库容约30万立方米，填埋总量为48万吨，计划服务年限20年，生活垃圾处置规模为2.4万吨/年。</w:t>
      </w:r>
    </w:p>
    <w:p w14:paraId="2E5BB5B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w:t>
      </w:r>
      <w:r>
        <w:rPr>
          <w:rFonts w:hint="eastAsia" w:ascii="仿宋_GB2312" w:hAnsi="仿宋_GB2312" w:eastAsia="仿宋_GB2312" w:cs="仿宋_GB2312"/>
          <w:color w:val="auto"/>
          <w:sz w:val="32"/>
          <w:szCs w:val="32"/>
          <w:lang w:val="en-US" w:eastAsia="zh-CN" w:bidi="en-US"/>
        </w:rPr>
        <w:t>和拟采取的污染防治措施及下述要求进行建设。</w:t>
      </w:r>
    </w:p>
    <w:p w14:paraId="2E28EE73">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0FF75BC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Times New Roman"/>
          <w:color w:val="000000"/>
          <w:kern w:val="2"/>
          <w:sz w:val="32"/>
          <w:szCs w:val="32"/>
          <w:lang w:val="en-US" w:eastAsia="zh-CN" w:bidi="ar-SA"/>
        </w:rPr>
        <w:t>垃圾填埋废气通过导气石笼收集，火炬系统燃烧处理，最终甲烷排放满足《生活垃圾填埋场污染控制标准》（GB16889-2024）限值要求。调节池及渗滤液处理系统采取密闭措施，产生的废气均通过负压收集，二级活性炭吸附装置处理后，经排气筒排放，其中恶臭污染因子有组织排放浓度须满足《恶臭污染物排放标准》（GB14554-93）限值要求。同时车辆密闭运输，控制车速，道路洒水抑尘。填埋作业过程中洒水抑尘，垃圾及时覆土碾压，定期喷洒除臭剂，场区四周设置防飞散网围栏，最终厂界颗粒物无组织排放浓度须满足《大气污染物综合排放标准》（GB16297-1996）限值要求；厂界恶臭污染因子无组织排放须满足《恶臭污染物排放标准》（GB14554-93）限值要求。</w:t>
      </w:r>
    </w:p>
    <w:p w14:paraId="47029421">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color w:val="auto"/>
          <w:kern w:val="2"/>
          <w:sz w:val="32"/>
          <w:szCs w:val="32"/>
          <w:lang w:val="en-US" w:eastAsia="zh-CN" w:bidi="ar-SA"/>
        </w:rPr>
        <w:t>渗滤液处理系统污泥、洗车沉淀池底泥及生活垃圾均在本项目填埋场卫生填埋处置；浓缩液暂存至浓液池，定期回喷填埋场；在线监测设备废液、废活性炭、废反渗透膜均分类、分区暂存于危废暂存间内，定期委托有资质的单位回收处置。</w:t>
      </w:r>
    </w:p>
    <w:p w14:paraId="10F7217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b w:val="0"/>
          <w:bCs w:val="0"/>
          <w:color w:val="000000"/>
          <w:kern w:val="2"/>
          <w:sz w:val="32"/>
          <w:szCs w:val="32"/>
          <w:lang w:val="en-US" w:eastAsia="zh-CN" w:bidi="en-US"/>
        </w:rPr>
        <w:t>车辆冲洗废水经沉淀池处理后回用；人员生活污水经防渗化粪池收集后排入渗滤液调节池，与渗滤液一起经渗滤液处理系统处理满足《城市污水再生利用城市杂用水水质》（GB/T18920-2020）限值要求后，用于场区绿化、道路洒水抑尘。浓缩液暂存至浓液池，定期回喷填埋场。</w:t>
      </w:r>
    </w:p>
    <w:p w14:paraId="008FB26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（四）严格落实噪声防治措施。</w:t>
      </w:r>
      <w:r>
        <w:rPr>
          <w:rFonts w:hint="eastAsia" w:ascii="仿宋_GB2312" w:hAnsi="仿宋_GB2312" w:eastAsia="仿宋_GB2312" w:cs="仿宋_GB2312"/>
          <w:color w:val="auto"/>
          <w:kern w:val="2"/>
          <w:sz w:val="32"/>
          <w:szCs w:val="32"/>
          <w:highlight w:val="none"/>
          <w:lang w:val="en-US" w:eastAsia="zh-CN" w:bidi="en-US"/>
        </w:rPr>
        <w:t>针对不同的声源采取相应的消声、隔音、减振、降噪措施，高噪设备均置于封闭车间内并加装减震基座，同时加强机械设备日常维护。运输车辆减速行驶，禁止鸣笛。最终噪声排放满足《工业企业厂界环境噪声排放标准》（GB12348-2008）2类区标准限值要求。</w:t>
      </w:r>
    </w:p>
    <w:p w14:paraId="52EB28A5">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（五）切实落实土壤和地下水污染防治措施。</w:t>
      </w:r>
      <w:r>
        <w:rPr>
          <w:rFonts w:hint="eastAsia" w:ascii="仿宋_GB2312" w:hAnsi="仿宋_GB2312" w:eastAsia="仿宋_GB2312" w:cs="仿宋_GB2312"/>
          <w:color w:val="auto"/>
          <w:kern w:val="2"/>
          <w:sz w:val="32"/>
          <w:szCs w:val="32"/>
          <w:highlight w:val="none"/>
          <w:lang w:val="en-US"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013703CB">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（六）强化环境风险防范措施。</w:t>
      </w:r>
      <w:r>
        <w:rPr>
          <w:rFonts w:hint="eastAsia" w:ascii="仿宋_GB2312" w:hAnsi="仿宋_GB2312" w:eastAsia="仿宋_GB2312" w:cs="仿宋_GB2312"/>
          <w:color w:val="auto"/>
          <w:kern w:val="2"/>
          <w:sz w:val="32"/>
          <w:szCs w:val="32"/>
          <w:highlight w:val="none"/>
          <w:lang w:val="en-US" w:eastAsia="zh-CN" w:bidi="en-US"/>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8456AE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（七）严格落实运营期污染源监测计划。</w:t>
      </w:r>
      <w:r>
        <w:rPr>
          <w:rFonts w:hint="eastAsia" w:ascii="仿宋_GB2312" w:hAnsi="仿宋_GB2312" w:eastAsia="仿宋_GB2312" w:cs="仿宋_GB2312"/>
          <w:color w:val="auto"/>
          <w:kern w:val="2"/>
          <w:sz w:val="32"/>
          <w:szCs w:val="32"/>
          <w:highlight w:val="none"/>
          <w:lang w:val="en-US"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0DF7901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kern w:val="0"/>
          <w:sz w:val="32"/>
          <w:szCs w:val="32"/>
          <w:lang w:val="en-US" w:eastAsia="zh-CN" w:bidi="ar"/>
        </w:rPr>
        <w:t>（八）建立畅通的公众参与平台。</w:t>
      </w:r>
      <w:r>
        <w:rPr>
          <w:rFonts w:hint="eastAsia" w:ascii="仿宋_GB2312" w:hAnsi="仿宋_GB2312" w:eastAsia="仿宋_GB2312" w:cs="仿宋_GB2312"/>
          <w:color w:val="000000"/>
          <w:sz w:val="32"/>
          <w:szCs w:val="32"/>
        </w:rPr>
        <w:t>加强宣传和沟通工作，关注周边居民意见，及时解决公众担忧的环境问题，满足公众合理的环境诉求。</w:t>
      </w:r>
    </w:p>
    <w:p w14:paraId="2D0D2BE1">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36E2E73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阿巴嘎旗分局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7B6A7FEF">
      <w:pPr>
        <w:keepNext w:val="0"/>
        <w:keepLines w:val="0"/>
        <w:pageBreakBefore w:val="0"/>
        <w:widowControl w:val="0"/>
        <w:kinsoku/>
        <w:wordWrap/>
        <w:overflowPunct/>
        <w:autoSpaceDE w:val="0"/>
        <w:autoSpaceDN w:val="0"/>
        <w:bidi w:val="0"/>
        <w:adjustRightInd w:val="0"/>
        <w:snapToGrid w:val="0"/>
        <w:spacing w:line="520" w:lineRule="exact"/>
        <w:textAlignment w:val="auto"/>
        <w:rPr>
          <w:rFonts w:hint="eastAsia" w:ascii="仿宋_GB2312" w:hAnsi="仿宋_GB2312" w:eastAsia="仿宋_GB2312" w:cs="仿宋_GB2312"/>
          <w:color w:val="auto"/>
          <w:sz w:val="32"/>
          <w:szCs w:val="32"/>
          <w:lang w:bidi="en-US"/>
        </w:rPr>
      </w:pPr>
    </w:p>
    <w:p w14:paraId="1A14C6BD">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lang w:eastAsia="zh-CN" w:bidi="en-US"/>
        </w:rPr>
      </w:pPr>
    </w:p>
    <w:p w14:paraId="7D38BB4F">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lang w:bidi="en-US"/>
        </w:rPr>
        <w:t>锡林</w:t>
      </w:r>
      <w:r>
        <w:rPr>
          <w:rFonts w:hint="eastAsia" w:ascii="仿宋_GB2312" w:hAnsi="仿宋_GB2312" w:eastAsia="仿宋_GB2312" w:cs="仿宋_GB2312"/>
          <w:color w:val="auto"/>
          <w:sz w:val="32"/>
          <w:szCs w:val="32"/>
          <w:highlight w:val="none"/>
          <w:lang w:bidi="en-US"/>
        </w:rPr>
        <w:t>郭勒盟生态环境局</w:t>
      </w:r>
    </w:p>
    <w:p w14:paraId="79DD03A0">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highlight w:val="none"/>
          <w:lang w:bidi="en-US"/>
        </w:rPr>
        <w:t>202</w:t>
      </w:r>
      <w:r>
        <w:rPr>
          <w:rFonts w:hint="eastAsia" w:ascii="仿宋_GB2312" w:hAnsi="仿宋_GB2312" w:eastAsia="仿宋_GB2312" w:cs="仿宋_GB2312"/>
          <w:color w:val="auto"/>
          <w:sz w:val="32"/>
          <w:szCs w:val="32"/>
          <w:highlight w:val="none"/>
          <w:lang w:val="en-US" w:eastAsia="zh-CN" w:bidi="en-US"/>
        </w:rPr>
        <w:t>5</w:t>
      </w:r>
      <w:r>
        <w:rPr>
          <w:rFonts w:hint="eastAsia" w:ascii="仿宋_GB2312" w:hAnsi="仿宋_GB2312" w:eastAsia="仿宋_GB2312" w:cs="仿宋_GB2312"/>
          <w:color w:val="auto"/>
          <w:sz w:val="32"/>
          <w:szCs w:val="32"/>
          <w:highlight w:val="none"/>
          <w:lang w:bidi="en-US"/>
        </w:rPr>
        <w:t>年</w:t>
      </w:r>
      <w:r>
        <w:rPr>
          <w:rFonts w:hint="eastAsia" w:ascii="仿宋_GB2312" w:hAnsi="仿宋_GB2312" w:eastAsia="仿宋_GB2312" w:cs="仿宋_GB2312"/>
          <w:color w:val="auto"/>
          <w:sz w:val="32"/>
          <w:szCs w:val="32"/>
          <w:highlight w:val="none"/>
          <w:lang w:val="en-US" w:eastAsia="zh-CN" w:bidi="en-US"/>
        </w:rPr>
        <w:t>10</w:t>
      </w:r>
      <w:r>
        <w:rPr>
          <w:rFonts w:hint="eastAsia" w:ascii="仿宋_GB2312" w:hAnsi="仿宋_GB2312" w:eastAsia="仿宋_GB2312" w:cs="仿宋_GB2312"/>
          <w:color w:val="auto"/>
          <w:sz w:val="32"/>
          <w:szCs w:val="32"/>
          <w:highlight w:val="none"/>
          <w:lang w:bidi="en-US"/>
        </w:rPr>
        <w:t>月</w:t>
      </w:r>
      <w:r>
        <w:rPr>
          <w:rFonts w:hint="eastAsia" w:ascii="仿宋_GB2312" w:hAnsi="仿宋_GB2312" w:eastAsia="仿宋_GB2312" w:cs="仿宋_GB2312"/>
          <w:color w:val="auto"/>
          <w:sz w:val="32"/>
          <w:szCs w:val="32"/>
          <w:highlight w:val="none"/>
          <w:lang w:val="en-US" w:eastAsia="zh-CN" w:bidi="en-US"/>
        </w:rPr>
        <w:t>21</w:t>
      </w:r>
      <w:r>
        <w:rPr>
          <w:rFonts w:hint="eastAsia" w:ascii="仿宋_GB2312" w:hAnsi="仿宋_GB2312" w:eastAsia="仿宋_GB2312" w:cs="仿宋_GB2312"/>
          <w:color w:val="auto"/>
          <w:sz w:val="32"/>
          <w:szCs w:val="32"/>
          <w:highlight w:val="none"/>
          <w:lang w:bidi="en-US"/>
        </w:rPr>
        <w:t>日</w:t>
      </w:r>
    </w:p>
    <w:p w14:paraId="14567B77">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5D705553">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3537D53C">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bookmarkStart w:id="1" w:name="_GoBack"/>
      <w:bookmarkEnd w:id="1"/>
    </w:p>
    <w:p w14:paraId="24B5C153">
      <w:pPr>
        <w:pStyle w:val="4"/>
        <w:rPr>
          <w:rFonts w:hint="eastAsia"/>
        </w:rPr>
      </w:pPr>
    </w:p>
    <w:p w14:paraId="58EE773F">
      <w:pPr>
        <w:rPr>
          <w:rFonts w:hint="eastAsia"/>
        </w:rPr>
      </w:pPr>
    </w:p>
    <w:p w14:paraId="0E9054CE">
      <w:pPr>
        <w:pStyle w:val="15"/>
        <w:keepNext w:val="0"/>
        <w:keepLines w:val="0"/>
        <w:pageBreakBefore w:val="0"/>
        <w:widowControl w:val="0"/>
        <w:kinsoku/>
        <w:wordWrap/>
        <w:overflowPunct/>
        <w:topLinePunct w:val="0"/>
        <w:bidi w:val="0"/>
        <w:snapToGrid/>
        <w:spacing w:line="500" w:lineRule="exact"/>
        <w:ind w:firstLine="280" w:firstLineChars="100"/>
        <w:jc w:val="both"/>
        <w:textAlignment w:val="auto"/>
        <w:rPr>
          <w:rFonts w:hint="default" w:ascii="仿宋" w:hAnsi="仿宋" w:eastAsia="仿宋" w:cs="仿宋"/>
          <w:color w:val="auto"/>
          <w:kern w:val="2"/>
          <w:sz w:val="28"/>
          <w:szCs w:val="28"/>
          <w:highlight w:val="none"/>
          <w:lang w:val="en-US"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阿巴嘎旗分</w:t>
      </w:r>
      <w:r>
        <w:rPr>
          <w:rFonts w:hint="eastAsia" w:ascii="仿宋" w:hAnsi="仿宋" w:eastAsia="仿宋" w:cs="仿宋"/>
          <w:color w:val="auto"/>
          <w:kern w:val="2"/>
          <w:sz w:val="28"/>
          <w:szCs w:val="28"/>
          <w:highlight w:val="none"/>
          <w:lang w:eastAsia="zh-CN" w:bidi="en-US"/>
        </w:rPr>
        <w:t>局。</w:t>
      </w:r>
    </w:p>
    <w:p w14:paraId="5129C6FB">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firstLine="280" w:firstLineChars="1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202</w:t>
      </w: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年</w:t>
      </w:r>
      <w:r>
        <w:rPr>
          <w:rFonts w:hint="eastAsia" w:ascii="仿宋" w:hAnsi="仿宋" w:eastAsia="仿宋" w:cs="仿宋"/>
          <w:color w:val="auto"/>
          <w:sz w:val="28"/>
          <w:szCs w:val="28"/>
          <w:highlight w:val="none"/>
          <w:lang w:val="en-US" w:eastAsia="zh-CN"/>
        </w:rPr>
        <w:t>10</w:t>
      </w:r>
      <w:r>
        <w:rPr>
          <w:rFonts w:hint="eastAsia" w:ascii="仿宋" w:hAnsi="仿宋" w:eastAsia="仿宋" w:cs="仿宋"/>
          <w:color w:val="auto"/>
          <w:sz w:val="28"/>
          <w:szCs w:val="28"/>
          <w:highlight w:val="none"/>
        </w:rPr>
        <w:t>月</w:t>
      </w:r>
      <w:r>
        <w:rPr>
          <w:rFonts w:hint="eastAsia" w:ascii="仿宋" w:hAnsi="仿宋" w:eastAsia="仿宋" w:cs="仿宋"/>
          <w:color w:val="auto"/>
          <w:sz w:val="28"/>
          <w:szCs w:val="28"/>
          <w:highlight w:val="none"/>
          <w:lang w:val="en-US" w:eastAsia="zh-CN"/>
        </w:rPr>
        <w:t>21</w:t>
      </w:r>
      <w:r>
        <w:rPr>
          <w:rFonts w:hint="eastAsia" w:ascii="仿宋" w:hAnsi="仿宋" w:eastAsia="仿宋" w:cs="仿宋"/>
          <w:color w:val="auto"/>
          <w:sz w:val="28"/>
          <w:szCs w:val="28"/>
          <w:highlight w:val="none"/>
        </w:rPr>
        <w:t>日印发</w:t>
      </w:r>
    </w:p>
    <w:sectPr>
      <w:footerReference r:id="rId3" w:type="default"/>
      <w:pgSz w:w="11906" w:h="16838"/>
      <w:pgMar w:top="1701" w:right="1417" w:bottom="1417"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07984">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3D82B9">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23D82B9">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2C660D"/>
    <w:multiLevelType w:val="singleLevel"/>
    <w:tmpl w:val="802C660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C7A4895"/>
    <w:rsid w:val="0D6D6C1D"/>
    <w:rsid w:val="0E2F5830"/>
    <w:rsid w:val="0EE27BE5"/>
    <w:rsid w:val="109F048E"/>
    <w:rsid w:val="133A3E29"/>
    <w:rsid w:val="134A4ECA"/>
    <w:rsid w:val="14487D3B"/>
    <w:rsid w:val="15F917DF"/>
    <w:rsid w:val="1618304E"/>
    <w:rsid w:val="1772A69C"/>
    <w:rsid w:val="19502AFF"/>
    <w:rsid w:val="1B244243"/>
    <w:rsid w:val="1B7C0676"/>
    <w:rsid w:val="1BF2CB73"/>
    <w:rsid w:val="1D61177E"/>
    <w:rsid w:val="1DFF5741"/>
    <w:rsid w:val="1E2A308C"/>
    <w:rsid w:val="1F9C573C"/>
    <w:rsid w:val="206016CD"/>
    <w:rsid w:val="20FD21D9"/>
    <w:rsid w:val="22B733D3"/>
    <w:rsid w:val="25875AFA"/>
    <w:rsid w:val="2624159B"/>
    <w:rsid w:val="29D8150D"/>
    <w:rsid w:val="2CF929A0"/>
    <w:rsid w:val="2F1F3E8C"/>
    <w:rsid w:val="2F2B74F6"/>
    <w:rsid w:val="2F7E7F6E"/>
    <w:rsid w:val="2F7F303D"/>
    <w:rsid w:val="32B41BB8"/>
    <w:rsid w:val="34D36666"/>
    <w:rsid w:val="37080677"/>
    <w:rsid w:val="37DB3B17"/>
    <w:rsid w:val="37DFB9CE"/>
    <w:rsid w:val="38763ED8"/>
    <w:rsid w:val="3A235A71"/>
    <w:rsid w:val="3AD90E3C"/>
    <w:rsid w:val="3BFB7ADD"/>
    <w:rsid w:val="3EDBBAD3"/>
    <w:rsid w:val="3F5D39FD"/>
    <w:rsid w:val="3FC31BD1"/>
    <w:rsid w:val="445D3A2B"/>
    <w:rsid w:val="466622E2"/>
    <w:rsid w:val="46B26845"/>
    <w:rsid w:val="4A3B72B4"/>
    <w:rsid w:val="4CDD40CE"/>
    <w:rsid w:val="4D2A6715"/>
    <w:rsid w:val="4FFB87F7"/>
    <w:rsid w:val="501114FC"/>
    <w:rsid w:val="51C27D36"/>
    <w:rsid w:val="56990422"/>
    <w:rsid w:val="58B80B09"/>
    <w:rsid w:val="59CA0623"/>
    <w:rsid w:val="5C1271C4"/>
    <w:rsid w:val="5DF7C719"/>
    <w:rsid w:val="5DFFD6AD"/>
    <w:rsid w:val="5FA70BB0"/>
    <w:rsid w:val="5FDE5DAC"/>
    <w:rsid w:val="617526E2"/>
    <w:rsid w:val="6372336A"/>
    <w:rsid w:val="640E5DD6"/>
    <w:rsid w:val="640F77AC"/>
    <w:rsid w:val="6479615F"/>
    <w:rsid w:val="648F50DD"/>
    <w:rsid w:val="65980358"/>
    <w:rsid w:val="67927E4C"/>
    <w:rsid w:val="68387D94"/>
    <w:rsid w:val="69CC12A6"/>
    <w:rsid w:val="6BD00E31"/>
    <w:rsid w:val="6E1A4AAF"/>
    <w:rsid w:val="6FD159E5"/>
    <w:rsid w:val="6FEE6D0C"/>
    <w:rsid w:val="70EA0941"/>
    <w:rsid w:val="717E112C"/>
    <w:rsid w:val="71E5266B"/>
    <w:rsid w:val="71FFDCEE"/>
    <w:rsid w:val="737F42A4"/>
    <w:rsid w:val="740D1653"/>
    <w:rsid w:val="77483AA9"/>
    <w:rsid w:val="776575C6"/>
    <w:rsid w:val="77A04D8F"/>
    <w:rsid w:val="77A23F56"/>
    <w:rsid w:val="77FB60A4"/>
    <w:rsid w:val="786A0221"/>
    <w:rsid w:val="78CC1696"/>
    <w:rsid w:val="795254DD"/>
    <w:rsid w:val="79F6371A"/>
    <w:rsid w:val="7B74E570"/>
    <w:rsid w:val="7C7FDDB9"/>
    <w:rsid w:val="7CE53CE8"/>
    <w:rsid w:val="7E5356DB"/>
    <w:rsid w:val="7EF94ADD"/>
    <w:rsid w:val="7F5DA376"/>
    <w:rsid w:val="7F6C2C5A"/>
    <w:rsid w:val="7F7C8CD3"/>
    <w:rsid w:val="7F7CE8F3"/>
    <w:rsid w:val="7F9F8E51"/>
    <w:rsid w:val="7FBF49B1"/>
    <w:rsid w:val="7FD6261A"/>
    <w:rsid w:val="7FDD5E1F"/>
    <w:rsid w:val="7FFF783F"/>
    <w:rsid w:val="8EFFAFD8"/>
    <w:rsid w:val="92CD1A93"/>
    <w:rsid w:val="979EC8C1"/>
    <w:rsid w:val="97FFBFF7"/>
    <w:rsid w:val="9AD73E0D"/>
    <w:rsid w:val="A7FFBEB9"/>
    <w:rsid w:val="AFDFA893"/>
    <w:rsid w:val="B6FB1ACB"/>
    <w:rsid w:val="BBD7B086"/>
    <w:rsid w:val="BBFD157B"/>
    <w:rsid w:val="BBFFB394"/>
    <w:rsid w:val="BDB9872E"/>
    <w:rsid w:val="CF77A9DB"/>
    <w:rsid w:val="DAFDAA89"/>
    <w:rsid w:val="DBAFDD4B"/>
    <w:rsid w:val="DBD5EE8A"/>
    <w:rsid w:val="DF671AB1"/>
    <w:rsid w:val="DF7B31B7"/>
    <w:rsid w:val="DFBDCEE2"/>
    <w:rsid w:val="DFF844CC"/>
    <w:rsid w:val="E7FD0A82"/>
    <w:rsid w:val="EF6F4B52"/>
    <w:rsid w:val="EFEB112C"/>
    <w:rsid w:val="F3FD86CF"/>
    <w:rsid w:val="F4FE1E3B"/>
    <w:rsid w:val="F87F4D24"/>
    <w:rsid w:val="FC7D141F"/>
    <w:rsid w:val="FE9F31A0"/>
    <w:rsid w:val="FFDD1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qFormat/>
    <w:uiPriority w:val="0"/>
    <w:pPr>
      <w:ind w:firstLine="420" w:firstLineChars="200"/>
    </w:pPr>
    <w:rPr>
      <w:rFonts w:ascii="Times New Roman" w:hAnsi="Times New Roman" w:eastAsia="宋体"/>
      <w:szCs w:val="24"/>
    </w:rPr>
  </w:style>
  <w:style w:type="paragraph" w:styleId="4">
    <w:name w:val="Body Text First Indent 2"/>
    <w:basedOn w:val="5"/>
    <w:next w:val="1"/>
    <w:qFormat/>
    <w:uiPriority w:val="0"/>
    <w:pPr>
      <w:adjustRightInd w:val="0"/>
      <w:ind w:firstLine="420"/>
      <w:textAlignment w:val="baseline"/>
    </w:pPr>
    <w:rPr>
      <w:rFonts w:ascii="宋体" w:hAnsi="宋体"/>
      <w:sz w:val="18"/>
      <w:szCs w:val="18"/>
    </w:rPr>
  </w:style>
  <w:style w:type="paragraph" w:styleId="5">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1837</Words>
  <Characters>1963</Characters>
  <Lines>19</Lines>
  <Paragraphs>5</Paragraphs>
  <TotalTime>22</TotalTime>
  <ScaleCrop>false</ScaleCrop>
  <LinksUpToDate>false</LinksUpToDate>
  <CharactersWithSpaces>1981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2023-02-06T01:32:00Z</dcterms:created>
  <dc:creator>hui hui</dc:creator>
  <cp:lastModifiedBy>ོʚ 中ོ然ོ ɞ</cp:lastModifiedBy>
  <cp:lastPrinted>2023-02-06T01:39:00Z</cp:lastPrinted>
  <dcterms:modified xsi:type="dcterms:W3CDTF">2025-10-21T09:00:59Z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12B1A7F081A245C28FB62FA8185C8345_13</vt:lpwstr>
  </property>
  <property fmtid="{D5CDD505-2E9C-101B-9397-08002B2CF9AE}" pid="4" name="KSOTemplateDocerSaveRecord">
    <vt:lpwstr>eyJoZGlkIjoiNTk0MDc0MWE2MzMxMjkwZmE5ODU4OGMzYzc5YjkzMTAiLCJ1c2VySWQiOiI1NDkxMDYxNjAifQ==</vt:lpwstr>
  </property>
</Properties>
</file>