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BF9C0EB">
      <w:pPr>
        <w:keepNext w:val="0"/>
        <w:keepLines w:val="0"/>
        <w:pageBreakBefore w:val="0"/>
        <w:kinsoku/>
        <w:wordWrap/>
        <w:overflowPunct/>
        <w:topLinePunct w:val="0"/>
        <w:bidi w:val="0"/>
        <w:snapToGrid w:val="0"/>
        <w:spacing w:line="560" w:lineRule="exact"/>
        <w:rPr>
          <w:rFonts w:hint="eastAsia"/>
          <w:color w:val="C00000"/>
          <w:sz w:val="32"/>
          <w:szCs w:val="32"/>
          <w:highlight w:val="yellow"/>
        </w:rPr>
      </w:pPr>
      <w:bookmarkStart w:id="0" w:name="_Hlk124747957"/>
    </w:p>
    <w:p w14:paraId="40286FA1">
      <w:pPr>
        <w:keepNext w:val="0"/>
        <w:keepLines w:val="0"/>
        <w:pageBreakBefore w:val="0"/>
        <w:kinsoku/>
        <w:wordWrap/>
        <w:overflowPunct/>
        <w:topLinePunct w:val="0"/>
        <w:bidi w:val="0"/>
        <w:snapToGrid w:val="0"/>
        <w:spacing w:line="560" w:lineRule="exact"/>
        <w:rPr>
          <w:rFonts w:hint="eastAsia"/>
          <w:color w:val="C00000"/>
          <w:sz w:val="32"/>
          <w:szCs w:val="32"/>
          <w:highlight w:val="yellow"/>
        </w:rPr>
      </w:pPr>
    </w:p>
    <w:p w14:paraId="4F5E4F9D">
      <w:pPr>
        <w:keepNext w:val="0"/>
        <w:keepLines w:val="0"/>
        <w:pageBreakBefore w:val="0"/>
        <w:kinsoku/>
        <w:wordWrap/>
        <w:overflowPunct/>
        <w:topLinePunct w:val="0"/>
        <w:bidi w:val="0"/>
        <w:snapToGrid w:val="0"/>
        <w:spacing w:line="560" w:lineRule="exact"/>
        <w:rPr>
          <w:rFonts w:hint="eastAsia"/>
          <w:color w:val="C00000"/>
          <w:sz w:val="32"/>
          <w:szCs w:val="32"/>
          <w:highlight w:val="yellow"/>
        </w:rPr>
      </w:pPr>
    </w:p>
    <w:p w14:paraId="592C20E3">
      <w:pPr>
        <w:keepNext w:val="0"/>
        <w:keepLines w:val="0"/>
        <w:pageBreakBefore w:val="0"/>
        <w:kinsoku/>
        <w:wordWrap/>
        <w:overflowPunct/>
        <w:topLinePunct w:val="0"/>
        <w:bidi w:val="0"/>
        <w:snapToGrid w:val="0"/>
        <w:spacing w:line="560" w:lineRule="exact"/>
        <w:rPr>
          <w:rFonts w:hint="eastAsia"/>
          <w:color w:val="C00000"/>
          <w:sz w:val="32"/>
          <w:szCs w:val="32"/>
          <w:highlight w:val="yellow"/>
        </w:rPr>
      </w:pPr>
    </w:p>
    <w:p w14:paraId="09474387">
      <w:pPr>
        <w:keepNext w:val="0"/>
        <w:keepLines w:val="0"/>
        <w:pageBreakBefore w:val="0"/>
        <w:kinsoku/>
        <w:wordWrap/>
        <w:overflowPunct/>
        <w:topLinePunct w:val="0"/>
        <w:bidi w:val="0"/>
        <w:snapToGrid w:val="0"/>
        <w:spacing w:line="560" w:lineRule="exact"/>
        <w:rPr>
          <w:rFonts w:hint="eastAsia"/>
          <w:color w:val="C00000"/>
          <w:sz w:val="32"/>
          <w:szCs w:val="32"/>
          <w:highlight w:val="yellow"/>
        </w:rPr>
      </w:pPr>
    </w:p>
    <w:p w14:paraId="57598793">
      <w:pPr>
        <w:pStyle w:val="27"/>
        <w:keepNext w:val="0"/>
        <w:keepLines w:val="0"/>
        <w:pageBreakBefore w:val="0"/>
        <w:kinsoku/>
        <w:wordWrap/>
        <w:overflowPunct/>
        <w:topLinePunct w:val="0"/>
        <w:bidi w:val="0"/>
        <w:spacing w:line="560" w:lineRule="exact"/>
        <w:ind w:left="0" w:leftChars="0" w:firstLine="0" w:firstLineChars="0"/>
        <w:rPr>
          <w:rFonts w:hint="eastAsia"/>
          <w:sz w:val="32"/>
          <w:szCs w:val="32"/>
          <w:highlight w:val="yellow"/>
        </w:rPr>
      </w:pPr>
    </w:p>
    <w:p w14:paraId="3B38FC04">
      <w:pPr>
        <w:keepNext w:val="0"/>
        <w:keepLines w:val="0"/>
        <w:pageBreakBefore w:val="0"/>
        <w:kinsoku/>
        <w:wordWrap/>
        <w:overflowPunct/>
        <w:topLinePunct w:val="0"/>
        <w:bidi w:val="0"/>
        <w:snapToGrid w:val="0"/>
        <w:spacing w:line="560" w:lineRule="exact"/>
        <w:ind w:left="0" w:leftChars="0" w:firstLine="0" w:firstLineChars="0"/>
        <w:jc w:val="left"/>
        <w:rPr>
          <w:rFonts w:hint="eastAsia"/>
          <w:color w:val="auto"/>
          <w:sz w:val="32"/>
          <w:szCs w:val="32"/>
        </w:rPr>
      </w:pPr>
    </w:p>
    <w:p w14:paraId="22699055">
      <w:pPr>
        <w:autoSpaceDE w:val="0"/>
        <w:autoSpaceDN w:val="0"/>
        <w:adjustRightInd w:val="0"/>
        <w:snapToGrid w:val="0"/>
        <w:spacing w:line="560" w:lineRule="exact"/>
        <w:jc w:val="center"/>
        <w:rPr>
          <w:rFonts w:ascii="仿宋_GB2312" w:hAnsi="Times New Roman" w:eastAsia="仿宋_GB2312" w:cs="Arial"/>
          <w:color w:val="auto"/>
          <w:sz w:val="32"/>
          <w:szCs w:val="32"/>
          <w:highlight w:val="none"/>
          <w:lang w:bidi="en-US"/>
        </w:rPr>
      </w:pPr>
      <w:r>
        <w:rPr>
          <w:rFonts w:hint="eastAsia" w:ascii="仿宋_GB2312" w:hAnsi="Times New Roman" w:eastAsia="仿宋_GB2312" w:cs="Arial"/>
          <w:color w:val="auto"/>
          <w:sz w:val="32"/>
          <w:szCs w:val="32"/>
          <w:lang w:bidi="en-US"/>
        </w:rPr>
        <w:t>锡署环审书〔</w:t>
      </w:r>
      <w:r>
        <w:rPr>
          <w:rFonts w:hint="eastAsia" w:ascii="仿宋_GB2312" w:hAnsi="Times New Roman" w:eastAsia="仿宋_GB2312" w:cs="Arial"/>
          <w:color w:val="auto"/>
          <w:sz w:val="32"/>
          <w:szCs w:val="32"/>
          <w:highlight w:val="none"/>
          <w:lang w:bidi="en-US"/>
        </w:rPr>
        <w:t>202</w:t>
      </w:r>
      <w:r>
        <w:rPr>
          <w:rFonts w:hint="eastAsia" w:ascii="仿宋_GB2312" w:hAnsi="Times New Roman" w:eastAsia="仿宋_GB2312" w:cs="Arial"/>
          <w:color w:val="auto"/>
          <w:sz w:val="32"/>
          <w:szCs w:val="32"/>
          <w:highlight w:val="none"/>
          <w:lang w:val="en-US" w:eastAsia="zh-CN" w:bidi="en-US"/>
        </w:rPr>
        <w:t>5</w:t>
      </w:r>
      <w:r>
        <w:rPr>
          <w:rFonts w:hint="eastAsia" w:ascii="仿宋_GB2312" w:hAnsi="Times New Roman" w:eastAsia="仿宋_GB2312" w:cs="Arial"/>
          <w:color w:val="auto"/>
          <w:sz w:val="32"/>
          <w:szCs w:val="32"/>
          <w:highlight w:val="none"/>
          <w:lang w:bidi="en-US"/>
        </w:rPr>
        <w:t>〕</w:t>
      </w:r>
      <w:r>
        <w:rPr>
          <w:rFonts w:hint="eastAsia" w:ascii="仿宋_GB2312" w:hAnsi="Times New Roman" w:eastAsia="仿宋_GB2312" w:cs="Arial"/>
          <w:color w:val="auto"/>
          <w:sz w:val="32"/>
          <w:szCs w:val="32"/>
          <w:highlight w:val="none"/>
          <w:lang w:val="en-US" w:eastAsia="zh-CN" w:bidi="en-US"/>
        </w:rPr>
        <w:t>35</w:t>
      </w:r>
      <w:r>
        <w:rPr>
          <w:rFonts w:hint="eastAsia" w:ascii="仿宋_GB2312" w:hAnsi="Times New Roman" w:eastAsia="仿宋_GB2312" w:cs="Arial"/>
          <w:color w:val="auto"/>
          <w:sz w:val="32"/>
          <w:szCs w:val="32"/>
          <w:highlight w:val="none"/>
          <w:lang w:bidi="en-US"/>
        </w:rPr>
        <w:t>号</w:t>
      </w:r>
    </w:p>
    <w:p w14:paraId="5AA4DFF1">
      <w:pPr>
        <w:adjustRightInd w:val="0"/>
        <w:snapToGrid w:val="0"/>
        <w:spacing w:line="360" w:lineRule="auto"/>
        <w:jc w:val="center"/>
        <w:rPr>
          <w:b/>
          <w:bCs/>
          <w:color w:val="auto"/>
          <w:sz w:val="32"/>
          <w:szCs w:val="32"/>
          <w:highlight w:val="none"/>
        </w:rPr>
      </w:pPr>
    </w:p>
    <w:bookmarkEnd w:id="0"/>
    <w:p w14:paraId="458797DD">
      <w:pPr>
        <w:keepNext w:val="0"/>
        <w:keepLines w:val="0"/>
        <w:pageBreakBefore w:val="0"/>
        <w:widowControl w:val="0"/>
        <w:kinsoku/>
        <w:wordWrap/>
        <w:overflowPunct/>
        <w:topLinePunct w:val="0"/>
        <w:autoSpaceDE/>
        <w:autoSpaceDN/>
        <w:bidi w:val="0"/>
        <w:adjustRightInd/>
        <w:snapToGrid/>
        <w:spacing w:line="700" w:lineRule="exact"/>
        <w:jc w:val="center"/>
        <w:textAlignment w:val="auto"/>
        <w:rPr>
          <w:rFonts w:hint="eastAsia" w:ascii="方正小标宋简体" w:hAnsi="方正小标宋简体" w:eastAsia="方正小标宋简体" w:cs="方正小标宋简体"/>
          <w:b w:val="0"/>
          <w:bCs w:val="0"/>
          <w:color w:val="auto"/>
          <w:sz w:val="44"/>
          <w:szCs w:val="44"/>
          <w:lang w:val="en-US" w:eastAsia="zh-CN"/>
        </w:rPr>
      </w:pPr>
      <w:r>
        <w:rPr>
          <w:rFonts w:hint="eastAsia" w:ascii="方正小标宋简体" w:hAnsi="方正小标宋简体" w:eastAsia="方正小标宋简体" w:cs="方正小标宋简体"/>
          <w:b w:val="0"/>
          <w:bCs w:val="0"/>
          <w:color w:val="auto"/>
          <w:sz w:val="44"/>
          <w:szCs w:val="44"/>
          <w:lang w:val="en-US" w:eastAsia="zh-CN"/>
        </w:rPr>
        <w:t>锡林郭勒盟生态环境局</w:t>
      </w:r>
    </w:p>
    <w:p w14:paraId="1CCF4A52">
      <w:pPr>
        <w:autoSpaceDE w:val="0"/>
        <w:autoSpaceDN w:val="0"/>
        <w:adjustRightInd w:val="0"/>
        <w:snapToGrid w:val="0"/>
        <w:spacing w:line="700" w:lineRule="exact"/>
        <w:jc w:val="center"/>
        <w:rPr>
          <w:rFonts w:ascii="方正小标宋简体" w:hAnsi="方正小标宋简体" w:eastAsia="方正小标宋简体" w:cs="方正小标宋简体"/>
          <w:bCs/>
          <w:color w:val="auto"/>
          <w:sz w:val="44"/>
          <w:szCs w:val="44"/>
          <w:highlight w:val="none"/>
        </w:rPr>
      </w:pPr>
      <w:r>
        <w:rPr>
          <w:rFonts w:hint="eastAsia" w:ascii="方正小标宋简体" w:hAnsi="方正小标宋简体" w:eastAsia="方正小标宋简体" w:cs="方正小标宋简体"/>
          <w:bCs/>
          <w:color w:val="auto"/>
          <w:sz w:val="44"/>
          <w:szCs w:val="44"/>
          <w:highlight w:val="none"/>
        </w:rPr>
        <w:t>关于</w:t>
      </w:r>
      <w:r>
        <w:rPr>
          <w:rFonts w:hint="eastAsia" w:ascii="方正小标宋简体" w:hAnsi="方正小标宋简体" w:eastAsia="方正小标宋简体" w:cs="方正小标宋简体"/>
          <w:bCs/>
          <w:color w:val="auto"/>
          <w:sz w:val="44"/>
          <w:szCs w:val="44"/>
          <w:highlight w:val="none"/>
          <w:lang w:val="en-US" w:eastAsia="zh-CN"/>
        </w:rPr>
        <w:t>锡林郭勒盟白音华工业园区危废处置项目升级优化工程</w:t>
      </w:r>
      <w:r>
        <w:rPr>
          <w:rFonts w:hint="eastAsia" w:ascii="方正小标宋简体" w:hAnsi="方正小标宋简体" w:eastAsia="方正小标宋简体" w:cs="方正小标宋简体"/>
          <w:bCs/>
          <w:color w:val="auto"/>
          <w:sz w:val="44"/>
          <w:szCs w:val="44"/>
          <w:highlight w:val="none"/>
        </w:rPr>
        <w:t>环境影响报告书的批复</w:t>
      </w:r>
    </w:p>
    <w:p w14:paraId="0993FF99">
      <w:pPr>
        <w:autoSpaceDE w:val="0"/>
        <w:autoSpaceDN w:val="0"/>
        <w:adjustRightInd w:val="0"/>
        <w:snapToGrid w:val="0"/>
        <w:spacing w:line="520" w:lineRule="exact"/>
        <w:rPr>
          <w:rFonts w:ascii="仿宋_GB2312" w:hAnsi="仿宋_GB2312" w:eastAsia="仿宋_GB2312" w:cs="仿宋_GB2312"/>
          <w:color w:val="auto"/>
          <w:sz w:val="32"/>
          <w:szCs w:val="32"/>
          <w:lang w:bidi="en-US"/>
        </w:rPr>
      </w:pPr>
    </w:p>
    <w:p w14:paraId="5412440E">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auto"/>
        <w:rPr>
          <w:rFonts w:hint="eastAsia" w:ascii="仿宋_GB2312" w:hAnsi="仿宋_GB2312" w:eastAsia="仿宋_GB2312" w:cs="仿宋_GB2312"/>
          <w:color w:val="auto"/>
          <w:sz w:val="32"/>
          <w:szCs w:val="32"/>
          <w:lang w:bidi="en-US"/>
        </w:rPr>
      </w:pPr>
      <w:r>
        <w:rPr>
          <w:rFonts w:hint="eastAsia" w:ascii="仿宋_GB2312" w:hAnsi="仿宋_GB2312" w:eastAsia="仿宋_GB2312" w:cs="仿宋_GB2312"/>
          <w:color w:val="auto"/>
          <w:sz w:val="32"/>
          <w:szCs w:val="32"/>
          <w:highlight w:val="none"/>
          <w:lang w:val="en-US" w:eastAsia="zh-CN"/>
        </w:rPr>
        <w:t>内蒙古东联循环技术有限公司</w:t>
      </w:r>
      <w:r>
        <w:rPr>
          <w:rFonts w:hint="eastAsia" w:ascii="仿宋_GB2312" w:hAnsi="仿宋_GB2312" w:eastAsia="仿宋_GB2312" w:cs="仿宋_GB2312"/>
          <w:color w:val="auto"/>
          <w:sz w:val="32"/>
          <w:szCs w:val="32"/>
          <w:lang w:bidi="en-US"/>
        </w:rPr>
        <w:t>：</w:t>
      </w:r>
    </w:p>
    <w:p w14:paraId="777E8918">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auto"/>
        <w:rPr>
          <w:rFonts w:hint="eastAsia" w:ascii="仿宋_GB2312" w:hAnsi="仿宋_GB2312" w:eastAsia="仿宋_GB2312" w:cs="仿宋_GB2312"/>
          <w:color w:val="auto"/>
          <w:sz w:val="32"/>
          <w:szCs w:val="32"/>
          <w:lang w:val="en-US" w:eastAsia="zh-CN" w:bidi="en-US"/>
        </w:rPr>
      </w:pPr>
      <w:r>
        <w:rPr>
          <w:rFonts w:hint="eastAsia" w:ascii="仿宋_GB2312" w:hAnsi="仿宋_GB2312" w:eastAsia="仿宋_GB2312" w:cs="仿宋_GB2312"/>
          <w:color w:val="auto"/>
          <w:sz w:val="32"/>
          <w:szCs w:val="32"/>
          <w:lang w:val="en-US" w:eastAsia="zh-CN" w:bidi="en-US"/>
        </w:rPr>
        <w:t xml:space="preserve">    你单位报送的《锡林郭勒盟白音华工业园区危废处置项目升级优化工程环境影响报告书》（</w:t>
      </w:r>
      <w:r>
        <w:rPr>
          <w:rFonts w:hint="eastAsia" w:ascii="仿宋_GB2312" w:hAnsi="仿宋_GB2312" w:eastAsia="仿宋_GB2312" w:cs="仿宋_GB2312"/>
          <w:color w:val="auto"/>
          <w:sz w:val="32"/>
          <w:szCs w:val="32"/>
          <w:lang w:val="en-US" w:eastAsia="zh-Hans" w:bidi="en-US"/>
        </w:rPr>
        <w:t>以下简称《报告书》</w:t>
      </w:r>
      <w:r>
        <w:rPr>
          <w:rFonts w:hint="eastAsia" w:ascii="仿宋_GB2312" w:hAnsi="仿宋_GB2312" w:eastAsia="仿宋_GB2312" w:cs="仿宋_GB2312"/>
          <w:color w:val="auto"/>
          <w:sz w:val="32"/>
          <w:szCs w:val="32"/>
          <w:lang w:val="en-US" w:eastAsia="zh-CN" w:bidi="en-US"/>
        </w:rPr>
        <w:t>）收悉。经研究，批复如下：</w:t>
      </w:r>
    </w:p>
    <w:p w14:paraId="0E408AF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eastAsia" w:ascii="仿宋_GB2312" w:hAnsi="仿宋_GB2312" w:eastAsia="仿宋_GB2312" w:cs="仿宋_GB2312"/>
          <w:b w:val="0"/>
          <w:bCs/>
          <w:color w:val="auto"/>
          <w:kern w:val="0"/>
          <w:sz w:val="32"/>
          <w:szCs w:val="32"/>
          <w:highlight w:val="none"/>
          <w:lang w:val="en-US" w:eastAsia="zh-CN" w:bidi="ar"/>
        </w:rPr>
      </w:pPr>
      <w:r>
        <w:rPr>
          <w:rFonts w:hint="eastAsia" w:ascii="仿宋_GB2312" w:hAnsi="仿宋_GB2312" w:eastAsia="仿宋_GB2312" w:cs="仿宋_GB2312"/>
          <w:color w:val="auto"/>
          <w:sz w:val="32"/>
          <w:szCs w:val="32"/>
          <w:highlight w:val="none"/>
          <w:lang w:val="en-US" w:eastAsia="zh-CN"/>
        </w:rPr>
        <w:t>一、锡林郭勒盟白音华工业园区危废处置项目升级优化工程</w:t>
      </w:r>
      <w:r>
        <w:rPr>
          <w:rFonts w:hint="eastAsia" w:ascii="仿宋_GB2312" w:hAnsi="仿宋_GB2312" w:eastAsia="仿宋_GB2312" w:cs="仿宋_GB2312"/>
          <w:color w:val="auto"/>
          <w:sz w:val="32"/>
          <w:szCs w:val="32"/>
          <w:lang w:val="en-US" w:eastAsia="zh-CN" w:bidi="en-US"/>
        </w:rPr>
        <w:t>，项目位于西乌珠穆沁旗白音华经济开发区污水处理厂东南3km处</w:t>
      </w:r>
      <w:r>
        <w:rPr>
          <w:rFonts w:hint="eastAsia" w:ascii="仿宋_GB2312" w:hAnsi="仿宋_GB2312" w:eastAsia="仿宋_GB2312" w:cs="仿宋_GB2312"/>
          <w:b w:val="0"/>
          <w:bCs/>
          <w:color w:val="auto"/>
          <w:kern w:val="0"/>
          <w:sz w:val="32"/>
          <w:szCs w:val="32"/>
          <w:lang w:val="en-US" w:eastAsia="zh-CN" w:bidi="ar"/>
        </w:rPr>
        <w:t>，总占地面积为</w:t>
      </w:r>
      <w:r>
        <w:rPr>
          <w:rFonts w:hint="eastAsia" w:ascii="仿宋_GB2312" w:hAnsi="仿宋_GB2312" w:eastAsia="仿宋_GB2312" w:cs="仿宋_GB2312"/>
          <w:color w:val="auto"/>
          <w:sz w:val="32"/>
          <w:szCs w:val="32"/>
          <w:highlight w:val="none"/>
          <w:lang w:val="en-US" w:eastAsia="zh-CN"/>
        </w:rPr>
        <w:t>67.67公顷，本次改扩建工程不新增占地</w:t>
      </w:r>
      <w:r>
        <w:rPr>
          <w:rFonts w:hint="eastAsia" w:ascii="仿宋_GB2312" w:hAnsi="仿宋_GB2312" w:eastAsia="仿宋_GB2312" w:cs="仿宋_GB2312"/>
          <w:b w:val="0"/>
          <w:bCs/>
          <w:color w:val="auto"/>
          <w:kern w:val="0"/>
          <w:sz w:val="32"/>
          <w:szCs w:val="32"/>
          <w:lang w:val="en-US" w:eastAsia="zh-CN" w:bidi="ar"/>
        </w:rPr>
        <w:t>。本项目主要建设内容包括：新建含有价金属危废资源化车间一座，内设含有价金属危废资源化利用生产线，处理规模40000t/a。新建飞灰及废盐资源化利用车间一座，内设飞灰及废盐资源化利用生产线，飞灰处理规模20000t/a，废盐处理规模20000t/a。新建制砖生产车间一座，内设无害化电解槽废料、粉煤灰、石膏和水泥砌块砖生产线，处理规模20万吨/年。新建大修渣资源化利用车间一座，年处理规模3万吨。新建四号危废暂存库，占地面积350m²，主要用于精馏残渣、废盐、飞灰等危险废物的暂存。同时将1号库区继续作为一般固废填埋场使用，通过调整坝体标高和堆体标高，库容由480万立方米调整为600万立方米，处理一般固废规模由65万t/a调整为200万t/a。</w:t>
      </w:r>
    </w:p>
    <w:p w14:paraId="12D10A50">
      <w:pPr>
        <w:keepNext w:val="0"/>
        <w:keepLines w:val="0"/>
        <w:pageBreakBefore w:val="0"/>
        <w:widowControl w:val="0"/>
        <w:numPr>
          <w:ilvl w:val="0"/>
          <w:numId w:val="0"/>
        </w:numPr>
        <w:kinsoku/>
        <w:wordWrap/>
        <w:overflowPunct/>
        <w:topLinePunct w:val="0"/>
        <w:autoSpaceDE w:val="0"/>
        <w:autoSpaceDN w:val="0"/>
        <w:bidi w:val="0"/>
        <w:adjustRightInd w:val="0"/>
        <w:snapToGrid w:val="0"/>
        <w:spacing w:line="560" w:lineRule="exact"/>
        <w:ind w:firstLine="640" w:firstLineChars="200"/>
        <w:jc w:val="both"/>
        <w:textAlignment w:val="auto"/>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报告书》认为，在全面落实各项生态保护和污染防治措施的前提下，项目建设对环境的不利影响能够得到一定的缓解和控制。我局原则同意本项目按照《报告书》所列的建设项目性质、规模、地点和拟采取的污染防治措施及下述要求进行建设。</w:t>
      </w:r>
    </w:p>
    <w:p w14:paraId="253DD3E0">
      <w:pPr>
        <w:pStyle w:val="3"/>
        <w:keepNext w:val="0"/>
        <w:keepLines w:val="0"/>
        <w:pageBreakBefore w:val="0"/>
        <w:widowControl w:val="0"/>
        <w:numPr>
          <w:ilvl w:val="0"/>
          <w:numId w:val="0"/>
        </w:numPr>
        <w:kinsoku/>
        <w:wordWrap/>
        <w:overflowPunct/>
        <w:topLinePunct w:val="0"/>
        <w:autoSpaceDE/>
        <w:autoSpaceDN/>
        <w:bidi w:val="0"/>
        <w:adjustRightInd w:val="0"/>
        <w:snapToGrid/>
        <w:spacing w:after="0" w:line="560" w:lineRule="exact"/>
        <w:ind w:left="0" w:leftChars="0" w:firstLine="640" w:firstLineChars="200"/>
        <w:jc w:val="both"/>
        <w:textAlignment w:val="baseline"/>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二、项目在设计、建设和运营过程中还应做好以下工作</w:t>
      </w:r>
    </w:p>
    <w:p w14:paraId="6A4E7AC0">
      <w:pPr>
        <w:keepNext w:val="0"/>
        <w:keepLines w:val="0"/>
        <w:pageBreakBefore w:val="0"/>
        <w:widowControl w:val="0"/>
        <w:kinsoku/>
        <w:wordWrap/>
        <w:overflowPunct/>
        <w:topLinePunct w:val="0"/>
        <w:autoSpaceDE w:val="0"/>
        <w:autoSpaceDN w:val="0"/>
        <w:bidi w:val="0"/>
        <w:adjustRightInd w:val="0"/>
        <w:snapToGrid w:val="0"/>
        <w:spacing w:line="560" w:lineRule="exact"/>
        <w:ind w:firstLine="640" w:firstLineChars="200"/>
        <w:jc w:val="both"/>
        <w:textAlignment w:val="auto"/>
        <w:rPr>
          <w:rFonts w:hint="eastAsia" w:ascii="仿宋_GB2312" w:hAnsi="仿宋_GB2312" w:eastAsia="仿宋_GB2312" w:cs="仿宋_GB2312"/>
          <w:color w:val="auto"/>
          <w:kern w:val="2"/>
          <w:sz w:val="32"/>
          <w:szCs w:val="32"/>
          <w:lang w:val="en-US" w:eastAsia="zh-CN" w:bidi="ar-SA"/>
        </w:rPr>
      </w:pPr>
      <w:r>
        <w:rPr>
          <w:rFonts w:hint="eastAsia" w:ascii="楷体" w:hAnsi="楷体" w:eastAsia="楷体" w:cs="楷体"/>
          <w:color w:val="auto"/>
          <w:kern w:val="2"/>
          <w:sz w:val="32"/>
          <w:szCs w:val="32"/>
          <w:lang w:val="en-US" w:eastAsia="zh-CN" w:bidi="ar-SA"/>
        </w:rPr>
        <w:t>（一）严格落实各项大气污染防治措施。</w:t>
      </w:r>
      <w:r>
        <w:rPr>
          <w:rFonts w:hint="eastAsia" w:ascii="仿宋_GB2312" w:hAnsi="仿宋_GB2312" w:eastAsia="仿宋_GB2312" w:cs="仿宋_GB2312"/>
          <w:color w:val="auto"/>
          <w:kern w:val="2"/>
          <w:sz w:val="32"/>
          <w:szCs w:val="32"/>
          <w:lang w:val="en-US" w:eastAsia="zh-CN" w:bidi="ar-SA"/>
        </w:rPr>
        <w:t>飞灰及废盐资源化利用车间全封闭建设，定期清理、洒水抑尘，上料、水洗等产污环节上方安装集气装置，废气经收集后通过布袋除尘器+喷淋塔+活性炭吸附装置处理，最终通过排气筒引至高空排放，其中废气污染因子排放须满足《大气污染物综合排放标准》（GB16297-1996）浓度限值要求。含有价金属危废资源化车间全封闭建设，定期清理、洒水抑尘，上料、浸出、溶解等产污环节上方安装集气装置，废气经收集后通过布袋除尘器+喷淋塔处理，最终通过排气筒引至高空排放，其中废气污染因子排放须满足《大气污染物综合排放标准》（GB16297-1996）及《恶臭污染物排放标准》（GB14554-93）浓度限值要求。制砖生产车间全封闭建设，定期清理、洒水抑尘，物料储存、输送、配料、搅拌环节上方安装集气装置，废气经收集后通过布袋除尘器处理，最终通过排气筒引至高空排放，其中废气污染因子排放须满足《砖瓦工业大气污染物排放标准》（GB29620-2013）浓度限值要求。</w:t>
      </w:r>
    </w:p>
    <w:p w14:paraId="7CA4E69B">
      <w:pPr>
        <w:keepNext w:val="0"/>
        <w:keepLines w:val="0"/>
        <w:pageBreakBefore w:val="0"/>
        <w:widowControl w:val="0"/>
        <w:kinsoku/>
        <w:wordWrap/>
        <w:overflowPunct/>
        <w:topLinePunct w:val="0"/>
        <w:autoSpaceDE w:val="0"/>
        <w:autoSpaceDN w:val="0"/>
        <w:bidi w:val="0"/>
        <w:adjustRightInd w:val="0"/>
        <w:snapToGrid w:val="0"/>
        <w:spacing w:line="560" w:lineRule="exact"/>
        <w:ind w:firstLine="640" w:firstLineChars="200"/>
        <w:jc w:val="both"/>
        <w:textAlignment w:val="auto"/>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大修渣（其他电解槽废料及废阴极）综合利用车间上料、破碎、球磨工序分别安装集气装置，废气经收集后通过布袋除尘器处理，最终通过排气筒引至高空排放，其中废气污染因子排放须满足《大气污染物综合排放标准》（GB16297-1996）浓度限值要求。其他电解槽废料无害化废气经收集后通过喷淋塔+沉淀池处理，最终通过排气筒引至高空排放，其中废气污染因子排放须满足《大气污染物综合排放标准》（GB16297-1996）浓度限值要求。废阴极无害化处理工序上料、混合、煅烧废气均经集气罩收集经布袋除尘器处理后通过排气筒引至高空排放，其中废气污染因子排放须满足《工业窑炉大气污染物排放标准》（GB9078-1996）浓度限值要求。</w:t>
      </w:r>
    </w:p>
    <w:p w14:paraId="23938652">
      <w:pPr>
        <w:keepNext w:val="0"/>
        <w:keepLines w:val="0"/>
        <w:pageBreakBefore w:val="0"/>
        <w:widowControl w:val="0"/>
        <w:kinsoku/>
        <w:wordWrap/>
        <w:overflowPunct/>
        <w:topLinePunct w:val="0"/>
        <w:autoSpaceDE w:val="0"/>
        <w:autoSpaceDN w:val="0"/>
        <w:bidi w:val="0"/>
        <w:adjustRightInd w:val="0"/>
        <w:snapToGrid w:val="0"/>
        <w:spacing w:line="560" w:lineRule="exact"/>
        <w:ind w:firstLine="640" w:firstLineChars="200"/>
        <w:jc w:val="both"/>
        <w:textAlignment w:val="auto"/>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4#危废暂存库全封闭建设，各产污环节上方安装集气装置，废气经收集后通过喷淋塔+活性炭吸附装置处理，最终通过排气筒引至高空排放，其中废气污染因子排放须满足《大气污染物综合排放标准》（GB16297-1996）及《恶臭污染物排放标准》（GB14554-93）浓度限值要求。一般固废填埋场要求降低作业高度，及时进行灰面平整、碾压、洒水，保证堆体表面湿度，最终厂界各项污染因子无组织排放须满足《大气污染物综合排放标准》（GB16297-1996）及《恶臭污染物排放标准》（GB14554-93）浓度限值要求。</w:t>
      </w:r>
    </w:p>
    <w:p w14:paraId="6417490E">
      <w:pPr>
        <w:keepNext w:val="0"/>
        <w:keepLines w:val="0"/>
        <w:pageBreakBefore w:val="0"/>
        <w:widowControl w:val="0"/>
        <w:numPr>
          <w:ilvl w:val="0"/>
          <w:numId w:val="1"/>
        </w:numPr>
        <w:kinsoku/>
        <w:wordWrap/>
        <w:overflowPunct/>
        <w:topLinePunct w:val="0"/>
        <w:autoSpaceDE w:val="0"/>
        <w:autoSpaceDN w:val="0"/>
        <w:bidi w:val="0"/>
        <w:adjustRightInd w:val="0"/>
        <w:snapToGrid w:val="0"/>
        <w:spacing w:line="560" w:lineRule="exact"/>
        <w:ind w:firstLine="640" w:firstLineChars="200"/>
        <w:jc w:val="both"/>
        <w:textAlignment w:val="auto"/>
        <w:rPr>
          <w:rFonts w:hint="eastAsia" w:ascii="仿宋_GB2312" w:hAnsi="仿宋_GB2312" w:eastAsia="仿宋_GB2312" w:cs="仿宋_GB2312"/>
          <w:b w:val="0"/>
          <w:bCs w:val="0"/>
          <w:color w:val="auto"/>
          <w:kern w:val="2"/>
          <w:sz w:val="32"/>
          <w:szCs w:val="32"/>
          <w:highlight w:val="none"/>
          <w:lang w:val="en-US" w:eastAsia="zh-CN" w:bidi="en-US"/>
        </w:rPr>
      </w:pPr>
      <w:r>
        <w:rPr>
          <w:rFonts w:hint="eastAsia" w:ascii="楷体" w:hAnsi="楷体" w:eastAsia="楷体" w:cs="楷体"/>
          <w:color w:val="auto"/>
          <w:kern w:val="2"/>
          <w:sz w:val="32"/>
          <w:szCs w:val="32"/>
          <w:lang w:val="en-US" w:eastAsia="zh-CN" w:bidi="ar-SA"/>
        </w:rPr>
        <w:t>严格落实固体废物污染防治措施。</w:t>
      </w:r>
      <w:r>
        <w:rPr>
          <w:rFonts w:hint="eastAsia" w:ascii="仿宋_GB2312" w:hAnsi="仿宋_GB2312" w:eastAsia="仿宋_GB2312" w:cs="仿宋_GB2312"/>
          <w:b w:val="0"/>
          <w:bCs w:val="0"/>
          <w:color w:val="auto"/>
          <w:kern w:val="2"/>
          <w:sz w:val="32"/>
          <w:szCs w:val="32"/>
          <w:highlight w:val="none"/>
          <w:lang w:val="en-US" w:eastAsia="zh-CN" w:bidi="en-US"/>
        </w:rPr>
        <w:t>对脱盐</w:t>
      </w:r>
      <w:r>
        <w:rPr>
          <w:rFonts w:hint="eastAsia" w:ascii="仿宋_GB2312" w:hAnsi="仿宋_GB2312" w:eastAsia="仿宋_GB2312" w:cs="仿宋_GB2312"/>
          <w:b w:val="0"/>
          <w:bCs w:val="0"/>
          <w:color w:val="auto"/>
          <w:kern w:val="2"/>
          <w:sz w:val="32"/>
          <w:szCs w:val="32"/>
          <w:highlight w:val="none"/>
          <w:lang w:val="en-US" w:eastAsia="zh-CN" w:bidi="en-US"/>
        </w:rPr>
        <w:t>飞灰、滤渣、絮凝沉淀污泥进行鉴别，鉴别结果为一般固废则送至一般固废填埋场填埋，鉴别结果为危险废物送至危废填埋场填埋；无害化电解槽废料全部作为制砖工序原料进行制砖；含有价金属危废资源化车间各生产工序产生的滤渣，根据鉴别属性进行填埋处置或回用生产。危险废物废包装袋送至柔性填埋场填埋处理；其他电解槽废料处理工序布袋除尘器除尘灰进入除氰除氟工艺处理后回用生产；废阴极处理工序布袋除尘器除尘灰返回上料工艺回用生产；制砖工序布袋除尘器除尘灰全部回用于制砖工序；不合格的残次产品和原辅料返回制砖工序或填埋处置；环保设施沉淀池底泥送至危废填埋场填埋处置；生活垃圾集中收集后定期清运至当地环卫部门指定地点处置。</w:t>
      </w:r>
    </w:p>
    <w:p w14:paraId="1DFC9004">
      <w:pPr>
        <w:keepNext w:val="0"/>
        <w:keepLines w:val="0"/>
        <w:pageBreakBefore w:val="0"/>
        <w:widowControl w:val="0"/>
        <w:numPr>
          <w:ilvl w:val="0"/>
          <w:numId w:val="0"/>
        </w:numPr>
        <w:kinsoku/>
        <w:wordWrap/>
        <w:overflowPunct/>
        <w:topLinePunct w:val="0"/>
        <w:autoSpaceDE w:val="0"/>
        <w:autoSpaceDN w:val="0"/>
        <w:bidi w:val="0"/>
        <w:adjustRightInd w:val="0"/>
        <w:snapToGrid w:val="0"/>
        <w:spacing w:line="560" w:lineRule="exact"/>
        <w:ind w:firstLine="640" w:firstLineChars="200"/>
        <w:jc w:val="both"/>
        <w:textAlignment w:val="auto"/>
        <w:rPr>
          <w:rFonts w:hint="eastAsia" w:ascii="仿宋_GB2312" w:hAnsi="仿宋_GB2312" w:eastAsia="仿宋_GB2312" w:cs="仿宋_GB2312"/>
          <w:b w:val="0"/>
          <w:bCs/>
          <w:color w:val="auto"/>
          <w:kern w:val="2"/>
          <w:sz w:val="32"/>
          <w:szCs w:val="32"/>
          <w:highlight w:val="none"/>
          <w:lang w:val="en-US" w:eastAsia="zh-CN" w:bidi="en-US"/>
        </w:rPr>
      </w:pPr>
      <w:r>
        <w:rPr>
          <w:rFonts w:hint="eastAsia" w:ascii="楷体" w:hAnsi="楷体" w:eastAsia="楷体" w:cs="楷体"/>
          <w:color w:val="auto"/>
          <w:kern w:val="2"/>
          <w:sz w:val="32"/>
          <w:szCs w:val="32"/>
          <w:lang w:val="en-US" w:eastAsia="zh-CN" w:bidi="ar-SA"/>
        </w:rPr>
        <w:t>（三）严格落实各项水污染防治措施。</w:t>
      </w:r>
      <w:r>
        <w:rPr>
          <w:rFonts w:hint="eastAsia" w:ascii="仿宋_GB2312" w:hAnsi="仿宋_GB2312" w:eastAsia="仿宋_GB2312" w:cs="仿宋_GB2312"/>
          <w:color w:val="auto"/>
          <w:kern w:val="2"/>
          <w:sz w:val="32"/>
          <w:szCs w:val="32"/>
          <w:highlight w:val="none"/>
          <w:lang w:val="en-US" w:eastAsia="zh-CN" w:bidi="en-US"/>
        </w:rPr>
        <w:t>一般固废填埋场渗滤液经导排系统收集后全部回用于填埋作业区降尘。其余废水经厂区已建污水处理系统处理满足《危险废物填埋污染控制标准》（GB18598-2019）及《城市污水再生利用城市杂用水水质》（GB/T18920-2020）浓度限值要求后，全部回用于固化工序用水及厂区抑尘。</w:t>
      </w:r>
    </w:p>
    <w:p w14:paraId="74A5B7C3">
      <w:pPr>
        <w:keepNext w:val="0"/>
        <w:keepLines w:val="0"/>
        <w:pageBreakBefore w:val="0"/>
        <w:widowControl w:val="0"/>
        <w:numPr>
          <w:ilvl w:val="0"/>
          <w:numId w:val="2"/>
        </w:numPr>
        <w:kinsoku/>
        <w:wordWrap/>
        <w:overflowPunct/>
        <w:topLinePunct w:val="0"/>
        <w:autoSpaceDE w:val="0"/>
        <w:autoSpaceDN w:val="0"/>
        <w:bidi w:val="0"/>
        <w:adjustRightInd w:val="0"/>
        <w:snapToGrid w:val="0"/>
        <w:spacing w:line="560" w:lineRule="exact"/>
        <w:ind w:firstLine="640" w:firstLineChars="200"/>
        <w:jc w:val="both"/>
        <w:textAlignment w:val="auto"/>
        <w:rPr>
          <w:rFonts w:hint="eastAsia" w:ascii="仿宋_GB2312" w:hAnsi="仿宋_GB2312" w:eastAsia="仿宋_GB2312" w:cs="仿宋_GB2312"/>
          <w:color w:val="auto"/>
          <w:sz w:val="32"/>
          <w:szCs w:val="32"/>
          <w:lang w:eastAsia="zh-CN" w:bidi="en-US"/>
        </w:rPr>
      </w:pPr>
      <w:r>
        <w:rPr>
          <w:rFonts w:hint="eastAsia" w:ascii="楷体" w:hAnsi="楷体" w:eastAsia="楷体" w:cs="楷体"/>
          <w:color w:val="auto"/>
          <w:kern w:val="2"/>
          <w:sz w:val="32"/>
          <w:szCs w:val="32"/>
          <w:lang w:val="en-US" w:eastAsia="zh-CN" w:bidi="ar-SA"/>
        </w:rPr>
        <w:t>严格落实噪声防治措施。</w:t>
      </w:r>
      <w:r>
        <w:rPr>
          <w:rFonts w:hint="eastAsia" w:ascii="仿宋_GB2312" w:hAnsi="仿宋_GB2312" w:eastAsia="仿宋_GB2312" w:cs="仿宋_GB2312"/>
          <w:color w:val="auto"/>
          <w:sz w:val="32"/>
          <w:szCs w:val="32"/>
          <w:lang w:bidi="en-US"/>
        </w:rPr>
        <w:t>本项目噪声源主要为机械设备噪声及道路交通噪声。针对不同的声源采取相应的消声、隔音、减振、降噪措施，高噪设备均置于封闭车间内并加装</w:t>
      </w:r>
      <w:r>
        <w:rPr>
          <w:rFonts w:hint="eastAsia" w:ascii="仿宋_GB2312" w:hAnsi="仿宋_GB2312" w:eastAsia="仿宋_GB2312" w:cs="仿宋_GB2312"/>
          <w:color w:val="auto"/>
          <w:sz w:val="32"/>
          <w:szCs w:val="32"/>
          <w:lang w:eastAsia="zh-CN" w:bidi="en-US"/>
        </w:rPr>
        <w:t>减振</w:t>
      </w:r>
      <w:r>
        <w:rPr>
          <w:rFonts w:hint="eastAsia" w:ascii="仿宋_GB2312" w:hAnsi="仿宋_GB2312" w:eastAsia="仿宋_GB2312" w:cs="仿宋_GB2312"/>
          <w:color w:val="auto"/>
          <w:sz w:val="32"/>
          <w:szCs w:val="32"/>
          <w:lang w:bidi="en-US"/>
        </w:rPr>
        <w:t>基座，同时加强机械设备日常维护。运输车辆减速行驶，禁止鸣笛。最终噪声排放满足《工业企业厂界环境噪声排放标准》（GB12348-2008）2类标准限值要求。</w:t>
      </w:r>
    </w:p>
    <w:p w14:paraId="61604FD3">
      <w:pPr>
        <w:keepNext w:val="0"/>
        <w:keepLines w:val="0"/>
        <w:pageBreakBefore w:val="0"/>
        <w:widowControl w:val="0"/>
        <w:numPr>
          <w:ilvl w:val="0"/>
          <w:numId w:val="2"/>
        </w:numPr>
        <w:kinsoku/>
        <w:wordWrap/>
        <w:overflowPunct/>
        <w:topLinePunct w:val="0"/>
        <w:autoSpaceDE w:val="0"/>
        <w:autoSpaceDN w:val="0"/>
        <w:bidi w:val="0"/>
        <w:adjustRightInd w:val="0"/>
        <w:snapToGrid w:val="0"/>
        <w:spacing w:line="560" w:lineRule="exact"/>
        <w:ind w:firstLine="640" w:firstLineChars="200"/>
        <w:jc w:val="both"/>
        <w:textAlignment w:val="auto"/>
        <w:rPr>
          <w:rFonts w:hint="eastAsia" w:ascii="仿宋_GB2312" w:hAnsi="仿宋_GB2312" w:eastAsia="仿宋_GB2312" w:cs="仿宋_GB2312"/>
          <w:color w:val="auto"/>
          <w:sz w:val="32"/>
          <w:szCs w:val="32"/>
          <w:lang w:eastAsia="zh-CN" w:bidi="en-US"/>
        </w:rPr>
      </w:pPr>
      <w:r>
        <w:rPr>
          <w:rFonts w:hint="eastAsia" w:ascii="华文楷体" w:hAnsi="华文楷体" w:eastAsia="华文楷体" w:cs="华文楷体"/>
          <w:color w:val="auto"/>
          <w:sz w:val="32"/>
          <w:szCs w:val="32"/>
          <w:lang w:eastAsia="zh-CN" w:bidi="en-US"/>
        </w:rPr>
        <w:t>切实落实土壤和地下水污染防治措施。</w:t>
      </w:r>
      <w:r>
        <w:rPr>
          <w:rFonts w:hint="eastAsia" w:ascii="仿宋_GB2312" w:hAnsi="仿宋_GB2312" w:eastAsia="仿宋_GB2312" w:cs="仿宋_GB2312"/>
          <w:color w:val="auto"/>
          <w:sz w:val="32"/>
          <w:szCs w:val="32"/>
          <w:lang w:eastAsia="zh-CN" w:bidi="en-US"/>
        </w:rPr>
        <w:t>按照“源头控制、分区防控、污染监控、应急响应”相结合的原则采取分区防渗，危废暂存间采取重点防渗措施，并根据《危险废物贮存污染控制标准》（GB18597-2023）建设，所有防渗措施均执行《环境影响评价技术导则地下水环境》（HJ610-2016）标准。</w:t>
      </w:r>
    </w:p>
    <w:p w14:paraId="2486ACF3">
      <w:pPr>
        <w:keepNext w:val="0"/>
        <w:keepLines w:val="0"/>
        <w:pageBreakBefore w:val="0"/>
        <w:widowControl w:val="0"/>
        <w:numPr>
          <w:ilvl w:val="0"/>
          <w:numId w:val="2"/>
        </w:numPr>
        <w:kinsoku/>
        <w:wordWrap/>
        <w:overflowPunct/>
        <w:topLinePunct w:val="0"/>
        <w:autoSpaceDE w:val="0"/>
        <w:autoSpaceDN w:val="0"/>
        <w:bidi w:val="0"/>
        <w:adjustRightInd w:val="0"/>
        <w:snapToGrid w:val="0"/>
        <w:spacing w:line="560" w:lineRule="exact"/>
        <w:ind w:firstLine="640" w:firstLineChars="200"/>
        <w:jc w:val="both"/>
        <w:textAlignment w:val="auto"/>
        <w:rPr>
          <w:rFonts w:hint="eastAsia" w:ascii="仿宋_GB2312" w:hAnsi="仿宋_GB2312" w:eastAsia="仿宋_GB2312" w:cs="仿宋_GB2312"/>
          <w:color w:val="auto"/>
          <w:sz w:val="32"/>
          <w:szCs w:val="32"/>
          <w:lang w:eastAsia="zh-CN" w:bidi="en-US"/>
        </w:rPr>
      </w:pPr>
      <w:r>
        <w:rPr>
          <w:rFonts w:hint="eastAsia" w:ascii="华文楷体" w:hAnsi="华文楷体" w:eastAsia="华文楷体" w:cs="华文楷体"/>
          <w:color w:val="auto"/>
          <w:sz w:val="32"/>
          <w:szCs w:val="32"/>
          <w:lang w:eastAsia="zh-CN" w:bidi="en-US"/>
        </w:rPr>
        <w:t>强化环境风险防范措施。</w:t>
      </w:r>
      <w:r>
        <w:rPr>
          <w:rFonts w:hint="eastAsia" w:ascii="仿宋_GB2312" w:hAnsi="仿宋_GB2312" w:eastAsia="仿宋_GB2312" w:cs="仿宋_GB2312"/>
          <w:color w:val="000000"/>
          <w:kern w:val="2"/>
          <w:sz w:val="32"/>
          <w:szCs w:val="32"/>
          <w:lang w:val="en-US" w:eastAsia="zh-CN" w:bidi="ar-SA"/>
        </w:rPr>
        <w:t>落实环保设施安全生产工作，建立环保设备设施台账和维护管理制度。建立完善的环境管理制度和事故应急措施，制定切实可行的环境风险应急预案。加强对危废暂存间的管理；严格落实风险防范措施和应急预案，切实杜绝环境风险事故。</w:t>
      </w:r>
    </w:p>
    <w:p w14:paraId="2CB61141">
      <w:pPr>
        <w:keepNext w:val="0"/>
        <w:keepLines w:val="0"/>
        <w:pageBreakBefore w:val="0"/>
        <w:widowControl w:val="0"/>
        <w:numPr>
          <w:ilvl w:val="0"/>
          <w:numId w:val="2"/>
        </w:numPr>
        <w:kinsoku/>
        <w:wordWrap/>
        <w:overflowPunct/>
        <w:topLinePunct w:val="0"/>
        <w:autoSpaceDE w:val="0"/>
        <w:autoSpaceDN w:val="0"/>
        <w:bidi w:val="0"/>
        <w:adjustRightInd w:val="0"/>
        <w:snapToGrid w:val="0"/>
        <w:spacing w:line="560" w:lineRule="exact"/>
        <w:ind w:firstLine="640" w:firstLineChars="200"/>
        <w:jc w:val="both"/>
        <w:textAlignment w:val="auto"/>
        <w:rPr>
          <w:rFonts w:hint="eastAsia" w:ascii="仿宋_GB2312" w:hAnsi="仿宋_GB2312" w:eastAsia="仿宋_GB2312" w:cs="仿宋_GB2312"/>
          <w:color w:val="auto"/>
          <w:sz w:val="32"/>
          <w:szCs w:val="32"/>
          <w:lang w:eastAsia="zh-CN" w:bidi="en-US"/>
        </w:rPr>
      </w:pPr>
      <w:r>
        <w:rPr>
          <w:rFonts w:hint="eastAsia" w:ascii="华文楷体" w:hAnsi="华文楷体" w:eastAsia="华文楷体" w:cs="华文楷体"/>
          <w:color w:val="auto"/>
          <w:sz w:val="32"/>
          <w:szCs w:val="32"/>
          <w:lang w:eastAsia="zh-CN" w:bidi="en-US"/>
        </w:rPr>
        <w:t>严格落实运营期污染源监测计划。</w:t>
      </w:r>
      <w:r>
        <w:rPr>
          <w:rFonts w:hint="eastAsia" w:ascii="仿宋_GB2312" w:hAnsi="仿宋_GB2312" w:eastAsia="仿宋_GB2312" w:cs="仿宋_GB2312"/>
          <w:color w:val="auto"/>
          <w:sz w:val="32"/>
          <w:szCs w:val="32"/>
          <w:lang w:eastAsia="zh-CN" w:bidi="en-US"/>
        </w:rPr>
        <w:t>按照国家和地方有关规定设置规范的污染物排放口，按要求建设监控感知端，并设立标志牌。按照相关标准、规范等要求，落实《报告书》提出的环境管理及监测计划。强化污染源与无组织排放源管理，制定自行监测方案，落实环境管理与监测计划，按规定开展自行监测和信息公开。如出现污染物超标情况，应立即查明原因并采取进一步污染物减排措施。</w:t>
      </w:r>
    </w:p>
    <w:p w14:paraId="7120CF71">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hAnsi="仿宋_GB2312" w:eastAsia="仿宋_GB2312" w:cs="仿宋_GB2312"/>
          <w:color w:val="auto"/>
          <w:kern w:val="2"/>
          <w:sz w:val="32"/>
          <w:szCs w:val="32"/>
          <w:highlight w:val="none"/>
          <w:lang w:val="en-US" w:eastAsia="zh-CN" w:bidi="en-US"/>
        </w:rPr>
      </w:pPr>
      <w:r>
        <w:rPr>
          <w:rFonts w:hint="eastAsia" w:ascii="楷体" w:hAnsi="楷体" w:eastAsia="楷体" w:cs="楷体"/>
          <w:kern w:val="0"/>
          <w:sz w:val="32"/>
          <w:szCs w:val="32"/>
          <w:lang w:val="en-US" w:eastAsia="zh-CN" w:bidi="ar"/>
        </w:rPr>
        <w:t>（八）建立畅通的公众参与平台。</w:t>
      </w:r>
      <w:r>
        <w:rPr>
          <w:rFonts w:hint="eastAsia" w:ascii="仿宋_GB2312" w:hAnsi="仿宋_GB2312" w:eastAsia="仿宋_GB2312" w:cs="仿宋_GB2312"/>
          <w:color w:val="000000"/>
          <w:sz w:val="32"/>
          <w:szCs w:val="32"/>
        </w:rPr>
        <w:t>加强宣传和沟通工作，关注周边居民意见，及时解决公众担忧的环境问题，满足公众合理的环境诉求。</w:t>
      </w:r>
    </w:p>
    <w:p w14:paraId="17959406">
      <w:pPr>
        <w:keepNext w:val="0"/>
        <w:keepLines w:val="0"/>
        <w:pageBreakBefore w:val="0"/>
        <w:widowControl w:val="0"/>
        <w:numPr>
          <w:ilvl w:val="0"/>
          <w:numId w:val="0"/>
        </w:numPr>
        <w:kinsoku/>
        <w:wordWrap/>
        <w:overflowPunct/>
        <w:topLinePunct w:val="0"/>
        <w:autoSpaceDE w:val="0"/>
        <w:autoSpaceDN w:val="0"/>
        <w:bidi w:val="0"/>
        <w:adjustRightInd w:val="0"/>
        <w:snapToGrid w:val="0"/>
        <w:spacing w:line="560" w:lineRule="exact"/>
        <w:ind w:firstLine="640" w:firstLineChars="200"/>
        <w:jc w:val="both"/>
        <w:textAlignment w:val="auto"/>
        <w:rPr>
          <w:rFonts w:hint="eastAsia" w:ascii="仿宋_GB2312" w:hAnsi="仿宋_GB2312" w:eastAsia="仿宋_GB2312" w:cs="仿宋_GB2312"/>
          <w:color w:val="auto"/>
          <w:sz w:val="32"/>
          <w:szCs w:val="32"/>
          <w:lang w:bidi="en-US"/>
        </w:rPr>
      </w:pPr>
      <w:r>
        <w:rPr>
          <w:rFonts w:hint="eastAsia" w:ascii="仿宋_GB2312" w:hAnsi="仿宋_GB2312" w:eastAsia="仿宋_GB2312" w:cs="仿宋_GB2312"/>
          <w:color w:val="auto"/>
          <w:kern w:val="2"/>
          <w:sz w:val="32"/>
          <w:szCs w:val="32"/>
          <w:highlight w:val="none"/>
          <w:lang w:val="en-US" w:eastAsia="zh-CN" w:bidi="ar-SA"/>
        </w:rPr>
        <w:t>三、项</w:t>
      </w:r>
      <w:r>
        <w:rPr>
          <w:rFonts w:hint="eastAsia" w:ascii="仿宋_GB2312" w:hAnsi="仿宋_GB2312" w:eastAsia="仿宋_GB2312" w:cs="仿宋_GB2312"/>
          <w:color w:val="auto"/>
          <w:sz w:val="32"/>
          <w:szCs w:val="32"/>
          <w:lang w:bidi="en-US"/>
        </w:rPr>
        <w:t>目建设必须严格执行配套的环境保护设施与主体工程同时设计、同时施工、同时投产使用的环境保护“三同时”制度。严格落实污染防治措施设计要求。应将优化和细化后的各项污染防治措施及概算纳入设计以及施工等招标文件及合同，并明确责任。按规定程序实施竣工环境保护验收。</w:t>
      </w:r>
    </w:p>
    <w:p w14:paraId="678607AE">
      <w:pPr>
        <w:keepNext w:val="0"/>
        <w:keepLines w:val="0"/>
        <w:pageBreakBefore w:val="0"/>
        <w:widowControl w:val="0"/>
        <w:kinsoku/>
        <w:wordWrap/>
        <w:overflowPunct/>
        <w:topLinePunct w:val="0"/>
        <w:autoSpaceDE w:val="0"/>
        <w:autoSpaceDN w:val="0"/>
        <w:bidi w:val="0"/>
        <w:adjustRightInd w:val="0"/>
        <w:snapToGrid w:val="0"/>
        <w:spacing w:line="560" w:lineRule="exact"/>
        <w:ind w:firstLine="640" w:firstLineChars="200"/>
        <w:jc w:val="both"/>
        <w:textAlignment w:val="auto"/>
        <w:rPr>
          <w:rFonts w:hint="eastAsia" w:ascii="仿宋_GB2312" w:hAnsi="仿宋_GB2312" w:eastAsia="仿宋_GB2312" w:cs="仿宋_GB2312"/>
          <w:color w:val="auto"/>
          <w:sz w:val="32"/>
          <w:szCs w:val="32"/>
          <w:lang w:bidi="en-US"/>
        </w:rPr>
      </w:pPr>
      <w:r>
        <w:rPr>
          <w:rFonts w:hint="eastAsia" w:ascii="仿宋_GB2312" w:hAnsi="仿宋_GB2312" w:eastAsia="仿宋_GB2312" w:cs="仿宋_GB2312"/>
          <w:color w:val="auto"/>
          <w:kern w:val="2"/>
          <w:sz w:val="32"/>
          <w:szCs w:val="32"/>
          <w:highlight w:val="none"/>
          <w:lang w:val="en-US" w:eastAsia="zh-CN" w:bidi="ar-SA"/>
        </w:rPr>
        <w:t>四、我局</w:t>
      </w:r>
      <w:r>
        <w:rPr>
          <w:rFonts w:hint="eastAsia" w:ascii="仿宋_GB2312" w:hAnsi="仿宋_GB2312" w:eastAsia="仿宋_GB2312" w:cs="仿宋_GB2312"/>
          <w:color w:val="auto"/>
          <w:sz w:val="32"/>
          <w:szCs w:val="32"/>
          <w:lang w:bidi="en-US"/>
        </w:rPr>
        <w:t>委托锡林郭勒盟生态环境局</w:t>
      </w:r>
      <w:r>
        <w:rPr>
          <w:rFonts w:hint="eastAsia" w:ascii="仿宋_GB2312" w:hAnsi="仿宋_GB2312" w:eastAsia="仿宋_GB2312" w:cs="仿宋_GB2312"/>
          <w:color w:val="auto"/>
          <w:sz w:val="32"/>
          <w:szCs w:val="32"/>
          <w:lang w:eastAsia="zh-CN" w:bidi="en-US"/>
        </w:rPr>
        <w:t>西乌珠穆沁旗分局</w:t>
      </w:r>
      <w:r>
        <w:rPr>
          <w:rFonts w:hint="eastAsia" w:ascii="仿宋_GB2312" w:hAnsi="仿宋_GB2312" w:eastAsia="仿宋_GB2312" w:cs="仿宋_GB2312"/>
          <w:color w:val="auto"/>
          <w:sz w:val="32"/>
          <w:szCs w:val="32"/>
          <w:lang w:bidi="en-US"/>
        </w:rPr>
        <w:t>对该项目各项污染防治措施落实情况进行监督检查和管理。</w:t>
      </w:r>
    </w:p>
    <w:p w14:paraId="2A636483">
      <w:pPr>
        <w:rPr>
          <w:rFonts w:hint="eastAsia"/>
          <w:color w:val="auto"/>
        </w:rPr>
      </w:pPr>
    </w:p>
    <w:p w14:paraId="7F606ED3">
      <w:pPr>
        <w:rPr>
          <w:rFonts w:hint="eastAsia"/>
          <w:color w:val="auto"/>
        </w:rPr>
      </w:pPr>
    </w:p>
    <w:p w14:paraId="1448CD37">
      <w:pPr>
        <w:keepNext w:val="0"/>
        <w:keepLines w:val="0"/>
        <w:pageBreakBefore w:val="0"/>
        <w:widowControl w:val="0"/>
        <w:kinsoku/>
        <w:wordWrap/>
        <w:overflowPunct/>
        <w:autoSpaceDE w:val="0"/>
        <w:autoSpaceDN w:val="0"/>
        <w:bidi w:val="0"/>
        <w:adjustRightInd w:val="0"/>
        <w:snapToGrid w:val="0"/>
        <w:spacing w:line="560" w:lineRule="exact"/>
        <w:ind w:firstLine="4160" w:firstLineChars="1300"/>
        <w:textAlignment w:val="auto"/>
        <w:rPr>
          <w:rFonts w:hint="eastAsia" w:ascii="仿宋_GB2312" w:hAnsi="仿宋_GB2312" w:eastAsia="仿宋_GB2312" w:cs="仿宋_GB2312"/>
          <w:color w:val="auto"/>
          <w:sz w:val="32"/>
          <w:szCs w:val="32"/>
          <w:highlight w:val="none"/>
          <w:lang w:bidi="en-US"/>
        </w:rPr>
      </w:pPr>
      <w:r>
        <w:rPr>
          <w:rFonts w:hint="eastAsia" w:ascii="仿宋_GB2312" w:hAnsi="仿宋_GB2312" w:eastAsia="仿宋_GB2312" w:cs="仿宋_GB2312"/>
          <w:color w:val="auto"/>
          <w:sz w:val="32"/>
          <w:szCs w:val="32"/>
          <w:lang w:bidi="en-US"/>
        </w:rPr>
        <w:t>锡林</w:t>
      </w:r>
      <w:r>
        <w:rPr>
          <w:rFonts w:hint="eastAsia" w:ascii="仿宋_GB2312" w:hAnsi="仿宋_GB2312" w:eastAsia="仿宋_GB2312" w:cs="仿宋_GB2312"/>
          <w:color w:val="auto"/>
          <w:sz w:val="32"/>
          <w:szCs w:val="32"/>
          <w:highlight w:val="none"/>
          <w:lang w:bidi="en-US"/>
        </w:rPr>
        <w:t>郭勒盟生态环境局</w:t>
      </w:r>
    </w:p>
    <w:p w14:paraId="5B6D611B">
      <w:pPr>
        <w:keepNext w:val="0"/>
        <w:keepLines w:val="0"/>
        <w:pageBreakBefore w:val="0"/>
        <w:widowControl w:val="0"/>
        <w:kinsoku/>
        <w:wordWrap/>
        <w:overflowPunct/>
        <w:autoSpaceDE w:val="0"/>
        <w:autoSpaceDN w:val="0"/>
        <w:bidi w:val="0"/>
        <w:adjustRightInd w:val="0"/>
        <w:snapToGrid w:val="0"/>
        <w:spacing w:line="560" w:lineRule="exact"/>
        <w:ind w:firstLine="4800" w:firstLineChars="1500"/>
        <w:textAlignment w:val="auto"/>
        <w:rPr>
          <w:rFonts w:hint="eastAsia" w:ascii="仿宋_GB2312" w:hAnsi="仿宋_GB2312" w:eastAsia="仿宋_GB2312" w:cs="仿宋_GB2312"/>
          <w:color w:val="000000" w:themeColor="text1"/>
          <w:sz w:val="32"/>
          <w:szCs w:val="32"/>
          <w:highlight w:val="none"/>
          <w:lang w:bidi="en-US"/>
          <w14:textFill>
            <w14:solidFill>
              <w14:schemeClr w14:val="tx1"/>
            </w14:solidFill>
          </w14:textFill>
        </w:rPr>
      </w:pPr>
      <w:r>
        <w:rPr>
          <w:rFonts w:hint="eastAsia" w:ascii="仿宋_GB2312" w:hAnsi="仿宋_GB2312" w:eastAsia="仿宋_GB2312" w:cs="仿宋_GB2312"/>
          <w:color w:val="000000" w:themeColor="text1"/>
          <w:sz w:val="32"/>
          <w:szCs w:val="32"/>
          <w:highlight w:val="none"/>
          <w:lang w:bidi="en-US"/>
          <w14:textFill>
            <w14:solidFill>
              <w14:schemeClr w14:val="tx1"/>
            </w14:solidFill>
          </w14:textFill>
        </w:rPr>
        <w:t>202</w:t>
      </w:r>
      <w:r>
        <w:rPr>
          <w:rFonts w:hint="eastAsia" w:ascii="仿宋_GB2312" w:hAnsi="仿宋_GB2312" w:eastAsia="仿宋_GB2312" w:cs="仿宋_GB2312"/>
          <w:color w:val="000000" w:themeColor="text1"/>
          <w:sz w:val="32"/>
          <w:szCs w:val="32"/>
          <w:highlight w:val="none"/>
          <w:lang w:val="en-US" w:eastAsia="zh-CN" w:bidi="en-US"/>
          <w14:textFill>
            <w14:solidFill>
              <w14:schemeClr w14:val="tx1"/>
            </w14:solidFill>
          </w14:textFill>
        </w:rPr>
        <w:t>5</w:t>
      </w:r>
      <w:r>
        <w:rPr>
          <w:rFonts w:hint="eastAsia" w:ascii="仿宋_GB2312" w:hAnsi="仿宋_GB2312" w:eastAsia="仿宋_GB2312" w:cs="仿宋_GB2312"/>
          <w:color w:val="000000" w:themeColor="text1"/>
          <w:sz w:val="32"/>
          <w:szCs w:val="32"/>
          <w:highlight w:val="none"/>
          <w:lang w:bidi="en-US"/>
          <w14:textFill>
            <w14:solidFill>
              <w14:schemeClr w14:val="tx1"/>
            </w14:solidFill>
          </w14:textFill>
        </w:rPr>
        <w:t>年</w:t>
      </w:r>
      <w:r>
        <w:rPr>
          <w:rFonts w:hint="eastAsia" w:ascii="仿宋_GB2312" w:hAnsi="仿宋_GB2312" w:eastAsia="仿宋_GB2312" w:cs="仿宋_GB2312"/>
          <w:color w:val="000000" w:themeColor="text1"/>
          <w:sz w:val="32"/>
          <w:szCs w:val="32"/>
          <w:highlight w:val="none"/>
          <w:lang w:val="en-US" w:eastAsia="zh-CN" w:bidi="en-US"/>
          <w14:textFill>
            <w14:solidFill>
              <w14:schemeClr w14:val="tx1"/>
            </w14:solidFill>
          </w14:textFill>
        </w:rPr>
        <w:t>10</w:t>
      </w:r>
      <w:r>
        <w:rPr>
          <w:rFonts w:hint="eastAsia" w:ascii="仿宋_GB2312" w:hAnsi="仿宋_GB2312" w:eastAsia="仿宋_GB2312" w:cs="仿宋_GB2312"/>
          <w:color w:val="000000" w:themeColor="text1"/>
          <w:sz w:val="32"/>
          <w:szCs w:val="32"/>
          <w:highlight w:val="none"/>
          <w:lang w:bidi="en-US"/>
          <w14:textFill>
            <w14:solidFill>
              <w14:schemeClr w14:val="tx1"/>
            </w14:solidFill>
          </w14:textFill>
        </w:rPr>
        <w:t>月</w:t>
      </w:r>
      <w:r>
        <w:rPr>
          <w:rFonts w:hint="eastAsia" w:ascii="仿宋_GB2312" w:hAnsi="仿宋_GB2312" w:eastAsia="仿宋_GB2312" w:cs="仿宋_GB2312"/>
          <w:color w:val="000000" w:themeColor="text1"/>
          <w:sz w:val="32"/>
          <w:szCs w:val="32"/>
          <w:highlight w:val="none"/>
          <w:lang w:val="en-US" w:eastAsia="zh-CN" w:bidi="en-US"/>
          <w14:textFill>
            <w14:solidFill>
              <w14:schemeClr w14:val="tx1"/>
            </w14:solidFill>
          </w14:textFill>
        </w:rPr>
        <w:t>23</w:t>
      </w:r>
      <w:r>
        <w:rPr>
          <w:rFonts w:hint="eastAsia" w:ascii="仿宋_GB2312" w:hAnsi="仿宋_GB2312" w:eastAsia="仿宋_GB2312" w:cs="仿宋_GB2312"/>
          <w:color w:val="000000" w:themeColor="text1"/>
          <w:sz w:val="32"/>
          <w:szCs w:val="32"/>
          <w:highlight w:val="none"/>
          <w:lang w:bidi="en-US"/>
          <w14:textFill>
            <w14:solidFill>
              <w14:schemeClr w14:val="tx1"/>
            </w14:solidFill>
          </w14:textFill>
        </w:rPr>
        <w:t>日</w:t>
      </w:r>
    </w:p>
    <w:p w14:paraId="5992C2D2">
      <w:pPr>
        <w:keepNext w:val="0"/>
        <w:keepLines w:val="0"/>
        <w:pageBreakBefore w:val="0"/>
        <w:widowControl w:val="0"/>
        <w:kinsoku/>
        <w:wordWrap/>
        <w:overflowPunct/>
        <w:autoSpaceDE w:val="0"/>
        <w:autoSpaceDN w:val="0"/>
        <w:bidi w:val="0"/>
        <w:adjustRightInd w:val="0"/>
        <w:snapToGrid w:val="0"/>
        <w:spacing w:line="560" w:lineRule="exact"/>
        <w:ind w:firstLine="4800" w:firstLineChars="1500"/>
        <w:textAlignment w:val="auto"/>
        <w:rPr>
          <w:rFonts w:hint="eastAsia" w:ascii="仿宋_GB2312" w:hAnsi="仿宋_GB2312" w:eastAsia="仿宋_GB2312" w:cs="仿宋_GB2312"/>
          <w:color w:val="auto"/>
          <w:sz w:val="32"/>
          <w:szCs w:val="32"/>
          <w:highlight w:val="none"/>
          <w:lang w:bidi="en-US"/>
        </w:rPr>
      </w:pPr>
    </w:p>
    <w:p w14:paraId="3D98551B">
      <w:pPr>
        <w:pStyle w:val="2"/>
        <w:ind w:left="0" w:leftChars="0" w:firstLine="0" w:firstLineChars="0"/>
        <w:rPr>
          <w:rFonts w:hint="eastAsia" w:ascii="仿宋_GB2312" w:hAnsi="仿宋_GB2312" w:eastAsia="仿宋_GB2312" w:cs="仿宋_GB2312"/>
          <w:color w:val="auto"/>
          <w:sz w:val="32"/>
          <w:szCs w:val="32"/>
          <w:highlight w:val="none"/>
          <w:lang w:bidi="en-US"/>
        </w:rPr>
      </w:pPr>
    </w:p>
    <w:p w14:paraId="52562085">
      <w:pPr>
        <w:rPr>
          <w:rFonts w:hint="eastAsia"/>
        </w:rPr>
      </w:pPr>
    </w:p>
    <w:p w14:paraId="1A04BE94">
      <w:pPr>
        <w:pStyle w:val="2"/>
        <w:ind w:left="0" w:leftChars="0" w:firstLine="0" w:firstLineChars="0"/>
        <w:rPr>
          <w:rFonts w:hint="eastAsia" w:ascii="仿宋_GB2312" w:hAnsi="仿宋_GB2312" w:eastAsia="仿宋_GB2312" w:cs="仿宋_GB2312"/>
          <w:color w:val="auto"/>
          <w:sz w:val="32"/>
          <w:szCs w:val="32"/>
          <w:highlight w:val="none"/>
          <w:lang w:bidi="en-US"/>
        </w:rPr>
      </w:pPr>
    </w:p>
    <w:p w14:paraId="670E1956">
      <w:pPr>
        <w:pStyle w:val="3"/>
        <w:rPr>
          <w:rFonts w:hint="eastAsia" w:ascii="仿宋_GB2312" w:hAnsi="仿宋_GB2312" w:eastAsia="仿宋_GB2312" w:cs="仿宋_GB2312"/>
          <w:color w:val="auto"/>
          <w:sz w:val="32"/>
          <w:szCs w:val="32"/>
          <w:highlight w:val="none"/>
          <w:lang w:bidi="en-US"/>
        </w:rPr>
      </w:pPr>
    </w:p>
    <w:p w14:paraId="0128C2AE">
      <w:pPr>
        <w:pStyle w:val="2"/>
        <w:ind w:left="0" w:leftChars="0" w:firstLine="0" w:firstLineChars="0"/>
        <w:rPr>
          <w:rFonts w:hint="eastAsia"/>
        </w:rPr>
      </w:pPr>
    </w:p>
    <w:p w14:paraId="55F939A9">
      <w:pPr>
        <w:rPr>
          <w:rFonts w:hint="eastAsia" w:ascii="仿宋" w:hAnsi="仿宋" w:eastAsia="仿宋" w:cs="仿宋"/>
          <w:color w:val="auto"/>
          <w:highlight w:val="none"/>
        </w:rPr>
      </w:pPr>
    </w:p>
    <w:p w14:paraId="0F514C1D">
      <w:pPr>
        <w:pStyle w:val="16"/>
        <w:keepNext w:val="0"/>
        <w:keepLines w:val="0"/>
        <w:pageBreakBefore w:val="0"/>
        <w:widowControl w:val="0"/>
        <w:kinsoku/>
        <w:wordWrap/>
        <w:overflowPunct/>
        <w:topLinePunct w:val="0"/>
        <w:bidi w:val="0"/>
        <w:snapToGrid/>
        <w:spacing w:line="500" w:lineRule="exact"/>
        <w:jc w:val="both"/>
        <w:textAlignment w:val="auto"/>
        <w:rPr>
          <w:rFonts w:hint="eastAsia" w:ascii="仿宋" w:hAnsi="仿宋" w:eastAsia="仿宋" w:cs="仿宋"/>
          <w:color w:val="000000" w:themeColor="text1"/>
          <w:kern w:val="2"/>
          <w:sz w:val="28"/>
          <w:szCs w:val="28"/>
          <w:highlight w:val="none"/>
          <w:lang w:eastAsia="zh-CN" w:bidi="en-US"/>
          <w14:textFill>
            <w14:solidFill>
              <w14:schemeClr w14:val="tx1"/>
            </w14:solidFill>
          </w14:textFill>
        </w:rPr>
      </w:pPr>
      <w:r>
        <w:rPr>
          <w:rFonts w:hint="eastAsia" w:ascii="仿宋" w:hAnsi="仿宋" w:eastAsia="仿宋" w:cs="仿宋"/>
          <w:color w:val="auto"/>
          <w:kern w:val="2"/>
          <w:sz w:val="28"/>
          <w:szCs w:val="28"/>
          <w:highlight w:val="none"/>
          <w:lang w:val="en-US" w:eastAsia="zh-CN" w:bidi="en-US"/>
        </w:rPr>
        <w:t xml:space="preserve">  </w:t>
      </w:r>
      <w:r>
        <w:rPr>
          <w:rFonts w:hint="eastAsia" w:ascii="仿宋" w:hAnsi="仿宋" w:eastAsia="仿宋" w:cs="仿宋"/>
          <w:color w:val="auto"/>
          <w:kern w:val="2"/>
          <w:sz w:val="28"/>
          <w:szCs w:val="28"/>
          <w:highlight w:val="none"/>
          <w:lang w:bidi="en-US"/>
        </w:rPr>
        <w:t>抄送：盟生态环境综合行政执法支队</w:t>
      </w:r>
      <w:r>
        <w:rPr>
          <w:rFonts w:hint="eastAsia" w:ascii="仿宋" w:hAnsi="仿宋" w:eastAsia="仿宋" w:cs="仿宋"/>
          <w:color w:val="auto"/>
          <w:kern w:val="2"/>
          <w:sz w:val="28"/>
          <w:szCs w:val="28"/>
          <w:highlight w:val="none"/>
          <w:lang w:eastAsia="zh-CN" w:bidi="en-US"/>
        </w:rPr>
        <w:t>，</w:t>
      </w:r>
      <w:r>
        <w:rPr>
          <w:rFonts w:hint="eastAsia" w:ascii="仿宋" w:hAnsi="仿宋" w:eastAsia="仿宋" w:cs="仿宋"/>
          <w:color w:val="auto"/>
          <w:kern w:val="2"/>
          <w:sz w:val="28"/>
          <w:szCs w:val="28"/>
          <w:highlight w:val="none"/>
          <w:lang w:bidi="en-US"/>
        </w:rPr>
        <w:t>盟生态环</w:t>
      </w:r>
      <w:r>
        <w:rPr>
          <w:rFonts w:hint="eastAsia" w:ascii="仿宋" w:hAnsi="仿宋" w:eastAsia="仿宋" w:cs="仿宋"/>
          <w:color w:val="000000" w:themeColor="text1"/>
          <w:kern w:val="2"/>
          <w:sz w:val="28"/>
          <w:szCs w:val="28"/>
          <w:highlight w:val="none"/>
          <w:lang w:bidi="en-US"/>
          <w14:textFill>
            <w14:solidFill>
              <w14:schemeClr w14:val="tx1"/>
            </w14:solidFill>
          </w14:textFill>
        </w:rPr>
        <w:t>境局</w:t>
      </w:r>
      <w:r>
        <w:rPr>
          <w:rFonts w:hint="eastAsia" w:ascii="仿宋" w:hAnsi="仿宋" w:eastAsia="仿宋" w:cs="仿宋"/>
          <w:color w:val="000000" w:themeColor="text1"/>
          <w:kern w:val="2"/>
          <w:sz w:val="28"/>
          <w:szCs w:val="28"/>
          <w:highlight w:val="none"/>
          <w:lang w:eastAsia="zh-CN" w:bidi="en-US"/>
          <w14:textFill>
            <w14:solidFill>
              <w14:schemeClr w14:val="tx1"/>
            </w14:solidFill>
          </w14:textFill>
        </w:rPr>
        <w:t>西乌珠穆沁</w:t>
      </w:r>
    </w:p>
    <w:p w14:paraId="0006FF2D">
      <w:pPr>
        <w:pStyle w:val="16"/>
        <w:keepNext w:val="0"/>
        <w:keepLines w:val="0"/>
        <w:pageBreakBefore w:val="0"/>
        <w:widowControl w:val="0"/>
        <w:kinsoku/>
        <w:wordWrap/>
        <w:overflowPunct/>
        <w:topLinePunct w:val="0"/>
        <w:bidi w:val="0"/>
        <w:snapToGrid/>
        <w:spacing w:line="500" w:lineRule="exact"/>
        <w:jc w:val="both"/>
        <w:textAlignment w:val="auto"/>
        <w:rPr>
          <w:rFonts w:hint="eastAsia" w:ascii="仿宋" w:hAnsi="仿宋" w:eastAsia="仿宋" w:cs="仿宋"/>
          <w:color w:val="auto"/>
          <w:kern w:val="2"/>
          <w:sz w:val="28"/>
          <w:szCs w:val="28"/>
          <w:highlight w:val="none"/>
          <w:lang w:eastAsia="zh-CN" w:bidi="en-US"/>
        </w:rPr>
      </w:pPr>
      <w:r>
        <w:rPr>
          <w:rFonts w:hint="eastAsia" w:ascii="仿宋" w:hAnsi="仿宋" w:eastAsia="仿宋" w:cs="仿宋"/>
          <w:color w:val="000000" w:themeColor="text1"/>
          <w:kern w:val="2"/>
          <w:sz w:val="28"/>
          <w:szCs w:val="28"/>
          <w:highlight w:val="none"/>
          <w:lang w:val="en-US" w:eastAsia="zh-CN" w:bidi="en-US"/>
          <w14:textFill>
            <w14:solidFill>
              <w14:schemeClr w14:val="tx1"/>
            </w14:solidFill>
          </w14:textFill>
        </w:rPr>
        <w:t xml:space="preserve">        </w:t>
      </w:r>
      <w:bookmarkStart w:id="1" w:name="_GoBack"/>
      <w:bookmarkEnd w:id="1"/>
      <w:r>
        <w:rPr>
          <w:rFonts w:hint="eastAsia" w:ascii="仿宋" w:hAnsi="仿宋" w:eastAsia="仿宋" w:cs="仿宋"/>
          <w:color w:val="000000" w:themeColor="text1"/>
          <w:kern w:val="2"/>
          <w:sz w:val="28"/>
          <w:szCs w:val="28"/>
          <w:highlight w:val="none"/>
          <w:lang w:eastAsia="zh-CN" w:bidi="en-US"/>
          <w14:textFill>
            <w14:solidFill>
              <w14:schemeClr w14:val="tx1"/>
            </w14:solidFill>
          </w14:textFill>
        </w:rPr>
        <w:t>旗分</w:t>
      </w:r>
      <w:r>
        <w:rPr>
          <w:rFonts w:hint="eastAsia" w:ascii="仿宋" w:hAnsi="仿宋" w:eastAsia="仿宋" w:cs="仿宋"/>
          <w:color w:val="auto"/>
          <w:kern w:val="2"/>
          <w:sz w:val="28"/>
          <w:szCs w:val="28"/>
          <w:highlight w:val="none"/>
          <w:lang w:eastAsia="zh-CN" w:bidi="en-US"/>
        </w:rPr>
        <w:t>局。</w:t>
      </w:r>
    </w:p>
    <w:p w14:paraId="5508AF8D">
      <w:pPr>
        <w:keepNext w:val="0"/>
        <w:keepLines w:val="0"/>
        <w:pageBreakBefore w:val="0"/>
        <w:widowControl w:val="0"/>
        <w:pBdr>
          <w:top w:val="single" w:color="auto" w:sz="4" w:space="1"/>
          <w:left w:val="none" w:color="auto" w:sz="0" w:space="4"/>
          <w:bottom w:val="single" w:color="auto" w:sz="4" w:space="1"/>
          <w:right w:val="none" w:color="auto" w:sz="0" w:space="4"/>
        </w:pBdr>
        <w:kinsoku/>
        <w:wordWrap/>
        <w:overflowPunct/>
        <w:topLinePunct w:val="0"/>
        <w:bidi w:val="0"/>
        <w:snapToGrid/>
        <w:spacing w:line="500" w:lineRule="exact"/>
        <w:textAlignment w:val="auto"/>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lang w:val="en-US" w:eastAsia="zh-CN"/>
        </w:rPr>
        <w:t xml:space="preserve">  </w:t>
      </w:r>
      <w:r>
        <w:rPr>
          <w:rFonts w:hint="eastAsia" w:ascii="仿宋" w:hAnsi="仿宋" w:eastAsia="仿宋" w:cs="仿宋"/>
          <w:color w:val="auto"/>
          <w:sz w:val="28"/>
          <w:szCs w:val="28"/>
          <w:highlight w:val="none"/>
        </w:rPr>
        <w:t xml:space="preserve">锡林郭勒盟生态环境局办公室    </w:t>
      </w:r>
      <w:r>
        <w:rPr>
          <w:rFonts w:hint="eastAsia" w:ascii="仿宋" w:hAnsi="仿宋" w:eastAsia="仿宋" w:cs="仿宋"/>
          <w:color w:val="000000" w:themeColor="text1"/>
          <w:sz w:val="28"/>
          <w:szCs w:val="28"/>
          <w:highlight w:val="none"/>
          <w14:textFill>
            <w14:solidFill>
              <w14:schemeClr w14:val="tx1"/>
            </w14:solidFill>
          </w14:textFill>
        </w:rPr>
        <w:t xml:space="preserve">     202</w:t>
      </w:r>
      <w:r>
        <w:rPr>
          <w:rFonts w:hint="eastAsia" w:ascii="仿宋" w:hAnsi="仿宋" w:eastAsia="仿宋" w:cs="仿宋"/>
          <w:color w:val="000000" w:themeColor="text1"/>
          <w:sz w:val="28"/>
          <w:szCs w:val="28"/>
          <w:highlight w:val="none"/>
          <w:lang w:val="en-US" w:eastAsia="zh-CN"/>
          <w14:textFill>
            <w14:solidFill>
              <w14:schemeClr w14:val="tx1"/>
            </w14:solidFill>
          </w14:textFill>
        </w:rPr>
        <w:t>5</w:t>
      </w:r>
      <w:r>
        <w:rPr>
          <w:rFonts w:hint="eastAsia" w:ascii="仿宋" w:hAnsi="仿宋" w:eastAsia="仿宋" w:cs="仿宋"/>
          <w:color w:val="000000" w:themeColor="text1"/>
          <w:sz w:val="28"/>
          <w:szCs w:val="28"/>
          <w:highlight w:val="none"/>
          <w14:textFill>
            <w14:solidFill>
              <w14:schemeClr w14:val="tx1"/>
            </w14:solidFill>
          </w14:textFill>
        </w:rPr>
        <w:t>年</w:t>
      </w:r>
      <w:r>
        <w:rPr>
          <w:rFonts w:hint="eastAsia" w:ascii="仿宋" w:hAnsi="仿宋" w:eastAsia="仿宋" w:cs="仿宋"/>
          <w:color w:val="000000" w:themeColor="text1"/>
          <w:sz w:val="28"/>
          <w:szCs w:val="28"/>
          <w:highlight w:val="none"/>
          <w:lang w:val="en-US" w:eastAsia="zh-CN"/>
          <w14:textFill>
            <w14:solidFill>
              <w14:schemeClr w14:val="tx1"/>
            </w14:solidFill>
          </w14:textFill>
        </w:rPr>
        <w:t>10</w:t>
      </w:r>
      <w:r>
        <w:rPr>
          <w:rFonts w:hint="eastAsia" w:ascii="仿宋" w:hAnsi="仿宋" w:eastAsia="仿宋" w:cs="仿宋"/>
          <w:color w:val="000000" w:themeColor="text1"/>
          <w:sz w:val="28"/>
          <w:szCs w:val="28"/>
          <w:highlight w:val="none"/>
          <w14:textFill>
            <w14:solidFill>
              <w14:schemeClr w14:val="tx1"/>
            </w14:solidFill>
          </w14:textFill>
        </w:rPr>
        <w:t>月</w:t>
      </w:r>
      <w:r>
        <w:rPr>
          <w:rFonts w:hint="eastAsia" w:ascii="仿宋" w:hAnsi="仿宋" w:eastAsia="仿宋" w:cs="仿宋"/>
          <w:color w:val="000000" w:themeColor="text1"/>
          <w:sz w:val="28"/>
          <w:szCs w:val="28"/>
          <w:highlight w:val="none"/>
          <w:lang w:val="en-US" w:eastAsia="zh-CN"/>
          <w14:textFill>
            <w14:solidFill>
              <w14:schemeClr w14:val="tx1"/>
            </w14:solidFill>
          </w14:textFill>
        </w:rPr>
        <w:t>23</w:t>
      </w:r>
      <w:r>
        <w:rPr>
          <w:rFonts w:hint="eastAsia" w:ascii="仿宋" w:hAnsi="仿宋" w:eastAsia="仿宋" w:cs="仿宋"/>
          <w:color w:val="000000" w:themeColor="text1"/>
          <w:sz w:val="28"/>
          <w:szCs w:val="28"/>
          <w:highlight w:val="none"/>
          <w14:textFill>
            <w14:solidFill>
              <w14:schemeClr w14:val="tx1"/>
            </w14:solidFill>
          </w14:textFill>
        </w:rPr>
        <w:t>日印</w:t>
      </w:r>
      <w:r>
        <w:rPr>
          <w:rFonts w:hint="eastAsia" w:ascii="仿宋" w:hAnsi="仿宋" w:eastAsia="仿宋" w:cs="仿宋"/>
          <w:color w:val="auto"/>
          <w:sz w:val="28"/>
          <w:szCs w:val="28"/>
          <w:highlight w:val="none"/>
        </w:rPr>
        <w:t>发</w:t>
      </w: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auto"/>
    <w:pitch w:val="default"/>
    <w:sig w:usb0="E0002AFF" w:usb1="C0007841" w:usb2="00000009" w:usb3="00000000" w:csb0="400001FF" w:csb1="FFFF0000"/>
  </w:font>
  <w:font w:name="宋体">
    <w:panose1 w:val="02010600030101010101"/>
    <w:charset w:val="34"/>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altName w:val="宋体"/>
    <w:panose1 w:val="02010600030101010101"/>
    <w:charset w:val="86"/>
    <w:family w:val="auto"/>
    <w:pitch w:val="default"/>
    <w:sig w:usb0="00000000" w:usb1="00000000"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等线">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3CA90B">
    <w:pPr>
      <w:pStyle w:val="7"/>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4183EF1">
                          <w:pPr>
                            <w:pStyle w:val="7"/>
                            <w:rPr>
                              <w:sz w:val="28"/>
                              <w:szCs w:val="28"/>
                            </w:rPr>
                          </w:pPr>
                          <w:r>
                            <w:rPr>
                              <w:sz w:val="28"/>
                              <w:szCs w:val="28"/>
                            </w:rPr>
                            <w:fldChar w:fldCharType="begin"/>
                          </w:r>
                          <w:r>
                            <w:rPr>
                              <w:sz w:val="28"/>
                              <w:szCs w:val="28"/>
                            </w:rPr>
                            <w:instrText xml:space="preserve"> PAGE  \* MERGEFORMAT </w:instrText>
                          </w:r>
                          <w:r>
                            <w:rPr>
                              <w:sz w:val="28"/>
                              <w:szCs w:val="28"/>
                            </w:rPr>
                            <w:fldChar w:fldCharType="separate"/>
                          </w:r>
                          <w:r>
                            <w:rPr>
                              <w:sz w:val="28"/>
                              <w:szCs w:val="28"/>
                            </w:rPr>
                            <w:t>1</w:t>
                          </w:r>
                          <w:r>
                            <w:rPr>
                              <w:sz w:val="28"/>
                              <w:szCs w:val="2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14:paraId="04183EF1">
                    <w:pPr>
                      <w:pStyle w:val="7"/>
                      <w:rPr>
                        <w:sz w:val="28"/>
                        <w:szCs w:val="28"/>
                      </w:rPr>
                    </w:pPr>
                    <w:r>
                      <w:rPr>
                        <w:sz w:val="28"/>
                        <w:szCs w:val="28"/>
                      </w:rPr>
                      <w:fldChar w:fldCharType="begin"/>
                    </w:r>
                    <w:r>
                      <w:rPr>
                        <w:sz w:val="28"/>
                        <w:szCs w:val="28"/>
                      </w:rPr>
                      <w:instrText xml:space="preserve"> PAGE  \* MERGEFORMAT </w:instrText>
                    </w:r>
                    <w:r>
                      <w:rPr>
                        <w:sz w:val="28"/>
                        <w:szCs w:val="28"/>
                      </w:rPr>
                      <w:fldChar w:fldCharType="separate"/>
                    </w:r>
                    <w:r>
                      <w:rPr>
                        <w:sz w:val="28"/>
                        <w:szCs w:val="28"/>
                      </w:rPr>
                      <w:t>1</w:t>
                    </w:r>
                    <w:r>
                      <w:rPr>
                        <w:sz w:val="28"/>
                        <w:szCs w:val="2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9FD7860"/>
    <w:multiLevelType w:val="singleLevel"/>
    <w:tmpl w:val="F9FD7860"/>
    <w:lvl w:ilvl="0" w:tentative="0">
      <w:start w:val="2"/>
      <w:numFmt w:val="chineseCounting"/>
      <w:suff w:val="nothing"/>
      <w:lvlText w:val="（%1）"/>
      <w:lvlJc w:val="left"/>
      <w:rPr>
        <w:rFonts w:hint="eastAsia"/>
      </w:rPr>
    </w:lvl>
  </w:abstractNum>
  <w:abstractNum w:abstractNumId="1">
    <w:nsid w:val="4B940A54"/>
    <w:multiLevelType w:val="singleLevel"/>
    <w:tmpl w:val="4B940A54"/>
    <w:lvl w:ilvl="0" w:tentative="0">
      <w:start w:val="4"/>
      <w:numFmt w:val="chineseCounting"/>
      <w:suff w:val="nothing"/>
      <w:lvlText w:val="（%1）"/>
      <w:lvlJc w:val="left"/>
      <w:rPr>
        <w:rFonts w:hint="eastAsia" w:ascii="楷体" w:hAnsi="楷体" w:eastAsia="楷体" w:cs="楷体"/>
        <w:b w:val="0"/>
        <w:bCs w:val="0"/>
        <w:sz w:val="32"/>
        <w:szCs w:val="32"/>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jVjZjliNThiMThmZTZiMTZlZjM4YWI1NWNjNGNiZjYifQ=="/>
  </w:docVars>
  <w:rsids>
    <w:rsidRoot w:val="00BE15C5"/>
    <w:rsid w:val="00096BAA"/>
    <w:rsid w:val="001577BB"/>
    <w:rsid w:val="00157C95"/>
    <w:rsid w:val="001A08E0"/>
    <w:rsid w:val="0023504A"/>
    <w:rsid w:val="00275F15"/>
    <w:rsid w:val="0029260D"/>
    <w:rsid w:val="0030521F"/>
    <w:rsid w:val="00314696"/>
    <w:rsid w:val="00333BAE"/>
    <w:rsid w:val="00351DD5"/>
    <w:rsid w:val="0036799A"/>
    <w:rsid w:val="003F6E8C"/>
    <w:rsid w:val="00565FD0"/>
    <w:rsid w:val="006D5A5C"/>
    <w:rsid w:val="0078439C"/>
    <w:rsid w:val="008169E9"/>
    <w:rsid w:val="008B4F82"/>
    <w:rsid w:val="008C5ED5"/>
    <w:rsid w:val="00977DFE"/>
    <w:rsid w:val="00981820"/>
    <w:rsid w:val="00A74547"/>
    <w:rsid w:val="00B3474C"/>
    <w:rsid w:val="00BB3EEE"/>
    <w:rsid w:val="00BE15C5"/>
    <w:rsid w:val="00C054DA"/>
    <w:rsid w:val="00C23C2B"/>
    <w:rsid w:val="00C769C0"/>
    <w:rsid w:val="00CA00EE"/>
    <w:rsid w:val="00D14C38"/>
    <w:rsid w:val="00D37553"/>
    <w:rsid w:val="00DA6EE3"/>
    <w:rsid w:val="00E76C09"/>
    <w:rsid w:val="00F13EA9"/>
    <w:rsid w:val="00F96E63"/>
    <w:rsid w:val="00FF17CD"/>
    <w:rsid w:val="019C606F"/>
    <w:rsid w:val="023F66B6"/>
    <w:rsid w:val="033C2BF5"/>
    <w:rsid w:val="04082137"/>
    <w:rsid w:val="04D60042"/>
    <w:rsid w:val="05FD1001"/>
    <w:rsid w:val="064265FE"/>
    <w:rsid w:val="065A7A8E"/>
    <w:rsid w:val="06E03F5B"/>
    <w:rsid w:val="07E80A5E"/>
    <w:rsid w:val="08125FE6"/>
    <w:rsid w:val="09F707CE"/>
    <w:rsid w:val="0A055186"/>
    <w:rsid w:val="0B1701D0"/>
    <w:rsid w:val="0C7A4895"/>
    <w:rsid w:val="0D6D6C1D"/>
    <w:rsid w:val="0EE27BE5"/>
    <w:rsid w:val="109F048E"/>
    <w:rsid w:val="130C25E4"/>
    <w:rsid w:val="133A3E29"/>
    <w:rsid w:val="134A4ECA"/>
    <w:rsid w:val="13EB21F9"/>
    <w:rsid w:val="1B4D5509"/>
    <w:rsid w:val="1B7C0676"/>
    <w:rsid w:val="1BBF88AE"/>
    <w:rsid w:val="1BF2CB73"/>
    <w:rsid w:val="1D61177E"/>
    <w:rsid w:val="1F0337A2"/>
    <w:rsid w:val="1F9C573C"/>
    <w:rsid w:val="1FBE98E8"/>
    <w:rsid w:val="20C67501"/>
    <w:rsid w:val="20E00C0C"/>
    <w:rsid w:val="22B733D3"/>
    <w:rsid w:val="26B75F6B"/>
    <w:rsid w:val="270A5106"/>
    <w:rsid w:val="29D8150D"/>
    <w:rsid w:val="2AAB4039"/>
    <w:rsid w:val="2CF929A0"/>
    <w:rsid w:val="2D875092"/>
    <w:rsid w:val="2ECE6548"/>
    <w:rsid w:val="2F1F3E8C"/>
    <w:rsid w:val="2F2B74F6"/>
    <w:rsid w:val="2F7E7F6E"/>
    <w:rsid w:val="3812264D"/>
    <w:rsid w:val="3A437DEA"/>
    <w:rsid w:val="3AD90E3C"/>
    <w:rsid w:val="3BFB7ADD"/>
    <w:rsid w:val="3C4B2A92"/>
    <w:rsid w:val="3CA66F28"/>
    <w:rsid w:val="3CE84C78"/>
    <w:rsid w:val="3CFE4BE4"/>
    <w:rsid w:val="3D98044D"/>
    <w:rsid w:val="3EDBBAD3"/>
    <w:rsid w:val="3FBC777D"/>
    <w:rsid w:val="3FC31BD1"/>
    <w:rsid w:val="445D3A2B"/>
    <w:rsid w:val="466622E2"/>
    <w:rsid w:val="46B26845"/>
    <w:rsid w:val="4A3B72B4"/>
    <w:rsid w:val="4B973E13"/>
    <w:rsid w:val="4CDD40CE"/>
    <w:rsid w:val="4EC33F0B"/>
    <w:rsid w:val="4FDC11D7"/>
    <w:rsid w:val="501114FC"/>
    <w:rsid w:val="51B03B5F"/>
    <w:rsid w:val="5514288C"/>
    <w:rsid w:val="55621614"/>
    <w:rsid w:val="56990422"/>
    <w:rsid w:val="57B40ADC"/>
    <w:rsid w:val="5B679E5F"/>
    <w:rsid w:val="5C1271C4"/>
    <w:rsid w:val="5C8C51C9"/>
    <w:rsid w:val="5DD60DF1"/>
    <w:rsid w:val="5DFFD6AD"/>
    <w:rsid w:val="5FA70BB0"/>
    <w:rsid w:val="617526E2"/>
    <w:rsid w:val="640E5DD6"/>
    <w:rsid w:val="640F77AC"/>
    <w:rsid w:val="6479615F"/>
    <w:rsid w:val="65980358"/>
    <w:rsid w:val="67927E4C"/>
    <w:rsid w:val="68146F4B"/>
    <w:rsid w:val="68387D94"/>
    <w:rsid w:val="69CC12A6"/>
    <w:rsid w:val="6ACB3360"/>
    <w:rsid w:val="6D337A9A"/>
    <w:rsid w:val="6D874340"/>
    <w:rsid w:val="6D965EA7"/>
    <w:rsid w:val="6E1A4AAF"/>
    <w:rsid w:val="6FD159E5"/>
    <w:rsid w:val="6FEE6D0C"/>
    <w:rsid w:val="70E64D55"/>
    <w:rsid w:val="70EA0941"/>
    <w:rsid w:val="71FFDCEE"/>
    <w:rsid w:val="737F42A4"/>
    <w:rsid w:val="751F6782"/>
    <w:rsid w:val="756C3B4F"/>
    <w:rsid w:val="776575C6"/>
    <w:rsid w:val="776B22F2"/>
    <w:rsid w:val="77A04D8F"/>
    <w:rsid w:val="77A23F56"/>
    <w:rsid w:val="77FB60A4"/>
    <w:rsid w:val="78CC1696"/>
    <w:rsid w:val="795254DD"/>
    <w:rsid w:val="79F6371A"/>
    <w:rsid w:val="7BB80B28"/>
    <w:rsid w:val="7CE53CE8"/>
    <w:rsid w:val="7E435BD1"/>
    <w:rsid w:val="7E5356DB"/>
    <w:rsid w:val="7F590AE3"/>
    <w:rsid w:val="7F6C2C5A"/>
    <w:rsid w:val="7F7C8CD3"/>
    <w:rsid w:val="7F7CE8F3"/>
    <w:rsid w:val="7FD6261A"/>
    <w:rsid w:val="97FFBFF7"/>
    <w:rsid w:val="AFDFA893"/>
    <w:rsid w:val="B6FB1ACB"/>
    <w:rsid w:val="BBFD157B"/>
    <w:rsid w:val="BBFFB394"/>
    <w:rsid w:val="BDB9872E"/>
    <w:rsid w:val="C73F4456"/>
    <w:rsid w:val="CF77A9DB"/>
    <w:rsid w:val="DBAFDD4B"/>
    <w:rsid w:val="DBD5EE8A"/>
    <w:rsid w:val="DF671AB1"/>
    <w:rsid w:val="E7FD0A82"/>
    <w:rsid w:val="EF6F4B52"/>
    <w:rsid w:val="EFEB112C"/>
    <w:rsid w:val="F3FD86CF"/>
    <w:rsid w:val="F4DD7BDB"/>
    <w:rsid w:val="F4FE1E3B"/>
    <w:rsid w:val="FBBF539C"/>
    <w:rsid w:val="FC7D141F"/>
    <w:rsid w:val="FE9F31A0"/>
    <w:rsid w:val="FFDE3BE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name="annotation text"/>
    <w:lsdException w:qFormat="1" w:uiPriority="99"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5">
    <w:name w:val="heading 4"/>
    <w:basedOn w:val="1"/>
    <w:next w:val="1"/>
    <w:unhideWhenUsed/>
    <w:qFormat/>
    <w:uiPriority w:val="9"/>
    <w:pPr>
      <w:keepNext/>
      <w:keepLines/>
      <w:adjustRightInd w:val="0"/>
      <w:snapToGrid w:val="0"/>
      <w:jc w:val="left"/>
      <w:outlineLvl w:val="3"/>
    </w:pPr>
    <w:rPr>
      <w:rFonts w:cstheme="majorBidi"/>
      <w:b/>
      <w:bCs/>
      <w:szCs w:val="28"/>
    </w:rPr>
  </w:style>
  <w:style w:type="character" w:default="1" w:styleId="12">
    <w:name w:val="Default Paragraph Font"/>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2">
    <w:name w:val="Normal Indent"/>
    <w:basedOn w:val="1"/>
    <w:next w:val="3"/>
    <w:qFormat/>
    <w:uiPriority w:val="0"/>
    <w:pPr>
      <w:ind w:firstLine="420" w:firstLineChars="200"/>
    </w:pPr>
    <w:rPr>
      <w:rFonts w:ascii="Times New Roman" w:hAnsi="Times New Roman" w:eastAsia="宋体"/>
      <w:szCs w:val="24"/>
    </w:rPr>
  </w:style>
  <w:style w:type="paragraph" w:styleId="3">
    <w:name w:val="Body Text First Indent 2"/>
    <w:basedOn w:val="4"/>
    <w:next w:val="1"/>
    <w:qFormat/>
    <w:uiPriority w:val="0"/>
    <w:pPr>
      <w:adjustRightInd w:val="0"/>
      <w:ind w:firstLine="420"/>
      <w:textAlignment w:val="baseline"/>
    </w:pPr>
    <w:rPr>
      <w:rFonts w:ascii="宋体" w:hAnsi="宋体"/>
      <w:sz w:val="18"/>
      <w:szCs w:val="18"/>
    </w:rPr>
  </w:style>
  <w:style w:type="paragraph" w:styleId="4">
    <w:name w:val="Body Text Indent"/>
    <w:basedOn w:val="1"/>
    <w:next w:val="1"/>
    <w:qFormat/>
    <w:uiPriority w:val="0"/>
    <w:pPr>
      <w:spacing w:after="120"/>
      <w:ind w:left="420" w:leftChars="200"/>
    </w:pPr>
    <w:rPr>
      <w:rFonts w:ascii="Times New Roman" w:hAnsi="Times New Roman" w:eastAsia="宋体" w:cs="Times New Roman"/>
      <w:szCs w:val="20"/>
    </w:rPr>
  </w:style>
  <w:style w:type="paragraph" w:styleId="6">
    <w:name w:val="annotation text"/>
    <w:basedOn w:val="1"/>
    <w:link w:val="24"/>
    <w:semiHidden/>
    <w:unhideWhenUsed/>
    <w:qFormat/>
    <w:uiPriority w:val="99"/>
    <w:pPr>
      <w:jc w:val="left"/>
    </w:pPr>
  </w:style>
  <w:style w:type="paragraph" w:styleId="7">
    <w:name w:val="footer"/>
    <w:basedOn w:val="1"/>
    <w:qFormat/>
    <w:uiPriority w:val="0"/>
    <w:pPr>
      <w:tabs>
        <w:tab w:val="center" w:pos="4153"/>
        <w:tab w:val="right" w:pos="8306"/>
      </w:tabs>
      <w:snapToGrid w:val="0"/>
      <w:jc w:val="left"/>
    </w:pPr>
    <w:rPr>
      <w:rFonts w:ascii="Times New Roman" w:hAnsi="Times New Roman" w:eastAsia="宋体" w:cs="Times New Roman"/>
      <w:sz w:val="18"/>
    </w:rPr>
  </w:style>
  <w:style w:type="paragraph" w:styleId="8">
    <w:name w:val="header"/>
    <w:basedOn w:val="1"/>
    <w:link w:val="20"/>
    <w:unhideWhenUsed/>
    <w:qFormat/>
    <w:uiPriority w:val="99"/>
    <w:pPr>
      <w:pBdr>
        <w:bottom w:val="single" w:color="auto" w:sz="6" w:space="1"/>
      </w:pBdr>
      <w:tabs>
        <w:tab w:val="center" w:pos="4153"/>
        <w:tab w:val="right" w:pos="8306"/>
      </w:tabs>
      <w:snapToGrid w:val="0"/>
      <w:jc w:val="center"/>
    </w:pPr>
    <w:rPr>
      <w:sz w:val="18"/>
      <w:szCs w:val="18"/>
    </w:rPr>
  </w:style>
  <w:style w:type="paragraph" w:styleId="9">
    <w:name w:val="toc 1"/>
    <w:basedOn w:val="1"/>
    <w:next w:val="1"/>
    <w:qFormat/>
    <w:uiPriority w:val="39"/>
    <w:pPr>
      <w:tabs>
        <w:tab w:val="left" w:pos="284"/>
        <w:tab w:val="right" w:leader="dot" w:pos="8296"/>
      </w:tabs>
    </w:pPr>
  </w:style>
  <w:style w:type="paragraph" w:styleId="10">
    <w:name w:val="annotation subject"/>
    <w:basedOn w:val="6"/>
    <w:next w:val="6"/>
    <w:link w:val="25"/>
    <w:semiHidden/>
    <w:unhideWhenUsed/>
    <w:qFormat/>
    <w:uiPriority w:val="99"/>
    <w:rPr>
      <w:b/>
      <w:bCs/>
    </w:rPr>
  </w:style>
  <w:style w:type="character" w:styleId="13">
    <w:name w:val="Hyperlink"/>
    <w:basedOn w:val="12"/>
    <w:unhideWhenUsed/>
    <w:qFormat/>
    <w:uiPriority w:val="99"/>
    <w:rPr>
      <w:color w:val="0563C1" w:themeColor="hyperlink"/>
      <w:u w:val="single"/>
      <w14:textFill>
        <w14:solidFill>
          <w14:schemeClr w14:val="hlink"/>
        </w14:solidFill>
      </w14:textFill>
    </w:rPr>
  </w:style>
  <w:style w:type="character" w:styleId="14">
    <w:name w:val="annotation reference"/>
    <w:basedOn w:val="12"/>
    <w:semiHidden/>
    <w:unhideWhenUsed/>
    <w:qFormat/>
    <w:uiPriority w:val="99"/>
    <w:rPr>
      <w:sz w:val="21"/>
      <w:szCs w:val="21"/>
    </w:rPr>
  </w:style>
  <w:style w:type="paragraph" w:customStyle="1" w:styleId="15">
    <w:name w:val="[1]正文"/>
    <w:basedOn w:val="1"/>
    <w:qFormat/>
    <w:uiPriority w:val="0"/>
    <w:pPr>
      <w:autoSpaceDE w:val="0"/>
      <w:autoSpaceDN w:val="0"/>
      <w:ind w:left="0" w:leftChars="0" w:firstLine="200" w:firstLineChars="200"/>
    </w:pPr>
    <w:rPr>
      <w:rFonts w:ascii="Times New Roman" w:hAnsi="Times New Roman" w:eastAsia="宋体" w:cs="Times New Roman"/>
      <w:color w:val="000000"/>
      <w:kern w:val="0"/>
      <w:szCs w:val="24"/>
      <w:lang w:val="zh-CN"/>
    </w:rPr>
  </w:style>
  <w:style w:type="paragraph" w:customStyle="1" w:styleId="16">
    <w:name w:val="Default"/>
    <w:basedOn w:val="17"/>
    <w:next w:val="1"/>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17">
    <w:name w:val="纯文本1"/>
    <w:basedOn w:val="1"/>
    <w:qFormat/>
    <w:uiPriority w:val="0"/>
    <w:rPr>
      <w:rFonts w:ascii="宋体" w:hAnsi="Courier New"/>
      <w:szCs w:val="20"/>
    </w:rPr>
  </w:style>
  <w:style w:type="paragraph" w:customStyle="1" w:styleId="18">
    <w:name w:val="正文1"/>
    <w:basedOn w:val="16"/>
    <w:next w:val="1"/>
    <w:qFormat/>
    <w:uiPriority w:val="0"/>
    <w:pPr>
      <w:tabs>
        <w:tab w:val="left" w:pos="0"/>
        <w:tab w:val="left" w:pos="7012"/>
      </w:tabs>
      <w:autoSpaceDE w:val="0"/>
      <w:autoSpaceDN w:val="0"/>
      <w:spacing w:beforeLines="25" w:afterLines="25" w:line="360" w:lineRule="auto"/>
      <w:ind w:firstLine="480" w:firstLineChars="200"/>
    </w:pPr>
    <w:rPr>
      <w:rFonts w:ascii="宋体" w:hAnsi="Calibri" w:cs="宋体"/>
      <w:color w:val="000000"/>
      <w:sz w:val="24"/>
      <w:szCs w:val="24"/>
    </w:rPr>
  </w:style>
  <w:style w:type="character" w:customStyle="1" w:styleId="19">
    <w:name w:val="未处理的提及1"/>
    <w:basedOn w:val="12"/>
    <w:semiHidden/>
    <w:unhideWhenUsed/>
    <w:qFormat/>
    <w:uiPriority w:val="99"/>
    <w:rPr>
      <w:color w:val="605E5C"/>
      <w:shd w:val="clear" w:color="auto" w:fill="E1DFDD"/>
    </w:rPr>
  </w:style>
  <w:style w:type="character" w:customStyle="1" w:styleId="20">
    <w:name w:val="页眉 字符"/>
    <w:basedOn w:val="12"/>
    <w:link w:val="8"/>
    <w:qFormat/>
    <w:uiPriority w:val="99"/>
    <w:rPr>
      <w:kern w:val="2"/>
      <w:sz w:val="18"/>
      <w:szCs w:val="18"/>
    </w:rPr>
  </w:style>
  <w:style w:type="paragraph" w:customStyle="1" w:styleId="21">
    <w:name w:val="表文"/>
    <w:basedOn w:val="1"/>
    <w:qFormat/>
    <w:uiPriority w:val="0"/>
    <w:pPr>
      <w:overflowPunct w:val="0"/>
      <w:spacing w:line="440" w:lineRule="exact"/>
      <w:jc w:val="center"/>
      <w:textAlignment w:val="baseline"/>
    </w:pPr>
    <w:rPr>
      <w:rFonts w:ascii="Arial" w:hAnsi="Arial" w:eastAsia="宋体" w:cs="Times New Roman"/>
      <w:szCs w:val="20"/>
    </w:rPr>
  </w:style>
  <w:style w:type="paragraph" w:customStyle="1" w:styleId="22">
    <w:name w:val="样式 (符号) 宋体 小四 行距: 1.5 倍行距"/>
    <w:basedOn w:val="1"/>
    <w:qFormat/>
    <w:uiPriority w:val="0"/>
    <w:pPr>
      <w:spacing w:line="360" w:lineRule="auto"/>
      <w:ind w:firstLine="200" w:firstLineChars="200"/>
    </w:pPr>
    <w:rPr>
      <w:rFonts w:ascii="Times New Roman" w:hAnsi="Times New Roman" w:eastAsia="宋体" w:cs="宋体"/>
      <w:sz w:val="24"/>
      <w:szCs w:val="24"/>
    </w:rPr>
  </w:style>
  <w:style w:type="paragraph" w:styleId="23">
    <w:name w:val="List Paragraph"/>
    <w:basedOn w:val="1"/>
    <w:qFormat/>
    <w:uiPriority w:val="99"/>
    <w:pPr>
      <w:ind w:firstLine="420" w:firstLineChars="200"/>
    </w:pPr>
  </w:style>
  <w:style w:type="character" w:customStyle="1" w:styleId="24">
    <w:name w:val="批注文字 字符"/>
    <w:basedOn w:val="12"/>
    <w:link w:val="6"/>
    <w:semiHidden/>
    <w:qFormat/>
    <w:uiPriority w:val="99"/>
    <w:rPr>
      <w:kern w:val="2"/>
      <w:sz w:val="21"/>
      <w:szCs w:val="22"/>
    </w:rPr>
  </w:style>
  <w:style w:type="character" w:customStyle="1" w:styleId="25">
    <w:name w:val="批注主题 字符"/>
    <w:basedOn w:val="24"/>
    <w:link w:val="10"/>
    <w:semiHidden/>
    <w:qFormat/>
    <w:uiPriority w:val="99"/>
    <w:rPr>
      <w:b/>
      <w:bCs/>
      <w:kern w:val="2"/>
      <w:sz w:val="21"/>
      <w:szCs w:val="22"/>
    </w:rPr>
  </w:style>
  <w:style w:type="paragraph" w:customStyle="1" w:styleId="26">
    <w:name w:val="高-正文"/>
    <w:basedOn w:val="1"/>
    <w:qFormat/>
    <w:uiPriority w:val="0"/>
    <w:pPr>
      <w:topLinePunct/>
      <w:adjustRightInd w:val="0"/>
      <w:snapToGrid w:val="0"/>
      <w:spacing w:line="480" w:lineRule="exact"/>
      <w:ind w:firstLine="600"/>
    </w:pPr>
    <w:rPr>
      <w:rFonts w:ascii="等线" w:hAnsi="等线" w:eastAsia="等线"/>
    </w:rPr>
  </w:style>
  <w:style w:type="paragraph" w:customStyle="1" w:styleId="27">
    <w:name w:val="报告书正文"/>
    <w:basedOn w:val="1"/>
    <w:qFormat/>
    <w:uiPriority w:val="0"/>
    <w:pPr>
      <w:adjustRightInd w:val="0"/>
      <w:snapToGrid w:val="0"/>
      <w:spacing w:line="360" w:lineRule="auto"/>
      <w:ind w:firstLine="425" w:firstLineChars="200"/>
      <w:textAlignment w:val="baseline"/>
    </w:pPr>
    <w:rPr>
      <w:rFonts w:ascii="Arial" w:hAnsi="Arial"/>
      <w:kern w:val="0"/>
      <w:sz w:val="24"/>
      <w:szCs w:val="22"/>
      <w:lang w:eastAsia="en-US" w:bidi="en-US"/>
    </w:rPr>
  </w:style>
  <w:style w:type="paragraph" w:customStyle="1" w:styleId="28">
    <w:name w:val="报告正文"/>
    <w:basedOn w:val="1"/>
    <w:qFormat/>
    <w:uiPriority w:val="0"/>
    <w:pPr>
      <w:adjustRightInd w:val="0"/>
      <w:snapToGrid w:val="0"/>
      <w:spacing w:line="360" w:lineRule="auto"/>
      <w:ind w:firstLine="482" w:firstLineChars="200"/>
    </w:pPr>
    <w:rPr>
      <w:color w:val="000000"/>
      <w:sz w:val="24"/>
      <w:szCs w:val="21"/>
    </w:rPr>
  </w:style>
  <w:style w:type="paragraph" w:customStyle="1" w:styleId="29">
    <w:name w:val="正文2"/>
    <w:basedOn w:val="1"/>
    <w:qFormat/>
    <w:uiPriority w:val="0"/>
    <w:pPr>
      <w:spacing w:line="360" w:lineRule="auto"/>
      <w:ind w:firstLine="200" w:firstLineChars="200"/>
    </w:pPr>
    <w:rPr>
      <w:rFonts w:ascii="Times New Roman" w:hAnsi="Times New Roman"/>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6</Pages>
  <Words>2773</Words>
  <Characters>3028</Characters>
  <Lines>19</Lines>
  <Paragraphs>5</Paragraphs>
  <TotalTime>62</TotalTime>
  <ScaleCrop>false</ScaleCrop>
  <LinksUpToDate>false</LinksUpToDate>
  <CharactersWithSpaces>3054</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2023-02-03T09:32:00Z</dcterms:created>
  <dc:creator>hui hui</dc:creator>
  <cp:lastModifiedBy>ོʚ 中ོ然ོ ɞ</cp:lastModifiedBy>
  <cp:lastPrinted>2023-02-03T09:39:00Z</cp:lastPrinted>
  <dcterms:modified xsi:type="dcterms:W3CDTF">2025-10-23T08:28:50Z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D49D8AF02B7A446D811928EB71DFDB56_13</vt:lpwstr>
  </property>
  <property fmtid="{D5CDD505-2E9C-101B-9397-08002B2CF9AE}" pid="4" name="KSOTemplateDocerSaveRecord">
    <vt:lpwstr>eyJoZGlkIjoiNTk0MDc0MWE2MzMxMjkwZmE5ODU4OGMzYzc5YjkzMTAiLCJ1c2VySWQiOiI1NDkxMDYxNjAifQ==</vt:lpwstr>
  </property>
</Properties>
</file>