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B0E19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8D920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49B2D60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F67ACC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3247CF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9D84D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0DD50CB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D62AB3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7F5DFF7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东环审表〔202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24</w:t>
      </w:r>
      <w:r>
        <w:rPr>
          <w:rFonts w:hint="eastAsia" w:ascii="仿宋_GB2312" w:hAnsi="仿宋_GB2312" w:eastAsia="仿宋_GB2312" w:cs="仿宋_GB2312"/>
          <w:sz w:val="32"/>
          <w:szCs w:val="32"/>
          <w:highlight w:val="none"/>
        </w:rPr>
        <w:t>号</w:t>
      </w:r>
    </w:p>
    <w:p w14:paraId="372A102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B175130">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锡林郭勒盟生态环境局</w:t>
      </w:r>
    </w:p>
    <w:p w14:paraId="1FD599F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32"/>
          <w:szCs w:val="32"/>
          <w:highlight w:val="none"/>
        </w:rPr>
      </w:pPr>
      <w:r>
        <w:rPr>
          <w:rFonts w:hint="eastAsia" w:ascii="方正小标宋简体" w:hAnsi="方正小标宋简体" w:eastAsia="方正小标宋简体" w:cs="方正小标宋简体"/>
          <w:sz w:val="44"/>
          <w:szCs w:val="44"/>
          <w:highlight w:val="none"/>
        </w:rPr>
        <w:t>关于Y171线黑土岗至宝格达山林场段公路</w:t>
      </w:r>
      <w:r>
        <w:rPr>
          <w:rFonts w:hint="eastAsia" w:ascii="方正小标宋简体" w:hAnsi="方正小标宋简体" w:eastAsia="方正小标宋简体" w:cs="方正小标宋简体"/>
          <w:sz w:val="44"/>
          <w:szCs w:val="44"/>
          <w:highlight w:val="none"/>
          <w:lang w:val="en-US" w:eastAsia="zh-CN"/>
        </w:rPr>
        <w:t>项目</w:t>
      </w:r>
      <w:r>
        <w:rPr>
          <w:rFonts w:hint="eastAsia" w:ascii="方正小标宋简体" w:hAnsi="方正小标宋简体" w:eastAsia="方正小标宋简体" w:cs="方正小标宋简体"/>
          <w:sz w:val="44"/>
          <w:szCs w:val="44"/>
          <w:highlight w:val="none"/>
        </w:rPr>
        <w:t>环境影响报告表的批复</w:t>
      </w:r>
    </w:p>
    <w:p w14:paraId="4559C8C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7323A25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东乌珠穆沁旗交通运输局</w:t>
      </w:r>
      <w:r>
        <w:rPr>
          <w:rFonts w:hint="eastAsia" w:ascii="仿宋_GB2312" w:hAnsi="仿宋_GB2312" w:eastAsia="仿宋_GB2312" w:cs="仿宋_GB2312"/>
          <w:sz w:val="32"/>
          <w:szCs w:val="32"/>
          <w:highlight w:val="none"/>
        </w:rPr>
        <w:t>:</w:t>
      </w:r>
    </w:p>
    <w:p w14:paraId="3EDB3F2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你</w:t>
      </w:r>
      <w:r>
        <w:rPr>
          <w:rFonts w:hint="eastAsia" w:ascii="仿宋_GB2312" w:hAnsi="仿宋_GB2312" w:eastAsia="仿宋_GB2312" w:cs="仿宋_GB2312"/>
          <w:sz w:val="32"/>
          <w:szCs w:val="32"/>
          <w:highlight w:val="none"/>
          <w:lang w:val="en-US" w:eastAsia="zh-CN"/>
        </w:rPr>
        <w:t>单位</w:t>
      </w:r>
      <w:r>
        <w:rPr>
          <w:rFonts w:hint="eastAsia" w:ascii="仿宋_GB2312" w:hAnsi="仿宋_GB2312" w:eastAsia="仿宋_GB2312" w:cs="仿宋_GB2312"/>
          <w:sz w:val="32"/>
          <w:szCs w:val="32"/>
          <w:highlight w:val="none"/>
        </w:rPr>
        <w:t>委托</w:t>
      </w:r>
      <w:r>
        <w:rPr>
          <w:rFonts w:hint="eastAsia" w:ascii="仿宋_GB2312" w:hAnsi="仿宋_GB2312" w:eastAsia="仿宋_GB2312" w:cs="仿宋_GB2312"/>
          <w:sz w:val="32"/>
          <w:szCs w:val="32"/>
          <w:highlight w:val="none"/>
          <w:lang w:val="en-US" w:eastAsia="zh-CN"/>
        </w:rPr>
        <w:t>内蒙古智合项目管理有限公司</w:t>
      </w:r>
      <w:r>
        <w:rPr>
          <w:rFonts w:hint="eastAsia" w:ascii="仿宋_GB2312" w:hAnsi="仿宋_GB2312" w:eastAsia="仿宋_GB2312" w:cs="仿宋_GB2312"/>
          <w:sz w:val="32"/>
          <w:szCs w:val="32"/>
          <w:highlight w:val="none"/>
        </w:rPr>
        <w:t>编制的《Y171线黑土岗至宝格达山林场段公路</w:t>
      </w:r>
      <w:r>
        <w:rPr>
          <w:rFonts w:hint="eastAsia" w:ascii="仿宋_GB2312" w:hAnsi="仿宋_GB2312" w:eastAsia="仿宋_GB2312" w:cs="仿宋_GB2312"/>
          <w:sz w:val="32"/>
          <w:szCs w:val="32"/>
          <w:highlight w:val="none"/>
          <w:lang w:val="en-US" w:eastAsia="zh-CN"/>
        </w:rPr>
        <w:t>项目</w:t>
      </w:r>
      <w:r>
        <w:rPr>
          <w:rFonts w:hint="eastAsia" w:ascii="仿宋_GB2312" w:hAnsi="仿宋_GB2312" w:eastAsia="仿宋_GB2312" w:cs="仿宋_GB2312"/>
          <w:sz w:val="32"/>
          <w:szCs w:val="32"/>
          <w:highlight w:val="none"/>
        </w:rPr>
        <w:t xml:space="preserve">环境影响报告表》收悉。经研究，批复如下：      </w:t>
      </w:r>
    </w:p>
    <w:p w14:paraId="76061AA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一、建设项目基本情况</w:t>
      </w:r>
    </w:p>
    <w:p w14:paraId="12E74D4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本项目位于内蒙古自治区锡林郭勒盟</w:t>
      </w:r>
      <w:r>
        <w:rPr>
          <w:rFonts w:hint="eastAsia" w:ascii="仿宋_GB2312" w:hAnsi="仿宋_GB2312" w:eastAsia="仿宋_GB2312" w:cs="仿宋_GB2312"/>
          <w:sz w:val="32"/>
          <w:szCs w:val="32"/>
          <w:highlight w:val="none"/>
          <w:lang w:eastAsia="zh-CN"/>
        </w:rPr>
        <w:t>东乌珠穆沁旗</w:t>
      </w:r>
      <w:r>
        <w:rPr>
          <w:rFonts w:hint="eastAsia" w:ascii="仿宋_GB2312" w:hAnsi="仿宋_GB2312" w:eastAsia="仿宋_GB2312" w:cs="仿宋_GB2312"/>
          <w:sz w:val="32"/>
          <w:szCs w:val="32"/>
          <w:highlight w:val="none"/>
          <w:lang w:val="en-US" w:eastAsia="zh-CN"/>
        </w:rPr>
        <w:t>宝格达山国有林场内</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建设路线全长为38.489km的三级公路，起点坐标为46°22′9.428″、119°36′46.424″，</w:t>
      </w:r>
      <w:r>
        <w:rPr>
          <w:rFonts w:hint="eastAsia" w:ascii="仿宋_GB2312" w:hAnsi="仿宋_GB2312" w:eastAsia="仿宋_GB2312" w:cs="仿宋_GB2312"/>
          <w:sz w:val="32"/>
          <w:szCs w:val="32"/>
          <w:highlight w:val="none"/>
        </w:rPr>
        <w:t>终点</w:t>
      </w:r>
      <w:r>
        <w:rPr>
          <w:rFonts w:hint="eastAsia" w:ascii="仿宋_GB2312" w:hAnsi="仿宋_GB2312" w:eastAsia="仿宋_GB2312" w:cs="仿宋_GB2312"/>
          <w:sz w:val="32"/>
          <w:szCs w:val="32"/>
          <w:highlight w:val="none"/>
          <w:lang w:val="en-US" w:eastAsia="zh-CN"/>
        </w:rPr>
        <w:t>坐标为</w:t>
      </w:r>
      <w:r>
        <w:rPr>
          <w:rFonts w:hint="eastAsia" w:ascii="仿宋_GB2312" w:hAnsi="仿宋_GB2312" w:eastAsia="仿宋_GB2312" w:cs="仿宋_GB2312"/>
          <w:sz w:val="32"/>
          <w:szCs w:val="32"/>
          <w:highlight w:val="none"/>
        </w:rPr>
        <w:t>46°</w:t>
      </w:r>
      <w:r>
        <w:rPr>
          <w:rFonts w:hint="eastAsia" w:ascii="仿宋_GB2312" w:hAnsi="仿宋_GB2312" w:eastAsia="仿宋_GB2312" w:cs="仿宋_GB2312"/>
          <w:sz w:val="32"/>
          <w:szCs w:val="32"/>
          <w:highlight w:val="none"/>
          <w:lang w:val="en-US" w:eastAsia="zh-CN"/>
        </w:rPr>
        <w:t>37</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11</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458</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11</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51</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46</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605</w:t>
      </w:r>
      <w:r>
        <w:rPr>
          <w:rFonts w:hint="eastAsia" w:ascii="仿宋_GB2312" w:hAnsi="仿宋_GB2312" w:eastAsia="仿宋_GB2312" w:cs="仿宋_GB2312"/>
          <w:sz w:val="32"/>
          <w:szCs w:val="32"/>
          <w:highlight w:val="none"/>
        </w:rPr>
        <w:t>″，属于</w:t>
      </w:r>
      <w:r>
        <w:rPr>
          <w:rFonts w:hint="eastAsia" w:ascii="仿宋_GB2312" w:hAnsi="仿宋_GB2312" w:eastAsia="仿宋_GB2312" w:cs="仿宋_GB2312"/>
          <w:sz w:val="32"/>
          <w:szCs w:val="32"/>
          <w:highlight w:val="none"/>
          <w:lang w:val="en-US" w:eastAsia="zh-CN"/>
        </w:rPr>
        <w:t>改建</w:t>
      </w:r>
      <w:r>
        <w:rPr>
          <w:rFonts w:hint="eastAsia" w:ascii="仿宋_GB2312" w:hAnsi="仿宋_GB2312" w:eastAsia="仿宋_GB2312" w:cs="仿宋_GB2312"/>
          <w:sz w:val="32"/>
          <w:szCs w:val="32"/>
          <w:highlight w:val="none"/>
        </w:rPr>
        <w:t>项目</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项目总占地面积为82.202667hm</w:t>
      </w:r>
      <w:r>
        <w:rPr>
          <w:rFonts w:hint="eastAsia" w:ascii="仿宋_GB2312" w:hAnsi="仿宋_GB2312" w:eastAsia="仿宋_GB2312" w:cs="仿宋_GB2312"/>
          <w:sz w:val="32"/>
          <w:szCs w:val="32"/>
          <w:highlight w:val="none"/>
          <w:vertAlign w:val="superscript"/>
          <w:lang w:val="en-US" w:eastAsia="zh-CN"/>
        </w:rPr>
        <w:t>2</w:t>
      </w:r>
      <w:r>
        <w:rPr>
          <w:rFonts w:hint="eastAsia" w:ascii="仿宋_GB2312" w:hAnsi="仿宋_GB2312" w:eastAsia="仿宋_GB2312" w:cs="仿宋_GB2312"/>
          <w:sz w:val="32"/>
          <w:szCs w:val="32"/>
          <w:highlight w:val="none"/>
          <w:lang w:val="en-US" w:eastAsia="zh-CN"/>
        </w:rPr>
        <w:t>，永久占地面积为64.629334hm</w:t>
      </w:r>
      <w:r>
        <w:rPr>
          <w:rFonts w:hint="eastAsia" w:ascii="仿宋_GB2312" w:hAnsi="仿宋_GB2312" w:eastAsia="仿宋_GB2312" w:cs="仿宋_GB2312"/>
          <w:sz w:val="32"/>
          <w:szCs w:val="32"/>
          <w:highlight w:val="none"/>
          <w:vertAlign w:val="superscript"/>
          <w:lang w:val="en-US" w:eastAsia="zh-CN"/>
        </w:rPr>
        <w:t>2</w:t>
      </w:r>
      <w:r>
        <w:rPr>
          <w:rFonts w:hint="default" w:ascii="仿宋_GB2312" w:hAnsi="仿宋_GB2312" w:eastAsia="仿宋_GB2312" w:cs="仿宋_GB2312"/>
          <w:sz w:val="32"/>
          <w:szCs w:val="32"/>
          <w:highlight w:val="none"/>
          <w:vertAlign w:val="baseline"/>
          <w:lang w:val="en-US" w:eastAsia="zh-CN"/>
        </w:rPr>
        <w:t>,临时占地17.573333hm</w:t>
      </w:r>
      <w:r>
        <w:rPr>
          <w:rFonts w:hint="default" w:ascii="仿宋_GB2312" w:hAnsi="仿宋_GB2312" w:eastAsia="仿宋_GB2312" w:cs="仿宋_GB2312"/>
          <w:sz w:val="32"/>
          <w:szCs w:val="32"/>
          <w:highlight w:val="none"/>
          <w:vertAlign w:val="superscript"/>
          <w:lang w:val="en-US" w:eastAsia="zh-CN"/>
        </w:rPr>
        <w:t>2</w:t>
      </w:r>
      <w:r>
        <w:rPr>
          <w:rFonts w:hint="eastAsia" w:ascii="仿宋_GB2312" w:hAnsi="仿宋_GB2312" w:eastAsia="仿宋_GB2312" w:cs="仿宋_GB2312"/>
          <w:sz w:val="32"/>
          <w:szCs w:val="32"/>
          <w:highlight w:val="none"/>
        </w:rPr>
        <w:t>。主体工程为</w:t>
      </w:r>
      <w:r>
        <w:rPr>
          <w:rFonts w:hint="eastAsia" w:ascii="仿宋_GB2312" w:hAnsi="仿宋_GB2312" w:eastAsia="仿宋_GB2312" w:cs="仿宋_GB2312"/>
          <w:sz w:val="32"/>
          <w:szCs w:val="32"/>
          <w:highlight w:val="none"/>
          <w:lang w:val="en-US" w:eastAsia="zh-CN"/>
        </w:rPr>
        <w:t>主线、路基、路面、排水、边坡防护、交叉工程、桥涵建设。主体工程设计中路线起点为东乌珠穆沁旗与乌拉盖管理区交界处的黑土岗</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起点顺接Y171线斯仁音昭至黑土岗段公路终点，起点桩号为K0+063.7，终点位于东乌珠穆沁旗宝格达山林场西南，与G331线(K5384+790处)平面交叉连接，终点桩号K38+551，路线总体呈西南-东北走向，设计速度30km/h。线路全线采用沥青混凝土路面，全线路基宽度8.0米，路面宽度7.0米，土路肩2×0.5米(护肩板)。全线共设平交14处，管线交叉9处，设置中桥3座，涵洞19道，停车区4处。辅助工程为交通安全与管理设施，全线共设置里程标39块，标志牌111块，钢波形梁护栏延648米，路面标线5011.7平方米，示警桩628根，道口标柱64根。临时工程为取土场、施工营地、施工便道及供电、供水工程。</w:t>
      </w:r>
      <w:r>
        <w:rPr>
          <w:rFonts w:hint="eastAsia" w:ascii="仿宋_GB2312" w:hAnsi="仿宋_GB2312" w:eastAsia="仿宋_GB2312" w:cs="仿宋_GB2312"/>
          <w:sz w:val="32"/>
          <w:szCs w:val="32"/>
          <w:highlight w:val="none"/>
        </w:rPr>
        <w:t>项目总投资</w:t>
      </w:r>
      <w:r>
        <w:rPr>
          <w:rFonts w:hint="eastAsia" w:ascii="仿宋_GB2312" w:hAnsi="仿宋_GB2312" w:eastAsia="仿宋_GB2312" w:cs="仿宋_GB2312"/>
          <w:sz w:val="32"/>
          <w:szCs w:val="32"/>
          <w:highlight w:val="none"/>
          <w:lang w:val="en-US" w:eastAsia="zh-CN"/>
        </w:rPr>
        <w:t>14732</w:t>
      </w:r>
      <w:r>
        <w:rPr>
          <w:rFonts w:hint="eastAsia" w:ascii="仿宋_GB2312" w:hAnsi="仿宋_GB2312" w:eastAsia="仿宋_GB2312" w:cs="仿宋_GB2312"/>
          <w:sz w:val="32"/>
          <w:szCs w:val="32"/>
          <w:highlight w:val="none"/>
        </w:rPr>
        <w:t>万元，其中环保投资</w:t>
      </w:r>
      <w:r>
        <w:rPr>
          <w:rFonts w:hint="eastAsia" w:ascii="仿宋_GB2312" w:hAnsi="仿宋_GB2312" w:eastAsia="仿宋_GB2312" w:cs="仿宋_GB2312"/>
          <w:sz w:val="32"/>
          <w:szCs w:val="32"/>
          <w:highlight w:val="none"/>
          <w:lang w:val="en-US" w:eastAsia="zh-CN"/>
        </w:rPr>
        <w:t>484</w:t>
      </w:r>
      <w:r>
        <w:rPr>
          <w:rFonts w:hint="eastAsia" w:ascii="仿宋_GB2312" w:hAnsi="仿宋_GB2312" w:eastAsia="仿宋_GB2312" w:cs="仿宋_GB2312"/>
          <w:sz w:val="32"/>
          <w:szCs w:val="32"/>
          <w:highlight w:val="none"/>
        </w:rPr>
        <w:t>万元，占总投资的</w:t>
      </w:r>
      <w:r>
        <w:rPr>
          <w:rFonts w:hint="eastAsia" w:ascii="仿宋_GB2312" w:hAnsi="仿宋_GB2312" w:eastAsia="仿宋_GB2312" w:cs="仿宋_GB2312"/>
          <w:sz w:val="32"/>
          <w:szCs w:val="32"/>
          <w:highlight w:val="none"/>
          <w:lang w:val="en-US" w:eastAsia="zh-CN"/>
        </w:rPr>
        <w:t>3.29</w:t>
      </w:r>
      <w:r>
        <w:rPr>
          <w:rFonts w:hint="eastAsia" w:ascii="仿宋_GB2312" w:hAnsi="仿宋_GB2312" w:eastAsia="仿宋_GB2312" w:cs="仿宋_GB2312"/>
          <w:sz w:val="32"/>
          <w:szCs w:val="32"/>
          <w:highlight w:val="none"/>
        </w:rPr>
        <w:t>%。</w:t>
      </w:r>
    </w:p>
    <w:p w14:paraId="665F9C5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依据《产业结构调整指导目录》(2024年本)，本项目不属于鼓励类、限制类和淘汰类项目，属于允许类建设项目，符合国家相关法律法规，符合国家产业政策要求及我盟“三线一单”管控要求。在全面落实《报告表》中提出的各项污染防治措施后，可使环境污染和生态破坏控制在允许范围内，从生态环境保护的角度分析，该项目建设可行。</w:t>
      </w:r>
    </w:p>
    <w:p w14:paraId="0F884EE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二、项目建设及运营过程中的相关责任</w:t>
      </w:r>
    </w:p>
    <w:p w14:paraId="7764067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（一）废气方面</w:t>
      </w:r>
    </w:p>
    <w:p w14:paraId="18CA0BE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施工期</w:t>
      </w:r>
      <w:r>
        <w:rPr>
          <w:rFonts w:hint="eastAsia" w:ascii="仿宋_GB2312" w:hAnsi="仿宋_GB2312" w:eastAsia="仿宋_GB2312" w:cs="仿宋_GB2312"/>
          <w:sz w:val="32"/>
          <w:szCs w:val="32"/>
          <w:highlight w:val="none"/>
          <w:lang w:val="en-US" w:eastAsia="zh-CN"/>
        </w:rPr>
        <w:t>加强施工管理，通过临时围挡、洒水降尘、物料苫盖、运输道路清洁、</w:t>
      </w:r>
      <w:r>
        <w:rPr>
          <w:rFonts w:hint="eastAsia" w:ascii="仿宋_GB2312" w:hAnsi="仿宋_GB2312" w:eastAsia="仿宋_GB2312" w:cs="仿宋_GB2312"/>
          <w:sz w:val="32"/>
          <w:szCs w:val="32"/>
          <w:highlight w:val="none"/>
        </w:rPr>
        <w:t>车辆</w:t>
      </w:r>
      <w:r>
        <w:rPr>
          <w:rFonts w:hint="eastAsia" w:ascii="仿宋_GB2312" w:hAnsi="仿宋_GB2312" w:eastAsia="仿宋_GB2312" w:cs="仿宋_GB2312"/>
          <w:sz w:val="32"/>
          <w:szCs w:val="32"/>
          <w:highlight w:val="none"/>
          <w:lang w:val="en-US" w:eastAsia="zh-CN"/>
        </w:rPr>
        <w:t>限速行驶、密闭运输、</w:t>
      </w:r>
      <w:r>
        <w:rPr>
          <w:rFonts w:hint="eastAsia" w:ascii="仿宋_GB2312" w:hAnsi="仿宋_GB2312" w:eastAsia="仿宋_GB2312" w:cs="仿宋_GB2312"/>
          <w:sz w:val="32"/>
          <w:szCs w:val="32"/>
          <w:highlight w:val="none"/>
        </w:rPr>
        <w:t>遇到恶劣天气禁止施工作业等措施，抑制扬尘污染</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剥离表土等土方堆放处应做好挡护和苫盖，采取拦挡、苫盖措施；沥青摊铺作业时，须确保使用的摊铺机械具备良好的密封性及高效除尘装置，严格控制沥青烟无组织排放。运营期加强道路定期养护及路线两侧绿化。大气污染物排放</w:t>
      </w:r>
      <w:r>
        <w:rPr>
          <w:rFonts w:hint="eastAsia" w:ascii="仿宋_GB2312" w:hAnsi="仿宋_GB2312" w:eastAsia="仿宋_GB2312" w:cs="仿宋_GB2312"/>
          <w:sz w:val="32"/>
          <w:szCs w:val="32"/>
          <w:highlight w:val="none"/>
        </w:rPr>
        <w:t>严格</w:t>
      </w:r>
      <w:r>
        <w:rPr>
          <w:rFonts w:hint="eastAsia" w:ascii="仿宋_GB2312" w:hAnsi="仿宋_GB2312" w:eastAsia="仿宋_GB2312" w:cs="仿宋_GB2312"/>
          <w:sz w:val="32"/>
          <w:szCs w:val="32"/>
          <w:highlight w:val="none"/>
          <w:lang w:val="en-US" w:eastAsia="zh-CN"/>
        </w:rPr>
        <w:t>按照</w:t>
      </w:r>
      <w:r>
        <w:rPr>
          <w:rFonts w:hint="eastAsia" w:ascii="仿宋_GB2312" w:hAnsi="仿宋_GB2312" w:eastAsia="仿宋_GB2312" w:cs="仿宋_GB2312"/>
          <w:sz w:val="32"/>
          <w:szCs w:val="32"/>
          <w:highlight w:val="none"/>
        </w:rPr>
        <w:t>《大气污染物综合排放标准》（GB16297-1996）要求</w:t>
      </w:r>
      <w:r>
        <w:rPr>
          <w:rFonts w:hint="eastAsia" w:ascii="仿宋_GB2312" w:hAnsi="仿宋_GB2312" w:eastAsia="仿宋_GB2312" w:cs="仿宋_GB2312"/>
          <w:sz w:val="32"/>
          <w:szCs w:val="32"/>
          <w:highlight w:val="none"/>
          <w:lang w:val="en-US" w:eastAsia="zh-CN"/>
        </w:rPr>
        <w:t>执行</w:t>
      </w:r>
      <w:r>
        <w:rPr>
          <w:rFonts w:hint="eastAsia" w:ascii="仿宋_GB2312" w:hAnsi="仿宋_GB2312" w:eastAsia="仿宋_GB2312" w:cs="仿宋_GB2312"/>
          <w:sz w:val="32"/>
          <w:szCs w:val="32"/>
          <w:highlight w:val="none"/>
        </w:rPr>
        <w:t>。</w:t>
      </w:r>
    </w:p>
    <w:p w14:paraId="2305AF8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（二）废水方面</w:t>
      </w:r>
    </w:p>
    <w:p w14:paraId="7C9E7C3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施工</w:t>
      </w:r>
      <w:r>
        <w:rPr>
          <w:rFonts w:hint="eastAsia" w:ascii="仿宋_GB2312" w:hAnsi="仿宋_GB2312" w:eastAsia="仿宋_GB2312" w:cs="仿宋_GB2312"/>
          <w:sz w:val="32"/>
          <w:szCs w:val="32"/>
          <w:highlight w:val="none"/>
        </w:rPr>
        <w:t>期</w:t>
      </w:r>
      <w:r>
        <w:rPr>
          <w:rFonts w:hint="eastAsia" w:ascii="仿宋_GB2312" w:hAnsi="仿宋_GB2312" w:eastAsia="仿宋_GB2312" w:cs="仿宋_GB2312"/>
          <w:sz w:val="32"/>
          <w:szCs w:val="32"/>
          <w:highlight w:val="none"/>
          <w:lang w:val="en-US" w:eastAsia="zh-CN"/>
        </w:rPr>
        <w:t>施工废水经沉淀池处理后回用，</w:t>
      </w:r>
      <w:r>
        <w:rPr>
          <w:rFonts w:hint="eastAsia" w:ascii="仿宋_GB2312" w:hAnsi="仿宋_GB2312" w:eastAsia="仿宋_GB2312" w:cs="仿宋_GB2312"/>
          <w:sz w:val="32"/>
          <w:szCs w:val="32"/>
          <w:highlight w:val="none"/>
        </w:rPr>
        <w:t>生活污水经集中收集后进行处理，严禁向外环境排放</w:t>
      </w:r>
      <w:r>
        <w:rPr>
          <w:rFonts w:hint="eastAsia" w:ascii="仿宋_GB2312" w:hAnsi="仿宋_GB2312" w:eastAsia="仿宋_GB2312" w:cs="仿宋_GB2312"/>
          <w:sz w:val="32"/>
          <w:szCs w:val="32"/>
          <w:highlight w:val="none"/>
          <w:lang w:eastAsia="zh-CN"/>
        </w:rPr>
        <w:t>。运营</w:t>
      </w:r>
      <w:r>
        <w:rPr>
          <w:rFonts w:hint="eastAsia" w:ascii="仿宋_GB2312" w:hAnsi="仿宋_GB2312" w:eastAsia="仿宋_GB2312" w:cs="仿宋_GB2312"/>
          <w:sz w:val="32"/>
          <w:szCs w:val="32"/>
          <w:highlight w:val="none"/>
        </w:rPr>
        <w:t>期</w:t>
      </w:r>
      <w:r>
        <w:rPr>
          <w:rFonts w:hint="eastAsia" w:ascii="仿宋_GB2312" w:hAnsi="仿宋_GB2312" w:eastAsia="仿宋_GB2312" w:cs="仿宋_GB2312"/>
          <w:sz w:val="32"/>
          <w:szCs w:val="32"/>
          <w:highlight w:val="none"/>
          <w:lang w:val="en-US" w:eastAsia="zh-CN"/>
        </w:rPr>
        <w:t>无污水产生，路面雨水通过排水沟汇入桥涵或自然沟渠排放。</w:t>
      </w:r>
    </w:p>
    <w:p w14:paraId="737DD2A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（三）噪声方面</w:t>
      </w:r>
    </w:p>
    <w:p w14:paraId="36267AB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施工期</w:t>
      </w:r>
      <w:r>
        <w:rPr>
          <w:rFonts w:hint="eastAsia" w:ascii="仿宋_GB2312" w:hAnsi="仿宋_GB2312" w:eastAsia="仿宋_GB2312" w:cs="仿宋_GB2312"/>
          <w:sz w:val="32"/>
          <w:szCs w:val="32"/>
          <w:highlight w:val="none"/>
        </w:rPr>
        <w:t>加强运输车辆管理，采取</w:t>
      </w:r>
      <w:r>
        <w:rPr>
          <w:rFonts w:hint="eastAsia" w:ascii="仿宋_GB2312" w:hAnsi="仿宋_GB2312" w:eastAsia="仿宋_GB2312" w:cs="仿宋_GB2312"/>
          <w:sz w:val="32"/>
          <w:szCs w:val="32"/>
          <w:highlight w:val="none"/>
          <w:lang w:val="en-US" w:eastAsia="zh-CN"/>
        </w:rPr>
        <w:t>减速慢行</w:t>
      </w:r>
      <w:r>
        <w:rPr>
          <w:rFonts w:hint="eastAsia" w:ascii="仿宋_GB2312" w:hAnsi="仿宋_GB2312" w:eastAsia="仿宋_GB2312" w:cs="仿宋_GB2312"/>
          <w:sz w:val="32"/>
          <w:szCs w:val="32"/>
          <w:highlight w:val="none"/>
        </w:rPr>
        <w:t>、禁止鸣笛</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禁止夜间运输</w:t>
      </w:r>
      <w:r>
        <w:rPr>
          <w:rFonts w:hint="eastAsia" w:ascii="仿宋_GB2312" w:hAnsi="仿宋_GB2312" w:eastAsia="仿宋_GB2312" w:cs="仿宋_GB2312"/>
          <w:sz w:val="32"/>
          <w:szCs w:val="32"/>
          <w:highlight w:val="none"/>
        </w:rPr>
        <w:t>等措施</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合理安排工作时间，合理布置施工现场</w:t>
      </w:r>
      <w:r>
        <w:rPr>
          <w:rFonts w:hint="eastAsia" w:ascii="仿宋_GB2312" w:hAnsi="仿宋_GB2312" w:eastAsia="仿宋_GB2312" w:cs="仿宋_GB2312"/>
          <w:sz w:val="32"/>
          <w:szCs w:val="32"/>
          <w:highlight w:val="none"/>
        </w:rPr>
        <w:t>，采取减振、降噪等先进技术措施，</w:t>
      </w:r>
      <w:r>
        <w:rPr>
          <w:rFonts w:hint="eastAsia" w:ascii="仿宋_GB2312" w:hAnsi="仿宋_GB2312" w:eastAsia="仿宋_GB2312" w:cs="仿宋_GB2312"/>
          <w:sz w:val="32"/>
          <w:szCs w:val="32"/>
          <w:highlight w:val="none"/>
          <w:lang w:val="en-US" w:eastAsia="zh-CN"/>
        </w:rPr>
        <w:t>选用低噪声设备和工艺减轻噪声污染。运营期加强交通管理，临近敏感点路段设置限速、禁鸣警示牌。</w:t>
      </w:r>
      <w:r>
        <w:rPr>
          <w:rFonts w:hint="eastAsia" w:ascii="仿宋_GB2312" w:hAnsi="仿宋_GB2312" w:eastAsia="仿宋_GB2312" w:cs="仿宋_GB2312"/>
          <w:sz w:val="32"/>
          <w:szCs w:val="32"/>
          <w:highlight w:val="none"/>
        </w:rPr>
        <w:t>施工期</w:t>
      </w:r>
      <w:r>
        <w:rPr>
          <w:rFonts w:hint="eastAsia" w:ascii="仿宋_GB2312" w:hAnsi="仿宋_GB2312" w:eastAsia="仿宋_GB2312" w:cs="仿宋_GB2312"/>
          <w:sz w:val="32"/>
          <w:szCs w:val="32"/>
          <w:highlight w:val="none"/>
          <w:lang w:val="en-US" w:eastAsia="zh-CN"/>
        </w:rPr>
        <w:t>噪声执行</w:t>
      </w:r>
      <w:r>
        <w:rPr>
          <w:rFonts w:hint="eastAsia" w:ascii="仿宋_GB2312" w:hAnsi="仿宋_GB2312" w:eastAsia="仿宋_GB2312" w:cs="仿宋_GB2312"/>
          <w:sz w:val="32"/>
          <w:szCs w:val="32"/>
          <w:highlight w:val="none"/>
        </w:rPr>
        <w:t>《建筑施工场界环境噪声排放标准》（GB12523-2011）</w:t>
      </w:r>
      <w:r>
        <w:rPr>
          <w:rFonts w:hint="eastAsia" w:ascii="仿宋_GB2312" w:hAnsi="仿宋_GB2312" w:eastAsia="仿宋_GB2312" w:cs="仿宋_GB2312"/>
          <w:sz w:val="32"/>
          <w:szCs w:val="32"/>
          <w:highlight w:val="none"/>
          <w:lang w:val="en-US" w:eastAsia="zh-CN"/>
        </w:rPr>
        <w:t>，运营期执行</w:t>
      </w:r>
      <w:r>
        <w:rPr>
          <w:rFonts w:hint="eastAsia" w:ascii="仿宋_GB2312" w:hAnsi="仿宋_GB2312" w:eastAsia="仿宋_GB2312" w:cs="仿宋_GB2312"/>
          <w:sz w:val="32"/>
          <w:szCs w:val="32"/>
          <w:highlight w:val="none"/>
        </w:rPr>
        <w:t>《声环境质量标准》（GB3096-2008）</w:t>
      </w:r>
      <w:r>
        <w:rPr>
          <w:rFonts w:hint="eastAsia" w:ascii="仿宋_GB2312" w:hAnsi="仿宋_GB2312" w:eastAsia="仿宋_GB2312" w:cs="仿宋_GB2312"/>
          <w:sz w:val="32"/>
          <w:szCs w:val="32"/>
          <w:highlight w:val="none"/>
          <w:lang w:eastAsia="zh-CN"/>
        </w:rPr>
        <w:t>。</w:t>
      </w:r>
    </w:p>
    <w:p w14:paraId="6323589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（四）固废方面</w:t>
      </w:r>
    </w:p>
    <w:p w14:paraId="2CAF36B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建设期产生的弃土、弃料等随产随清，及时回收综合利用或清运至正规处置场所</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建设期和</w:t>
      </w:r>
      <w:r>
        <w:rPr>
          <w:rFonts w:hint="eastAsia" w:ascii="仿宋_GB2312" w:hAnsi="仿宋_GB2312" w:eastAsia="仿宋_GB2312" w:cs="仿宋_GB2312"/>
          <w:sz w:val="32"/>
          <w:szCs w:val="32"/>
          <w:highlight w:val="none"/>
          <w:lang w:eastAsia="zh-CN"/>
        </w:rPr>
        <w:t>运营</w:t>
      </w:r>
      <w:r>
        <w:rPr>
          <w:rFonts w:hint="eastAsia" w:ascii="仿宋_GB2312" w:hAnsi="仿宋_GB2312" w:eastAsia="仿宋_GB2312" w:cs="仿宋_GB2312"/>
          <w:sz w:val="32"/>
          <w:szCs w:val="32"/>
          <w:highlight w:val="none"/>
        </w:rPr>
        <w:t>期产生的生活垃圾集中收集后规范处置，严格按照《一般工业固体废物贮存和填埋污染控制标准》（GB18599-2020）执行</w:t>
      </w:r>
      <w:r>
        <w:rPr>
          <w:rFonts w:hint="eastAsia" w:ascii="仿宋_GB2312" w:hAnsi="仿宋_GB2312" w:eastAsia="仿宋_GB2312" w:cs="仿宋_GB2312"/>
          <w:sz w:val="32"/>
          <w:szCs w:val="32"/>
          <w:highlight w:val="none"/>
          <w:lang w:eastAsia="zh-CN"/>
        </w:rPr>
        <w:t>。</w:t>
      </w:r>
    </w:p>
    <w:p w14:paraId="7050545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五</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生态保护</w:t>
      </w:r>
      <w:r>
        <w:rPr>
          <w:rFonts w:hint="eastAsia" w:ascii="楷体" w:hAnsi="楷体" w:eastAsia="楷体" w:cs="楷体"/>
          <w:sz w:val="32"/>
          <w:szCs w:val="32"/>
          <w:highlight w:val="none"/>
        </w:rPr>
        <w:t>方面</w:t>
      </w:r>
    </w:p>
    <w:p w14:paraId="4F9BE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施工期剥离表土单独堆存，施工完成后对</w:t>
      </w:r>
      <w:r>
        <w:rPr>
          <w:rFonts w:hint="eastAsia" w:ascii="仿宋_GB2312" w:hAnsi="仿宋_GB2312" w:eastAsia="仿宋_GB2312" w:cs="仿宋_GB2312"/>
          <w:sz w:val="32"/>
          <w:szCs w:val="32"/>
          <w:highlight w:val="none"/>
        </w:rPr>
        <w:t>临时占地</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沿线路基边坡及两侧进行植被恢复，优先使用原生表土和乡土物种，恢复植被和土壤；</w:t>
      </w:r>
      <w:r>
        <w:rPr>
          <w:rFonts w:hint="eastAsia" w:ascii="仿宋_GB2312" w:hAnsi="仿宋_GB2312" w:eastAsia="仿宋_GB2312" w:cs="仿宋_GB2312"/>
          <w:sz w:val="32"/>
          <w:szCs w:val="32"/>
          <w:highlight w:val="none"/>
          <w:lang w:val="en-US" w:eastAsia="zh-CN"/>
        </w:rPr>
        <w:t>施工过程中应遵守相关法律法规，</w:t>
      </w:r>
      <w:r>
        <w:rPr>
          <w:rFonts w:hint="eastAsia" w:ascii="仿宋_GB2312" w:hAnsi="仿宋_GB2312" w:eastAsia="仿宋_GB2312" w:cs="仿宋_GB2312"/>
          <w:sz w:val="32"/>
          <w:szCs w:val="32"/>
          <w:highlight w:val="none"/>
        </w:rPr>
        <w:t>严格控制施工范围，</w:t>
      </w:r>
      <w:r>
        <w:rPr>
          <w:rFonts w:hint="eastAsia" w:ascii="仿宋_GB2312" w:hAnsi="仿宋_GB2312" w:eastAsia="仿宋_GB2312" w:cs="仿宋_GB2312"/>
          <w:sz w:val="32"/>
          <w:szCs w:val="32"/>
          <w:highlight w:val="none"/>
          <w:lang w:eastAsia="zh-CN"/>
        </w:rPr>
        <w:t>注意保护区域植被及动植物，禁止随意开辟施工道路及场地，禁止对施工区以外地区进行碾压和破坏，禁止随意割草、采药等活动，</w:t>
      </w:r>
      <w:r>
        <w:rPr>
          <w:rFonts w:hint="eastAsia" w:ascii="仿宋_GB2312" w:hAnsi="仿宋_GB2312" w:eastAsia="仿宋_GB2312" w:cs="仿宋_GB2312"/>
          <w:sz w:val="32"/>
          <w:szCs w:val="32"/>
          <w:highlight w:val="none"/>
        </w:rPr>
        <w:t>加强施工</w:t>
      </w:r>
      <w:r>
        <w:rPr>
          <w:rFonts w:hint="eastAsia" w:ascii="仿宋_GB2312" w:hAnsi="仿宋_GB2312" w:eastAsia="仿宋_GB2312" w:cs="仿宋_GB2312"/>
          <w:sz w:val="32"/>
          <w:szCs w:val="32"/>
          <w:highlight w:val="none"/>
          <w:lang w:val="en-US" w:eastAsia="zh-CN"/>
        </w:rPr>
        <w:t>人员</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不得破坏原有环境风貌；由于该项目涉及重点文物保护单位，开工建设之前，需办理建设工程文物保护许可审批手续。</w:t>
      </w:r>
    </w:p>
    <w:p w14:paraId="20554DF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三、执行“三同时”制度</w:t>
      </w:r>
    </w:p>
    <w:p w14:paraId="7124FB7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本项目建设必须严格执行生态环境保护设施与主体工程同时设计、同时施工、同时投产使用的生态环境保护“三同时”制度。</w:t>
      </w:r>
    </w:p>
    <w:p w14:paraId="0DACA1B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（一）要将生态环境保护措施纳入初步设计报告并落实环保设施投资概算。</w:t>
      </w:r>
    </w:p>
    <w:p w14:paraId="72CEE4F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（二）要将生态环境保护设施建设纳入施工合同，保证生态环境保护设施建设进度和资金。</w:t>
      </w:r>
    </w:p>
    <w:p w14:paraId="2AA91D9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（三）项目竣工后须按规定程序实施竣工环境保护验收，验收合格后方可正式投运。</w:t>
      </w:r>
    </w:p>
    <w:p w14:paraId="762B6E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四、其他要求</w:t>
      </w:r>
    </w:p>
    <w:p w14:paraId="6823440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东乌珠穆沁旗生态环境综合行政执法大队对该项目建设期间及运行期间各项生态环境保护措施落实情况进行监督检查和管理。</w:t>
      </w:r>
    </w:p>
    <w:p w14:paraId="6109C332">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仿宋_GB2312" w:hAnsi="仿宋_GB2312" w:eastAsia="仿宋_GB2312" w:cs="仿宋_GB2312"/>
          <w:sz w:val="32"/>
          <w:szCs w:val="32"/>
          <w:highlight w:val="none"/>
          <w:lang w:val="en-US" w:eastAsia="zh-CN"/>
        </w:rPr>
      </w:pPr>
    </w:p>
    <w:p w14:paraId="003C2AB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锡林郭勒盟生态环境局</w:t>
      </w:r>
    </w:p>
    <w:p w14:paraId="21F74A7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12</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日</w:t>
      </w:r>
    </w:p>
    <w:p w14:paraId="0AB7E12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p>
    <w:p w14:paraId="7ACC1F1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highlight w:val="none"/>
        </w:rPr>
      </w:pPr>
    </w:p>
    <w:p w14:paraId="2EF48663">
      <w:pPr>
        <w:pStyle w:val="4"/>
        <w:rPr>
          <w:rFonts w:hint="eastAsia" w:ascii="仿宋_GB2312" w:hAnsi="仿宋_GB2312" w:eastAsia="仿宋_GB2312" w:cs="仿宋_GB2312"/>
          <w:sz w:val="32"/>
          <w:szCs w:val="32"/>
          <w:highlight w:val="none"/>
        </w:rPr>
      </w:pPr>
    </w:p>
    <w:p w14:paraId="69AA4F04">
      <w:pPr>
        <w:rPr>
          <w:rFonts w:hint="eastAsia" w:ascii="仿宋_GB2312" w:hAnsi="仿宋_GB2312" w:eastAsia="仿宋_GB2312" w:cs="仿宋_GB2312"/>
          <w:sz w:val="32"/>
          <w:szCs w:val="32"/>
          <w:highlight w:val="none"/>
        </w:rPr>
      </w:pPr>
    </w:p>
    <w:p w14:paraId="6ED94C18">
      <w:pPr>
        <w:pStyle w:val="2"/>
        <w:rPr>
          <w:rFonts w:hint="eastAsia" w:ascii="仿宋_GB2312" w:hAnsi="仿宋_GB2312" w:eastAsia="仿宋_GB2312" w:cs="仿宋_GB2312"/>
          <w:sz w:val="32"/>
          <w:szCs w:val="32"/>
          <w:highlight w:val="none"/>
        </w:rPr>
      </w:pPr>
    </w:p>
    <w:p w14:paraId="522CCAA1">
      <w:pPr>
        <w:rPr>
          <w:rFonts w:hint="eastAsia" w:ascii="仿宋_GB2312" w:hAnsi="仿宋_GB2312" w:eastAsia="仿宋_GB2312" w:cs="仿宋_GB2312"/>
          <w:sz w:val="32"/>
          <w:szCs w:val="32"/>
          <w:highlight w:val="none"/>
        </w:rPr>
      </w:pPr>
    </w:p>
    <w:p w14:paraId="4556BFA2">
      <w:pPr>
        <w:pStyle w:val="2"/>
        <w:rPr>
          <w:rFonts w:hint="eastAsia" w:ascii="仿宋_GB2312" w:hAnsi="仿宋_GB2312" w:eastAsia="仿宋_GB2312" w:cs="仿宋_GB2312"/>
          <w:sz w:val="32"/>
          <w:szCs w:val="32"/>
          <w:highlight w:val="none"/>
        </w:rPr>
      </w:pPr>
    </w:p>
    <w:p w14:paraId="332D72D2">
      <w:pPr>
        <w:rPr>
          <w:rFonts w:hint="eastAsia" w:ascii="仿宋_GB2312" w:hAnsi="仿宋_GB2312" w:eastAsia="仿宋_GB2312" w:cs="仿宋_GB2312"/>
          <w:sz w:val="32"/>
          <w:szCs w:val="32"/>
          <w:highlight w:val="none"/>
        </w:rPr>
      </w:pPr>
    </w:p>
    <w:p w14:paraId="46822DEF">
      <w:pPr>
        <w:pStyle w:val="2"/>
        <w:rPr>
          <w:rFonts w:hint="eastAsia" w:ascii="仿宋_GB2312" w:hAnsi="仿宋_GB2312" w:eastAsia="仿宋_GB2312" w:cs="仿宋_GB2312"/>
          <w:sz w:val="32"/>
          <w:szCs w:val="32"/>
          <w:highlight w:val="none"/>
        </w:rPr>
      </w:pPr>
    </w:p>
    <w:p w14:paraId="49F63F02">
      <w:pPr>
        <w:rPr>
          <w:rFonts w:hint="eastAsia"/>
        </w:rPr>
      </w:pPr>
    </w:p>
    <w:p w14:paraId="5DA650CF">
      <w:pPr>
        <w:rPr>
          <w:rFonts w:hint="eastAsia" w:ascii="仿宋_GB2312" w:hAnsi="仿宋_GB2312" w:eastAsia="仿宋_GB2312" w:cs="仿宋_GB2312"/>
          <w:sz w:val="32"/>
          <w:szCs w:val="32"/>
          <w:highlight w:val="none"/>
        </w:rPr>
      </w:pPr>
    </w:p>
    <w:p w14:paraId="16AAC42F">
      <w:pPr>
        <w:pStyle w:val="2"/>
        <w:rPr>
          <w:rFonts w:hint="eastAsia"/>
        </w:rPr>
      </w:pPr>
      <w:bookmarkStart w:id="0" w:name="_GoBack"/>
      <w:bookmarkEnd w:id="0"/>
    </w:p>
    <w:p w14:paraId="16AEBAF0">
      <w:pPr>
        <w:pStyle w:val="4"/>
        <w:rPr>
          <w:rFonts w:hint="eastAsia"/>
          <w:highlight w:val="none"/>
        </w:rPr>
      </w:pPr>
    </w:p>
    <w:p w14:paraId="16EDF559">
      <w:pPr>
        <w:ind w:firstLine="280" w:firstLineChars="100"/>
        <w:rPr>
          <w:rFonts w:hint="eastAsia" w:ascii="仿宋_GB2312" w:hAnsi="仿宋_GB2312" w:eastAsia="仿宋_GB2312" w:cs="仿宋_GB2312"/>
          <w:sz w:val="28"/>
          <w:szCs w:val="28"/>
          <w:highlight w:val="none"/>
        </w:rPr>
      </w:pPr>
      <w:r>
        <w:rPr>
          <w:rFonts w:hint="eastAsia" w:ascii="仿宋_GB2312" w:hAnsi="仿宋_GB2312" w:eastAsia="仿宋_GB2312" w:cs="仿宋_GB2312"/>
          <w:color w:val="auto"/>
          <w:kern w:val="2"/>
          <w:sz w:val="28"/>
          <w:szCs w:val="28"/>
          <w:highlight w:val="none"/>
          <w:lang w:val="en-US" w:eastAsia="zh-CN" w:bidi="ar-SA"/>
        </w:rPr>
        <mc:AlternateContent>
          <mc:Choice Requires="wps">
            <w:drawing>
              <wp:anchor distT="0" distB="0" distL="114300" distR="114300" simplePos="0" relativeHeight="251659264" behindDoc="0" locked="0" layoutInCell="1" allowOverlap="1">
                <wp:simplePos x="0" y="0"/>
                <wp:positionH relativeFrom="column">
                  <wp:posOffset>-15875</wp:posOffset>
                </wp:positionH>
                <wp:positionV relativeFrom="paragraph">
                  <wp:posOffset>57785</wp:posOffset>
                </wp:positionV>
                <wp:extent cx="5579745" cy="10795"/>
                <wp:effectExtent l="0" t="4445" r="1905" b="13335"/>
                <wp:wrapNone/>
                <wp:docPr id="12" name="直接箭头连接符 12"/>
                <wp:cNvGraphicFramePr/>
                <a:graphic xmlns:a="http://schemas.openxmlformats.org/drawingml/2006/main">
                  <a:graphicData uri="http://schemas.microsoft.com/office/word/2010/wordprocessingShape">
                    <wps:wsp>
                      <wps:cNvCnPr/>
                      <wps:spPr>
                        <a:xfrm flipV="1">
                          <a:off x="0" y="0"/>
                          <a:ext cx="5579745" cy="1079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25pt;margin-top:4.55pt;height:0.85pt;width:439.35pt;z-index:251659264;mso-width-relative:page;mso-height-relative:page;" filled="f" stroked="t" coordsize="21600,21600" o:gfxdata="UEsDBAoAAAAAAIdO4kAAAAAAAAAAAAAAAAAEAAAAZHJzL1BLAwQUAAAACACHTuJALwKBFdUAAAAH&#10;AQAADwAAAGRycy9kb3ducmV2LnhtbE2OTU+DQBRF9yb+h8kzcdO0A2hbigxdmHRLFE3cvjKvQJwP&#10;wkxb9Nf7XOny5p7ce8r9bI240BQG7xSkqwQEudbrwXUK3t8OyxxEiOg0Gu9IwRcF2Fe3NyUW2l/d&#10;K12a2AkecaFABX2MYyFlaHuyGFZ+JMfdyU8WI8epk3rCK49bI7Mk2UiLg+OHHkd67qn9bM5WwYeN&#10;s3lZrIdT/TguwvdD3eChVur+Lk2eQESa4x8Mv/qsDhU7Hf3Z6SCMgmW2ZlLBLgXBdb7dZCCOzCU5&#10;yKqU//2rH1BLAwQUAAAACACHTuJA3aI4LAsCAAAGBAAADgAAAGRycy9lMm9Eb2MueG1srVO9jhMx&#10;EO6ReAfLPdlNIIRbZXNFwtEgiMRP79jeXUv+k8fJJi/BCyBRARVQXc/TwPEYjL0hwNGkwIU19sx8&#10;M9/n8fxybzTZyQDK2ZqORyUl0nInlG1r+url1b1HlEBkVjDtrKzpQQK9XNy9M+99JSeuc1rIQBDE&#10;QtX7mnYx+qoogHfSMBg5Ly06GxcMi3gMbSEC6xHd6GJSlg+L3gXhg+MSAG9Xg5MeEcM5gK5pFJcr&#10;x7dG2jigBqlZRErQKQ90kbttGsnj86YBGYmuKTKNecciaG/SXizmrGoD853ixxbYOS3c4mSYslj0&#10;BLVikZFtUP9AGcWDA9fEEXemGIhkRZDFuLylzYuOeZm5oNTgT6LD/4Plz3brQJTASZhQYpnBF795&#10;e/39zYebL5+/vb/+8fVdsj99JOhHsXoPFeYs7TocT+DXITHfN8GQRiv/GrGyFsiO7LPUh5PUch8J&#10;x8vpdHYxezClhKNvXM4upgm9GGASnA8Qn0hnSDJqCjEw1XZx6azFR3VhKMF2TyEOib8SUrK2pK/p&#10;/fEsFWA4pA0OB5rGI1GwbW4PnFbiSmmdMiC0m6UOZMfSoOR1bOivsFRkxaAb4rIrhbEquK0V2eok&#10;E4+tIPHgUUuLf4imZowUlGiJXy5ZOTIypc+JRFW0RXGS9oPaydo4cciPkO9xPLJ8x1FO8/fnOWf/&#10;/r6Ln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C8CgRXVAAAABwEAAA8AAAAAAAAAAQAgAAAAIgAA&#10;AGRycy9kb3ducmV2LnhtbFBLAQIUABQAAAAIAIdO4kDdojgsCwIAAAYEAAAOAAAAAAAAAAEAIAAA&#10;ACQBAABkcnMvZTJvRG9jLnhtbFBLBQYAAAAABgAGAFkBAAChBQ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sz w:val="28"/>
          <w:szCs w:val="28"/>
          <w:highlight w:val="none"/>
        </w:rPr>
        <w:t>抄送：盟生态环境综合行政执法支队、盟生态环境局东乌珠穆沁旗分局。</w:t>
      </w:r>
    </w:p>
    <w:p w14:paraId="70319025">
      <w:pPr>
        <w:ind w:firstLine="280" w:firstLineChars="100"/>
        <w:rPr>
          <w:highlight w:val="none"/>
        </w:rPr>
      </w:pPr>
      <w:r>
        <w:rPr>
          <w:rFonts w:hint="eastAsia" w:ascii="仿宋_GB2312" w:hAnsi="仿宋_GB2312" w:eastAsia="仿宋_GB2312" w:cs="仿宋_GB2312"/>
          <w:color w:val="auto"/>
          <w:kern w:val="2"/>
          <w:sz w:val="28"/>
          <w:szCs w:val="28"/>
          <w:highlight w:val="none"/>
          <w:lang w:val="en-US" w:eastAsia="zh-CN" w:bidi="ar-SA"/>
        </w:rPr>
        <mc:AlternateContent>
          <mc:Choice Requires="wps">
            <w:drawing>
              <wp:anchor distT="0" distB="0" distL="114300" distR="114300" simplePos="0" relativeHeight="251661312" behindDoc="0" locked="0" layoutInCell="1" allowOverlap="1">
                <wp:simplePos x="0" y="0"/>
                <wp:positionH relativeFrom="column">
                  <wp:posOffset>-15875</wp:posOffset>
                </wp:positionH>
                <wp:positionV relativeFrom="paragraph">
                  <wp:posOffset>385445</wp:posOffset>
                </wp:positionV>
                <wp:extent cx="5579745" cy="10795"/>
                <wp:effectExtent l="0" t="4445" r="1905" b="13335"/>
                <wp:wrapNone/>
                <wp:docPr id="2" name="直接箭头连接符 2"/>
                <wp:cNvGraphicFramePr/>
                <a:graphic xmlns:a="http://schemas.openxmlformats.org/drawingml/2006/main">
                  <a:graphicData uri="http://schemas.microsoft.com/office/word/2010/wordprocessingShape">
                    <wps:wsp>
                      <wps:cNvCnPr/>
                      <wps:spPr>
                        <a:xfrm flipV="1">
                          <a:off x="0" y="0"/>
                          <a:ext cx="5579745" cy="1079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25pt;margin-top:30.35pt;height:0.85pt;width:439.35pt;z-index:251661312;mso-width-relative:page;mso-height-relative:page;" filled="f" stroked="t" coordsize="21600,21600" o:gfxdata="UEsDBAoAAAAAAIdO4kAAAAAAAAAAAAAAAAAEAAAAZHJzL1BLAwQUAAAACACHTuJAgTxaAtcAAAAI&#10;AQAADwAAAGRycy9kb3ducmV2LnhtbE2PwW7CMBBE75X6D9ZW6gWBTQoBhTgcKnGN2lCp1yU2SUS8&#10;jmIDab++21N7nJ3RzNt8P7le3OwYOk8algsFwlLtTUeNho/jYb4FESKSwd6T1fBlA+yLx4ccM+Pv&#10;9G5vVWwEl1DIUEMb45BJGerWOgwLP1hi7+xHh5Hl2Egz4p3LXS8TpVLpsCNeaHGwr62tL9XVafh0&#10;cerfZuvuXK6GWfh+KSs8lFo/Py3VDkS0U/wLwy8+o0PBTCd/JRNEr2GerDmpIVUbEOxvN2kC4sSH&#10;ZAWyyOX/B4ofUEsDBBQAAAAIAIdO4kDuTVtECwIAAAQEAAAOAAAAZHJzL2Uyb0RvYy54bWytU72O&#10;EzEQ7pF4B8s92U0ghFtlc0XC0SCIxE/v2N5dS/6Tx8kmL8ELIFEBFVBdz9PA8RiMvSHA0aTAhTX2&#10;zHwz3+fx/HJvNNnJAMrZmo5HJSXScieUbWv66uXVvUeUQGRWMO2srOlBAr1c3L0z730lJ65zWshA&#10;EMRC1fuadjH6qiiAd9IwGDkvLTobFwyLeAxtIQLrEd3oYlKWD4veBeGD4xIAb1eDkx4RwzmArmkU&#10;lyvHt0baOKAGqVlEStApD3SRu20ayePzpgEZia4pMo15xyJob9JeLOasagPzneLHFtg5LdziZJiy&#10;WPQEtWKRkW1Q/0AZxYMD18QRd6YYiGRFkMW4vKXNi455mbmg1OBPosP/g+XPdutAlKjphBLLDD74&#10;zdvr728+3Hz5/O399Y+v75L96SOZJKl6DxVmLO06HE/g1yHx3jfBkEYr/xpnKiuB3Mg+C304CS33&#10;kXC8nE5nF7MHU0o4+sbl7GKa0IsBJsH5APGJdIYko6YQA1NtF5fOWnxSF4YSbPcU4pD4KyEla0v6&#10;mt4fz1IBhiPa4GigaTzSBNvm9sBpJa6U1ikDQrtZ6kB2LI1JXseG/gpLRVYMuiEuu1IYq4LbWpGt&#10;TjLx2AoSDx6ltPiDaGrGSEGJlvjhkpUjI1P6nEhURVsUJ2k/qJ2sjROH/Aj5Hocjy3cc5DR9f55z&#10;9u/Pu/gJ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gTxaAtcAAAAIAQAADwAAAAAAAAABACAAAAAi&#10;AAAAZHJzL2Rvd25yZXYueG1sUEsBAhQAFAAAAAgAh07iQO5NW0QLAgAABAQAAA4AAAAAAAAAAQAg&#10;AAAAJgEAAGRycy9lMm9Eb2MueG1sUEsFBgAAAAAGAAYAWQEAAKMFA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color w:val="auto"/>
          <w:kern w:val="2"/>
          <w:sz w:val="28"/>
          <w:szCs w:val="28"/>
          <w:highlight w:val="none"/>
          <w:lang w:val="en-US" w:eastAsia="zh-CN" w:bidi="ar-SA"/>
        </w:rPr>
        <mc:AlternateContent>
          <mc:Choice Requires="wps">
            <w:drawing>
              <wp:anchor distT="0" distB="0" distL="114300" distR="114300" simplePos="0" relativeHeight="251660288" behindDoc="0" locked="0" layoutInCell="1" allowOverlap="1">
                <wp:simplePos x="0" y="0"/>
                <wp:positionH relativeFrom="column">
                  <wp:posOffset>-15875</wp:posOffset>
                </wp:positionH>
                <wp:positionV relativeFrom="paragraph">
                  <wp:posOffset>13970</wp:posOffset>
                </wp:positionV>
                <wp:extent cx="5579745" cy="10795"/>
                <wp:effectExtent l="0" t="4445" r="1905" b="13335"/>
                <wp:wrapNone/>
                <wp:docPr id="1" name="直接箭头连接符 1"/>
                <wp:cNvGraphicFramePr/>
                <a:graphic xmlns:a="http://schemas.openxmlformats.org/drawingml/2006/main">
                  <a:graphicData uri="http://schemas.microsoft.com/office/word/2010/wordprocessingShape">
                    <wps:wsp>
                      <wps:cNvCnPr/>
                      <wps:spPr>
                        <a:xfrm flipV="1">
                          <a:off x="0" y="0"/>
                          <a:ext cx="5579745" cy="1079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25pt;margin-top:1.1pt;height:0.85pt;width:439.35pt;z-index:251660288;mso-width-relative:page;mso-height-relative:page;" filled="f" stroked="t" coordsize="21600,21600" o:gfxdata="UEsDBAoAAAAAAIdO4kAAAAAAAAAAAAAAAAAEAAAAZHJzL1BLAwQUAAAACACHTuJAHiLVL9UAAAAG&#10;AQAADwAAAGRycy9kb3ducmV2LnhtbE2OwU7DMBBE70j8g7VIXKrWaUpLCdn0gNRrBAGJ6zZxkwh7&#10;HcVuG/h6lhO9zWhGMy/fTc6qsxlD7xlhuUhAGa5903OL8PG+n29BhUjckPVsEL5NgF1xe5NT1vgL&#10;v5lzFVslIxwyQuhiHDKtQ90ZR2HhB8OSHf3oKIodW92MdJFxZ3WaJBvtqGd56GgwL52pv6qTQ/h0&#10;cbKvs3V/LB+GWfhZlRXtS8T7u2XyDCqaKf6X4Q9f0KEQpoM/cROURZina2kipCkoibePGxEHhNUT&#10;6CLX1/jFL1BLAwQUAAAACACHTuJAwk7AZQoCAAAEBAAADgAAAGRycy9lMm9Eb2MueG1srVNLjhMx&#10;EN0jcQfLe9LJQAjTSmcWCcMGwUh89o4/3Zb8k8tJJ5fgAkisgBWwmj2ngeEYlN0hwLDJgl60yvV5&#10;Ve+5PL/YWUO2MoL2rqGT0ZgS6bgX2rUNffXy8t4jSiAxJ5jxTjZ0L4FeLO7emfehlme+80bISBDE&#10;Qd2HhnYphbqqgHfSMhj5IB0GlY+WJTzGthKR9YhuTXU2Hj+seh9FiJ5LAPSuhiA9IMZTAL1SmsuV&#10;5xsrXRpQozQsISXodAC6KNMqJXl6rhTIRExDkWkqf2yC9jr/q8Wc1W1kodP8MAI7ZYRbnCzTDpse&#10;oVYsMbKJ+h8oq3n04FUacW+rgUhRBFlMxre0edGxIAsXlBrCUXT4f7D82fYqEi1wEyhxzOKF37y9&#10;/v7mw82Xz9/eX//4+i7bnz6SSZaqD1BjxdJdxcMJwlXMvHcqWqKMDq8zUvYgN7IrQu+PQstdIhyd&#10;0+nsfPZgSgnH2GQ8O59m9GqAycUhQnoivSXZaCikyHTbpaV3Dq/Ux6EF2z6FNBT+KsjFxpG+ofcn&#10;s9yA4YoqXA00bUCa4NoyHnijxaU2JldAbNdLE8mW5TUp32Ggv9JykxWDbsgroZzG6ug3ThSrk0w8&#10;doKkfUApHb4gmoexUlBiJD64bJXMxLQ5JRNVMQ7FydoPamdr7cW+XELx43IU+Q6LnLfvz3Op/v14&#10;Fz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HiLVL9UAAAAGAQAADwAAAAAAAAABACAAAAAiAAAA&#10;ZHJzL2Rvd25yZXYueG1sUEsBAhQAFAAAAAgAh07iQMJOwGUKAgAABAQAAA4AAAAAAAAAAQAgAAAA&#10;JAEAAGRycy9lMm9Eb2MueG1sUEsFBgAAAAAGAAYAWQEAAKAFA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sz w:val="28"/>
          <w:szCs w:val="28"/>
          <w:highlight w:val="none"/>
        </w:rPr>
        <w:t xml:space="preserve">锡林郭勒盟生态环境局办公室         </w:t>
      </w:r>
      <w:r>
        <w:rPr>
          <w:rFonts w:hint="eastAsia" w:ascii="仿宋_GB2312" w:hAnsi="仿宋_GB2312" w:eastAsia="仿宋_GB2312" w:cs="仿宋_GB2312"/>
          <w:sz w:val="28"/>
          <w:szCs w:val="28"/>
          <w:highlight w:val="none"/>
          <w:lang w:val="en-US" w:eastAsia="zh-CN"/>
        </w:rPr>
        <w:t xml:space="preserve">   </w:t>
      </w:r>
      <w:r>
        <w:rPr>
          <w:rFonts w:hint="eastAsia" w:ascii="仿宋_GB2312" w:hAnsi="仿宋_GB2312" w:eastAsia="仿宋_GB2312" w:cs="仿宋_GB2312"/>
          <w:sz w:val="28"/>
          <w:szCs w:val="28"/>
          <w:highlight w:val="none"/>
        </w:rPr>
        <w:t>202</w:t>
      </w:r>
      <w:r>
        <w:rPr>
          <w:rFonts w:hint="eastAsia" w:ascii="仿宋_GB2312" w:hAnsi="仿宋_GB2312" w:eastAsia="仿宋_GB2312" w:cs="仿宋_GB2312"/>
          <w:sz w:val="28"/>
          <w:szCs w:val="28"/>
          <w:highlight w:val="none"/>
          <w:lang w:val="en-US" w:eastAsia="zh-CN"/>
        </w:rPr>
        <w:t>5</w:t>
      </w:r>
      <w:r>
        <w:rPr>
          <w:rFonts w:hint="eastAsia" w:ascii="仿宋_GB2312" w:hAnsi="仿宋_GB2312" w:eastAsia="仿宋_GB2312" w:cs="仿宋_GB2312"/>
          <w:sz w:val="28"/>
          <w:szCs w:val="28"/>
          <w:highlight w:val="none"/>
        </w:rPr>
        <w:t>年</w:t>
      </w:r>
      <w:r>
        <w:rPr>
          <w:rFonts w:hint="eastAsia" w:ascii="仿宋_GB2312" w:hAnsi="仿宋_GB2312" w:eastAsia="仿宋_GB2312" w:cs="仿宋_GB2312"/>
          <w:sz w:val="28"/>
          <w:szCs w:val="28"/>
          <w:highlight w:val="none"/>
          <w:lang w:val="en-US" w:eastAsia="zh-CN"/>
        </w:rPr>
        <w:t>12</w:t>
      </w:r>
      <w:r>
        <w:rPr>
          <w:rFonts w:hint="eastAsia" w:ascii="仿宋_GB2312" w:hAnsi="仿宋_GB2312" w:eastAsia="仿宋_GB2312" w:cs="仿宋_GB2312"/>
          <w:sz w:val="28"/>
          <w:szCs w:val="28"/>
          <w:highlight w:val="none"/>
        </w:rPr>
        <w:t>月</w:t>
      </w:r>
      <w:r>
        <w:rPr>
          <w:rFonts w:hint="eastAsia" w:ascii="仿宋_GB2312" w:hAnsi="仿宋_GB2312" w:eastAsia="仿宋_GB2312" w:cs="仿宋_GB2312"/>
          <w:sz w:val="28"/>
          <w:szCs w:val="28"/>
          <w:highlight w:val="none"/>
          <w:lang w:val="en-US" w:eastAsia="zh-CN"/>
        </w:rPr>
        <w:t>3</w:t>
      </w:r>
      <w:r>
        <w:rPr>
          <w:rFonts w:hint="eastAsia" w:ascii="仿宋_GB2312" w:hAnsi="仿宋_GB2312" w:eastAsia="仿宋_GB2312" w:cs="仿宋_GB2312"/>
          <w:sz w:val="28"/>
          <w:szCs w:val="28"/>
          <w:highlight w:val="none"/>
        </w:rPr>
        <w:t>日印发</w:t>
      </w:r>
    </w:p>
    <w:sectPr>
      <w:footerReference r:id="rId3" w:type="default"/>
      <w:pgSz w:w="11906" w:h="16838"/>
      <w:pgMar w:top="2098" w:right="1474" w:bottom="1984" w:left="1587"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78EABC">
    <w:pPr>
      <w:pStyle w:val="4"/>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9BF903">
                          <w:pPr>
                            <w:pStyle w:val="4"/>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249BF903">
                    <w:pPr>
                      <w:pStyle w:val="4"/>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t xml:space="preserve"> —</w:t>
                    </w:r>
                  </w:p>
                </w:txbxContent>
              </v:textbox>
            </v:shape>
          </w:pict>
        </mc:Fallback>
      </mc:AlternateContent>
    </w:r>
    <w:r>
      <w:rPr>
        <w:sz w:val="18"/>
      </w:rP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4EC8A4">
                          <w:pPr>
                            <w:pStyle w:val="4"/>
                            <w:rPr>
                              <w:rFonts w:hint="eastAsia" w:asciiTheme="minorEastAsia" w:hAnsiTheme="minorEastAsia" w:eastAsiaTheme="minorEastAsia" w:cstheme="minorEastAsia"/>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624EC8A4">
                    <w:pPr>
                      <w:pStyle w:val="4"/>
                      <w:rPr>
                        <w:rFonts w:hint="eastAsia" w:asciiTheme="minorEastAsia" w:hAnsiTheme="minorEastAsia" w:eastAsiaTheme="minorEastAsia" w:cstheme="minorEastAsia"/>
                        <w:sz w:val="28"/>
                        <w:szCs w:val="28"/>
                      </w:rPr>
                    </w:pPr>
                  </w:p>
                </w:txbxContent>
              </v:textbox>
            </v:shape>
          </w:pict>
        </mc:Fallback>
      </mc:AlternateContent>
    </w:r>
    <w:r>
      <w:rPr>
        <w:sz w:val="18"/>
      </w:rPr>
      <mc:AlternateContent>
        <mc:Choice Requires="wps">
          <w:drawing>
            <wp:anchor distT="0" distB="0" distL="114300" distR="114300" simplePos="0" relativeHeight="251664384" behindDoc="0" locked="0" layoutInCell="1" allowOverlap="1">
              <wp:simplePos x="0" y="0"/>
              <wp:positionH relativeFrom="margin">
                <wp:align>right</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071382">
                          <w:pPr>
                            <w:rPr>
                              <w:rFonts w:hint="eastAsia"/>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14:paraId="62071382">
                    <w:pPr>
                      <w:rPr>
                        <w:rFonts w:hint="eastAsia"/>
                      </w:rPr>
                    </w:pPr>
                  </w:p>
                </w:txbxContent>
              </v:textbox>
            </v:shape>
          </w:pict>
        </mc:Fallback>
      </mc:AlternateContent>
    </w: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56E0BA">
                          <w:pPr>
                            <w:pStyle w:val="4"/>
                            <w:rPr>
                              <w:rFonts w:hint="eastAsia" w:asciiTheme="minorEastAsia" w:hAnsiTheme="minorEastAsia" w:eastAsiaTheme="minorEastAsia" w:cstheme="minorEastAsia"/>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6256E0BA">
                    <w:pPr>
                      <w:pStyle w:val="4"/>
                      <w:rPr>
                        <w:rFonts w:hint="eastAsia" w:asciiTheme="minorEastAsia" w:hAnsiTheme="minorEastAsia" w:eastAsiaTheme="minorEastAsia" w:cstheme="minorEastAsia"/>
                        <w:sz w:val="28"/>
                        <w:szCs w:val="28"/>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FF362D"/>
    <w:rsid w:val="03C94DF8"/>
    <w:rsid w:val="04363AE8"/>
    <w:rsid w:val="04EF16F3"/>
    <w:rsid w:val="05AC22B4"/>
    <w:rsid w:val="05E7509A"/>
    <w:rsid w:val="06400C4E"/>
    <w:rsid w:val="0C647288"/>
    <w:rsid w:val="0D55286F"/>
    <w:rsid w:val="0F401D30"/>
    <w:rsid w:val="113D24B2"/>
    <w:rsid w:val="117143B2"/>
    <w:rsid w:val="11AB78C4"/>
    <w:rsid w:val="133438E9"/>
    <w:rsid w:val="13F35552"/>
    <w:rsid w:val="146124BC"/>
    <w:rsid w:val="14AC4CB6"/>
    <w:rsid w:val="150712B5"/>
    <w:rsid w:val="15175270"/>
    <w:rsid w:val="15EF58A5"/>
    <w:rsid w:val="161D03CE"/>
    <w:rsid w:val="1A3441CE"/>
    <w:rsid w:val="1B1541F5"/>
    <w:rsid w:val="1D2642A2"/>
    <w:rsid w:val="1E4A0464"/>
    <w:rsid w:val="1F594207"/>
    <w:rsid w:val="1FD04999"/>
    <w:rsid w:val="22C85EE6"/>
    <w:rsid w:val="24CC572F"/>
    <w:rsid w:val="25B763DF"/>
    <w:rsid w:val="26231057"/>
    <w:rsid w:val="27A961FC"/>
    <w:rsid w:val="298F67FD"/>
    <w:rsid w:val="2A0230BF"/>
    <w:rsid w:val="2A950CB9"/>
    <w:rsid w:val="2AD03A9F"/>
    <w:rsid w:val="2B536BAA"/>
    <w:rsid w:val="2B8E1990"/>
    <w:rsid w:val="2B9D6077"/>
    <w:rsid w:val="2DF24D8A"/>
    <w:rsid w:val="2E075A2A"/>
    <w:rsid w:val="3086532C"/>
    <w:rsid w:val="30CD2F5B"/>
    <w:rsid w:val="310444A3"/>
    <w:rsid w:val="312829E4"/>
    <w:rsid w:val="32C0264B"/>
    <w:rsid w:val="34B120B3"/>
    <w:rsid w:val="34B166F0"/>
    <w:rsid w:val="360D5BA8"/>
    <w:rsid w:val="36145188"/>
    <w:rsid w:val="36AD2EE7"/>
    <w:rsid w:val="37555A58"/>
    <w:rsid w:val="378620B5"/>
    <w:rsid w:val="38454688"/>
    <w:rsid w:val="3B0A0908"/>
    <w:rsid w:val="3FA40CD6"/>
    <w:rsid w:val="41801B6F"/>
    <w:rsid w:val="419929E5"/>
    <w:rsid w:val="42957651"/>
    <w:rsid w:val="43452E25"/>
    <w:rsid w:val="463E3B5B"/>
    <w:rsid w:val="46B04A59"/>
    <w:rsid w:val="46C93D6D"/>
    <w:rsid w:val="4740402F"/>
    <w:rsid w:val="4ACD3DE4"/>
    <w:rsid w:val="4DE66FB2"/>
    <w:rsid w:val="4F391364"/>
    <w:rsid w:val="51986CF2"/>
    <w:rsid w:val="52081BED"/>
    <w:rsid w:val="55432F3C"/>
    <w:rsid w:val="56391260"/>
    <w:rsid w:val="57C02622"/>
    <w:rsid w:val="59A52665"/>
    <w:rsid w:val="5A0C7DA1"/>
    <w:rsid w:val="5A6C17A9"/>
    <w:rsid w:val="5FA6467B"/>
    <w:rsid w:val="6260512D"/>
    <w:rsid w:val="6292105F"/>
    <w:rsid w:val="64412D3D"/>
    <w:rsid w:val="652E1513"/>
    <w:rsid w:val="66106E6A"/>
    <w:rsid w:val="67424E02"/>
    <w:rsid w:val="683B7691"/>
    <w:rsid w:val="692D2530"/>
    <w:rsid w:val="698F00A6"/>
    <w:rsid w:val="6A3F387A"/>
    <w:rsid w:val="6CFF32DC"/>
    <w:rsid w:val="6D6655C2"/>
    <w:rsid w:val="6E2A65EF"/>
    <w:rsid w:val="70FA674D"/>
    <w:rsid w:val="72F07E08"/>
    <w:rsid w:val="746F1200"/>
    <w:rsid w:val="75D73501"/>
    <w:rsid w:val="76685F07"/>
    <w:rsid w:val="767E1BCE"/>
    <w:rsid w:val="76DD06A3"/>
    <w:rsid w:val="7B30793B"/>
    <w:rsid w:val="7DBD2F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2"/>
    <w:basedOn w:val="1"/>
    <w:next w:val="1"/>
    <w:unhideWhenUsed/>
    <w:qFormat/>
    <w:uiPriority w:val="0"/>
    <w:pPr>
      <w:ind w:firstLine="420" w:firstLineChars="200"/>
    </w:pPr>
  </w:style>
  <w:style w:type="paragraph" w:styleId="3">
    <w:name w:val="annotation text"/>
    <w:basedOn w:val="1"/>
    <w:semiHidden/>
    <w:qFormat/>
    <w:uiPriority w:val="0"/>
    <w:pPr>
      <w:jc w:val="left"/>
    </w:pPr>
    <w:rPr>
      <w:kern w:val="0"/>
      <w:sz w:val="24"/>
      <w:szCs w:val="20"/>
    </w:rPr>
  </w:style>
  <w:style w:type="paragraph" w:styleId="4">
    <w:name w:val="footer"/>
    <w:basedOn w:val="1"/>
    <w:next w:val="1"/>
    <w:semiHidden/>
    <w:unhideWhenUsed/>
    <w:qFormat/>
    <w:uiPriority w:val="99"/>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8">
    <w:name w:val="Strong"/>
    <w:basedOn w:val="7"/>
    <w:qFormat/>
    <w:uiPriority w:val="0"/>
    <w:rPr>
      <w:b/>
    </w:rPr>
  </w:style>
  <w:style w:type="paragraph" w:customStyle="1" w:styleId="9">
    <w:name w:val="Body text|1"/>
    <w:basedOn w:val="1"/>
    <w:qFormat/>
    <w:uiPriority w:val="0"/>
    <w:pPr>
      <w:spacing w:line="449" w:lineRule="auto"/>
      <w:ind w:firstLine="400"/>
    </w:pPr>
    <w:rPr>
      <w:rFonts w:ascii="宋体" w:hAnsi="宋体" w:cs="宋体"/>
      <w:sz w:val="22"/>
      <w:szCs w:val="22"/>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1815</Words>
  <Characters>2014</Characters>
  <Lines>0</Lines>
  <Paragraphs>0</Paragraphs>
  <TotalTime>30</TotalTime>
  <ScaleCrop>false</ScaleCrop>
  <LinksUpToDate>false</LinksUpToDate>
  <CharactersWithSpaces>2075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2024-12-19T02:59:00Z</dcterms:created>
  <dc:creator>Administrator</dc:creator>
  <cp:lastModifiedBy>sargai</cp:lastModifiedBy>
  <cp:lastPrinted>2025-12-03T07:34:42Z</cp:lastPrinted>
  <dcterms:modified xsi:type="dcterms:W3CDTF">2025-12-03T07:43:08Z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624D4AAD8330410DA671AAEC019AE33D_13</vt:lpwstr>
  </property>
  <property fmtid="{D5CDD505-2E9C-101B-9397-08002B2CF9AE}" pid="4" name="KSOTemplateDocerSaveRecord">
    <vt:lpwstr>eyJoZGlkIjoiNzQ5YzIwZGE2ZmU0ZDQ1NzU1ODA3Y2ZhM2Y3NzgzNmIiLCJ1c2VySWQiOiIyNzY5NTQ3NjAifQ==</vt:lpwstr>
  </property>
</Properties>
</file>