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customXml/itemProps1.xml" ContentType="application/vnd.openxmlformats-officedocument.customXmlProperties+xml"/>
  <Override PartName="/word/numbering.xml" ContentType="application/vnd.openxmlformats-officedocument.wordprocessingml.numbering+xml"/>
  <Override PartName="/customXml/itemProps2.xml" ContentType="application/vnd.openxmlformats-officedocument.customXmlProperties+xml"/>
  <Override PartName="/word/settings.xml" ContentType="application/vnd.openxmlformats-officedocument.wordprocessingml.settings+xml"/>
  <Override PartName="/docProps/custom.xml" ContentType="application/vnd.openxmlformats-officedocument.custom-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pPr>
        <w:pStyle w:val="style0"/>
        <w:keepNext w:val="false"/>
        <w:keepLines w:val="false"/>
        <w:pageBreakBefore w:val="false"/>
        <w:kinsoku/>
        <w:wordWrap/>
        <w:overflowPunct/>
        <w:topLinePunct w:val="false"/>
        <w:bidi w:val="false"/>
        <w:snapToGrid w:val="false"/>
        <w:spacing w:lineRule="exact" w:line="560"/>
        <w:rPr>
          <w:rFonts w:hint="eastAsia"/>
          <w:color w:val="c00000"/>
          <w:sz w:val="32"/>
          <w:szCs w:val="32"/>
          <w:highlight w:val="yellow"/>
        </w:rPr>
      </w:pPr>
      <w:bookmarkStart w:id="0" w:name="_Hlk124747957"/>
    </w:p>
    <w:p>
      <w:pPr>
        <w:pStyle w:val="style0"/>
        <w:keepNext w:val="false"/>
        <w:keepLines w:val="false"/>
        <w:pageBreakBefore w:val="false"/>
        <w:kinsoku/>
        <w:wordWrap/>
        <w:overflowPunct/>
        <w:topLinePunct w:val="false"/>
        <w:bidi w:val="false"/>
        <w:snapToGrid w:val="false"/>
        <w:spacing w:lineRule="exact" w:line="560"/>
        <w:rPr>
          <w:rFonts w:hint="eastAsia"/>
          <w:color w:val="c00000"/>
          <w:sz w:val="32"/>
          <w:szCs w:val="32"/>
          <w:highlight w:val="yellow"/>
        </w:rPr>
      </w:pPr>
    </w:p>
    <w:p>
      <w:pPr>
        <w:pStyle w:val="style0"/>
        <w:keepNext w:val="false"/>
        <w:keepLines w:val="false"/>
        <w:pageBreakBefore w:val="false"/>
        <w:kinsoku/>
        <w:wordWrap/>
        <w:overflowPunct/>
        <w:topLinePunct w:val="false"/>
        <w:bidi w:val="false"/>
        <w:snapToGrid w:val="false"/>
        <w:spacing w:lineRule="exact" w:line="560"/>
        <w:rPr>
          <w:rFonts w:hint="eastAsia"/>
          <w:color w:val="c00000"/>
          <w:sz w:val="32"/>
          <w:szCs w:val="32"/>
          <w:highlight w:val="yellow"/>
        </w:rPr>
      </w:pPr>
    </w:p>
    <w:p>
      <w:pPr>
        <w:pStyle w:val="style0"/>
        <w:keepNext w:val="false"/>
        <w:keepLines w:val="false"/>
        <w:pageBreakBefore w:val="false"/>
        <w:kinsoku/>
        <w:wordWrap/>
        <w:overflowPunct/>
        <w:topLinePunct w:val="false"/>
        <w:bidi w:val="false"/>
        <w:snapToGrid w:val="false"/>
        <w:spacing w:lineRule="exact" w:line="560"/>
        <w:rPr>
          <w:rFonts w:hint="eastAsia"/>
          <w:color w:val="c00000"/>
          <w:sz w:val="32"/>
          <w:szCs w:val="32"/>
          <w:highlight w:val="yellow"/>
        </w:rPr>
      </w:pPr>
    </w:p>
    <w:p>
      <w:pPr>
        <w:pStyle w:val="style0"/>
        <w:keepNext w:val="false"/>
        <w:keepLines w:val="false"/>
        <w:pageBreakBefore w:val="false"/>
        <w:kinsoku/>
        <w:wordWrap/>
        <w:overflowPunct/>
        <w:topLinePunct w:val="false"/>
        <w:bidi w:val="false"/>
        <w:snapToGrid w:val="false"/>
        <w:spacing w:lineRule="exact" w:line="560"/>
        <w:rPr>
          <w:rFonts w:hint="eastAsia"/>
          <w:color w:val="c00000"/>
          <w:sz w:val="32"/>
          <w:szCs w:val="32"/>
          <w:highlight w:val="yellow"/>
        </w:rPr>
      </w:pPr>
    </w:p>
    <w:p>
      <w:pPr>
        <w:pStyle w:val="style4108"/>
        <w:keepNext w:val="false"/>
        <w:keepLines w:val="false"/>
        <w:pageBreakBefore w:val="false"/>
        <w:kinsoku/>
        <w:wordWrap/>
        <w:overflowPunct/>
        <w:topLinePunct w:val="false"/>
        <w:bidi w:val="false"/>
        <w:spacing w:lineRule="exact" w:line="560"/>
        <w:ind w:left="0" w:leftChars="0" w:firstLine="0" w:firstLineChars="0"/>
        <w:rPr>
          <w:rFonts w:hint="eastAsia"/>
          <w:sz w:val="32"/>
          <w:szCs w:val="32"/>
          <w:highlight w:val="yellow"/>
        </w:rPr>
      </w:pPr>
    </w:p>
    <w:p>
      <w:pPr>
        <w:pStyle w:val="style0"/>
        <w:keepNext w:val="false"/>
        <w:keepLines w:val="false"/>
        <w:pageBreakBefore w:val="false"/>
        <w:kinsoku/>
        <w:wordWrap/>
        <w:overflowPunct/>
        <w:topLinePunct w:val="false"/>
        <w:bidi w:val="false"/>
        <w:snapToGrid w:val="false"/>
        <w:spacing w:lineRule="exact" w:line="560"/>
        <w:ind w:left="0" w:leftChars="0" w:firstLine="0" w:firstLineChars="0"/>
        <w:jc w:val="left"/>
        <w:rPr>
          <w:rFonts w:hint="eastAsia"/>
          <w:color w:val="auto"/>
          <w:sz w:val="32"/>
          <w:szCs w:val="32"/>
        </w:rPr>
      </w:pPr>
    </w:p>
    <w:p>
      <w:pPr>
        <w:pStyle w:val="style0"/>
        <w:autoSpaceDE w:val="false"/>
        <w:autoSpaceDN w:val="false"/>
        <w:adjustRightInd w:val="false"/>
        <w:snapToGrid w:val="false"/>
        <w:spacing w:lineRule="exact" w:line="560"/>
        <w:jc w:val="center"/>
        <w:rPr>
          <w:rFonts w:ascii="仿宋_GB2312" w:cs="Arial" w:eastAsia="仿宋_GB2312" w:hAnsi="Times New Roman" w:hint="eastAsia"/>
          <w:color w:val="auto"/>
          <w:sz w:val="32"/>
          <w:szCs w:val="32"/>
          <w:highlight w:val="none"/>
          <w:lang w:bidi="en-US"/>
        </w:rPr>
      </w:pPr>
      <w:r>
        <w:rPr>
          <w:rFonts w:ascii="仿宋_GB2312" w:cs="Arial" w:eastAsia="仿宋_GB2312" w:hAnsi="Times New Roman" w:hint="eastAsia"/>
          <w:color w:val="auto"/>
          <w:sz w:val="32"/>
          <w:szCs w:val="32"/>
          <w:lang w:bidi="en-US"/>
        </w:rPr>
        <w:t>锡署环审书〔</w:t>
      </w:r>
      <w:r>
        <w:rPr>
          <w:rFonts w:ascii="仿宋_GB2312" w:cs="Arial" w:eastAsia="仿宋_GB2312" w:hAnsi="Times New Roman" w:hint="eastAsia"/>
          <w:color w:val="auto"/>
          <w:sz w:val="32"/>
          <w:szCs w:val="32"/>
          <w:highlight w:val="none"/>
          <w:lang w:bidi="en-US"/>
        </w:rPr>
        <w:t>202</w:t>
      </w:r>
      <w:r>
        <w:rPr>
          <w:rFonts w:ascii="仿宋_GB2312" w:cs="Arial" w:eastAsia="仿宋_GB2312" w:hAnsi="Times New Roman" w:hint="eastAsia"/>
          <w:color w:val="auto"/>
          <w:sz w:val="32"/>
          <w:szCs w:val="32"/>
          <w:highlight w:val="none"/>
          <w:lang w:val="en-US" w:bidi="en-US" w:eastAsia="zh-CN"/>
        </w:rPr>
        <w:t>5</w:t>
      </w:r>
      <w:r>
        <w:rPr>
          <w:rFonts w:ascii="仿宋_GB2312" w:cs="Arial" w:eastAsia="仿宋_GB2312" w:hAnsi="Times New Roman" w:hint="eastAsia"/>
          <w:color w:val="auto"/>
          <w:sz w:val="32"/>
          <w:szCs w:val="32"/>
          <w:highlight w:val="none"/>
          <w:lang w:bidi="en-US"/>
        </w:rPr>
        <w:t>〕</w:t>
      </w:r>
      <w:r>
        <w:rPr>
          <w:rFonts w:ascii="仿宋_GB2312" w:cs="Arial" w:eastAsia="仿宋_GB2312" w:hAnsi="Times New Roman" w:hint="eastAsia"/>
          <w:color w:val="auto"/>
          <w:sz w:val="32"/>
          <w:szCs w:val="32"/>
          <w:highlight w:val="none"/>
          <w:lang w:val="en-US" w:bidi="en-US" w:eastAsia="zh-CN"/>
        </w:rPr>
        <w:t>45</w:t>
      </w:r>
      <w:r>
        <w:rPr>
          <w:rFonts w:ascii="仿宋_GB2312" w:cs="Arial" w:eastAsia="仿宋_GB2312" w:hAnsi="Times New Roman" w:hint="eastAsia"/>
          <w:color w:val="auto"/>
          <w:sz w:val="32"/>
          <w:szCs w:val="32"/>
          <w:highlight w:val="none"/>
          <w:lang w:bidi="en-US"/>
        </w:rPr>
        <w:t>号</w:t>
      </w:r>
    </w:p>
    <w:p>
      <w:pPr>
        <w:pStyle w:val="style0"/>
        <w:keepNext w:val="false"/>
        <w:keepLines w:val="false"/>
        <w:pageBreakBefore w:val="false"/>
        <w:widowControl w:val="false"/>
        <w:kinsoku/>
        <w:wordWrap/>
        <w:overflowPunct/>
        <w:topLinePunct w:val="false"/>
        <w:autoSpaceDE w:val="false"/>
        <w:autoSpaceDN w:val="false"/>
        <w:bidi w:val="false"/>
        <w:adjustRightInd w:val="false"/>
        <w:snapToGrid w:val="false"/>
        <w:spacing w:lineRule="exact" w:line="440"/>
        <w:jc w:val="center"/>
        <w:textAlignment w:val="auto"/>
        <w:rPr>
          <w:rFonts w:ascii="仿宋_GB2312" w:cs="Arial" w:eastAsia="仿宋_GB2312" w:hAnsi="Times New Roman" w:hint="eastAsia"/>
          <w:color w:val="auto"/>
          <w:sz w:val="32"/>
          <w:szCs w:val="32"/>
          <w:highlight w:val="none"/>
          <w:lang w:bidi="en-US"/>
        </w:rPr>
      </w:pPr>
    </w:p>
    <w:bookmarkEnd w:id="0"/>
    <w:p>
      <w:pPr>
        <w:pStyle w:val="style0"/>
        <w:keepNext w:val="false"/>
        <w:keepLines w:val="false"/>
        <w:pageBreakBefore w:val="false"/>
        <w:widowControl w:val="false"/>
        <w:kinsoku/>
        <w:wordWrap/>
        <w:overflowPunct/>
        <w:topLinePunct w:val="false"/>
        <w:autoSpaceDE/>
        <w:autoSpaceDN/>
        <w:bidi w:val="false"/>
        <w:adjustRightInd/>
        <w:snapToGrid/>
        <w:spacing w:lineRule="exact" w:line="700"/>
        <w:jc w:val="center"/>
        <w:textAlignment w:val="auto"/>
        <w:rPr>
          <w:rFonts w:ascii="方正小标宋简体" w:cs="方正小标宋简体" w:eastAsia="方正小标宋简体" w:hAnsi="方正小标宋简体" w:hint="eastAsia"/>
          <w:b w:val="false"/>
          <w:bCs w:val="false"/>
          <w:color w:val="auto"/>
          <w:sz w:val="44"/>
          <w:szCs w:val="44"/>
          <w:lang w:val="en-US" w:eastAsia="zh-CN"/>
        </w:rPr>
      </w:pPr>
      <w:r>
        <w:rPr>
          <w:rFonts w:ascii="方正小标宋简体" w:cs="方正小标宋简体" w:eastAsia="方正小标宋简体" w:hAnsi="方正小标宋简体" w:hint="eastAsia"/>
          <w:b w:val="false"/>
          <w:bCs w:val="false"/>
          <w:color w:val="auto"/>
          <w:sz w:val="44"/>
          <w:szCs w:val="44"/>
          <w:lang w:val="en-US" w:eastAsia="zh-CN"/>
        </w:rPr>
        <w:t>锡林郭勒盟生态环境局</w:t>
      </w:r>
    </w:p>
    <w:p>
      <w:pPr>
        <w:pStyle w:val="style0"/>
        <w:autoSpaceDE w:val="false"/>
        <w:autoSpaceDN w:val="false"/>
        <w:adjustRightInd w:val="false"/>
        <w:snapToGrid w:val="false"/>
        <w:spacing w:lineRule="exact" w:line="700"/>
        <w:jc w:val="center"/>
        <w:rPr>
          <w:rFonts w:ascii="方正小标宋简体" w:cs="方正小标宋简体" w:eastAsia="方正小标宋简体" w:hAnsi="方正小标宋简体"/>
          <w:bCs/>
          <w:color w:val="auto"/>
          <w:sz w:val="44"/>
          <w:szCs w:val="44"/>
          <w:highlight w:val="none"/>
        </w:rPr>
      </w:pPr>
      <w:r>
        <w:rPr>
          <w:rFonts w:ascii="方正小标宋简体" w:cs="方正小标宋简体" w:eastAsia="方正小标宋简体" w:hAnsi="方正小标宋简体" w:hint="eastAsia"/>
          <w:bCs/>
          <w:color w:val="auto"/>
          <w:sz w:val="44"/>
          <w:szCs w:val="44"/>
          <w:highlight w:val="none"/>
        </w:rPr>
        <w:t>关于</w:t>
      </w:r>
      <w:r>
        <w:rPr>
          <w:rFonts w:ascii="方正小标宋简体" w:cs="方正小标宋简体" w:eastAsia="方正小标宋简体" w:hAnsi="方正小标宋简体" w:hint="eastAsia"/>
          <w:bCs/>
          <w:color w:val="auto"/>
          <w:sz w:val="44"/>
          <w:szCs w:val="44"/>
          <w:highlight w:val="none"/>
          <w:lang w:eastAsia="zh-CN"/>
        </w:rPr>
        <w:t>镶黄旗宝格达音高勒亚日盖建筑用凝灰岩矿</w:t>
      </w:r>
      <w:r>
        <w:rPr>
          <w:rFonts w:ascii="方正小标宋简体" w:cs="方正小标宋简体" w:eastAsia="方正小标宋简体" w:hAnsi="方正小标宋简体" w:hint="eastAsia"/>
          <w:bCs/>
          <w:color w:val="auto"/>
          <w:sz w:val="44"/>
          <w:szCs w:val="44"/>
          <w:highlight w:val="none"/>
        </w:rPr>
        <w:t>环境影响报告书的批复</w:t>
      </w:r>
    </w:p>
    <w:p>
      <w:pPr>
        <w:pStyle w:val="style0"/>
        <w:keepNext w:val="false"/>
        <w:keepLines w:val="false"/>
        <w:pageBreakBefore w:val="false"/>
        <w:widowControl w:val="false"/>
        <w:kinsoku/>
        <w:wordWrap/>
        <w:overflowPunct/>
        <w:topLinePunct w:val="false"/>
        <w:autoSpaceDE w:val="false"/>
        <w:autoSpaceDN w:val="false"/>
        <w:bidi w:val="false"/>
        <w:adjustRightInd w:val="false"/>
        <w:snapToGrid w:val="false"/>
        <w:spacing w:lineRule="exact" w:line="440"/>
        <w:textAlignment w:val="auto"/>
        <w:rPr>
          <w:rFonts w:ascii="仿宋_GB2312" w:cs="仿宋_GB2312" w:eastAsia="仿宋_GB2312" w:hAnsi="仿宋_GB2312"/>
          <w:color w:val="auto"/>
          <w:sz w:val="32"/>
          <w:szCs w:val="32"/>
          <w:lang w:bidi="en-US"/>
        </w:rPr>
      </w:pPr>
    </w:p>
    <w:p>
      <w:pPr>
        <w:pStyle w:val="style0"/>
        <w:keepNext w:val="false"/>
        <w:keepLines w:val="false"/>
        <w:pageBreakBefore w:val="false"/>
        <w:widowControl w:val="false"/>
        <w:kinsoku/>
        <w:wordWrap/>
        <w:overflowPunct/>
        <w:topLinePunct w:val="false"/>
        <w:autoSpaceDE w:val="false"/>
        <w:autoSpaceDN w:val="false"/>
        <w:bidi w:val="false"/>
        <w:adjustRightInd w:val="false"/>
        <w:snapToGrid w:val="false"/>
        <w:spacing w:lineRule="exact" w:line="520"/>
        <w:jc w:val="both"/>
        <w:textAlignment w:val="auto"/>
        <w:rPr>
          <w:rFonts w:ascii="仿宋_GB2312" w:cs="仿宋_GB2312" w:eastAsia="仿宋_GB2312" w:hAnsi="仿宋_GB2312" w:hint="eastAsia"/>
          <w:color w:val="auto"/>
          <w:sz w:val="32"/>
          <w:szCs w:val="32"/>
          <w:lang w:bidi="en-US"/>
        </w:rPr>
      </w:pPr>
      <w:r>
        <w:rPr>
          <w:rFonts w:ascii="仿宋_GB2312" w:cs="仿宋_GB2312" w:eastAsia="仿宋_GB2312" w:hAnsi="仿宋_GB2312" w:hint="eastAsia"/>
          <w:color w:val="auto"/>
          <w:sz w:val="32"/>
          <w:szCs w:val="32"/>
          <w:highlight w:val="none"/>
          <w:lang w:val="en-US" w:eastAsia="zh-CN"/>
        </w:rPr>
        <w:t>内蒙古竞成建设有限公司</w:t>
      </w:r>
      <w:r>
        <w:rPr>
          <w:rFonts w:ascii="仿宋_GB2312" w:cs="仿宋_GB2312" w:eastAsia="仿宋_GB2312" w:hAnsi="仿宋_GB2312" w:hint="eastAsia"/>
          <w:color w:val="auto"/>
          <w:sz w:val="32"/>
          <w:szCs w:val="32"/>
          <w:lang w:bidi="en-US"/>
        </w:rPr>
        <w:t>：</w:t>
      </w:r>
    </w:p>
    <w:p>
      <w:pPr>
        <w:pStyle w:val="style0"/>
        <w:keepNext w:val="false"/>
        <w:keepLines w:val="false"/>
        <w:pageBreakBefore w:val="false"/>
        <w:widowControl w:val="false"/>
        <w:kinsoku/>
        <w:wordWrap/>
        <w:overflowPunct/>
        <w:topLinePunct w:val="false"/>
        <w:autoSpaceDE w:val="false"/>
        <w:autoSpaceDN w:val="false"/>
        <w:bidi w:val="false"/>
        <w:adjustRightInd w:val="false"/>
        <w:snapToGrid w:val="false"/>
        <w:spacing w:lineRule="exact" w:line="520"/>
        <w:jc w:val="both"/>
        <w:textAlignment w:val="auto"/>
        <w:rPr>
          <w:rFonts w:ascii="仿宋_GB2312" w:cs="仿宋_GB2312" w:eastAsia="仿宋_GB2312" w:hAnsi="仿宋_GB2312" w:hint="eastAsia"/>
          <w:color w:val="000000"/>
          <w:sz w:val="32"/>
          <w:szCs w:val="32"/>
          <w:lang w:val="en-US" w:bidi="en-US" w:eastAsia="zh-CN"/>
        </w:rPr>
      </w:pPr>
      <w:r>
        <w:rPr>
          <w:rFonts w:ascii="仿宋_GB2312" w:cs="仿宋_GB2312" w:eastAsia="仿宋_GB2312" w:hAnsi="仿宋_GB2312" w:hint="eastAsia"/>
          <w:color w:val="auto"/>
          <w:sz w:val="32"/>
          <w:szCs w:val="32"/>
          <w:lang w:val="en-US" w:bidi="en-US" w:eastAsia="zh-CN"/>
        </w:rPr>
        <w:t xml:space="preserve">    </w:t>
      </w:r>
      <w:r>
        <w:rPr>
          <w:rFonts w:ascii="仿宋_GB2312" w:cs="仿宋_GB2312" w:eastAsia="仿宋_GB2312" w:hAnsi="仿宋_GB2312" w:hint="eastAsia"/>
          <w:color w:val="000000"/>
          <w:sz w:val="32"/>
          <w:szCs w:val="32"/>
          <w:lang w:val="en-US" w:bidi="en-US" w:eastAsia="zh-CN"/>
        </w:rPr>
        <w:t>你单位报送的《镶黄旗宝格达音高勒亚日盖建筑用凝灰岩矿环境影响报告书》（</w:t>
      </w:r>
      <w:r>
        <w:rPr>
          <w:rFonts w:ascii="仿宋_GB2312" w:cs="仿宋_GB2312" w:eastAsia="仿宋_GB2312" w:hAnsi="仿宋_GB2312" w:hint="eastAsia"/>
          <w:color w:val="000000"/>
          <w:sz w:val="32"/>
          <w:szCs w:val="32"/>
          <w:lang w:val="en-US" w:bidi="en-US"/>
        </w:rPr>
        <w:t>以下简称《报告书》</w:t>
      </w:r>
      <w:r>
        <w:rPr>
          <w:rFonts w:ascii="仿宋_GB2312" w:cs="仿宋_GB2312" w:eastAsia="仿宋_GB2312" w:hAnsi="仿宋_GB2312" w:hint="eastAsia"/>
          <w:color w:val="000000"/>
          <w:sz w:val="32"/>
          <w:szCs w:val="32"/>
          <w:lang w:val="en-US" w:bidi="en-US" w:eastAsia="zh-CN"/>
        </w:rPr>
        <w:t>）收悉。经研究，批复如下：</w:t>
      </w:r>
    </w:p>
    <w:p>
      <w:pPr>
        <w:pStyle w:val="style0"/>
        <w:keepNext w:val="false"/>
        <w:keepLines w:val="false"/>
        <w:pageBreakBefore w:val="false"/>
        <w:widowControl w:val="false"/>
        <w:numPr>
          <w:ilvl w:val="0"/>
          <w:numId w:val="1"/>
        </w:numPr>
        <w:kinsoku/>
        <w:wordWrap/>
        <w:overflowPunct/>
        <w:topLinePunct w:val="false"/>
        <w:autoSpaceDE w:val="false"/>
        <w:autoSpaceDN w:val="false"/>
        <w:bidi w:val="false"/>
        <w:adjustRightInd w:val="false"/>
        <w:snapToGrid w:val="false"/>
        <w:spacing w:lineRule="exact" w:line="520"/>
        <w:ind w:firstLine="640" w:firstLineChars="200"/>
        <w:jc w:val="both"/>
        <w:textAlignment w:val="auto"/>
        <w:rPr>
          <w:rFonts w:ascii="仿宋_GB2312" w:cs="仿宋_GB2312" w:eastAsia="仿宋_GB2312" w:hAnsi="仿宋_GB2312" w:hint="eastAsia"/>
          <w:b w:val="false"/>
          <w:bCs/>
          <w:color w:val="000000"/>
          <w:kern w:val="0"/>
          <w:sz w:val="32"/>
          <w:szCs w:val="32"/>
          <w:lang w:val="en-US" w:eastAsia="zh-CN"/>
        </w:rPr>
      </w:pPr>
      <w:r>
        <w:rPr>
          <w:rFonts w:ascii="仿宋_GB2312" w:cs="仿宋_GB2312" w:eastAsia="仿宋_GB2312" w:hAnsi="仿宋_GB2312" w:hint="eastAsia"/>
          <w:color w:val="000000"/>
          <w:sz w:val="32"/>
          <w:szCs w:val="32"/>
          <w:lang w:val="en-US" w:bidi="en-US" w:eastAsia="zh-CN"/>
        </w:rPr>
        <w:t>镶黄旗宝格达音高勒亚日盖建筑用</w:t>
      </w:r>
      <w:bookmarkStart w:id="1" w:name="_GoBack"/>
      <w:bookmarkEnd w:id="1"/>
      <w:r>
        <w:rPr>
          <w:rFonts w:ascii="仿宋_GB2312" w:cs="仿宋_GB2312" w:eastAsia="仿宋_GB2312" w:hAnsi="仿宋_GB2312" w:hint="eastAsia"/>
          <w:color w:val="000000"/>
          <w:sz w:val="32"/>
          <w:szCs w:val="32"/>
          <w:lang w:val="en-US" w:bidi="en-US" w:eastAsia="zh-CN"/>
        </w:rPr>
        <w:t>凝灰岩矿</w:t>
      </w:r>
      <w:r>
        <w:rPr>
          <w:rFonts w:ascii="仿宋_GB2312" w:cs="仿宋_GB2312" w:eastAsia="仿宋_GB2312" w:hAnsi="仿宋_GB2312" w:hint="eastAsia"/>
          <w:color w:val="auto"/>
          <w:sz w:val="32"/>
          <w:szCs w:val="32"/>
          <w:lang w:val="en-US" w:bidi="en-US" w:eastAsia="zh-CN"/>
        </w:rPr>
        <w:t>，项目位于镶黄旗宝格达音高勒苏木</w:t>
      </w:r>
      <w:r>
        <w:rPr>
          <w:rFonts w:ascii="仿宋_GB2312" w:cs="仿宋_GB2312" w:eastAsia="仿宋_GB2312" w:hAnsi="仿宋_GB2312" w:hint="eastAsia"/>
          <w:b w:val="false"/>
          <w:bCs/>
          <w:color w:val="000000"/>
          <w:kern w:val="0"/>
          <w:sz w:val="32"/>
          <w:szCs w:val="32"/>
          <w:lang w:val="en-US" w:eastAsia="zh-CN"/>
        </w:rPr>
        <w:t>。矿区坐标范围：东经113°</w:t>
      </w:r>
      <w:r>
        <w:rPr>
          <w:rFonts w:ascii="仿宋_GB2312" w:cs="仿宋_GB2312" w:eastAsia="仿宋_GB2312" w:hAnsi="仿宋_GB2312" w:hint="default"/>
          <w:b w:val="false"/>
          <w:bCs/>
          <w:color w:val="000000"/>
          <w:kern w:val="0"/>
          <w:sz w:val="32"/>
          <w:szCs w:val="32"/>
          <w:lang w:val="en-US" w:eastAsia="zh-CN"/>
        </w:rPr>
        <w:t>4</w:t>
      </w:r>
      <w:r>
        <w:rPr>
          <w:rFonts w:ascii="仿宋_GB2312" w:cs="仿宋_GB2312" w:eastAsia="仿宋_GB2312" w:hAnsi="仿宋_GB2312" w:hint="eastAsia"/>
          <w:b w:val="false"/>
          <w:bCs/>
          <w:color w:val="000000"/>
          <w:kern w:val="0"/>
          <w:sz w:val="32"/>
          <w:szCs w:val="32"/>
          <w:lang w:val="en-US" w:eastAsia="zh-CN"/>
        </w:rPr>
        <w:t>9′3</w:t>
      </w:r>
      <w:r>
        <w:rPr>
          <w:rFonts w:ascii="仿宋_GB2312" w:cs="仿宋_GB2312" w:eastAsia="仿宋_GB2312" w:hAnsi="仿宋_GB2312" w:hint="default"/>
          <w:b w:val="false"/>
          <w:bCs/>
          <w:color w:val="000000"/>
          <w:kern w:val="0"/>
          <w:sz w:val="32"/>
          <w:szCs w:val="32"/>
          <w:lang w:val="en-US" w:eastAsia="zh-CN"/>
        </w:rPr>
        <w:t>6.883475</w:t>
      </w:r>
      <w:r>
        <w:rPr>
          <w:rFonts w:ascii="仿宋_GB2312" w:cs="仿宋_GB2312" w:eastAsia="仿宋_GB2312" w:hAnsi="仿宋_GB2312" w:hint="eastAsia"/>
          <w:b w:val="false"/>
          <w:bCs/>
          <w:color w:val="000000"/>
          <w:kern w:val="0"/>
          <w:sz w:val="32"/>
          <w:szCs w:val="32"/>
          <w:lang w:val="en-US" w:eastAsia="zh-CN"/>
        </w:rPr>
        <w:t>″，北纬42°</w:t>
      </w:r>
      <w:r>
        <w:rPr>
          <w:rFonts w:ascii="仿宋_GB2312" w:cs="仿宋_GB2312" w:eastAsia="仿宋_GB2312" w:hAnsi="仿宋_GB2312" w:hint="default"/>
          <w:b w:val="false"/>
          <w:bCs/>
          <w:color w:val="000000"/>
          <w:kern w:val="0"/>
          <w:sz w:val="32"/>
          <w:szCs w:val="32"/>
          <w:lang w:val="en-US" w:eastAsia="zh-CN"/>
        </w:rPr>
        <w:t>17</w:t>
      </w:r>
      <w:r>
        <w:rPr>
          <w:rFonts w:ascii="仿宋_GB2312" w:cs="仿宋_GB2312" w:eastAsia="仿宋_GB2312" w:hAnsi="仿宋_GB2312" w:hint="eastAsia"/>
          <w:b w:val="false"/>
          <w:bCs/>
          <w:color w:val="000000"/>
          <w:kern w:val="0"/>
          <w:sz w:val="32"/>
          <w:szCs w:val="32"/>
          <w:lang w:val="en-US" w:eastAsia="zh-CN"/>
        </w:rPr>
        <w:t>′1</w:t>
      </w:r>
      <w:r>
        <w:rPr>
          <w:rFonts w:ascii="仿宋_GB2312" w:cs="仿宋_GB2312" w:eastAsia="仿宋_GB2312" w:hAnsi="仿宋_GB2312" w:hint="default"/>
          <w:b w:val="false"/>
          <w:bCs/>
          <w:color w:val="000000"/>
          <w:kern w:val="0"/>
          <w:sz w:val="32"/>
          <w:szCs w:val="32"/>
          <w:lang w:val="en-US" w:eastAsia="zh-CN"/>
        </w:rPr>
        <w:t>0</w:t>
      </w:r>
      <w:r>
        <w:rPr>
          <w:rFonts w:ascii="仿宋_GB2312" w:cs="仿宋_GB2312" w:eastAsia="仿宋_GB2312" w:hAnsi="仿宋_GB2312" w:hint="eastAsia"/>
          <w:b w:val="false"/>
          <w:bCs/>
          <w:color w:val="000000"/>
          <w:kern w:val="0"/>
          <w:sz w:val="32"/>
          <w:szCs w:val="32"/>
          <w:lang w:val="en-US" w:eastAsia="zh-CN"/>
        </w:rPr>
        <w:t>.7</w:t>
      </w:r>
      <w:r>
        <w:rPr>
          <w:rFonts w:ascii="仿宋_GB2312" w:cs="仿宋_GB2312" w:eastAsia="仿宋_GB2312" w:hAnsi="仿宋_GB2312" w:hint="default"/>
          <w:b w:val="false"/>
          <w:bCs/>
          <w:color w:val="000000"/>
          <w:kern w:val="0"/>
          <w:sz w:val="32"/>
          <w:szCs w:val="32"/>
          <w:lang w:val="en-US" w:eastAsia="zh-CN"/>
        </w:rPr>
        <w:t>94551</w:t>
      </w:r>
      <w:r>
        <w:rPr>
          <w:rFonts w:ascii="仿宋_GB2312" w:cs="仿宋_GB2312" w:eastAsia="仿宋_GB2312" w:hAnsi="仿宋_GB2312" w:hint="eastAsia"/>
          <w:b w:val="false"/>
          <w:bCs/>
          <w:color w:val="000000"/>
          <w:kern w:val="0"/>
          <w:sz w:val="32"/>
          <w:szCs w:val="32"/>
          <w:lang w:val="en-US" w:eastAsia="zh-CN"/>
        </w:rPr>
        <w:t>″。矿</w:t>
      </w:r>
      <w:r>
        <w:rPr>
          <w:rFonts w:ascii="仿宋_GB2312" w:cs="仿宋_GB2312" w:eastAsia="仿宋_GB2312" w:hAnsi="仿宋_GB2312" w:hint="eastAsia"/>
          <w:b w:val="false"/>
          <w:bCs/>
          <w:color w:val="auto"/>
          <w:kern w:val="0"/>
          <w:sz w:val="32"/>
          <w:szCs w:val="32"/>
          <w:lang w:val="en-US" w:eastAsia="zh-CN"/>
        </w:rPr>
        <w:t>区总面积0.0787平方公里，共由4个拐点圈定。采用露天开采方式，开采深度为1405.30米至1355.00米标高。项目矿区共划分为1个开采区域，年开采矿石10万立方</w:t>
      </w:r>
      <w:r>
        <w:rPr>
          <w:rFonts w:ascii="仿宋_GB2312" w:cs="仿宋_GB2312" w:eastAsia="仿宋_GB2312" w:hAnsi="仿宋_GB2312" w:hint="eastAsia"/>
          <w:b w:val="false"/>
          <w:bCs/>
          <w:color w:val="000000"/>
          <w:kern w:val="0"/>
          <w:sz w:val="32"/>
          <w:szCs w:val="32"/>
          <w:lang w:val="en-US" w:eastAsia="zh-CN"/>
        </w:rPr>
        <w:t>米，开采年限10.69年。同时配套建设矿石加工车间、石粉储存库、危废暂存间等辅助设施。</w:t>
      </w:r>
    </w:p>
    <w:p>
      <w:pPr>
        <w:pStyle w:val="style0"/>
        <w:keepNext w:val="false"/>
        <w:keepLines w:val="false"/>
        <w:pageBreakBefore w:val="false"/>
        <w:widowControl w:val="false"/>
        <w:numPr>
          <w:ilvl w:val="0"/>
          <w:numId w:val="0"/>
        </w:numPr>
        <w:kinsoku/>
        <w:wordWrap/>
        <w:overflowPunct/>
        <w:topLinePunct w:val="false"/>
        <w:autoSpaceDE w:val="false"/>
        <w:autoSpaceDN w:val="false"/>
        <w:bidi w:val="false"/>
        <w:adjustRightInd w:val="false"/>
        <w:snapToGrid w:val="false"/>
        <w:spacing w:lineRule="exact" w:line="520"/>
        <w:ind w:firstLine="640" w:firstLineChars="200"/>
        <w:jc w:val="both"/>
        <w:textAlignment w:val="auto"/>
        <w:rPr>
          <w:rFonts w:ascii="仿宋_GB2312" w:cs="仿宋_GB2312" w:eastAsia="仿宋_GB2312" w:hAnsi="仿宋_GB2312" w:hint="eastAsia"/>
          <w:color w:val="auto"/>
          <w:kern w:val="2"/>
          <w:sz w:val="32"/>
          <w:szCs w:val="32"/>
          <w:lang w:val="en-US" w:bidi="ar-SA" w:eastAsia="zh-CN"/>
        </w:rPr>
      </w:pPr>
      <w:r>
        <w:rPr>
          <w:rFonts w:ascii="仿宋_GB2312" w:cs="仿宋_GB2312" w:eastAsia="仿宋_GB2312" w:hAnsi="仿宋_GB2312" w:hint="eastAsia"/>
          <w:color w:val="auto"/>
          <w:kern w:val="2"/>
          <w:sz w:val="32"/>
          <w:szCs w:val="32"/>
          <w:lang w:val="en-US" w:bidi="ar-SA" w:eastAsia="zh-CN"/>
        </w:rPr>
        <w:t>《报告书》认为，在全面落实各项生态保护和污染防治措施的前提下，项目建设对环境的不利影响能够得到一定的缓解和控制。我局原则同意本项目按照《报告书》所列的建设项目性质、规模、地点和拟采取的污染防治措施及下述要求进行建设。</w:t>
      </w:r>
    </w:p>
    <w:p>
      <w:pPr>
        <w:pStyle w:val="style78"/>
        <w:keepNext w:val="false"/>
        <w:keepLines w:val="false"/>
        <w:pageBreakBefore w:val="false"/>
        <w:widowControl w:val="false"/>
        <w:numPr>
          <w:ilvl w:val="0"/>
          <w:numId w:val="0"/>
        </w:numPr>
        <w:kinsoku/>
        <w:wordWrap/>
        <w:overflowPunct/>
        <w:topLinePunct w:val="false"/>
        <w:autoSpaceDE/>
        <w:autoSpaceDN/>
        <w:bidi w:val="false"/>
        <w:adjustRightInd w:val="false"/>
        <w:snapToGrid/>
        <w:spacing w:after="0" w:lineRule="exact" w:line="520"/>
        <w:ind w:left="0" w:leftChars="0" w:firstLine="640" w:firstLineChars="200"/>
        <w:jc w:val="both"/>
        <w:textAlignment w:val="baseline"/>
        <w:rPr>
          <w:rFonts w:ascii="仿宋_GB2312" w:cs="仿宋_GB2312" w:eastAsia="仿宋_GB2312" w:hAnsi="仿宋_GB2312" w:hint="eastAsia"/>
          <w:color w:val="auto"/>
          <w:kern w:val="2"/>
          <w:sz w:val="32"/>
          <w:szCs w:val="32"/>
          <w:highlight w:val="none"/>
          <w:lang w:val="en-US" w:bidi="ar-SA" w:eastAsia="zh-CN"/>
        </w:rPr>
      </w:pPr>
      <w:r>
        <w:rPr>
          <w:rFonts w:ascii="仿宋_GB2312" w:cs="仿宋_GB2312" w:eastAsia="仿宋_GB2312" w:hAnsi="仿宋_GB2312" w:hint="eastAsia"/>
          <w:color w:val="auto"/>
          <w:kern w:val="2"/>
          <w:sz w:val="32"/>
          <w:szCs w:val="32"/>
          <w:highlight w:val="none"/>
          <w:lang w:val="en-US" w:bidi="ar-SA" w:eastAsia="zh-CN"/>
        </w:rPr>
        <w:t>二、项目在设计、建设和运营过程中还应做好以下工作</w:t>
      </w:r>
    </w:p>
    <w:p>
      <w:pPr>
        <w:pStyle w:val="style0"/>
        <w:keepNext w:val="false"/>
        <w:keepLines w:val="false"/>
        <w:pageBreakBefore w:val="false"/>
        <w:widowControl w:val="false"/>
        <w:numPr>
          <w:ilvl w:val="0"/>
          <w:numId w:val="0"/>
        </w:numPr>
        <w:kinsoku/>
        <w:wordWrap/>
        <w:overflowPunct/>
        <w:topLinePunct w:val="false"/>
        <w:autoSpaceDE/>
        <w:autoSpaceDN/>
        <w:bidi w:val="false"/>
        <w:adjustRightInd/>
        <w:snapToGrid/>
        <w:spacing w:lineRule="exact" w:line="520"/>
        <w:ind w:firstLine="640" w:firstLineChars="200"/>
        <w:jc w:val="both"/>
        <w:textAlignment w:val="auto"/>
        <w:rPr>
          <w:rFonts w:ascii="仿宋_GB2312" w:cs="仿宋_GB2312" w:eastAsia="仿宋_GB2312" w:hAnsi="仿宋_GB2312" w:hint="eastAsia"/>
          <w:color w:val="auto"/>
          <w:kern w:val="2"/>
          <w:sz w:val="32"/>
          <w:szCs w:val="32"/>
          <w:highlight w:val="none"/>
          <w:lang w:val="en-US" w:bidi="en-US" w:eastAsia="zh-CN"/>
        </w:rPr>
      </w:pPr>
      <w:r>
        <w:rPr>
          <w:rFonts w:ascii="楷体" w:cs="楷体" w:eastAsia="楷体" w:hAnsi="楷体" w:hint="eastAsia"/>
          <w:color w:val="auto"/>
          <w:kern w:val="2"/>
          <w:sz w:val="32"/>
          <w:szCs w:val="32"/>
          <w:highlight w:val="none"/>
          <w:lang w:val="en-US" w:bidi="en-US" w:eastAsia="zh-CN"/>
        </w:rPr>
        <w:t>（一）生态保护措施。</w:t>
      </w:r>
      <w:r>
        <w:rPr>
          <w:rFonts w:ascii="仿宋_GB2312" w:cs="仿宋_GB2312" w:eastAsia="仿宋_GB2312" w:hAnsi="仿宋_GB2312" w:hint="eastAsia"/>
          <w:color w:val="auto"/>
          <w:kern w:val="2"/>
          <w:sz w:val="32"/>
          <w:szCs w:val="32"/>
          <w:highlight w:val="none"/>
          <w:lang w:val="en-US" w:bidi="en-US" w:eastAsia="zh-CN"/>
        </w:rPr>
        <w:t>严格按照《报告书》提出的开采范围进行开采。新剥离表土单独堆存用于生态恢复。</w:t>
      </w:r>
      <w:r>
        <w:rPr>
          <w:rFonts w:ascii="仿宋_GB2312" w:cs="仿宋_GB2312" w:eastAsia="仿宋_GB2312" w:hAnsi="仿宋_GB2312" w:hint="eastAsia"/>
          <w:color w:val="000000"/>
          <w:kern w:val="2"/>
          <w:sz w:val="32"/>
          <w:szCs w:val="32"/>
          <w:lang w:val="en-US" w:bidi="ar-SA" w:eastAsia="zh-CN"/>
        </w:rPr>
        <w:t>施工过程中发现文物的，应当保护现场，立即报告当地文物保护部门，由文物保护部门依法依规进行处理。</w:t>
      </w:r>
      <w:r>
        <w:rPr>
          <w:rFonts w:ascii="仿宋_GB2312" w:cs="仿宋_GB2312" w:eastAsia="仿宋_GB2312" w:hAnsi="仿宋_GB2312" w:hint="eastAsia"/>
          <w:color w:val="auto"/>
          <w:kern w:val="2"/>
          <w:sz w:val="32"/>
          <w:szCs w:val="32"/>
          <w:highlight w:val="none"/>
          <w:lang w:val="en-US" w:bidi="en-US" w:eastAsia="zh-CN"/>
        </w:rPr>
        <w:t>及时开展生态修复，按照“边开采、边修复”的原则，在统筹考虑生物多样性、防沙治沙等要求的基础上，编制生态保护及修复方案。占用草地应依法履行相关手续。建立生态监测系统，加强生态影响长期跟踪监测，根据监测结果，采取优化措施减缓不利生态影响。</w:t>
      </w:r>
    </w:p>
    <w:p>
      <w:pPr>
        <w:pStyle w:val="style78"/>
        <w:keepNext w:val="false"/>
        <w:keepLines w:val="false"/>
        <w:pageBreakBefore w:val="false"/>
        <w:widowControl w:val="false"/>
        <w:numPr>
          <w:ilvl w:val="0"/>
          <w:numId w:val="0"/>
        </w:numPr>
        <w:kinsoku/>
        <w:wordWrap/>
        <w:overflowPunct/>
        <w:topLinePunct w:val="false"/>
        <w:autoSpaceDE/>
        <w:autoSpaceDN/>
        <w:bidi w:val="false"/>
        <w:adjustRightInd w:val="false"/>
        <w:snapToGrid/>
        <w:spacing w:after="0" w:lineRule="exact" w:line="520"/>
        <w:ind w:firstLine="640" w:firstLineChars="200"/>
        <w:jc w:val="both"/>
        <w:textAlignment w:val="baseline"/>
        <w:rPr>
          <w:rFonts w:ascii="仿宋_GB2312" w:cs="仿宋_GB2312" w:eastAsia="仿宋_GB2312" w:hAnsi="仿宋_GB2312" w:hint="eastAsia"/>
          <w:color w:val="auto"/>
          <w:kern w:val="2"/>
          <w:sz w:val="32"/>
          <w:szCs w:val="32"/>
          <w:highlight w:val="none"/>
          <w:lang w:val="en-US" w:bidi="en-US" w:eastAsia="zh-CN"/>
        </w:rPr>
      </w:pPr>
      <w:r>
        <w:rPr>
          <w:rFonts w:ascii="楷体" w:cs="楷体" w:eastAsia="楷体" w:hAnsi="楷体" w:hint="eastAsia"/>
          <w:color w:val="auto"/>
          <w:kern w:val="2"/>
          <w:sz w:val="32"/>
          <w:szCs w:val="32"/>
          <w:highlight w:val="none"/>
          <w:lang w:val="en-US" w:bidi="en-US" w:eastAsia="zh-CN"/>
        </w:rPr>
        <w:t>（二）严格落实各项大气污染防治措施。</w:t>
      </w:r>
      <w:r>
        <w:rPr>
          <w:rFonts w:ascii="仿宋_GB2312" w:cs="仿宋_GB2312" w:eastAsia="仿宋_GB2312" w:hAnsi="仿宋_GB2312" w:hint="eastAsia"/>
          <w:color w:val="auto"/>
          <w:kern w:val="2"/>
          <w:sz w:val="32"/>
          <w:szCs w:val="32"/>
          <w:highlight w:val="none"/>
          <w:lang w:val="en-US" w:bidi="en-US" w:eastAsia="zh-CN"/>
        </w:rPr>
        <w:t xml:space="preserve">原矿露天开采、装卸、堆存过程均采用雾炮机喷雾降尘，同时降低装卸高度，控制作业面积，爆破环节采用湿式作业。排土场采用压实苫盖措施，定期洒水抑尘；成品堆场四周设置防风抑尘网，同时加强苫盖、喷雾洒水抑尘。建设全封闭式石粉库，定期喷雾抑尘。矿石加工车间上料环节半封闭并喷雾抑尘；破碎、筛分环节均置于封闭车间并安装布袋除尘器，废气经处理满足《大气污染物综合排放标准》（GB16297-1996）表2浓度限值要求后，通过各自排气筒排放。危废暂存间内废矿物油密闭存储；运输道路进行压实，定期清扫、洒水抑尘，运输车辆加盖苫布，最终厂界颗粒物、非甲烷总烃排放须满足《大气污染物综合排放标准》（GB16297-1996）浓度限值要求。 </w:t>
      </w:r>
    </w:p>
    <w:p>
      <w:pPr>
        <w:pStyle w:val="style78"/>
        <w:keepNext w:val="false"/>
        <w:keepLines w:val="false"/>
        <w:pageBreakBefore w:val="false"/>
        <w:widowControl w:val="false"/>
        <w:numPr>
          <w:ilvl w:val="0"/>
          <w:numId w:val="0"/>
        </w:numPr>
        <w:kinsoku/>
        <w:wordWrap/>
        <w:overflowPunct/>
        <w:topLinePunct w:val="false"/>
        <w:autoSpaceDE/>
        <w:autoSpaceDN/>
        <w:bidi w:val="false"/>
        <w:adjustRightInd w:val="false"/>
        <w:snapToGrid/>
        <w:spacing w:after="0" w:lineRule="exact" w:line="520"/>
        <w:ind w:firstLine="640" w:firstLineChars="200"/>
        <w:jc w:val="both"/>
        <w:textAlignment w:val="baseline"/>
        <w:rPr>
          <w:rFonts w:ascii="仿宋_GB2312" w:cs="仿宋_GB2312" w:eastAsia="仿宋_GB2312" w:hAnsi="仿宋_GB2312" w:hint="eastAsia"/>
          <w:b w:val="false"/>
          <w:bCs w:val="false"/>
          <w:color w:val="auto"/>
          <w:kern w:val="2"/>
          <w:sz w:val="32"/>
          <w:szCs w:val="32"/>
          <w:highlight w:val="none"/>
          <w:lang w:val="en-US" w:bidi="en-US" w:eastAsia="zh-CN"/>
        </w:rPr>
      </w:pPr>
      <w:r>
        <w:rPr>
          <w:rFonts w:ascii="楷体" w:cs="楷体" w:eastAsia="楷体" w:hAnsi="楷体" w:hint="eastAsia"/>
          <w:color w:val="auto"/>
          <w:kern w:val="2"/>
          <w:sz w:val="32"/>
          <w:szCs w:val="32"/>
          <w:highlight w:val="none"/>
          <w:lang w:val="en-US" w:bidi="en-US" w:eastAsia="zh-CN"/>
        </w:rPr>
        <w:t>（三）严格落实各项水污染防治措施。</w:t>
      </w:r>
      <w:r>
        <w:rPr>
          <w:rFonts w:ascii="仿宋_GB2312" w:cs="仿宋_GB2312" w:eastAsia="仿宋_GB2312" w:hAnsi="仿宋_GB2312" w:hint="eastAsia"/>
          <w:b w:val="false"/>
          <w:bCs w:val="false"/>
          <w:color w:val="auto"/>
          <w:kern w:val="2"/>
          <w:sz w:val="32"/>
          <w:szCs w:val="32"/>
          <w:highlight w:val="none"/>
          <w:lang w:val="en-US" w:bidi="en-US" w:eastAsia="zh-CN"/>
        </w:rPr>
        <w:t>项目运营期废水主要为人员生活污水，经化粪池处理满足《污水综合排放标准》（GB8978-1996）三级标准限值要求后，定期抽运至镶黄旗新宝拉格镇生活污水处理厂进一步处理。</w:t>
      </w:r>
    </w:p>
    <w:p>
      <w:pPr>
        <w:pStyle w:val="style78"/>
        <w:keepNext w:val="false"/>
        <w:keepLines w:val="false"/>
        <w:pageBreakBefore w:val="false"/>
        <w:widowControl w:val="false"/>
        <w:numPr>
          <w:ilvl w:val="0"/>
          <w:numId w:val="0"/>
        </w:numPr>
        <w:kinsoku/>
        <w:wordWrap/>
        <w:overflowPunct/>
        <w:topLinePunct w:val="false"/>
        <w:autoSpaceDE/>
        <w:autoSpaceDN/>
        <w:bidi w:val="false"/>
        <w:adjustRightInd w:val="false"/>
        <w:snapToGrid/>
        <w:spacing w:after="0" w:lineRule="exact" w:line="520"/>
        <w:ind w:firstLine="640" w:firstLineChars="200"/>
        <w:jc w:val="both"/>
        <w:textAlignment w:val="baseline"/>
        <w:rPr>
          <w:rFonts w:ascii="仿宋_GB2312" w:cs="仿宋_GB2312" w:eastAsia="仿宋_GB2312" w:hAnsi="仿宋_GB2312" w:hint="eastAsia"/>
          <w:color w:val="auto"/>
          <w:kern w:val="2"/>
          <w:sz w:val="32"/>
          <w:szCs w:val="32"/>
          <w:highlight w:val="none"/>
          <w:lang w:val="en-US" w:bidi="en-US" w:eastAsia="zh-CN"/>
        </w:rPr>
      </w:pPr>
      <w:r>
        <w:rPr>
          <w:rFonts w:ascii="楷体" w:cs="楷体" w:eastAsia="楷体" w:hAnsi="楷体" w:hint="eastAsia"/>
          <w:color w:val="auto"/>
          <w:kern w:val="2"/>
          <w:sz w:val="32"/>
          <w:szCs w:val="32"/>
          <w:highlight w:val="none"/>
          <w:lang w:val="en-US" w:bidi="en-US" w:eastAsia="zh-CN"/>
        </w:rPr>
        <w:t>（四）</w:t>
      </w:r>
      <w:r>
        <w:rPr>
          <w:rFonts w:ascii="楷体" w:cs="楷体" w:eastAsia="楷体" w:hAnsi="楷体" w:hint="eastAsia"/>
          <w:b w:val="false"/>
          <w:bCs w:val="false"/>
          <w:color w:val="000000"/>
          <w:sz w:val="32"/>
          <w:szCs w:val="32"/>
          <w:highlight w:val="none"/>
          <w:lang w:val="en-US" w:eastAsia="zh-CN"/>
        </w:rPr>
        <w:t>严格落实噪声防治措施。</w:t>
      </w:r>
      <w:r>
        <w:rPr>
          <w:rFonts w:ascii="仿宋_GB2312" w:cs="仿宋_GB2312" w:eastAsia="仿宋_GB2312" w:hAnsi="仿宋_GB2312" w:hint="eastAsia"/>
          <w:b w:val="false"/>
          <w:bCs w:val="false"/>
          <w:color w:val="auto"/>
          <w:kern w:val="2"/>
          <w:sz w:val="32"/>
          <w:szCs w:val="32"/>
          <w:highlight w:val="none"/>
          <w:lang w:val="en-US" w:bidi="en-US" w:eastAsia="zh-CN"/>
        </w:rPr>
        <w:t>针对不同的声源采取相应的消声、隔音、减振、降噪措施，高噪设备均置于封闭车间内并加装减震基座，同时加强机械设备日常维护；运输车辆减速行驶，禁止鸣笛，确保厂界噪声可满足《工业企业厂界环境噪声排放标准》（GB12348-2008）2类标准的要求。</w:t>
      </w:r>
    </w:p>
    <w:p>
      <w:pPr>
        <w:pStyle w:val="style0"/>
        <w:keepNext w:val="false"/>
        <w:keepLines w:val="false"/>
        <w:pageBreakBefore w:val="false"/>
        <w:widowControl w:val="false"/>
        <w:kinsoku/>
        <w:wordWrap/>
        <w:overflowPunct/>
        <w:topLinePunct w:val="false"/>
        <w:bidi w:val="false"/>
        <w:spacing w:lineRule="exact" w:line="520"/>
        <w:ind w:firstLine="640" w:firstLineChars="200"/>
        <w:rPr>
          <w:rFonts w:ascii="仿宋_GB2312" w:cs="仿宋_GB2312" w:eastAsia="仿宋_GB2312" w:hAnsi="仿宋_GB2312" w:hint="eastAsia"/>
          <w:b w:val="false"/>
          <w:bCs w:val="false"/>
          <w:color w:val="auto"/>
          <w:kern w:val="2"/>
          <w:sz w:val="32"/>
          <w:szCs w:val="32"/>
          <w:highlight w:val="none"/>
          <w:lang w:val="en-US" w:bidi="en-US" w:eastAsia="zh-CN"/>
        </w:rPr>
      </w:pPr>
      <w:r>
        <w:rPr>
          <w:rFonts w:ascii="楷体" w:cs="楷体" w:eastAsia="楷体" w:hAnsi="楷体" w:hint="eastAsia"/>
          <w:color w:val="auto"/>
          <w:kern w:val="2"/>
          <w:sz w:val="32"/>
          <w:szCs w:val="32"/>
          <w:highlight w:val="none"/>
          <w:lang w:val="en-US" w:bidi="en-US" w:eastAsia="zh-CN"/>
        </w:rPr>
        <w:t>（五）严格落实固体废物污染防治措施。</w:t>
      </w:r>
      <w:r>
        <w:rPr>
          <w:rFonts w:ascii="仿宋_GB2312" w:cs="仿宋_GB2312" w:eastAsia="仿宋_GB2312" w:hAnsi="仿宋_GB2312" w:hint="eastAsia"/>
          <w:b w:val="false"/>
          <w:bCs w:val="false"/>
          <w:color w:val="auto"/>
          <w:kern w:val="2"/>
          <w:sz w:val="32"/>
          <w:szCs w:val="32"/>
          <w:highlight w:val="none"/>
          <w:lang w:val="en-US" w:bidi="en-US" w:eastAsia="zh-CN"/>
        </w:rPr>
        <w:t>废土石堆存于排土场，部分用于垫路，剩余全部出售。除尘器收尘灰全部储存于石粉库，作为产品外售。废矿物油、废滤芯采用密闭耐腐蚀容器统一收集后和废油桶分类、分区暂存于标准化危废暂存间内，定期委托有资质的单位处置。生活垃圾由封闭式垃圾箱集中收集后，定期清运至当地环卫部门指定地点处置。</w:t>
      </w:r>
    </w:p>
    <w:p>
      <w:pPr>
        <w:pStyle w:val="style0"/>
        <w:keepNext w:val="false"/>
        <w:keepLines w:val="false"/>
        <w:pageBreakBefore w:val="false"/>
        <w:widowControl w:val="false"/>
        <w:numPr>
          <w:ilvl w:val="0"/>
          <w:numId w:val="0"/>
        </w:numPr>
        <w:kinsoku/>
        <w:wordWrap/>
        <w:overflowPunct/>
        <w:topLinePunct w:val="false"/>
        <w:autoSpaceDE/>
        <w:autoSpaceDN/>
        <w:bidi w:val="false"/>
        <w:adjustRightInd/>
        <w:snapToGrid/>
        <w:spacing w:lineRule="exact" w:line="520"/>
        <w:ind w:firstLine="640" w:firstLineChars="200"/>
        <w:jc w:val="both"/>
        <w:textAlignment w:val="auto"/>
        <w:rPr>
          <w:rFonts w:ascii="仿宋_GB2312" w:cs="仿宋_GB2312" w:eastAsia="仿宋_GB2312" w:hAnsi="仿宋_GB2312" w:hint="eastAsia"/>
          <w:color w:val="000000"/>
          <w:kern w:val="2"/>
          <w:sz w:val="32"/>
          <w:szCs w:val="32"/>
          <w:lang w:val="en-US" w:bidi="ar-SA" w:eastAsia="zh-CN"/>
        </w:rPr>
      </w:pPr>
      <w:r>
        <w:rPr>
          <w:rFonts w:ascii="楷体" w:cs="楷体" w:eastAsia="楷体" w:hAnsi="楷体" w:hint="eastAsia"/>
          <w:color w:val="auto"/>
          <w:kern w:val="2"/>
          <w:sz w:val="32"/>
          <w:szCs w:val="32"/>
          <w:highlight w:val="none"/>
          <w:lang w:val="en-US" w:bidi="en-US" w:eastAsia="zh-CN"/>
        </w:rPr>
        <w:t>（六）</w:t>
      </w:r>
      <w:r>
        <w:rPr>
          <w:rFonts w:ascii="楷体" w:cs="楷体" w:eastAsia="楷体" w:hAnsi="楷体" w:hint="eastAsia"/>
          <w:b w:val="false"/>
          <w:bCs w:val="false"/>
          <w:color w:val="000000"/>
          <w:sz w:val="32"/>
          <w:szCs w:val="32"/>
          <w:highlight w:val="none"/>
          <w:lang w:val="en-US" w:eastAsia="zh-CN"/>
        </w:rPr>
        <w:t>严格落实土壤和地下水污染防治措施。</w:t>
      </w:r>
      <w:r>
        <w:rPr>
          <w:rFonts w:ascii="仿宋_GB2312" w:cs="仿宋_GB2312" w:eastAsia="仿宋_GB2312" w:hAnsi="仿宋_GB2312" w:hint="eastAsia"/>
          <w:color w:val="000000"/>
          <w:kern w:val="2"/>
          <w:sz w:val="32"/>
          <w:szCs w:val="32"/>
          <w:lang w:val="en-US" w:bidi="ar-SA" w:eastAsia="zh-CN"/>
        </w:rPr>
        <w:t>严</w:t>
      </w:r>
      <w:r>
        <w:rPr>
          <w:rFonts w:ascii="仿宋_GB2312" w:cs="仿宋_GB2312" w:eastAsia="仿宋_GB2312" w:hAnsi="仿宋_GB2312" w:hint="eastAsia"/>
          <w:b w:val="false"/>
          <w:bCs w:val="false"/>
          <w:color w:val="auto"/>
          <w:kern w:val="2"/>
          <w:sz w:val="32"/>
          <w:szCs w:val="32"/>
          <w:highlight w:val="none"/>
          <w:lang w:val="en-US" w:bidi="en-US" w:eastAsia="zh-CN"/>
        </w:rPr>
        <w:t>格执行“源头控制、分区防控、污染监控、应急响应”相结合的原则。危废暂存间按照《危险废物贮存污染控制标准》（GB18597-2023）建设。所有防渗措施均满足《环境影响评价技术导则 地下水环境》（HJ610-2016）技术要求。</w:t>
      </w:r>
    </w:p>
    <w:p>
      <w:pPr>
        <w:pStyle w:val="style78"/>
        <w:keepNext w:val="false"/>
        <w:keepLines w:val="false"/>
        <w:pageBreakBefore w:val="false"/>
        <w:widowControl w:val="false"/>
        <w:numPr>
          <w:ilvl w:val="0"/>
          <w:numId w:val="0"/>
        </w:numPr>
        <w:kinsoku/>
        <w:wordWrap/>
        <w:overflowPunct/>
        <w:topLinePunct w:val="false"/>
        <w:autoSpaceDE/>
        <w:autoSpaceDN/>
        <w:bidi w:val="false"/>
        <w:adjustRightInd w:val="false"/>
        <w:snapToGrid/>
        <w:spacing w:after="0" w:lineRule="exact" w:line="520"/>
        <w:ind w:left="0" w:leftChars="0" w:firstLine="640" w:firstLineChars="200"/>
        <w:jc w:val="both"/>
        <w:textAlignment w:val="baseline"/>
        <w:rPr>
          <w:rFonts w:ascii="仿宋_GB2312" w:cs="仿宋_GB2312" w:eastAsia="仿宋_GB2312" w:hAnsi="仿宋_GB2312" w:hint="eastAsia"/>
          <w:color w:val="auto"/>
          <w:kern w:val="2"/>
          <w:sz w:val="32"/>
          <w:szCs w:val="32"/>
          <w:highlight w:val="none"/>
          <w:lang w:val="en-US" w:bidi="en-US" w:eastAsia="zh-CN"/>
        </w:rPr>
      </w:pPr>
      <w:r>
        <w:rPr>
          <w:rFonts w:ascii="楷体" w:cs="楷体" w:eastAsia="楷体" w:hAnsi="楷体" w:hint="eastAsia"/>
          <w:color w:val="auto"/>
          <w:kern w:val="2"/>
          <w:sz w:val="32"/>
          <w:szCs w:val="32"/>
          <w:highlight w:val="none"/>
          <w:lang w:val="en-US" w:bidi="en-US" w:eastAsia="zh-CN"/>
        </w:rPr>
        <w:t>（七）强化各项环境风险防范措施。</w:t>
      </w:r>
      <w:r>
        <w:rPr>
          <w:rFonts w:ascii="仿宋_GB2312" w:cs="仿宋_GB2312" w:eastAsia="仿宋_GB2312" w:hAnsi="仿宋_GB2312" w:hint="eastAsia"/>
          <w:color w:val="000000"/>
          <w:kern w:val="2"/>
          <w:sz w:val="32"/>
          <w:szCs w:val="32"/>
          <w:lang w:val="en-US" w:bidi="ar-SA" w:eastAsia="zh-CN"/>
        </w:rPr>
        <w:t>落实环保设施安全生产工作，建立环保设备设施台账和维护管理制度。按照规范要求存放风险物质；加强生产过程设备的管理与维修，防止跑、冒、滴、漏现象的发生；建立完善的环境管理制度和事故应急措施，制定切实可行的环境风险应急预案，加强对危废暂存间的管理；严格落实风险防范措施和应急预案，切实杜绝环境风险事故。</w:t>
      </w:r>
    </w:p>
    <w:p>
      <w:pPr>
        <w:pStyle w:val="style0"/>
        <w:keepNext w:val="false"/>
        <w:keepLines w:val="false"/>
        <w:pageBreakBefore w:val="false"/>
        <w:widowControl w:val="false"/>
        <w:numPr>
          <w:ilvl w:val="0"/>
          <w:numId w:val="0"/>
        </w:numPr>
        <w:kinsoku/>
        <w:wordWrap/>
        <w:overflowPunct/>
        <w:topLinePunct w:val="false"/>
        <w:autoSpaceDE w:val="false"/>
        <w:autoSpaceDN w:val="false"/>
        <w:bidi w:val="false"/>
        <w:adjustRightInd w:val="false"/>
        <w:snapToGrid w:val="false"/>
        <w:spacing w:lineRule="exact" w:line="520"/>
        <w:ind w:firstLine="640" w:firstLineChars="200"/>
        <w:jc w:val="both"/>
        <w:textAlignment w:val="auto"/>
        <w:rPr>
          <w:rFonts w:ascii="仿宋_GB2312" w:cs="仿宋_GB2312" w:eastAsia="仿宋_GB2312" w:hAnsi="仿宋_GB2312" w:hint="eastAsia"/>
          <w:color w:val="000000"/>
          <w:kern w:val="2"/>
          <w:sz w:val="32"/>
          <w:szCs w:val="32"/>
          <w:lang w:val="en-US" w:bidi="ar-SA" w:eastAsia="zh-CN"/>
        </w:rPr>
      </w:pPr>
      <w:r>
        <w:rPr>
          <w:rFonts w:ascii="楷体" w:cs="楷体" w:eastAsia="楷体" w:hAnsi="楷体" w:hint="eastAsia"/>
          <w:color w:val="auto"/>
          <w:kern w:val="2"/>
          <w:sz w:val="32"/>
          <w:szCs w:val="32"/>
          <w:highlight w:val="none"/>
          <w:lang w:val="en-US" w:bidi="en-US" w:eastAsia="zh-CN"/>
        </w:rPr>
        <w:t>（八）</w:t>
      </w:r>
      <w:r>
        <w:rPr>
          <w:rFonts w:ascii="楷体" w:cs="楷体" w:eastAsia="楷体" w:hAnsi="楷体" w:hint="eastAsia"/>
          <w:color w:val="auto"/>
          <w:sz w:val="32"/>
          <w:szCs w:val="32"/>
          <w:highlight w:val="none"/>
          <w:lang w:bidi="en-US"/>
        </w:rPr>
        <w:t>严格落实运营期污染源监测计划。</w:t>
      </w:r>
      <w:r>
        <w:rPr>
          <w:rFonts w:ascii="仿宋_GB2312" w:cs="仿宋_GB2312" w:eastAsia="仿宋_GB2312" w:hAnsi="仿宋_GB2312" w:hint="eastAsia"/>
          <w:color w:val="000000"/>
          <w:kern w:val="2"/>
          <w:sz w:val="32"/>
          <w:szCs w:val="32"/>
          <w:lang w:val="en-US" w:bidi="ar-SA" w:eastAsia="zh-CN"/>
        </w:rPr>
        <w:t>按照国家和地方有关规定设置规范的污染物排放口，并设立标志牌。按照相关标准、规范等要求，落实《报告书》提出的环境管理及监测计划。强化污染源与无组织排放源管理，制定自行监测方案，落实环境管理与监测计划，按规定开展自行监测和信息公开。各排气筒应按照规范要求预留永久性监测口和采样监测平台。如出现污染物超标排放情况，应立即查明原因并采取进一步污染物减排措施。</w:t>
      </w:r>
    </w:p>
    <w:p>
      <w:pPr>
        <w:pStyle w:val="style0"/>
        <w:keepNext w:val="false"/>
        <w:keepLines w:val="false"/>
        <w:pageBreakBefore w:val="false"/>
        <w:widowControl w:val="false"/>
        <w:numPr>
          <w:ilvl w:val="0"/>
          <w:numId w:val="0"/>
        </w:numPr>
        <w:kinsoku/>
        <w:wordWrap/>
        <w:overflowPunct/>
        <w:topLinePunct w:val="false"/>
        <w:autoSpaceDE w:val="false"/>
        <w:autoSpaceDN w:val="false"/>
        <w:bidi w:val="false"/>
        <w:adjustRightInd w:val="false"/>
        <w:snapToGrid w:val="false"/>
        <w:spacing w:lineRule="exact" w:line="520"/>
        <w:ind w:firstLine="640" w:firstLineChars="200"/>
        <w:jc w:val="both"/>
        <w:textAlignment w:val="auto"/>
        <w:rPr>
          <w:rFonts w:ascii="仿宋_GB2312" w:cs="仿宋_GB2312" w:eastAsia="仿宋_GB2312" w:hAnsi="仿宋_GB2312" w:hint="eastAsia"/>
          <w:color w:val="auto"/>
          <w:sz w:val="32"/>
          <w:szCs w:val="32"/>
          <w:lang w:bidi="en-US"/>
        </w:rPr>
      </w:pPr>
      <w:r>
        <w:rPr>
          <w:rFonts w:ascii="仿宋_GB2312" w:cs="仿宋_GB2312" w:eastAsia="仿宋_GB2312" w:hAnsi="仿宋_GB2312" w:hint="eastAsia"/>
          <w:color w:val="auto"/>
          <w:kern w:val="2"/>
          <w:sz w:val="32"/>
          <w:szCs w:val="32"/>
          <w:highlight w:val="none"/>
          <w:lang w:val="en-US" w:bidi="ar-SA" w:eastAsia="zh-CN"/>
        </w:rPr>
        <w:t>三、项</w:t>
      </w:r>
      <w:r>
        <w:rPr>
          <w:rFonts w:ascii="仿宋_GB2312" w:cs="仿宋_GB2312" w:eastAsia="仿宋_GB2312" w:hAnsi="仿宋_GB2312" w:hint="eastAsia"/>
          <w:color w:val="auto"/>
          <w:sz w:val="32"/>
          <w:szCs w:val="32"/>
          <w:lang w:bidi="en-US"/>
        </w:rPr>
        <w:t>目建设必须严格执行配套的环境保护设施与主体工程同时设计、同时施工、同时投产使用的环境保护“三同时”制度。严格落实污染防治措施设计要求。应将优化和细化后的各项污染防治措施及概算纳入设计以及施工等招标文件及合同，并明确责任。按规定程序实施竣工环境保护验收。</w:t>
      </w:r>
    </w:p>
    <w:p>
      <w:pPr>
        <w:pStyle w:val="style0"/>
        <w:keepNext w:val="false"/>
        <w:keepLines w:val="false"/>
        <w:pageBreakBefore w:val="false"/>
        <w:widowControl w:val="false"/>
        <w:kinsoku/>
        <w:wordWrap/>
        <w:overflowPunct/>
        <w:topLinePunct w:val="false"/>
        <w:autoSpaceDE w:val="false"/>
        <w:autoSpaceDN w:val="false"/>
        <w:bidi w:val="false"/>
        <w:adjustRightInd w:val="false"/>
        <w:snapToGrid w:val="false"/>
        <w:spacing w:lineRule="exact" w:line="520"/>
        <w:ind w:firstLine="640" w:firstLineChars="200"/>
        <w:jc w:val="both"/>
        <w:textAlignment w:val="auto"/>
        <w:rPr>
          <w:rFonts w:ascii="仿宋_GB2312" w:cs="仿宋_GB2312" w:eastAsia="仿宋_GB2312" w:hAnsi="仿宋_GB2312" w:hint="eastAsia"/>
          <w:color w:val="auto"/>
          <w:sz w:val="32"/>
          <w:szCs w:val="32"/>
          <w:lang w:bidi="en-US"/>
        </w:rPr>
      </w:pPr>
      <w:r>
        <w:rPr>
          <w:rFonts w:ascii="仿宋_GB2312" w:cs="仿宋_GB2312" w:eastAsia="仿宋_GB2312" w:hAnsi="仿宋_GB2312" w:hint="eastAsia"/>
          <w:color w:val="auto"/>
          <w:kern w:val="2"/>
          <w:sz w:val="32"/>
          <w:szCs w:val="32"/>
          <w:highlight w:val="none"/>
          <w:lang w:val="en-US" w:bidi="ar-SA" w:eastAsia="zh-CN"/>
        </w:rPr>
        <w:t>四、我局</w:t>
      </w:r>
      <w:r>
        <w:rPr>
          <w:rFonts w:ascii="仿宋_GB2312" w:cs="仿宋_GB2312" w:eastAsia="仿宋_GB2312" w:hAnsi="仿宋_GB2312" w:hint="eastAsia"/>
          <w:color w:val="auto"/>
          <w:sz w:val="32"/>
          <w:szCs w:val="32"/>
          <w:lang w:bidi="en-US"/>
        </w:rPr>
        <w:t>委托锡林郭勒盟生态环境局</w:t>
      </w:r>
      <w:r>
        <w:rPr>
          <w:rFonts w:ascii="仿宋_GB2312" w:cs="仿宋_GB2312" w:eastAsia="仿宋_GB2312" w:hAnsi="仿宋_GB2312" w:hint="eastAsia"/>
          <w:color w:val="auto"/>
          <w:sz w:val="32"/>
          <w:szCs w:val="32"/>
          <w:lang w:bidi="en-US" w:eastAsia="zh-CN"/>
        </w:rPr>
        <w:t>镶黄旗分局</w:t>
      </w:r>
      <w:r>
        <w:rPr>
          <w:rFonts w:ascii="仿宋_GB2312" w:cs="仿宋_GB2312" w:eastAsia="仿宋_GB2312" w:hAnsi="仿宋_GB2312" w:hint="eastAsia"/>
          <w:color w:val="auto"/>
          <w:sz w:val="32"/>
          <w:szCs w:val="32"/>
          <w:lang w:bidi="en-US"/>
        </w:rPr>
        <w:t>对该项目各项污染防治措施落实情况进行监督检查和管理。</w:t>
      </w:r>
    </w:p>
    <w:p>
      <w:pPr>
        <w:pStyle w:val="style0"/>
        <w:rPr>
          <w:rFonts w:hint="eastAsia"/>
          <w:color w:val="auto"/>
        </w:rPr>
      </w:pPr>
    </w:p>
    <w:p>
      <w:pPr>
        <w:pStyle w:val="style0"/>
        <w:rPr>
          <w:rFonts w:hint="eastAsia"/>
          <w:color w:val="auto"/>
        </w:rPr>
      </w:pPr>
    </w:p>
    <w:p>
      <w:pPr>
        <w:pStyle w:val="style0"/>
        <w:keepNext w:val="false"/>
        <w:keepLines w:val="false"/>
        <w:pageBreakBefore w:val="false"/>
        <w:widowControl w:val="false"/>
        <w:kinsoku/>
        <w:wordWrap/>
        <w:overflowPunct/>
        <w:autoSpaceDE w:val="false"/>
        <w:autoSpaceDN w:val="false"/>
        <w:bidi w:val="false"/>
        <w:adjustRightInd w:val="false"/>
        <w:snapToGrid w:val="false"/>
        <w:spacing w:lineRule="exact" w:line="560"/>
        <w:ind w:firstLine="4160" w:firstLineChars="1300"/>
        <w:textAlignment w:val="auto"/>
        <w:rPr>
          <w:rFonts w:ascii="仿宋_GB2312" w:cs="仿宋_GB2312" w:eastAsia="仿宋_GB2312" w:hAnsi="仿宋_GB2312" w:hint="eastAsia"/>
          <w:color w:val="auto"/>
          <w:sz w:val="32"/>
          <w:szCs w:val="32"/>
          <w:highlight w:val="none"/>
          <w:lang w:bidi="en-US"/>
        </w:rPr>
      </w:pPr>
      <w:r>
        <w:rPr>
          <w:rFonts w:ascii="仿宋_GB2312" w:cs="仿宋_GB2312" w:eastAsia="仿宋_GB2312" w:hAnsi="仿宋_GB2312" w:hint="eastAsia"/>
          <w:color w:val="auto"/>
          <w:sz w:val="32"/>
          <w:szCs w:val="32"/>
          <w:lang w:bidi="en-US"/>
        </w:rPr>
        <w:t>锡林</w:t>
      </w:r>
      <w:r>
        <w:rPr>
          <w:rFonts w:ascii="仿宋_GB2312" w:cs="仿宋_GB2312" w:eastAsia="仿宋_GB2312" w:hAnsi="仿宋_GB2312" w:hint="eastAsia"/>
          <w:color w:val="auto"/>
          <w:sz w:val="32"/>
          <w:szCs w:val="32"/>
          <w:highlight w:val="none"/>
          <w:lang w:bidi="en-US"/>
        </w:rPr>
        <w:t>郭勒盟生态环境局</w:t>
      </w:r>
    </w:p>
    <w:p>
      <w:pPr>
        <w:pStyle w:val="style0"/>
        <w:keepNext w:val="false"/>
        <w:keepLines w:val="false"/>
        <w:pageBreakBefore w:val="false"/>
        <w:widowControl w:val="false"/>
        <w:kinsoku/>
        <w:wordWrap/>
        <w:overflowPunct/>
        <w:autoSpaceDE w:val="false"/>
        <w:autoSpaceDN w:val="false"/>
        <w:bidi w:val="false"/>
        <w:adjustRightInd w:val="false"/>
        <w:snapToGrid w:val="false"/>
        <w:spacing w:lineRule="exact" w:line="560"/>
        <w:ind w:firstLine="4800" w:firstLineChars="1500"/>
        <w:textAlignment w:val="auto"/>
        <w:rPr>
          <w:rFonts w:ascii="仿宋_GB2312" w:cs="仿宋_GB2312" w:eastAsia="仿宋_GB2312" w:hAnsi="仿宋_GB2312" w:hint="eastAsia"/>
          <w:color w:val="000000"/>
          <w:sz w:val="32"/>
          <w:szCs w:val="32"/>
          <w:highlight w:val="none"/>
          <w:lang w:bidi="en-US"/>
        </w:rPr>
      </w:pPr>
      <w:r>
        <w:rPr>
          <w:rFonts w:ascii="仿宋_GB2312" w:cs="仿宋_GB2312" w:eastAsia="仿宋_GB2312" w:hAnsi="仿宋_GB2312" w:hint="eastAsia"/>
          <w:color w:val="000000"/>
          <w:sz w:val="32"/>
          <w:szCs w:val="32"/>
          <w:highlight w:val="none"/>
          <w:lang w:bidi="en-US"/>
        </w:rPr>
        <w:t>202</w:t>
      </w:r>
      <w:r>
        <w:rPr>
          <w:rFonts w:ascii="仿宋_GB2312" w:cs="仿宋_GB2312" w:eastAsia="仿宋_GB2312" w:hAnsi="仿宋_GB2312" w:hint="eastAsia"/>
          <w:color w:val="000000"/>
          <w:sz w:val="32"/>
          <w:szCs w:val="32"/>
          <w:highlight w:val="none"/>
          <w:lang w:val="en-US" w:bidi="en-US" w:eastAsia="zh-CN"/>
        </w:rPr>
        <w:t>5</w:t>
      </w:r>
      <w:r>
        <w:rPr>
          <w:rFonts w:ascii="仿宋_GB2312" w:cs="仿宋_GB2312" w:eastAsia="仿宋_GB2312" w:hAnsi="仿宋_GB2312" w:hint="eastAsia"/>
          <w:color w:val="000000"/>
          <w:sz w:val="32"/>
          <w:szCs w:val="32"/>
          <w:highlight w:val="none"/>
          <w:lang w:bidi="en-US"/>
        </w:rPr>
        <w:t>年</w:t>
      </w:r>
      <w:r>
        <w:rPr>
          <w:rFonts w:ascii="仿宋_GB2312" w:cs="仿宋_GB2312" w:eastAsia="仿宋_GB2312" w:hAnsi="仿宋_GB2312" w:hint="eastAsia"/>
          <w:color w:val="000000"/>
          <w:sz w:val="32"/>
          <w:szCs w:val="32"/>
          <w:highlight w:val="none"/>
          <w:lang w:val="en-US" w:bidi="en-US" w:eastAsia="zh-CN"/>
        </w:rPr>
        <w:t>12</w:t>
      </w:r>
      <w:r>
        <w:rPr>
          <w:rFonts w:ascii="仿宋_GB2312" w:cs="仿宋_GB2312" w:eastAsia="仿宋_GB2312" w:hAnsi="仿宋_GB2312" w:hint="eastAsia"/>
          <w:color w:val="000000"/>
          <w:sz w:val="32"/>
          <w:szCs w:val="32"/>
          <w:highlight w:val="none"/>
          <w:lang w:bidi="en-US"/>
        </w:rPr>
        <w:t>月</w:t>
      </w:r>
      <w:r>
        <w:rPr>
          <w:rFonts w:ascii="仿宋_GB2312" w:cs="仿宋_GB2312" w:eastAsia="仿宋_GB2312" w:hAnsi="仿宋_GB2312" w:hint="eastAsia"/>
          <w:color w:val="000000"/>
          <w:sz w:val="32"/>
          <w:szCs w:val="32"/>
          <w:highlight w:val="none"/>
          <w:lang w:val="en-US" w:bidi="en-US" w:eastAsia="zh-CN"/>
        </w:rPr>
        <w:t>4</w:t>
      </w:r>
      <w:r>
        <w:rPr>
          <w:rFonts w:ascii="仿宋_GB2312" w:cs="仿宋_GB2312" w:eastAsia="仿宋_GB2312" w:hAnsi="仿宋_GB2312" w:hint="eastAsia"/>
          <w:color w:val="000000"/>
          <w:sz w:val="32"/>
          <w:szCs w:val="32"/>
          <w:highlight w:val="none"/>
          <w:lang w:bidi="en-US"/>
        </w:rPr>
        <w:t>日</w:t>
      </w:r>
    </w:p>
    <w:p>
      <w:pPr>
        <w:pStyle w:val="style0"/>
        <w:keepNext w:val="false"/>
        <w:keepLines w:val="false"/>
        <w:pageBreakBefore w:val="false"/>
        <w:widowControl w:val="false"/>
        <w:kinsoku/>
        <w:wordWrap/>
        <w:overflowPunct/>
        <w:autoSpaceDE w:val="false"/>
        <w:autoSpaceDN w:val="false"/>
        <w:bidi w:val="false"/>
        <w:adjustRightInd w:val="false"/>
        <w:snapToGrid w:val="false"/>
        <w:spacing w:lineRule="exact" w:line="560"/>
        <w:ind w:firstLine="4800" w:firstLineChars="1500"/>
        <w:textAlignment w:val="auto"/>
        <w:rPr>
          <w:rFonts w:ascii="仿宋_GB2312" w:cs="仿宋_GB2312" w:eastAsia="仿宋_GB2312" w:hAnsi="仿宋_GB2312" w:hint="eastAsia"/>
          <w:color w:val="000000"/>
          <w:sz w:val="32"/>
          <w:szCs w:val="32"/>
          <w:highlight w:val="none"/>
          <w:lang w:bidi="en-US"/>
        </w:rPr>
      </w:pPr>
    </w:p>
    <w:p>
      <w:pPr>
        <w:pStyle w:val="style4098"/>
        <w:keepNext w:val="false"/>
        <w:keepLines w:val="false"/>
        <w:pageBreakBefore w:val="false"/>
        <w:widowControl w:val="false"/>
        <w:kinsoku/>
        <w:wordWrap/>
        <w:overflowPunct/>
        <w:topLinePunct w:val="false"/>
        <w:bidi w:val="false"/>
        <w:snapToGrid/>
        <w:spacing w:lineRule="exact" w:line="500"/>
        <w:jc w:val="both"/>
        <w:textAlignment w:val="auto"/>
        <w:rPr>
          <w:rFonts w:ascii="仿宋" w:cs="仿宋" w:eastAsia="仿宋" w:hAnsi="仿宋" w:hint="eastAsia"/>
          <w:color w:val="auto"/>
          <w:kern w:val="2"/>
          <w:sz w:val="28"/>
          <w:szCs w:val="28"/>
          <w:highlight w:val="none"/>
          <w:lang w:bidi="en-US" w:eastAsia="zh-CN"/>
        </w:rPr>
      </w:pPr>
      <w:r>
        <w:rPr>
          <w:rFonts w:ascii="仿宋" w:cs="仿宋" w:eastAsia="仿宋" w:hAnsi="仿宋" w:hint="eastAsia"/>
          <w:color w:val="auto"/>
          <w:kern w:val="2"/>
          <w:sz w:val="28"/>
          <w:szCs w:val="28"/>
          <w:highlight w:val="none"/>
          <w:lang w:bidi="en-US"/>
        </w:rPr>
        <w:t>抄送：盟生态环境综合行政执法支队</w:t>
      </w:r>
      <w:r>
        <w:rPr>
          <w:rFonts w:ascii="仿宋" w:cs="仿宋" w:eastAsia="仿宋" w:hAnsi="仿宋" w:hint="eastAsia"/>
          <w:color w:val="auto"/>
          <w:kern w:val="2"/>
          <w:sz w:val="28"/>
          <w:szCs w:val="28"/>
          <w:highlight w:val="none"/>
          <w:lang w:bidi="en-US" w:eastAsia="zh-CN"/>
        </w:rPr>
        <w:t>，</w:t>
      </w:r>
      <w:r>
        <w:rPr>
          <w:rFonts w:ascii="仿宋" w:cs="仿宋" w:eastAsia="仿宋" w:hAnsi="仿宋" w:hint="eastAsia"/>
          <w:color w:val="auto"/>
          <w:kern w:val="2"/>
          <w:sz w:val="28"/>
          <w:szCs w:val="28"/>
          <w:highlight w:val="none"/>
          <w:lang w:bidi="en-US"/>
        </w:rPr>
        <w:t>盟生态环</w:t>
      </w:r>
      <w:r>
        <w:rPr>
          <w:rFonts w:ascii="仿宋" w:cs="仿宋" w:eastAsia="仿宋" w:hAnsi="仿宋" w:hint="eastAsia"/>
          <w:color w:val="000000"/>
          <w:kern w:val="2"/>
          <w:sz w:val="28"/>
          <w:szCs w:val="28"/>
          <w:highlight w:val="none"/>
          <w:lang w:bidi="en-US"/>
        </w:rPr>
        <w:t>境局</w:t>
      </w:r>
      <w:r>
        <w:rPr>
          <w:rFonts w:ascii="仿宋" w:cs="仿宋" w:eastAsia="仿宋" w:hAnsi="仿宋" w:hint="eastAsia"/>
          <w:color w:val="000000"/>
          <w:kern w:val="2"/>
          <w:sz w:val="28"/>
          <w:szCs w:val="28"/>
          <w:highlight w:val="none"/>
          <w:lang w:bidi="en-US" w:eastAsia="zh-CN"/>
        </w:rPr>
        <w:t>镶黄旗分</w:t>
      </w:r>
      <w:r>
        <w:rPr>
          <w:rFonts w:ascii="仿宋" w:cs="仿宋" w:eastAsia="仿宋" w:hAnsi="仿宋" w:hint="eastAsia"/>
          <w:color w:val="auto"/>
          <w:kern w:val="2"/>
          <w:sz w:val="28"/>
          <w:szCs w:val="28"/>
          <w:highlight w:val="none"/>
          <w:lang w:bidi="en-US" w:eastAsia="zh-CN"/>
        </w:rPr>
        <w:t>局。</w:t>
      </w:r>
    </w:p>
    <w:p>
      <w:pPr>
        <w:pStyle w:val="style0"/>
        <w:keepNext w:val="false"/>
        <w:keepLines w:val="false"/>
        <w:pageBreakBefore w:val="false"/>
        <w:widowControl w:val="false"/>
        <w:pBdr>
          <w:left w:val="none" w:sz="0" w:space="4" w:color="auto"/>
          <w:right w:val="none" w:sz="0" w:space="4" w:color="auto"/>
          <w:top w:val="single" w:sz="4" w:space="1" w:color="auto"/>
          <w:bottom w:val="single" w:sz="4" w:space="1" w:color="auto"/>
        </w:pBdr>
        <w:kinsoku/>
        <w:wordWrap/>
        <w:overflowPunct/>
        <w:topLinePunct w:val="false"/>
        <w:bidi w:val="false"/>
        <w:snapToGrid/>
        <w:spacing w:lineRule="exact" w:line="500"/>
        <w:textAlignment w:val="auto"/>
        <w:rPr>
          <w:rFonts w:ascii="仿宋" w:cs="仿宋" w:eastAsia="仿宋" w:hAnsi="仿宋" w:hint="eastAsia"/>
          <w:color w:val="auto"/>
          <w:sz w:val="28"/>
          <w:szCs w:val="28"/>
          <w:highlight w:val="none"/>
        </w:rPr>
      </w:pPr>
      <w:r>
        <w:rPr>
          <w:rFonts w:ascii="仿宋" w:cs="仿宋" w:eastAsia="仿宋" w:hAnsi="仿宋" w:hint="eastAsia"/>
          <w:color w:val="auto"/>
          <w:sz w:val="28"/>
          <w:szCs w:val="28"/>
          <w:highlight w:val="none"/>
          <w:lang w:val="en-US" w:eastAsia="zh-CN"/>
        </w:rPr>
        <w:t xml:space="preserve">  </w:t>
      </w:r>
      <w:r>
        <w:rPr>
          <w:rFonts w:ascii="仿宋" w:cs="仿宋" w:eastAsia="仿宋" w:hAnsi="仿宋" w:hint="eastAsia"/>
          <w:color w:val="auto"/>
          <w:sz w:val="28"/>
          <w:szCs w:val="28"/>
          <w:highlight w:val="none"/>
        </w:rPr>
        <w:t xml:space="preserve">锡林郭勒盟生态环境局办公室    </w:t>
      </w:r>
      <w:r>
        <w:rPr>
          <w:rFonts w:ascii="仿宋" w:cs="仿宋" w:eastAsia="仿宋" w:hAnsi="仿宋" w:hint="eastAsia"/>
          <w:color w:val="000000"/>
          <w:sz w:val="28"/>
          <w:szCs w:val="28"/>
          <w:highlight w:val="none"/>
        </w:rPr>
        <w:t xml:space="preserve">     202</w:t>
      </w:r>
      <w:r>
        <w:rPr>
          <w:rFonts w:ascii="仿宋" w:cs="仿宋" w:eastAsia="仿宋" w:hAnsi="仿宋" w:hint="eastAsia"/>
          <w:color w:val="000000"/>
          <w:sz w:val="28"/>
          <w:szCs w:val="28"/>
          <w:highlight w:val="none"/>
          <w:lang w:val="en-US" w:eastAsia="zh-CN"/>
        </w:rPr>
        <w:t>5</w:t>
      </w:r>
      <w:r>
        <w:rPr>
          <w:rFonts w:ascii="仿宋" w:cs="仿宋" w:eastAsia="仿宋" w:hAnsi="仿宋" w:hint="eastAsia"/>
          <w:color w:val="000000"/>
          <w:sz w:val="28"/>
          <w:szCs w:val="28"/>
          <w:highlight w:val="none"/>
        </w:rPr>
        <w:t>年</w:t>
      </w:r>
      <w:r>
        <w:rPr>
          <w:rFonts w:ascii="仿宋" w:cs="仿宋" w:eastAsia="仿宋" w:hAnsi="仿宋" w:hint="eastAsia"/>
          <w:color w:val="000000"/>
          <w:sz w:val="28"/>
          <w:szCs w:val="28"/>
          <w:highlight w:val="none"/>
          <w:lang w:val="en-US" w:eastAsia="zh-CN"/>
        </w:rPr>
        <w:t>12</w:t>
      </w:r>
      <w:r>
        <w:rPr>
          <w:rFonts w:ascii="仿宋" w:cs="仿宋" w:eastAsia="仿宋" w:hAnsi="仿宋" w:hint="eastAsia"/>
          <w:color w:val="000000"/>
          <w:sz w:val="28"/>
          <w:szCs w:val="28"/>
          <w:highlight w:val="none"/>
        </w:rPr>
        <w:t>月</w:t>
      </w:r>
      <w:r>
        <w:rPr>
          <w:rFonts w:ascii="仿宋" w:cs="仿宋" w:eastAsia="仿宋" w:hAnsi="仿宋" w:hint="eastAsia"/>
          <w:color w:val="000000"/>
          <w:sz w:val="28"/>
          <w:szCs w:val="28"/>
          <w:highlight w:val="none"/>
          <w:lang w:val="en-US" w:eastAsia="zh-CN"/>
        </w:rPr>
        <w:t>4</w:t>
      </w:r>
      <w:r>
        <w:rPr>
          <w:rFonts w:ascii="仿宋" w:cs="仿宋" w:eastAsia="仿宋" w:hAnsi="仿宋" w:hint="eastAsia"/>
          <w:color w:val="000000"/>
          <w:sz w:val="28"/>
          <w:szCs w:val="28"/>
          <w:highlight w:val="none"/>
        </w:rPr>
        <w:t>日印</w:t>
      </w:r>
      <w:r>
        <w:rPr>
          <w:rFonts w:ascii="仿宋" w:cs="仿宋" w:eastAsia="仿宋" w:hAnsi="仿宋" w:hint="eastAsia"/>
          <w:color w:val="auto"/>
          <w:sz w:val="28"/>
          <w:szCs w:val="28"/>
          <w:highlight w:val="none"/>
        </w:rPr>
        <w:t>发</w:t>
      </w:r>
    </w:p>
    <w:sectPr>
      <w:footerReference w:type="default" r:id="rId2"/>
      <w:pgSz w:w="11906" w:h="16838" w:orient="portrait"/>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0020304"/>
    <w:charset w:val="86"/>
    <w:family w:val="roman"/>
    <w:pitch w:val="default"/>
    <w:sig w:usb0="E0002AFF" w:usb1="C0007841" w:usb2="00000009" w:usb3="00000000" w:csb0="400001FF" w:csb1="FFFF0000"/>
  </w:font>
  <w:font w:name="宋体">
    <w:altName w:val="宋体"/>
    <w:panose1 w:val="02010600030000010101"/>
    <w:charset w:val="88"/>
    <w:family w:val="auto"/>
    <w:pitch w:val="default"/>
    <w:sig w:usb0="00000003" w:usb1="288F0000" w:usb2="00000006" w:usb3="00000000" w:csb0="00040001" w:csb1="00000000"/>
  </w:font>
  <w:font w:name="Wingdings">
    <w:altName w:val="Wingdings"/>
    <w:panose1 w:val="05000000000000000000"/>
    <w:charset w:val="02"/>
    <w:family w:val="auto"/>
    <w:pitch w:val="default"/>
    <w:sig w:usb0="00000000" w:usb1="00000000" w:usb2="00000000" w:usb3="00000000" w:csb0="80000000" w:csb1="00000000"/>
  </w:font>
  <w:font w:name="Arial">
    <w:altName w:val="Arial"/>
    <w:panose1 w:val="020b0604020000020204"/>
    <w:charset w:val="01"/>
    <w:family w:val="swiss"/>
    <w:pitch w:val="default"/>
    <w:sig w:usb0="E0002AFF" w:usb1="C0007843" w:usb2="00000009" w:usb3="00000000" w:csb0="400001FF" w:csb1="FFFF0000"/>
  </w:font>
  <w:font w:name="黑体">
    <w:altName w:val="黑体"/>
    <w:panose1 w:val="02010609060000010101"/>
    <w:charset w:val="86"/>
    <w:family w:val="auto"/>
    <w:pitch w:val="default"/>
    <w:sig w:usb0="800002BF" w:usb1="38CF7CFA" w:usb2="00000016" w:usb3="00000000" w:csb0="00040001" w:csb1="00000000"/>
  </w:font>
  <w:font w:name="Courier New">
    <w:altName w:val="Courier New"/>
    <w:panose1 w:val="02070309020000020404"/>
    <w:charset w:val="01"/>
    <w:family w:val="modern"/>
    <w:pitch w:val="default"/>
    <w:sig w:usb0="E0002AFF" w:usb1="C0007843" w:usb2="00000009" w:usb3="00000000" w:csb0="400001FF" w:csb1="FFFF0000"/>
  </w:font>
  <w:font w:name="Symbol">
    <w:altName w:val="Symbol"/>
    <w:panose1 w:val="05050102010000020507"/>
    <w:charset w:val="02"/>
    <w:family w:val="roman"/>
    <w:pitch w:val="default"/>
    <w:sig w:usb0="00000000" w:usb1="00000000" w:usb2="00000000" w:usb3="00000000" w:csb0="80000000" w:csb1="00000000"/>
  </w:font>
  <w:font w:name="Calibri">
    <w:altName w:val="Calibri"/>
    <w:panose1 w:val="020f0502020000030204"/>
    <w:charset w:val="00"/>
    <w:family w:val="swiss"/>
    <w:pitch w:val="default"/>
    <w:sig w:usb0="E00002FF" w:usb1="4000ACFF" w:usb2="00000001" w:usb3="00000000" w:csb0="2000019F" w:csb1="00000000"/>
  </w:font>
  <w:font w:name="等线">
    <w:altName w:val="宋体"/>
    <w:panose1 w:val="02010600030000010101"/>
    <w:charset w:val="86"/>
    <w:family w:val="auto"/>
    <w:pitch w:val="default"/>
    <w:sig w:usb0="00000000" w:usb1="00000000" w:usb2="00000016" w:usb3="00000000" w:csb0="0004000F" w:csb1="00000000"/>
  </w:font>
  <w:font w:name="仿宋_GB2312">
    <w:altName w:val="仿宋_GB2312"/>
    <w:panose1 w:val="02010609030000010101"/>
    <w:charset w:val="86"/>
    <w:family w:val="modern"/>
    <w:pitch w:val="default"/>
    <w:sig w:usb0="00000001" w:usb1="080E0000" w:usb2="00000000" w:usb3="00000000" w:csb0="00040000" w:csb1="00000000"/>
  </w:font>
  <w:font w:name="方正小标宋简体">
    <w:altName w:val="方正小标宋简体"/>
    <w:panose1 w:val="03000509000000000000"/>
    <w:charset w:val="86"/>
    <w:family w:val="auto"/>
    <w:pitch w:val="default"/>
    <w:sig w:usb0="00000001" w:usb1="080E0000" w:usb2="00000000" w:usb3="00000000" w:csb0="00040000" w:csb1="00000000"/>
  </w:font>
  <w:font w:name="楷体">
    <w:altName w:val="楷体"/>
    <w:panose1 w:val="02010609060000010101"/>
    <w:charset w:val="86"/>
    <w:family w:val="auto"/>
    <w:pitch w:val="default"/>
    <w:sig w:usb0="800002BF" w:usb1="38CF7CFA" w:usb2="00000016" w:usb3="00000000" w:csb0="00040001" w:csb1="00000000"/>
  </w:font>
  <w:font w:name="仿宋">
    <w:altName w:val="仿宋"/>
    <w:panose1 w:val="02010609060000010101"/>
    <w:charset w:val="86"/>
    <w:family w:val="modern"/>
    <w:pitch w:val="default"/>
    <w:sig w:usb0="800002BF" w:usb1="38CF7CFA" w:usb2="00000016" w:usb3="00000000" w:csb0="00040001" w:csb1="00000000"/>
  </w:font>
  <w:font w:name="Arial Unicode MS">
    <w:altName w:val="Arial Unicode MS"/>
    <w:panose1 w:val="020b0604020000020204"/>
    <w:charset w:val="86"/>
    <w:family w:val="auto"/>
    <w:pitch w:val="default"/>
    <w:sig w:usb0="FFFFFFFF" w:usb1="E9FFFFFF" w:usb2="0000003F" w:usb3="00000000" w:csb0="603F01FF" w:csb1="FFFF0000"/>
  </w:font>
  <w:font w:name="微软雅黑">
    <w:altName w:val="微软雅黑"/>
    <w:panose1 w:val="020b0503020000020204"/>
    <w:charset w:val="86"/>
    <w:family w:val="auto"/>
    <w:pitch w:val="default"/>
    <w:sig w:usb0="80000287" w:usb1="280F3C52" w:usb2="00000016" w:usb3="00000000" w:csb0="0004001F" w:csb1="00000000"/>
  </w:font>
  <w:font w:name="Tahoma">
    <w:altName w:val="Tahoma"/>
    <w:panose1 w:val="020b0604030000040204"/>
    <w:charset w:val="00"/>
    <w:family w:val="auto"/>
    <w:pitch w:val="default"/>
    <w:sig w:usb0="E1002EFF" w:usb1="C000605B" w:usb2="00000029" w:usb3="00000000" w:csb0="200101FF" w:csb1="20280000"/>
  </w:font>
</w:fonts>
</file>

<file path=word/footer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2"/>
      <w:rPr/>
    </w:pPr>
    <w:r>
      <w:rPr/>
      <mc:AlternateContent>
        <mc:Choice Requires="wps">
          <w:drawing>
            <wp:anchor distT="0" distB="0" distL="0" distR="0" simplePos="false" relativeHeight="2" behindDoc="false" locked="false" layoutInCell="true" allowOverlap="true">
              <wp:simplePos x="0" y="0"/>
              <wp:positionH relativeFrom="margin">
                <wp:align>center</wp:align>
              </wp:positionH>
              <wp:positionV relativeFrom="paragraph">
                <wp:posOffset>0</wp:posOffset>
              </wp:positionV>
              <wp:extent cx="1828800" cy="1828800"/>
              <wp:effectExtent l="0" t="0" r="0" b="0"/>
              <wp:wrapNone/>
              <wp:docPr id="4097" name="文本框 1"/>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828800" cy="1828800"/>
                      </a:xfrm>
                      <a:prstGeom prst="rect"/>
                      <a:ln>
                        <a:noFill/>
                      </a:ln>
                    </wps:spPr>
                    <wps:txbx id="4097">
                      <w:txbxContent>
                        <w:p>
                          <w:pPr>
                            <w:pStyle w:val="style32"/>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wps:txbx>
                    <wps:bodyPr lIns="0" rIns="0" tIns="0" bIns="0" vert="horz" anchor="t" wrap="none">
                      <a:prstTxWarp prst="textNoShape"/>
                      <a:spAutoFit/>
                    </wps:bodyPr>
                  </wps:wsp>
                </a:graphicData>
              </a:graphic>
            </wp:anchor>
          </w:drawing>
        </mc:Choice>
        <mc:Fallback>
          <w:pict>
            <v:rect id="4097" filled="f" stroked="f" style="position:absolute;margin-left:0.0pt;margin-top:0.0pt;width:144.0pt;height:144.0pt;z-index:2;mso-position-horizontal:center;mso-position-horizontal-relative:margin;mso-position-vertical-relative:text;mso-width-relative:page;mso-height-relative:page;mso-wrap-distance-left:0.0pt;mso-wrap-distance-right:0.0pt;visibility:visible;mso-wrap-style:none;">
              <v:stroke on="f"/>
              <v:fill/>
              <v:textbox inset="0.0pt,0.0pt,0.0pt,0.0pt" style="mso-fit-shape-to-text:true;">
                <w:txbxContent>
                  <w:p>
                    <w:pPr>
                      <w:pStyle w:val="style32"/>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singleLevel"/>
    <w:tmpl w:val="F67C4798"/>
    <w:lvl w:ilvl="0">
      <w:start w:val="1"/>
      <w:numFmt w:val="chineseCounting"/>
      <w:suff w:val="nothing"/>
      <w:lvlText w:val="%1、"/>
      <w:lvlJc w:val="left"/>
      <w:pPr/>
      <w:rPr>
        <w:rFonts w:hint="eastAsia"/>
      </w:rPr>
    </w:lvl>
  </w:abstractNum>
  <w:num w:numId="1">
    <w:abstractNumId w:val="0"/>
  </w:num>
</w:numbering>
</file>

<file path=word/settings.xml><?xml version="1.0" encoding="utf-8"?>
<w:settings xmlns:w="http://schemas.openxmlformats.org/wordprocessingml/2006/main" xmlns:r="http://schemas.openxmlformats.org/officeDocument/2006/relationships" xmlns:m="http://schemas.openxmlformats.org/officeDocument/2006/math">
  <w:zoom w:percent="100"/>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420"/>
  <w:drawingGridVerticalSpacing w:val="156"/>
  <w:displayHorizontalDrawingGridEvery w:val="1"/>
  <w:displayVerticalDrawingGridEvery w:val="1"/>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Times New Roman" w:cs="Times New Roman" w:eastAsia="宋体" w:hAnsi="Times New Roman"/>
      </w:rPr>
    </w:rPrDefault>
    <w:pPrDefault>
      <w:pPr/>
    </w:pPrDefault>
  </w:docDefaults>
  <w:style w:type="paragraph" w:default="1" w:styleId="style0">
    <w:name w:val="Normal"/>
    <w:next w:val="style0"/>
    <w:qFormat/>
    <w:uiPriority w:val="0"/>
    <w:pPr>
      <w:widowControl w:val="false"/>
      <w:jc w:val="both"/>
    </w:pPr>
    <w:rPr>
      <w:rFonts w:ascii="等线" w:cs="宋体" w:eastAsia="等线" w:hAnsi="等线"/>
      <w:kern w:val="2"/>
      <w:sz w:val="21"/>
      <w:szCs w:val="22"/>
      <w:lang w:val="en-US" w:bidi="ar-SA" w:eastAsia="zh-CN"/>
    </w:rPr>
  </w:style>
  <w:style w:type="paragraph" w:styleId="style4">
    <w:name w:val="heading 4"/>
    <w:basedOn w:val="style0"/>
    <w:next w:val="style0"/>
    <w:qFormat/>
    <w:uiPriority w:val="9"/>
    <w:pPr>
      <w:keepNext/>
      <w:keepLines/>
      <w:adjustRightInd w:val="false"/>
      <w:snapToGrid w:val="false"/>
      <w:jc w:val="left"/>
      <w:outlineLvl w:val="3"/>
    </w:pPr>
    <w:rPr>
      <w:rFonts w:cs="宋体"/>
      <w:b/>
      <w:bCs/>
      <w:szCs w:val="28"/>
    </w:rPr>
  </w:style>
  <w:style w:type="character" w:default="1" w:styleId="style65">
    <w:name w:val="Default Paragraph Font"/>
    <w:next w:val="style65"/>
    <w:qFormat/>
    <w:uiPriority w:val="1"/>
  </w:style>
  <w:style w:type="table" w:default="1" w:styleId="style105">
    <w:name w:val="Normal Table"/>
    <w:next w:val="style105"/>
    <w:qFormat/>
    <w:uiPriority w:val="99"/>
    <w:pPr/>
    <w:rPr/>
    <w:tblPr>
      <w:tblCellMar>
        <w:top w:w="0" w:type="dxa"/>
        <w:left w:w="108" w:type="dxa"/>
        <w:bottom w:w="0" w:type="dxa"/>
        <w:right w:w="108" w:type="dxa"/>
      </w:tblCellMar>
    </w:tblPr>
    <w:tcPr>
      <w:tcBorders/>
    </w:tcPr>
  </w:style>
  <w:style w:type="paragraph" w:styleId="style28">
    <w:name w:val="Normal Indent"/>
    <w:basedOn w:val="style0"/>
    <w:next w:val="style78"/>
    <w:qFormat/>
    <w:uiPriority w:val="0"/>
    <w:pPr>
      <w:ind w:firstLine="420" w:firstLineChars="200"/>
    </w:pPr>
    <w:rPr>
      <w:rFonts w:ascii="Times New Roman" w:eastAsia="宋体" w:hAnsi="Times New Roman"/>
      <w:szCs w:val="24"/>
    </w:rPr>
  </w:style>
  <w:style w:type="paragraph" w:styleId="style78">
    <w:name w:val="Body Text First Indent 2"/>
    <w:basedOn w:val="style67"/>
    <w:next w:val="style0"/>
    <w:qFormat/>
    <w:uiPriority w:val="0"/>
    <w:pPr>
      <w:adjustRightInd w:val="false"/>
      <w:ind w:firstLine="420"/>
      <w:textAlignment w:val="baseline"/>
    </w:pPr>
    <w:rPr>
      <w:rFonts w:ascii="宋体" w:hAnsi="宋体"/>
      <w:sz w:val="18"/>
      <w:szCs w:val="18"/>
    </w:rPr>
  </w:style>
  <w:style w:type="paragraph" w:styleId="style67">
    <w:name w:val="Body Text Indent"/>
    <w:basedOn w:val="style0"/>
    <w:next w:val="style0"/>
    <w:qFormat/>
    <w:uiPriority w:val="0"/>
    <w:pPr>
      <w:spacing w:after="120"/>
      <w:ind w:left="420" w:leftChars="200"/>
    </w:pPr>
    <w:rPr>
      <w:rFonts w:ascii="Times New Roman" w:cs="Times New Roman" w:eastAsia="宋体" w:hAnsi="Times New Roman"/>
      <w:szCs w:val="20"/>
    </w:rPr>
  </w:style>
  <w:style w:type="paragraph" w:styleId="style30">
    <w:name w:val="annotation text"/>
    <w:basedOn w:val="style0"/>
    <w:next w:val="style30"/>
    <w:link w:val="style4105"/>
    <w:qFormat/>
    <w:uiPriority w:val="99"/>
    <w:pPr>
      <w:jc w:val="left"/>
    </w:pPr>
    <w:rPr/>
  </w:style>
  <w:style w:type="paragraph" w:styleId="style32">
    <w:name w:val="footer"/>
    <w:basedOn w:val="style0"/>
    <w:next w:val="style32"/>
    <w:qFormat/>
    <w:uiPriority w:val="0"/>
    <w:pPr>
      <w:tabs>
        <w:tab w:val="center" w:leader="none" w:pos="4153"/>
        <w:tab w:val="right" w:leader="none" w:pos="8306"/>
      </w:tabs>
      <w:snapToGrid w:val="false"/>
      <w:jc w:val="left"/>
    </w:pPr>
    <w:rPr>
      <w:rFonts w:ascii="Times New Roman" w:cs="Times New Roman" w:eastAsia="宋体" w:hAnsi="Times New Roman"/>
      <w:sz w:val="18"/>
    </w:rPr>
  </w:style>
  <w:style w:type="paragraph" w:styleId="style31">
    <w:name w:val="header"/>
    <w:basedOn w:val="style0"/>
    <w:next w:val="style31"/>
    <w:link w:val="style4102"/>
    <w:qFormat/>
    <w:uiPriority w:val="99"/>
    <w:pPr>
      <w:pBdr>
        <w:bottom w:val="single" w:sz="6" w:space="1" w:color="auto"/>
      </w:pBdr>
      <w:tabs>
        <w:tab w:val="center" w:leader="none" w:pos="4153"/>
        <w:tab w:val="right" w:leader="none" w:pos="8306"/>
      </w:tabs>
      <w:snapToGrid w:val="false"/>
      <w:jc w:val="center"/>
    </w:pPr>
    <w:rPr>
      <w:sz w:val="18"/>
      <w:szCs w:val="18"/>
    </w:rPr>
  </w:style>
  <w:style w:type="paragraph" w:styleId="style19">
    <w:name w:val="toc 1"/>
    <w:basedOn w:val="style0"/>
    <w:next w:val="style0"/>
    <w:qFormat/>
    <w:uiPriority w:val="39"/>
    <w:pPr>
      <w:tabs>
        <w:tab w:val="left" w:leader="none" w:pos="284"/>
        <w:tab w:val="right" w:leader="dot" w:pos="8296"/>
      </w:tabs>
    </w:pPr>
    <w:rPr/>
  </w:style>
  <w:style w:type="paragraph" w:styleId="style106">
    <w:name w:val="annotation subject"/>
    <w:basedOn w:val="style30"/>
    <w:next w:val="style30"/>
    <w:link w:val="style4106"/>
    <w:qFormat/>
    <w:uiPriority w:val="99"/>
    <w:pPr/>
    <w:rPr>
      <w:b/>
      <w:bCs/>
    </w:rPr>
  </w:style>
  <w:style w:type="character" w:styleId="style85">
    <w:name w:val="Hyperlink"/>
    <w:basedOn w:val="style65"/>
    <w:next w:val="style85"/>
    <w:qFormat/>
    <w:uiPriority w:val="99"/>
    <w:rPr>
      <w:color w:val="0563c1"/>
      <w:u w:val="single"/>
    </w:rPr>
  </w:style>
  <w:style w:type="character" w:styleId="style39">
    <w:name w:val="annotation reference"/>
    <w:basedOn w:val="style65"/>
    <w:next w:val="style39"/>
    <w:qFormat/>
    <w:uiPriority w:val="99"/>
    <w:rPr>
      <w:sz w:val="21"/>
      <w:szCs w:val="21"/>
    </w:rPr>
  </w:style>
  <w:style w:type="paragraph" w:customStyle="1" w:styleId="style4097">
    <w:name w:val="[1]正文"/>
    <w:basedOn w:val="style0"/>
    <w:next w:val="style4097"/>
    <w:qFormat/>
    <w:uiPriority w:val="0"/>
    <w:pPr>
      <w:autoSpaceDE w:val="false"/>
      <w:autoSpaceDN w:val="false"/>
      <w:ind w:left="0" w:leftChars="0" w:firstLine="200" w:firstLineChars="200"/>
    </w:pPr>
    <w:rPr>
      <w:rFonts w:ascii="Times New Roman" w:cs="Times New Roman" w:eastAsia="宋体" w:hAnsi="Times New Roman"/>
      <w:color w:val="000000"/>
      <w:kern w:val="0"/>
      <w:szCs w:val="24"/>
      <w:lang w:val="zh-CN"/>
    </w:rPr>
  </w:style>
  <w:style w:type="paragraph" w:customStyle="1" w:styleId="style4098">
    <w:name w:val="Default"/>
    <w:basedOn w:val="style4099"/>
    <w:next w:val="style0"/>
    <w:qFormat/>
    <w:uiPriority w:val="0"/>
    <w:pPr>
      <w:widowControl w:val="false"/>
      <w:autoSpaceDE w:val="false"/>
      <w:autoSpaceDN w:val="false"/>
      <w:adjustRightInd w:val="false"/>
    </w:pPr>
    <w:rPr>
      <w:rFonts w:ascii="宋体" w:cs="宋体" w:eastAsia="宋体" w:hAnsi="Times New Roman"/>
      <w:color w:val="000000"/>
      <w:sz w:val="24"/>
      <w:szCs w:val="24"/>
      <w:lang w:val="en-US" w:bidi="ar-SA" w:eastAsia="zh-CN"/>
    </w:rPr>
  </w:style>
  <w:style w:type="paragraph" w:customStyle="1" w:styleId="style4099">
    <w:name w:val="纯文本1"/>
    <w:basedOn w:val="style0"/>
    <w:next w:val="style4099"/>
    <w:qFormat/>
    <w:uiPriority w:val="0"/>
    <w:pPr/>
    <w:rPr>
      <w:rFonts w:ascii="宋体" w:hAnsi="Courier New"/>
      <w:szCs w:val="20"/>
    </w:rPr>
  </w:style>
  <w:style w:type="paragraph" w:customStyle="1" w:styleId="style4100">
    <w:name w:val="正文1"/>
    <w:basedOn w:val="style4098"/>
    <w:next w:val="style0"/>
    <w:qFormat/>
    <w:uiPriority w:val="0"/>
    <w:pPr>
      <w:tabs>
        <w:tab w:val="left" w:leader="none" w:pos="0"/>
        <w:tab w:val="left" w:leader="none" w:pos="7012"/>
      </w:tabs>
      <w:autoSpaceDE w:val="false"/>
      <w:autoSpaceDN w:val="false"/>
      <w:spacing w:beforeLines="25" w:afterLines="25" w:lineRule="auto" w:line="360"/>
      <w:ind w:firstLine="480" w:firstLineChars="200"/>
    </w:pPr>
    <w:rPr>
      <w:rFonts w:ascii="宋体" w:cs="宋体" w:hAnsi="Calibri"/>
      <w:color w:val="000000"/>
      <w:sz w:val="24"/>
      <w:szCs w:val="24"/>
    </w:rPr>
  </w:style>
  <w:style w:type="character" w:customStyle="1" w:styleId="style4101">
    <w:name w:val="未处理的提及1"/>
    <w:basedOn w:val="style65"/>
    <w:next w:val="style4101"/>
    <w:qFormat/>
    <w:uiPriority w:val="99"/>
    <w:rPr>
      <w:color w:val="605e5c"/>
      <w:shd w:val="clear" w:color="auto" w:fill="e1dfdd"/>
    </w:rPr>
  </w:style>
  <w:style w:type="character" w:customStyle="1" w:styleId="style4102">
    <w:name w:val="页眉 字符"/>
    <w:basedOn w:val="style65"/>
    <w:next w:val="style4102"/>
    <w:link w:val="style31"/>
    <w:qFormat/>
    <w:uiPriority w:val="99"/>
    <w:rPr>
      <w:kern w:val="2"/>
      <w:sz w:val="18"/>
      <w:szCs w:val="18"/>
    </w:rPr>
  </w:style>
  <w:style w:type="paragraph" w:customStyle="1" w:styleId="style4103">
    <w:name w:val="表文"/>
    <w:basedOn w:val="style0"/>
    <w:next w:val="style4103"/>
    <w:qFormat/>
    <w:uiPriority w:val="0"/>
    <w:pPr>
      <w:overflowPunct w:val="false"/>
      <w:spacing w:lineRule="exact" w:line="440"/>
      <w:jc w:val="center"/>
      <w:textAlignment w:val="baseline"/>
    </w:pPr>
    <w:rPr>
      <w:rFonts w:ascii="Arial" w:cs="Times New Roman" w:eastAsia="宋体" w:hAnsi="Arial"/>
      <w:szCs w:val="20"/>
    </w:rPr>
  </w:style>
  <w:style w:type="paragraph" w:customStyle="1" w:styleId="style4104">
    <w:name w:val="样式 (符号) 宋体 小四 行距: 1.5 倍行距"/>
    <w:basedOn w:val="style0"/>
    <w:next w:val="style4104"/>
    <w:qFormat/>
    <w:uiPriority w:val="0"/>
    <w:pPr>
      <w:spacing w:lineRule="auto" w:line="360"/>
      <w:ind w:firstLine="200" w:firstLineChars="200"/>
    </w:pPr>
    <w:rPr>
      <w:rFonts w:ascii="Times New Roman" w:cs="宋体" w:eastAsia="宋体" w:hAnsi="Times New Roman"/>
      <w:sz w:val="24"/>
      <w:szCs w:val="24"/>
    </w:rPr>
  </w:style>
  <w:style w:type="paragraph" w:styleId="style179">
    <w:name w:val="List Paragraph"/>
    <w:basedOn w:val="style0"/>
    <w:next w:val="style179"/>
    <w:qFormat/>
    <w:uiPriority w:val="99"/>
    <w:pPr>
      <w:ind w:firstLine="420" w:firstLineChars="200"/>
    </w:pPr>
    <w:rPr/>
  </w:style>
  <w:style w:type="character" w:customStyle="1" w:styleId="style4105">
    <w:name w:val="批注文字 字符"/>
    <w:basedOn w:val="style65"/>
    <w:next w:val="style4105"/>
    <w:link w:val="style30"/>
    <w:qFormat/>
    <w:uiPriority w:val="99"/>
    <w:rPr>
      <w:kern w:val="2"/>
      <w:sz w:val="21"/>
      <w:szCs w:val="22"/>
    </w:rPr>
  </w:style>
  <w:style w:type="character" w:customStyle="1" w:styleId="style4106">
    <w:name w:val="批注主题 字符"/>
    <w:basedOn w:val="style4105"/>
    <w:next w:val="style4106"/>
    <w:link w:val="style106"/>
    <w:qFormat/>
    <w:uiPriority w:val="99"/>
    <w:rPr>
      <w:b/>
      <w:bCs/>
      <w:kern w:val="2"/>
      <w:sz w:val="21"/>
      <w:szCs w:val="22"/>
    </w:rPr>
  </w:style>
  <w:style w:type="paragraph" w:customStyle="1" w:styleId="style4107">
    <w:name w:val="高-正文"/>
    <w:basedOn w:val="style0"/>
    <w:next w:val="style4107"/>
    <w:qFormat/>
    <w:uiPriority w:val="0"/>
    <w:pPr>
      <w:topLinePunct/>
      <w:adjustRightInd w:val="false"/>
      <w:snapToGrid w:val="false"/>
      <w:spacing w:lineRule="exact" w:line="480"/>
      <w:ind w:firstLine="600"/>
    </w:pPr>
    <w:rPr>
      <w:rFonts w:ascii="等线" w:eastAsia="等线" w:hAnsi="等线"/>
    </w:rPr>
  </w:style>
  <w:style w:type="paragraph" w:customStyle="1" w:styleId="style4108">
    <w:name w:val="报告书正文"/>
    <w:basedOn w:val="style0"/>
    <w:next w:val="style4108"/>
    <w:qFormat/>
    <w:uiPriority w:val="0"/>
    <w:pPr>
      <w:adjustRightInd w:val="false"/>
      <w:snapToGrid w:val="false"/>
      <w:spacing w:lineRule="auto" w:line="360"/>
      <w:ind w:firstLine="425" w:firstLineChars="200"/>
      <w:textAlignment w:val="baseline"/>
    </w:pPr>
    <w:rPr>
      <w:rFonts w:ascii="Arial" w:hAnsi="Arial"/>
      <w:kern w:val="0"/>
      <w:sz w:val="24"/>
      <w:szCs w:val="22"/>
      <w:lang w:bidi="en-US" w:eastAsia="en-US"/>
    </w:rPr>
  </w:style>
  <w:style w:type="paragraph" w:customStyle="1" w:styleId="style4109">
    <w:name w:val="报告正文"/>
    <w:basedOn w:val="style0"/>
    <w:next w:val="style4109"/>
    <w:qFormat/>
    <w:uiPriority w:val="0"/>
    <w:pPr>
      <w:adjustRightInd w:val="false"/>
      <w:snapToGrid w:val="false"/>
      <w:spacing w:lineRule="auto" w:line="360"/>
      <w:ind w:firstLine="482" w:firstLineChars="200"/>
    </w:pPr>
    <w:rPr>
      <w:color w:val="000000"/>
      <w:sz w:val="24"/>
      <w:szCs w:val="21"/>
    </w:rPr>
  </w:style>
  <w:style w:type="paragraph" w:customStyle="1" w:styleId="style4110">
    <w:name w:val="正文2"/>
    <w:basedOn w:val="style0"/>
    <w:next w:val="style4110"/>
    <w:qFormat/>
    <w:uiPriority w:val="0"/>
    <w:pPr>
      <w:spacing w:lineRule="auto" w:line="360"/>
      <w:ind w:firstLine="200" w:firstLineChars="200"/>
    </w:pPr>
    <w:rPr>
      <w:rFonts w:ascii="Times New Roman" w:hAnsi="Times New Roman"/>
      <w:sz w:val="24"/>
      <w:szCs w:val="24"/>
    </w:rPr>
  </w:style>
  <w:style w:type="paragraph" w:customStyle="1" w:styleId="style4111">
    <w:name w:val="正文文本1"/>
    <w:basedOn w:val="style0"/>
    <w:next w:val="style4111"/>
    <w:qFormat/>
    <w:uiPriority w:val="0"/>
    <w:pPr>
      <w:spacing w:after="120"/>
    </w:pPr>
    <w:rPr>
      <w:szCs w:val="24"/>
    </w:r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footer" Target="footer1.xml"/><Relationship Id="rId3" Type="http://schemas.openxmlformats.org/officeDocument/2006/relationships/styles" Target="styles.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Relationship Id="rId8"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Relationships>
</file>

<file path=customXml/_rels/item2.xml.rels><?xml version="1.0" encoding="UTF-8"?>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ontractReview xmlns="http://schemas.wps.cn/vas-ai-hub/contract-review">
  <reviewItems>
    <reviewItem>
      <errorID>2502a157-740f-441e-a12e-2a233294621f</errorID>
      <errorWord>宏扬</errorWord>
      <group>L1_Word</group>
      <groupName>字词问题</groupName>
      <ability>L2_Variant</ability>
      <abilityName>异形词</abilityName>
      <candidateList>
        <item>弘扬</item>
      </candidateList>
      <explain>词汇[宏扬]的规范词形写作[弘扬]。</explain>
      <paraID>1CCF4A52</paraID>
      <start>5</start>
      <end>7</end>
      <status>ignored</status>
      <modifiedWord/>
      <trackRevisions>false</trackRevisions>
    </reviewItem>
    <reviewItem>
      <errorID>4d712d94-0dba-4ab9-94f8-84160fe725b7</errorID>
      <errorWord>宏扬</errorWord>
      <group>L1_Word</group>
      <groupName>字词问题</groupName>
      <ability>L2_Variant</ability>
      <abilityName>异形词</abilityName>
      <candidateList>
        <item>弘扬</item>
      </candidateList>
      <explain>词汇[宏扬]的规范词形写作[弘扬]。</explain>
      <paraID>5412440E</paraID>
      <start>3</start>
      <end>5</end>
      <status>ignored</status>
      <modifiedWord/>
      <trackRevisions>false</trackRevisions>
    </reviewItem>
    <reviewItem>
      <errorID>1a1f1f0f-afb3-408d-970b-ca9383896a22</errorID>
      <errorWord>宏扬</errorWord>
      <group>L1_Word</group>
      <groupName>字词问题</groupName>
      <ability>L2_Variant</ability>
      <abilityName>异形词</abilityName>
      <candidateList>
        <item>弘扬</item>
      </candidateList>
      <explain>词汇[宏扬]的规范词形写作[弘扬]。</explain>
      <paraID>777E8918</paraID>
      <start>14</start>
      <end>16</end>
      <status>ignored</status>
      <modifiedWord/>
      <trackRevisions>false</trackRevisions>
    </reviewItem>
    <reviewItem>
      <errorID>f70f5f44-0197-4ea0-83d6-da9536683c78</errorID>
      <errorWord>宏扬</errorWord>
      <group>L1_Word</group>
      <groupName>字词问题</groupName>
      <ability>L2_Variant</ability>
      <abilityName>异形词</abilityName>
      <candidateList>
        <item>弘扬</item>
      </candidateList>
      <explain>词汇[宏扬]的规范词形写作[弘扬]。</explain>
      <paraID>72FFEEE8</paraID>
      <start>5</start>
      <end>7</end>
      <status>ignored</status>
      <modifiedWord/>
      <trackRevisions>false</trackRevisions>
    </reviewItem>
    <reviewItem>
      <errorID>9857c8ab-5f54-4ef9-bed7-dc402912db1d</errorID>
      <errorWord>隶</errorWord>
      <group>L1_AI</group>
      <groupName>深度校对</groupName>
      <ability>L2_AI_Grammar</ability>
      <abilityName>语法纠错</abilityName>
      <candidateList>
        <item>隶属于</item>
      </candidateList>
      <explain/>
      <paraID>72FFEEE8</paraID>
      <start>90</start>
      <end>91</end>
      <status>ignored</status>
      <modifiedWord/>
      <trackRevisions>false</trackRevisions>
    </reviewItem>
    <reviewItem>
      <errorID>50687375-b0d2-483b-84db-94cd0987696b</errorID>
      <errorWord>,</errorWord>
      <group>L1_Format</group>
      <groupName>格式问题</groupName>
      <ability>L2_HalfPunc</ability>
      <abilityName>全半角检查</abilityName>
      <candidateList>
        <item>，</item>
      </candidateList>
      <explain>文本全半角错误。</explain>
      <paraID>72FFEEE8</paraID>
      <start>127</start>
      <end>128</end>
      <status>modified</status>
      <modifiedWord>，</modifiedWord>
      <trackRevisions>false</trackRevisions>
    </reviewItem>
    <reviewItem>
      <errorID>27280818-1eca-413c-a4d8-6b92d60a2825</errorID>
      <errorWord>工作</errorWord>
      <group>L1_AI</group>
      <groupName>深度校对</groupName>
      <ability>L2_AI_Punc</ability>
      <abilityName>标点纠错</abilityName>
      <candidateList>
        <item>工作：</item>
      </candidateList>
      <explain/>
      <paraID>253DD3E0</paraID>
      <start>22</start>
      <end>24</end>
      <status>ignored</status>
      <modifiedWord/>
      <trackRevisions>false</trackRevisions>
    </reviewItem>
    <reviewItem>
      <errorID>9fba4f90-b64d-42c6-910b-3f10761be61a</errorID>
      <errorWord>减震</errorWord>
      <group>L1_Word</group>
      <groupName>字词问题</groupName>
      <ability>L2_Typo</ability>
      <abilityName>字词错误</abilityName>
      <candidateList>
        <item>减振</item>
      </candidateList>
      <explain>存在发音相同字词的误用。</explain>
      <paraID>1B88DC3B</paraID>
      <start>55</start>
      <end>57</end>
      <status>ignored</status>
      <modifiedWord/>
      <trackRevisions>false</trackRevisions>
    </reviewItem>
    <reviewItem>
      <errorID>38064b33-7337-4d19-833f-8e43c765a453</errorID>
      <errorWord>监测</errorWord>
      <group>L1_Word</group>
      <groupName>字词问题</groupName>
      <ability>L2_Typo</ability>
      <abilityName>字词错误</abilityName>
      <candidateList>
        <item>检测</item>
      </candidateList>
      <explain/>
      <paraID>694DB6F7</paraID>
      <start>154</start>
      <end>156</end>
      <status>ignored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8b16774-2644-49ec-a96a-2ae3447f48a4}">
  <ds:schemaRefs/>
</ds:datastoreItem>
</file>

<file path=docProps/app.xml><?xml version="1.0" encoding="utf-8"?>
<Properties xmlns="http://schemas.openxmlformats.org/officeDocument/2006/extended-properties" xmlns:vt="http://schemas.openxmlformats.org/officeDocument/2006/docPropsVTypes">
  <Template>Normal</Template>
  <TotalTime>0</TotalTime>
  <Words>2015</Words>
  <Pages>4</Pages>
  <Characters>2133</Characters>
  <Application>WPS Office</Application>
  <DocSecurity>0</DocSecurity>
  <Paragraphs>38</Paragraphs>
  <ScaleCrop>false</ScaleCrop>
  <Company>Microsoft</Company>
  <LinksUpToDate>false</LinksUpToDate>
  <CharactersWithSpaces>2150</CharactersWithSpaces>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2023-02-03T09:32:00Z</dcterms:created>
  <dc:creator>hui hui</dc:creator>
  <lastModifiedBy>25053RP5CC</lastModifiedBy>
  <lastPrinted>2025-11-21T01:52:00Z</lastPrinted>
  <dcterms:modified xsi:type="dcterms:W3CDTF">2025-12-03T12:53:38Z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a3d2370983b24fa7b123dcc67d4815c6_23</vt:lpwstr>
  </property>
  <property fmtid="{D5CDD505-2E9C-101B-9397-08002B2CF9AE}" pid="4" name="KSOTemplateDocerSaveRecord">
    <vt:lpwstr>eyJoZGlkIjoiNTk0MDc0MWE2MzMxMjkwZmE5ODU4OGMzYzc5YjkzMTAiLCJ1c2VySWQiOiI1NDkxMDYxNjAifQ==</vt:lpwstr>
  </property>
</Properties>
</file>