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E2F9CD">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textAlignment w:val="auto"/>
        <w:rPr>
          <w:rFonts w:hint="eastAsia" w:ascii="方正小标宋简体" w:hAnsi="方正小标宋简体" w:cs="方正小标宋简体"/>
          <w:sz w:val="40"/>
          <w:lang w:val="en-US" w:eastAsia="zh-CN" w:bidi="ar"/>
        </w:rPr>
      </w:pPr>
      <w:r>
        <w:rPr>
          <w:rFonts w:hint="eastAsia" w:ascii="方正小标宋简体" w:hAnsi="方正小标宋简体" w:cs="方正小标宋简体"/>
          <w:sz w:val="40"/>
          <w:lang w:val="en-US" w:eastAsia="zh-CN" w:bidi="ar"/>
        </w:rPr>
        <w:t>第二轮自治区生态环境保护督察第39项整改</w:t>
      </w:r>
    </w:p>
    <w:p w14:paraId="6815A675">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textAlignment w:val="auto"/>
        <w:rPr>
          <w:rFonts w:hint="default" w:ascii="方正小标宋简体" w:hAnsi="方正小标宋简体" w:cs="方正小标宋简体"/>
          <w:sz w:val="40"/>
          <w:lang w:bidi="ar"/>
        </w:rPr>
      </w:pPr>
      <w:r>
        <w:rPr>
          <w:rFonts w:hint="eastAsia" w:ascii="方正小标宋简体" w:hAnsi="方正小标宋简体" w:cs="方正小标宋简体"/>
          <w:sz w:val="40"/>
          <w:lang w:val="en-US" w:eastAsia="zh-CN" w:bidi="ar"/>
        </w:rPr>
        <w:t>任务完成情况</w:t>
      </w:r>
      <w:r>
        <w:rPr>
          <w:rFonts w:ascii="方正小标宋简体" w:hAnsi="方正小标宋简体" w:cs="方正小标宋简体"/>
          <w:sz w:val="40"/>
          <w:lang w:bidi="ar"/>
        </w:rPr>
        <w:t>表</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04"/>
        <w:gridCol w:w="6518"/>
      </w:tblGrid>
      <w:tr w14:paraId="4F0B9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0" w:hRule="atLeast"/>
        </w:trPr>
        <w:tc>
          <w:tcPr>
            <w:tcW w:w="2004" w:type="dxa"/>
            <w:noWrap w:val="0"/>
            <w:vAlign w:val="center"/>
          </w:tcPr>
          <w:p w14:paraId="5B4C0981">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600" w:lineRule="exact"/>
              <w:jc w:val="center"/>
              <w:textAlignment w:val="auto"/>
              <w:rPr>
                <w:rFonts w:ascii="宋体" w:hAnsi="宋体" w:eastAsia="宋体" w:cs="宋体"/>
                <w:sz w:val="28"/>
                <w:szCs w:val="21"/>
              </w:rPr>
            </w:pPr>
            <w:r>
              <w:rPr>
                <w:rFonts w:hint="eastAsia" w:ascii="宋体" w:hAnsi="宋体" w:eastAsia="宋体" w:cs="宋体"/>
                <w:sz w:val="28"/>
                <w:szCs w:val="21"/>
              </w:rPr>
              <w:t>整改任务</w:t>
            </w:r>
          </w:p>
        </w:tc>
        <w:tc>
          <w:tcPr>
            <w:tcW w:w="6518" w:type="dxa"/>
            <w:noWrap w:val="0"/>
            <w:vAlign w:val="center"/>
          </w:tcPr>
          <w:p w14:paraId="529ED24E">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400" w:lineRule="exact"/>
              <w:jc w:val="left"/>
              <w:textAlignment w:val="auto"/>
              <w:rPr>
                <w:rFonts w:ascii="宋体" w:hAnsi="宋体" w:eastAsia="宋体" w:cs="宋体"/>
                <w:sz w:val="32"/>
                <w:szCs w:val="22"/>
              </w:rPr>
            </w:pPr>
            <w:r>
              <w:rPr>
                <w:rFonts w:hint="eastAsia" w:ascii="仿宋_GB2312" w:hAnsi="仿宋_GB2312" w:eastAsia="仿宋_GB2312" w:cs="仿宋_GB2312"/>
                <w:sz w:val="24"/>
                <w:szCs w:val="24"/>
                <w:lang w:eastAsia="zh-CN"/>
              </w:rPr>
              <w:t>第二</w:t>
            </w:r>
            <w:r>
              <w:rPr>
                <w:rFonts w:hint="eastAsia" w:ascii="仿宋_GB2312" w:hAnsi="仿宋_GB2312" w:eastAsia="仿宋_GB2312" w:cs="仿宋_GB2312"/>
                <w:sz w:val="24"/>
                <w:szCs w:val="24"/>
              </w:rPr>
              <w:t>轮自治区生态环境保护督察第</w:t>
            </w:r>
            <w:r>
              <w:rPr>
                <w:rFonts w:hint="eastAsia" w:ascii="仿宋_GB2312" w:hAnsi="仿宋_GB2312" w:eastAsia="仿宋_GB2312" w:cs="仿宋_GB2312"/>
                <w:sz w:val="24"/>
                <w:szCs w:val="24"/>
                <w:lang w:val="en-US" w:eastAsia="zh-CN"/>
              </w:rPr>
              <w:t>39</w:t>
            </w:r>
            <w:r>
              <w:rPr>
                <w:rFonts w:hint="eastAsia" w:ascii="仿宋_GB2312" w:hAnsi="仿宋_GB2312" w:eastAsia="仿宋_GB2312" w:cs="仿宋_GB2312"/>
                <w:sz w:val="24"/>
                <w:szCs w:val="24"/>
              </w:rPr>
              <w:t>项整改任务：</w:t>
            </w:r>
            <w:r>
              <w:rPr>
                <w:rFonts w:hint="eastAsia" w:ascii="仿宋_GB2312" w:hAnsi="仿宋_GB2312" w:eastAsia="仿宋_GB2312" w:cs="仿宋_GB2312"/>
                <w:sz w:val="24"/>
                <w:szCs w:val="24"/>
                <w:u w:val="none"/>
                <w:vertAlign w:val="baseline"/>
                <w:lang w:val="en-US" w:eastAsia="zh-CN"/>
              </w:rPr>
              <w:t>《医疗废物管理条例》规定“医疗废物暂时贮存的时间不得超过2天;医疗废物集中处置单位应当至少每2天到医疗卫生机构收集、运送一次医疗废物，并负责医疗废物的贮存、处置”，督察发现，医疗废物处置单位对苏尼特右旗、苏尼特左旗、阿巴嘎旗、多伦县均存在收集、运送、超时处置问题，2024年单月最多收集、运送仅13次，最少仅4次，危废转移联单中显示苏尼特右旗人民医院从交付到处置时间最长为13天。</w:t>
            </w:r>
          </w:p>
        </w:tc>
      </w:tr>
      <w:tr w14:paraId="7C9A1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trPr>
        <w:tc>
          <w:tcPr>
            <w:tcW w:w="2004" w:type="dxa"/>
            <w:noWrap w:val="0"/>
            <w:vAlign w:val="center"/>
          </w:tcPr>
          <w:p w14:paraId="04E8DCAC">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600" w:lineRule="exact"/>
              <w:jc w:val="center"/>
              <w:textAlignment w:val="auto"/>
              <w:rPr>
                <w:rFonts w:ascii="宋体" w:hAnsi="宋体" w:eastAsia="宋体" w:cs="宋体"/>
                <w:sz w:val="28"/>
                <w:szCs w:val="21"/>
              </w:rPr>
            </w:pPr>
            <w:r>
              <w:rPr>
                <w:rFonts w:hint="eastAsia" w:ascii="宋体" w:hAnsi="宋体" w:eastAsia="宋体" w:cs="宋体"/>
                <w:sz w:val="28"/>
                <w:szCs w:val="21"/>
              </w:rPr>
              <w:t>责任单位</w:t>
            </w:r>
          </w:p>
        </w:tc>
        <w:tc>
          <w:tcPr>
            <w:tcW w:w="6518" w:type="dxa"/>
            <w:noWrap w:val="0"/>
            <w:vAlign w:val="center"/>
          </w:tcPr>
          <w:p w14:paraId="432B2DE7">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400" w:lineRule="exact"/>
              <w:jc w:val="left"/>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bCs w:val="0"/>
                <w:kern w:val="2"/>
                <w:sz w:val="24"/>
                <w:szCs w:val="24"/>
                <w:lang w:eastAsia="zh-CN"/>
              </w:rPr>
              <w:t>各旗县市（区）党委（党工委）和政府（管委会）</w:t>
            </w:r>
          </w:p>
        </w:tc>
      </w:tr>
      <w:tr w14:paraId="186B4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atLeast"/>
        </w:trPr>
        <w:tc>
          <w:tcPr>
            <w:tcW w:w="2004" w:type="dxa"/>
            <w:noWrap w:val="0"/>
            <w:vAlign w:val="center"/>
          </w:tcPr>
          <w:p w14:paraId="5927C092">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600" w:lineRule="exact"/>
              <w:jc w:val="center"/>
              <w:textAlignment w:val="auto"/>
              <w:rPr>
                <w:rFonts w:ascii="宋体" w:hAnsi="宋体" w:eastAsia="宋体" w:cs="宋体"/>
                <w:sz w:val="28"/>
                <w:szCs w:val="21"/>
              </w:rPr>
            </w:pPr>
            <w:r>
              <w:rPr>
                <w:rFonts w:hint="eastAsia" w:ascii="宋体" w:hAnsi="宋体" w:eastAsia="宋体" w:cs="宋体"/>
                <w:sz w:val="28"/>
                <w:szCs w:val="21"/>
              </w:rPr>
              <w:t>整改目标</w:t>
            </w:r>
          </w:p>
        </w:tc>
        <w:tc>
          <w:tcPr>
            <w:tcW w:w="6518" w:type="dxa"/>
            <w:noWrap w:val="0"/>
            <w:vAlign w:val="center"/>
          </w:tcPr>
          <w:p w14:paraId="76072597">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400" w:lineRule="exact"/>
              <w:jc w:val="left"/>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4"/>
                <w:szCs w:val="24"/>
                <w:u w:val="none"/>
                <w:vertAlign w:val="baseline"/>
                <w:lang w:val="en-US" w:eastAsia="zh-CN"/>
              </w:rPr>
              <w:t>举一反三，在全盟范围内开展医疗废物排查整治工作，确保全盟城镇建成区医疗废物规范处置。</w:t>
            </w:r>
          </w:p>
        </w:tc>
      </w:tr>
      <w:tr w14:paraId="1679F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0" w:hRule="atLeast"/>
        </w:trPr>
        <w:tc>
          <w:tcPr>
            <w:tcW w:w="2004" w:type="dxa"/>
            <w:noWrap w:val="0"/>
            <w:vAlign w:val="center"/>
          </w:tcPr>
          <w:p w14:paraId="5E8CE294">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600" w:lineRule="exact"/>
              <w:jc w:val="center"/>
              <w:textAlignment w:val="auto"/>
              <w:rPr>
                <w:rFonts w:ascii="宋体" w:hAnsi="宋体" w:eastAsia="宋体" w:cs="宋体"/>
                <w:sz w:val="28"/>
                <w:szCs w:val="21"/>
              </w:rPr>
            </w:pPr>
            <w:r>
              <w:rPr>
                <w:rFonts w:hint="eastAsia" w:ascii="宋体" w:hAnsi="宋体" w:eastAsia="宋体" w:cs="宋体"/>
                <w:sz w:val="28"/>
                <w:szCs w:val="21"/>
              </w:rPr>
              <w:t>整改措施</w:t>
            </w:r>
          </w:p>
        </w:tc>
        <w:tc>
          <w:tcPr>
            <w:tcW w:w="6518" w:type="dxa"/>
            <w:noWrap w:val="0"/>
            <w:vAlign w:val="center"/>
          </w:tcPr>
          <w:p w14:paraId="60EC18F6">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400" w:lineRule="exact"/>
              <w:ind w:firstLine="480" w:firstLineChars="200"/>
              <w:jc w:val="left"/>
              <w:textAlignment w:val="auto"/>
              <w:rPr>
                <w:rFonts w:hint="eastAsia" w:ascii="仿宋_GB2312" w:hAnsi="仿宋_GB2312" w:eastAsia="仿宋_GB2312" w:cs="仿宋_GB2312"/>
                <w:sz w:val="24"/>
                <w:szCs w:val="24"/>
                <w:u w:val="none"/>
                <w:vertAlign w:val="baseline"/>
                <w:lang w:val="en-US" w:eastAsia="zh-CN"/>
              </w:rPr>
            </w:pPr>
          </w:p>
          <w:p w14:paraId="1A201F45">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400" w:lineRule="exact"/>
              <w:ind w:firstLine="480" w:firstLineChars="200"/>
              <w:jc w:val="left"/>
              <w:textAlignment w:val="auto"/>
              <w:rPr>
                <w:rFonts w:hint="eastAsia" w:ascii="仿宋_GB2312" w:hAnsi="仿宋_GB2312" w:eastAsia="仿宋_GB2312" w:cs="仿宋_GB2312"/>
                <w:sz w:val="24"/>
                <w:szCs w:val="24"/>
                <w:u w:val="none"/>
                <w:vertAlign w:val="baseline"/>
                <w:lang w:val="en-US" w:eastAsia="zh-CN"/>
              </w:rPr>
            </w:pPr>
            <w:r>
              <w:rPr>
                <w:rFonts w:hint="eastAsia" w:ascii="仿宋_GB2312" w:hAnsi="仿宋_GB2312" w:eastAsia="仿宋_GB2312" w:cs="仿宋_GB2312"/>
                <w:sz w:val="24"/>
                <w:szCs w:val="24"/>
                <w:u w:val="none"/>
                <w:vertAlign w:val="baseline"/>
                <w:lang w:val="en-US" w:eastAsia="zh-CN"/>
              </w:rPr>
              <w:t>（一）各旗县市（区）政府（管委会）组织属地卫健部门于2025年4月底前对辖区内医疗机构开展医疗废物规范化管理专项排查整治，重点规范医疗废物收集、贮存问题，建立问题台账，2025年9月底前完成整改。</w:t>
            </w:r>
          </w:p>
          <w:p w14:paraId="356AB2C9">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400" w:lineRule="exact"/>
              <w:ind w:firstLine="480" w:firstLineChars="200"/>
              <w:jc w:val="left"/>
              <w:textAlignment w:val="auto"/>
              <w:rPr>
                <w:rFonts w:hint="eastAsia" w:ascii="仿宋_GB2312" w:hAnsi="仿宋_GB2312" w:eastAsia="仿宋_GB2312" w:cs="仿宋_GB2312"/>
                <w:sz w:val="24"/>
                <w:szCs w:val="24"/>
                <w:u w:val="none"/>
                <w:vertAlign w:val="baseline"/>
                <w:lang w:val="en-US" w:eastAsia="zh-CN"/>
              </w:rPr>
            </w:pPr>
            <w:r>
              <w:rPr>
                <w:rFonts w:hint="eastAsia" w:ascii="仿宋_GB2312" w:hAnsi="仿宋_GB2312" w:eastAsia="仿宋_GB2312" w:cs="仿宋_GB2312"/>
                <w:sz w:val="24"/>
                <w:szCs w:val="24"/>
                <w:u w:val="none"/>
                <w:vertAlign w:val="baseline"/>
                <w:lang w:val="en-US" w:eastAsia="zh-CN"/>
              </w:rPr>
              <w:t>（二）各旗县市（区）政府（管委会）组织属地生态环境分局对辖区内医疗废物处置单位开展危险废物规范化管理评估工作，重点查处医疗废物处置单位未严格执行危险废物转移联单，超时收集、贮存和处置医疗废物的行为，发现违法问题依据《中华人民共和国固体废物污染环境防治法》、《危险废物转移管理办法》等法律法规进行查处。同步建立问题台账，2025年8月底前完成规范化管理评估及问题整改工作。</w:t>
            </w:r>
          </w:p>
          <w:p w14:paraId="7640EDC9">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400" w:lineRule="exact"/>
              <w:ind w:firstLine="480" w:firstLineChars="200"/>
              <w:jc w:val="left"/>
              <w:textAlignment w:val="auto"/>
              <w:rPr>
                <w:rFonts w:hint="eastAsia" w:ascii="仿宋_GB2312" w:hAnsi="仿宋_GB2312" w:eastAsia="仿宋_GB2312" w:cs="仿宋_GB2312"/>
                <w:sz w:val="24"/>
                <w:szCs w:val="24"/>
                <w:u w:val="none"/>
                <w:vertAlign w:val="baseline"/>
                <w:lang w:val="en-US" w:eastAsia="zh-CN"/>
              </w:rPr>
            </w:pPr>
            <w:r>
              <w:rPr>
                <w:rFonts w:hint="eastAsia" w:ascii="仿宋_GB2312" w:hAnsi="仿宋_GB2312" w:eastAsia="仿宋_GB2312" w:cs="仿宋_GB2312"/>
                <w:sz w:val="24"/>
                <w:szCs w:val="24"/>
                <w:u w:val="none"/>
                <w:vertAlign w:val="baseline"/>
                <w:lang w:val="en-US" w:eastAsia="zh-CN"/>
              </w:rPr>
              <w:t>（三）各旗县市（区）政府（管委会）组织属地交通部门依法查处医疗废物运输违反危险货物运输管理相关规定的违法行为。</w:t>
            </w:r>
          </w:p>
          <w:p w14:paraId="5D4831F4">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400" w:lineRule="exact"/>
              <w:ind w:firstLine="480" w:firstLineChars="200"/>
              <w:jc w:val="left"/>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4"/>
                <w:szCs w:val="24"/>
                <w:u w:val="none"/>
                <w:vertAlign w:val="baseline"/>
                <w:lang w:val="en-US" w:eastAsia="zh-CN"/>
              </w:rPr>
              <w:t>（四）各旗县市（区）政府（管委会）组织属地公安部门依法查处医疗废物运输车辆的交通违法行为，打击涉危险废物污染环境犯罪行为。</w:t>
            </w:r>
          </w:p>
        </w:tc>
      </w:tr>
      <w:tr w14:paraId="25D3D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0" w:hRule="atLeast"/>
        </w:trPr>
        <w:tc>
          <w:tcPr>
            <w:tcW w:w="2004" w:type="dxa"/>
            <w:noWrap w:val="0"/>
            <w:vAlign w:val="center"/>
          </w:tcPr>
          <w:p w14:paraId="34FF542E">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600" w:lineRule="exact"/>
              <w:jc w:val="center"/>
              <w:textAlignment w:val="auto"/>
              <w:rPr>
                <w:rFonts w:ascii="宋体" w:hAnsi="宋体" w:eastAsia="宋体" w:cs="宋体"/>
                <w:sz w:val="28"/>
                <w:szCs w:val="21"/>
              </w:rPr>
            </w:pPr>
            <w:r>
              <w:rPr>
                <w:rFonts w:hint="eastAsia" w:ascii="宋体" w:hAnsi="宋体" w:eastAsia="宋体" w:cs="宋体"/>
                <w:sz w:val="28"/>
                <w:szCs w:val="21"/>
              </w:rPr>
              <w:t>完成情况</w:t>
            </w:r>
          </w:p>
        </w:tc>
        <w:tc>
          <w:tcPr>
            <w:tcW w:w="6518" w:type="dxa"/>
            <w:noWrap w:val="0"/>
            <w:vAlign w:val="center"/>
          </w:tcPr>
          <w:p w14:paraId="017BDEAC">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400" w:lineRule="exact"/>
              <w:ind w:firstLine="480" w:firstLineChars="200"/>
              <w:jc w:val="left"/>
              <w:textAlignment w:val="auto"/>
              <w:rPr>
                <w:rFonts w:hint="eastAsia" w:ascii="仿宋_GB2312" w:hAnsi="仿宋_GB2312" w:eastAsia="仿宋_GB2312" w:cs="仿宋_GB2312"/>
                <w:sz w:val="24"/>
                <w:szCs w:val="24"/>
                <w:u w:val="none"/>
                <w:vertAlign w:val="baseline"/>
                <w:lang w:val="en-US" w:eastAsia="zh-CN"/>
              </w:rPr>
            </w:pPr>
            <w:r>
              <w:rPr>
                <w:rFonts w:hint="eastAsia" w:ascii="仿宋_GB2312" w:hAnsi="仿宋_GB2312" w:eastAsia="仿宋_GB2312" w:cs="仿宋_GB2312"/>
                <w:sz w:val="24"/>
                <w:szCs w:val="24"/>
                <w:u w:val="none"/>
                <w:vertAlign w:val="baseline"/>
                <w:lang w:val="en-US" w:eastAsia="zh-CN"/>
              </w:rPr>
              <w:t>（一）13个旗县市（区）生态环境分局全部与当地卫健委联合开展排查整治，对检查发现的问题已督促医疗机构落实整改。</w:t>
            </w:r>
          </w:p>
          <w:p w14:paraId="57D58305">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400" w:lineRule="exact"/>
              <w:ind w:firstLine="480" w:firstLineChars="200"/>
              <w:jc w:val="left"/>
              <w:textAlignment w:val="auto"/>
              <w:rPr>
                <w:rFonts w:hint="eastAsia" w:ascii="仿宋_GB2312" w:hAnsi="仿宋_GB2312" w:eastAsia="仿宋_GB2312" w:cs="仿宋_GB2312"/>
                <w:sz w:val="24"/>
                <w:szCs w:val="24"/>
                <w:u w:val="none"/>
                <w:vertAlign w:val="baseline"/>
                <w:lang w:val="en-US" w:eastAsia="zh-CN"/>
              </w:rPr>
            </w:pPr>
            <w:r>
              <w:rPr>
                <w:rFonts w:hint="eastAsia" w:ascii="仿宋_GB2312" w:hAnsi="仿宋_GB2312" w:eastAsia="仿宋_GB2312" w:cs="仿宋_GB2312"/>
                <w:sz w:val="24"/>
                <w:szCs w:val="24"/>
                <w:u w:val="none"/>
                <w:vertAlign w:val="baseline"/>
                <w:lang w:val="en-US" w:eastAsia="zh-CN"/>
              </w:rPr>
              <w:t>（二）按照《锡林郭勒盟2025年危险废物规范化环境管理评估工作方案》，13个旗县分局完成了对医疗废物产生和处置单位的检查评估，盟局完成了抽查评估工作。</w:t>
            </w:r>
          </w:p>
          <w:p w14:paraId="253A8C11">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400" w:lineRule="exact"/>
              <w:ind w:firstLine="480" w:firstLineChars="200"/>
              <w:jc w:val="left"/>
              <w:textAlignment w:val="auto"/>
              <w:rPr>
                <w:rFonts w:hint="eastAsia" w:ascii="仿宋_GB2312" w:hAnsi="仿宋_GB2312" w:eastAsia="仿宋_GB2312" w:cs="仿宋_GB2312"/>
                <w:sz w:val="24"/>
                <w:szCs w:val="24"/>
                <w:u w:val="none"/>
                <w:vertAlign w:val="baseline"/>
                <w:lang w:val="en-US" w:eastAsia="zh-CN"/>
              </w:rPr>
            </w:pPr>
            <w:r>
              <w:rPr>
                <w:rFonts w:hint="eastAsia" w:ascii="仿宋_GB2312" w:hAnsi="仿宋_GB2312" w:eastAsia="仿宋_GB2312" w:cs="仿宋_GB2312"/>
                <w:sz w:val="24"/>
                <w:szCs w:val="24"/>
                <w:u w:val="none"/>
                <w:vertAlign w:val="baseline"/>
                <w:lang w:val="en-US" w:eastAsia="zh-CN"/>
              </w:rPr>
              <w:t>（三）旗县市（区）交通部门开展医疗废物运输车辆专项检查，未发现医疗废物运输违反危险货物运输管理相关规定的违法行为。</w:t>
            </w:r>
          </w:p>
          <w:p w14:paraId="2A308661">
            <w:pPr>
              <w:pStyle w:val="5"/>
              <w:keepNext w:val="0"/>
              <w:keepLines w:val="0"/>
              <w:pageBreakBefore w:val="0"/>
              <w:widowControl w:val="0"/>
              <w:kinsoku/>
              <w:wordWrap/>
              <w:overflowPunct/>
              <w:topLinePunct w:val="0"/>
              <w:autoSpaceDE/>
              <w:autoSpaceDN/>
              <w:bidi w:val="0"/>
              <w:adjustRightInd w:val="0"/>
              <w:snapToGrid w:val="0"/>
              <w:spacing w:beforeAutospacing="0" w:after="0" w:afterAutospacing="0" w:line="400" w:lineRule="exact"/>
              <w:ind w:firstLine="480" w:firstLineChars="200"/>
              <w:jc w:val="left"/>
              <w:textAlignment w:val="auto"/>
              <w:rPr>
                <w:rFonts w:ascii="宋体" w:hAnsi="宋体" w:eastAsia="宋体" w:cs="宋体"/>
                <w:sz w:val="32"/>
                <w:szCs w:val="22"/>
              </w:rPr>
            </w:pPr>
            <w:r>
              <w:rPr>
                <w:rFonts w:hint="eastAsia" w:ascii="仿宋_GB2312" w:hAnsi="仿宋_GB2312" w:eastAsia="仿宋_GB2312" w:cs="仿宋_GB2312"/>
                <w:sz w:val="24"/>
                <w:szCs w:val="24"/>
                <w:u w:val="none"/>
                <w:vertAlign w:val="baseline"/>
                <w:lang w:val="en-US" w:eastAsia="zh-CN"/>
              </w:rPr>
              <w:t>（四）旗县市（区）公安部门对辖区医疗废物运输车辆开展了专项检查，及时通知企业负责人处理道路交通违法行为，常态化开展医疗废物运输车辆专项检查行动，打击涉危险废物污染环境犯罪行为。</w:t>
            </w:r>
          </w:p>
        </w:tc>
      </w:tr>
    </w:tbl>
    <w:p w14:paraId="2762E501"/>
    <w:p w14:paraId="236C3B12">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2000000000000000000"/>
    <w:charset w:val="86"/>
    <w:family w:val="auto"/>
    <w:pitch w:val="default"/>
    <w:sig w:usb0="00000000" w:usb1="00000000" w:usb2="00000012" w:usb3="00000000" w:csb0="00040001"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439EEF50">
    <w:panose1 w:val="02000000000000000000"/>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D14C34"/>
    <w:rsid w:val="195A31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1"/>
    <w:basedOn w:val="4"/>
    <w:next w:val="5"/>
    <w:qFormat/>
    <w:uiPriority w:val="0"/>
    <w:pPr>
      <w:snapToGrid w:val="0"/>
      <w:spacing w:beforeAutospacing="1" w:afterAutospacing="1" w:line="600" w:lineRule="exact"/>
      <w:outlineLvl w:val="0"/>
    </w:pPr>
    <w:rPr>
      <w:rFonts w:hint="eastAsia" w:ascii="宋体" w:hAnsi="宋体" w:eastAsia="方正小标宋简体"/>
      <w:b w:val="0"/>
      <w:bCs/>
      <w:kern w:val="44"/>
      <w:sz w:val="44"/>
      <w:szCs w:val="48"/>
    </w:rPr>
  </w:style>
  <w:style w:type="paragraph" w:styleId="2">
    <w:name w:val="heading 2"/>
    <w:basedOn w:val="1"/>
    <w:next w:val="1"/>
    <w:qFormat/>
    <w:uiPriority w:val="0"/>
    <w:pPr>
      <w:keepNext/>
      <w:keepLines/>
      <w:spacing w:before="260" w:after="260" w:line="416" w:lineRule="auto"/>
      <w:outlineLvl w:val="1"/>
    </w:pPr>
    <w:rPr>
      <w:rFonts w:ascii="Cambria" w:hAnsi="Cambria" w:cs="Times New Roman"/>
      <w:b/>
      <w:bCs/>
      <w:kern w:val="0"/>
      <w:sz w:val="32"/>
      <w:szCs w:val="32"/>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Title"/>
    <w:basedOn w:val="1"/>
    <w:qFormat/>
    <w:uiPriority w:val="0"/>
    <w:pPr>
      <w:spacing w:before="240" w:after="60"/>
      <w:jc w:val="center"/>
      <w:outlineLvl w:val="0"/>
    </w:pPr>
    <w:rPr>
      <w:rFonts w:ascii="Arial" w:hAnsi="Arial"/>
      <w:b/>
    </w:rPr>
  </w:style>
  <w:style w:type="paragraph" w:styleId="5">
    <w:name w:val="Body Text"/>
    <w:basedOn w:val="1"/>
    <w:qFormat/>
    <w:uiPriority w:val="0"/>
    <w:pPr>
      <w:spacing w:after="120"/>
    </w:pPr>
  </w:style>
  <w:style w:type="paragraph" w:styleId="6">
    <w:name w:val="Body Text Indent"/>
    <w:basedOn w:val="1"/>
    <w:qFormat/>
    <w:uiPriority w:val="0"/>
    <w:pPr>
      <w:spacing w:after="120" w:afterLines="0" w:afterAutospacing="0"/>
      <w:ind w:left="420" w:leftChars="200"/>
    </w:pPr>
    <w:rPr>
      <w:rFonts w:ascii="Calibri" w:hAnsi="Calibri" w:eastAsia="宋体" w:cs="宋体"/>
    </w:rPr>
  </w:style>
  <w:style w:type="paragraph" w:styleId="7">
    <w:name w:val="Body Text First Indent 2"/>
    <w:basedOn w:val="6"/>
    <w:qFormat/>
    <w:uiPriority w:val="0"/>
    <w:pPr>
      <w:ind w:firstLine="420" w:firstLineChars="200"/>
    </w:pPr>
    <w:rPr>
      <w:rFonts w:ascii="Calibri" w:hAnsi="Calibri" w:eastAsia="宋体" w:cs="宋体"/>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931</Words>
  <Characters>949</Characters>
  <Lines>0</Lines>
  <Paragraphs>0</Paragraphs>
  <TotalTime>0</TotalTime>
  <ScaleCrop>false</ScaleCrop>
  <LinksUpToDate>false</LinksUpToDate>
  <CharactersWithSpaces>951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2025-12-05T08:51:00Z</dcterms:created>
  <dc:creator>CHR</dc:creator>
  <cp:lastModifiedBy>我很好啊、</cp:lastModifiedBy>
  <dcterms:modified xsi:type="dcterms:W3CDTF">2025-12-05T09:00:22Z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eyJoZGlkIjoiYzU2MzlkNTUwMTgwNGMxZjg2Yzk4YWE0ZTFhYWY1NWMiLCJ1c2VySWQiOiIyMDcwNTkwMjcifQ==</vt:lpwstr>
  </property>
  <property fmtid="{D5CDD505-2E9C-101B-9397-08002B2CF9AE}" pid="4" name="ICV">
    <vt:lpwstr>99E4CA62789C462D935AF6E1E1EA6AC5_12</vt:lpwstr>
  </property>
</Properties>
</file>