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7D16F9">
      <w:pPr>
        <w:spacing w:beforeLines="0" w:afterLines="0"/>
      </w:pPr>
      <w:r>
        <w:drawing>
          <wp:inline distT="0" distB="0" distL="114300" distR="114300">
            <wp:extent cx="5614670" cy="8315325"/>
            <wp:effectExtent l="0" t="0" r="5080" b="9525"/>
            <wp:docPr id="4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
                    <pic:cNvPicPr>
                      <a:picLocks noChangeAspect="1"/>
                    </pic:cNvPicPr>
                  </pic:nvPicPr>
                  <pic:blipFill>
                    <a:blip r:embed="rId9"/>
                    <a:stretch>
                      <a:fillRect/>
                    </a:stretch>
                  </pic:blipFill>
                  <pic:spPr>
                    <a:xfrm>
                      <a:off x="0" y="0"/>
                      <a:ext cx="5614670" cy="8315325"/>
                    </a:xfrm>
                    <a:prstGeom prst="rect">
                      <a:avLst/>
                    </a:prstGeom>
                    <a:noFill/>
                    <a:ln>
                      <a:noFill/>
                    </a:ln>
                  </pic:spPr>
                </pic:pic>
              </a:graphicData>
            </a:graphic>
          </wp:inline>
        </w:drawing>
      </w:r>
    </w:p>
    <w:p w14:paraId="689B81F4">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pPr>
      <w:r>
        <w:drawing>
          <wp:inline distT="0" distB="0" distL="114300" distR="114300">
            <wp:extent cx="5591175" cy="8343900"/>
            <wp:effectExtent l="0" t="0" r="9525" b="0"/>
            <wp:docPr id="6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2"/>
                    <pic:cNvPicPr>
                      <a:picLocks noChangeAspect="1"/>
                    </pic:cNvPicPr>
                  </pic:nvPicPr>
                  <pic:blipFill>
                    <a:blip r:embed="rId10"/>
                    <a:stretch>
                      <a:fillRect/>
                    </a:stretch>
                  </pic:blipFill>
                  <pic:spPr>
                    <a:xfrm>
                      <a:off x="0" y="0"/>
                      <a:ext cx="5591175" cy="8343900"/>
                    </a:xfrm>
                    <a:prstGeom prst="rect">
                      <a:avLst/>
                    </a:prstGeom>
                    <a:noFill/>
                    <a:ln>
                      <a:noFill/>
                    </a:ln>
                  </pic:spPr>
                </pic:pic>
              </a:graphicData>
            </a:graphic>
          </wp:inline>
        </w:drawing>
      </w:r>
    </w:p>
    <w:p w14:paraId="2790D597">
      <w:pPr>
        <w:keepNext w:val="0"/>
        <w:keepLines w:val="0"/>
        <w:pageBreakBefore w:val="0"/>
        <w:widowControl w:val="0"/>
        <w:kinsoku/>
        <w:wordWrap/>
        <w:overflowPunct/>
        <w:topLinePunct w:val="0"/>
        <w:autoSpaceDE/>
        <w:autoSpaceDN/>
        <w:bidi w:val="0"/>
        <w:adjustRightInd/>
        <w:snapToGrid/>
        <w:spacing w:beforeLines="0" w:afterLines="0"/>
        <w:textAlignment w:val="auto"/>
      </w:pPr>
      <w:r>
        <w:drawing>
          <wp:inline distT="0" distB="0" distL="114300" distR="114300">
            <wp:extent cx="5600065" cy="8400415"/>
            <wp:effectExtent l="0" t="0" r="635" b="635"/>
            <wp:docPr id="7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3"/>
                    <pic:cNvPicPr>
                      <a:picLocks noChangeAspect="1"/>
                    </pic:cNvPicPr>
                  </pic:nvPicPr>
                  <pic:blipFill>
                    <a:blip r:embed="rId11"/>
                    <a:stretch>
                      <a:fillRect/>
                    </a:stretch>
                  </pic:blipFill>
                  <pic:spPr>
                    <a:xfrm>
                      <a:off x="0" y="0"/>
                      <a:ext cx="5600065" cy="8400415"/>
                    </a:xfrm>
                    <a:prstGeom prst="rect">
                      <a:avLst/>
                    </a:prstGeom>
                    <a:noFill/>
                    <a:ln>
                      <a:noFill/>
                    </a:ln>
                  </pic:spPr>
                </pic:pic>
              </a:graphicData>
            </a:graphic>
          </wp:inline>
        </w:drawing>
      </w:r>
    </w:p>
    <w:p w14:paraId="063660BC">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pPr>
      <w:r>
        <w:drawing>
          <wp:inline distT="0" distB="0" distL="114300" distR="114300">
            <wp:extent cx="5610225" cy="8350885"/>
            <wp:effectExtent l="0" t="0" r="9525" b="12065"/>
            <wp:docPr id="8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4"/>
                    <pic:cNvPicPr>
                      <a:picLocks noChangeAspect="1"/>
                    </pic:cNvPicPr>
                  </pic:nvPicPr>
                  <pic:blipFill>
                    <a:blip r:embed="rId12"/>
                    <a:stretch>
                      <a:fillRect/>
                    </a:stretch>
                  </pic:blipFill>
                  <pic:spPr>
                    <a:xfrm>
                      <a:off x="0" y="0"/>
                      <a:ext cx="5610225" cy="8350885"/>
                    </a:xfrm>
                    <a:prstGeom prst="rect">
                      <a:avLst/>
                    </a:prstGeom>
                    <a:noFill/>
                    <a:ln>
                      <a:noFill/>
                    </a:ln>
                  </pic:spPr>
                </pic:pic>
              </a:graphicData>
            </a:graphic>
          </wp:inline>
        </w:drawing>
      </w:r>
    </w:p>
    <w:p w14:paraId="3C1AECD8">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pPr>
      <w:r>
        <w:drawing>
          <wp:inline distT="0" distB="0" distL="114300" distR="114300">
            <wp:extent cx="5581650" cy="8295640"/>
            <wp:effectExtent l="0" t="0" r="0" b="10160"/>
            <wp:docPr id="8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5"/>
                    <pic:cNvPicPr>
                      <a:picLocks noChangeAspect="1"/>
                    </pic:cNvPicPr>
                  </pic:nvPicPr>
                  <pic:blipFill>
                    <a:blip r:embed="rId13"/>
                    <a:stretch>
                      <a:fillRect/>
                    </a:stretch>
                  </pic:blipFill>
                  <pic:spPr>
                    <a:xfrm>
                      <a:off x="0" y="0"/>
                      <a:ext cx="5581650" cy="8295640"/>
                    </a:xfrm>
                    <a:prstGeom prst="rect">
                      <a:avLst/>
                    </a:prstGeom>
                    <a:noFill/>
                    <a:ln>
                      <a:noFill/>
                    </a:ln>
                  </pic:spPr>
                </pic:pic>
              </a:graphicData>
            </a:graphic>
          </wp:inline>
        </w:drawing>
      </w:r>
    </w:p>
    <w:p w14:paraId="14654DFF">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pPr>
      <w:r>
        <w:drawing>
          <wp:inline distT="0" distB="0" distL="114300" distR="114300">
            <wp:extent cx="5543550" cy="8248015"/>
            <wp:effectExtent l="0" t="0" r="0" b="635"/>
            <wp:docPr id="8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6"/>
                    <pic:cNvPicPr>
                      <a:picLocks noChangeAspect="1"/>
                    </pic:cNvPicPr>
                  </pic:nvPicPr>
                  <pic:blipFill>
                    <a:blip r:embed="rId14"/>
                    <a:stretch>
                      <a:fillRect/>
                    </a:stretch>
                  </pic:blipFill>
                  <pic:spPr>
                    <a:xfrm>
                      <a:off x="0" y="0"/>
                      <a:ext cx="5543550" cy="8248015"/>
                    </a:xfrm>
                    <a:prstGeom prst="rect">
                      <a:avLst/>
                    </a:prstGeom>
                    <a:noFill/>
                    <a:ln>
                      <a:noFill/>
                    </a:ln>
                  </pic:spPr>
                </pic:pic>
              </a:graphicData>
            </a:graphic>
          </wp:inline>
        </w:drawing>
      </w:r>
    </w:p>
    <w:p w14:paraId="5EF69552">
      <w:pPr>
        <w:pStyle w:val="20"/>
        <w:keepNext w:val="0"/>
        <w:keepLines w:val="0"/>
        <w:pageBreakBefore w:val="0"/>
        <w:widowControl/>
        <w:kinsoku/>
        <w:wordWrap/>
        <w:overflowPunct/>
        <w:topLinePunct w:val="0"/>
        <w:autoSpaceDE/>
        <w:autoSpaceDN/>
        <w:bidi w:val="0"/>
        <w:adjustRightInd/>
        <w:snapToGrid w:val="0"/>
        <w:spacing w:before="0" w:beforeLines="0" w:beforeAutospacing="0" w:after="0" w:afterLines="0" w:afterAutospacing="0"/>
        <w:jc w:val="both"/>
        <w:textAlignment w:val="auto"/>
        <w:outlineLvl w:val="0"/>
      </w:pPr>
    </w:p>
    <w:p w14:paraId="5DCB54B2">
      <w:pPr>
        <w:pStyle w:val="20"/>
        <w:keepNext w:val="0"/>
        <w:keepLines w:val="0"/>
        <w:pageBreakBefore w:val="0"/>
        <w:widowControl/>
        <w:kinsoku/>
        <w:wordWrap/>
        <w:overflowPunct/>
        <w:topLinePunct w:val="0"/>
        <w:autoSpaceDE/>
        <w:autoSpaceDN/>
        <w:bidi w:val="0"/>
        <w:adjustRightInd/>
        <w:snapToGrid w:val="0"/>
        <w:spacing w:before="0" w:beforeLines="0" w:beforeAutospacing="0" w:after="0" w:afterLines="0" w:afterAutospacing="0"/>
        <w:jc w:val="both"/>
        <w:textAlignment w:val="auto"/>
        <w:outlineLvl w:val="0"/>
        <w:sectPr>
          <w:footerReference r:id="rId4" w:type="default"/>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start="1"/>
          <w:cols w:space="720" w:num="1"/>
          <w:docGrid w:type="lines" w:linePitch="312" w:charSpace="0"/>
        </w:sectPr>
      </w:pPr>
    </w:p>
    <w:p w14:paraId="06850FBF">
      <w:pPr>
        <w:pStyle w:val="20"/>
        <w:spacing w:beforeLines="0" w:afterLines="0"/>
        <w:jc w:val="center"/>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一、建设项目基本情况</w:t>
      </w:r>
    </w:p>
    <w:tbl>
      <w:tblPr>
        <w:tblStyle w:val="2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818"/>
        <w:gridCol w:w="2140"/>
        <w:gridCol w:w="2000"/>
        <w:gridCol w:w="2912"/>
      </w:tblGrid>
      <w:tr w14:paraId="05CF2B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18" w:type="dxa"/>
            <w:tcBorders>
              <w:top w:val="single" w:color="auto" w:sz="8"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0EC4D2E2">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建设项目名称</w:t>
            </w:r>
          </w:p>
        </w:tc>
        <w:tc>
          <w:tcPr>
            <w:tcW w:w="7052" w:type="dxa"/>
            <w:gridSpan w:val="3"/>
            <w:tcBorders>
              <w:top w:val="single" w:color="auto" w:sz="8" w:space="0"/>
              <w:left w:val="single" w:color="auto" w:sz="4" w:space="0"/>
              <w:bottom w:val="single" w:color="auto" w:sz="4" w:space="0"/>
              <w:right w:val="single" w:color="auto" w:sz="8" w:space="0"/>
              <w:tl2br w:val="nil"/>
              <w:tr2bl w:val="nil"/>
            </w:tcBorders>
            <w:noWrap w:val="0"/>
            <w:vAlign w:val="center"/>
          </w:tcPr>
          <w:p w14:paraId="437772A1">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锡林浩特市宁蒙商贸有限公司石灰石粉磨项目</w:t>
            </w:r>
          </w:p>
        </w:tc>
      </w:tr>
      <w:tr w14:paraId="48B839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28549111">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项目代码</w:t>
            </w:r>
          </w:p>
        </w:tc>
        <w:tc>
          <w:tcPr>
            <w:tcW w:w="7052"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204B1D49">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2602-152530-04-05-817385</w:t>
            </w:r>
          </w:p>
        </w:tc>
      </w:tr>
      <w:tr w14:paraId="28158A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39A9750E">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建设单位联系人</w:t>
            </w:r>
          </w:p>
        </w:tc>
        <w:tc>
          <w:tcPr>
            <w:tcW w:w="21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D61093">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刘福友</w:t>
            </w:r>
          </w:p>
        </w:tc>
        <w:tc>
          <w:tcPr>
            <w:tcW w:w="20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37A25E8">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联系方式</w:t>
            </w:r>
          </w:p>
        </w:tc>
        <w:tc>
          <w:tcPr>
            <w:tcW w:w="291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3988FC18">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17790740532</w:t>
            </w:r>
          </w:p>
        </w:tc>
      </w:tr>
      <w:tr w14:paraId="5DFC88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5DFBC675">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建设地点</w:t>
            </w:r>
          </w:p>
        </w:tc>
        <w:tc>
          <w:tcPr>
            <w:tcW w:w="7052"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70A9B48C">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u w:val="none"/>
                <w:lang w:val="en-US"/>
                <w14:textFill>
                  <w14:solidFill>
                    <w14:schemeClr w14:val="tx1"/>
                  </w14:solidFill>
                </w14:textFill>
              </w:rPr>
            </w:pPr>
            <w:r>
              <w:rPr>
                <w:rFonts w:hint="default" w:ascii="Times New Roman" w:hAnsi="Times New Roman" w:eastAsia="宋体" w:cs="Times New Roman"/>
                <w:color w:val="000000" w:themeColor="text1"/>
                <w:sz w:val="24"/>
                <w:szCs w:val="24"/>
                <w:highlight w:val="none"/>
                <w:u w:val="none"/>
                <w:lang w:val="en-US" w:eastAsia="zh-CN"/>
                <w14:textFill>
                  <w14:solidFill>
                    <w14:schemeClr w14:val="tx1"/>
                  </w14:solidFill>
                </w14:textFill>
              </w:rPr>
              <w:t>内蒙古锡林郭勒盟正蓝旗上都镇巴彦高勒嘎查</w:t>
            </w:r>
          </w:p>
        </w:tc>
      </w:tr>
      <w:tr w14:paraId="123D10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0173D08D">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地理坐标</w:t>
            </w:r>
          </w:p>
        </w:tc>
        <w:tc>
          <w:tcPr>
            <w:tcW w:w="7052"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49CCE85C">
            <w:pPr>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u w:val="none"/>
                <w14:textFill>
                  <w14:solidFill>
                    <w14:schemeClr w14:val="tx1"/>
                  </w14:solidFill>
                </w14:textFill>
              </w:rPr>
              <w:t>（</w:t>
            </w:r>
            <w:r>
              <w:rPr>
                <w:rFonts w:hint="default" w:ascii="Times New Roman" w:hAnsi="Times New Roman" w:eastAsia="宋体" w:cs="Times New Roman"/>
                <w:color w:val="000000" w:themeColor="text1"/>
                <w:sz w:val="24"/>
                <w:szCs w:val="24"/>
                <w:highlight w:val="none"/>
                <w:u w:val="none"/>
                <w:lang w:eastAsia="zh-CN"/>
                <w14:textFill>
                  <w14:solidFill>
                    <w14:schemeClr w14:val="tx1"/>
                  </w14:solidFill>
                </w14:textFill>
              </w:rPr>
              <w:t>北纬</w:t>
            </w:r>
            <w:r>
              <w:rPr>
                <w:rFonts w:hint="default" w:ascii="Times New Roman" w:hAnsi="Times New Roman" w:eastAsia="宋体" w:cs="Times New Roman"/>
                <w:color w:val="000000" w:themeColor="text1"/>
                <w:sz w:val="24"/>
                <w:szCs w:val="24"/>
                <w:highlight w:val="none"/>
                <w:u w:val="none"/>
                <w:lang w:val="en-US" w:eastAsia="zh-CN"/>
                <w14:textFill>
                  <w14:solidFill>
                    <w14:schemeClr w14:val="tx1"/>
                  </w14:solidFill>
                </w14:textFill>
              </w:rPr>
              <w:t>4</w:t>
            </w:r>
            <w:r>
              <w:rPr>
                <w:rFonts w:hint="eastAsia" w:ascii="Times New Roman" w:hAnsi="Times New Roman" w:cs="Times New Roman"/>
                <w:color w:val="000000" w:themeColor="text1"/>
                <w:sz w:val="24"/>
                <w:szCs w:val="24"/>
                <w:highlight w:val="none"/>
                <w:u w:val="none"/>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highlight w:val="none"/>
                <w:u w:val="none"/>
                <w14:textFill>
                  <w14:solidFill>
                    <w14:schemeClr w14:val="tx1"/>
                  </w14:solidFill>
                </w14:textFill>
              </w:rPr>
              <w:t>度</w:t>
            </w:r>
            <w:r>
              <w:rPr>
                <w:rFonts w:hint="eastAsia" w:ascii="Times New Roman" w:hAnsi="Times New Roman" w:cs="Times New Roman"/>
                <w:color w:val="000000" w:themeColor="text1"/>
                <w:sz w:val="24"/>
                <w:szCs w:val="24"/>
                <w:highlight w:val="none"/>
                <w:u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szCs w:val="24"/>
                <w:highlight w:val="none"/>
                <w:u w:val="none"/>
                <w14:textFill>
                  <w14:solidFill>
                    <w14:schemeClr w14:val="tx1"/>
                  </w14:solidFill>
                </w14:textFill>
              </w:rPr>
              <w:t>分</w:t>
            </w:r>
            <w:r>
              <w:rPr>
                <w:rFonts w:hint="eastAsia" w:ascii="Times New Roman" w:hAnsi="Times New Roman" w:cs="Times New Roman"/>
                <w:color w:val="000000" w:themeColor="text1"/>
                <w:sz w:val="24"/>
                <w:szCs w:val="24"/>
                <w:highlight w:val="none"/>
                <w:u w:val="none"/>
                <w:lang w:val="en-US" w:eastAsia="zh-CN"/>
                <w14:textFill>
                  <w14:solidFill>
                    <w14:schemeClr w14:val="tx1"/>
                  </w14:solidFill>
                </w14:textFill>
              </w:rPr>
              <w:t>55.362</w:t>
            </w:r>
            <w:r>
              <w:rPr>
                <w:rFonts w:hint="default" w:ascii="Times New Roman" w:hAnsi="Times New Roman" w:eastAsia="宋体" w:cs="Times New Roman"/>
                <w:color w:val="000000" w:themeColor="text1"/>
                <w:sz w:val="24"/>
                <w:szCs w:val="24"/>
                <w:highlight w:val="none"/>
                <w:u w:val="none"/>
                <w14:textFill>
                  <w14:solidFill>
                    <w14:schemeClr w14:val="tx1"/>
                  </w14:solidFill>
                </w14:textFill>
              </w:rPr>
              <w:t>秒，</w:t>
            </w:r>
            <w:r>
              <w:rPr>
                <w:rFonts w:hint="default" w:ascii="Times New Roman" w:hAnsi="Times New Roman" w:eastAsia="宋体" w:cs="Times New Roman"/>
                <w:color w:val="000000" w:themeColor="text1"/>
                <w:sz w:val="24"/>
                <w:szCs w:val="24"/>
                <w:highlight w:val="none"/>
                <w:u w:val="none"/>
                <w:lang w:eastAsia="zh-CN"/>
                <w14:textFill>
                  <w14:solidFill>
                    <w14:schemeClr w14:val="tx1"/>
                  </w14:solidFill>
                </w14:textFill>
              </w:rPr>
              <w:t>东经</w:t>
            </w:r>
            <w:r>
              <w:rPr>
                <w:rFonts w:hint="default" w:ascii="Times New Roman" w:hAnsi="Times New Roman" w:eastAsia="宋体" w:cs="Times New Roman"/>
                <w:color w:val="000000" w:themeColor="text1"/>
                <w:sz w:val="24"/>
                <w:szCs w:val="24"/>
                <w:highlight w:val="none"/>
                <w:u w:val="none"/>
                <w:lang w:val="en-US" w:eastAsia="zh-CN"/>
                <w14:textFill>
                  <w14:solidFill>
                    <w14:schemeClr w14:val="tx1"/>
                  </w14:solidFill>
                </w14:textFill>
              </w:rPr>
              <w:t>11</w:t>
            </w:r>
            <w:r>
              <w:rPr>
                <w:rFonts w:hint="eastAsia" w:ascii="Times New Roman" w:hAnsi="Times New Roman" w:cs="Times New Roman"/>
                <w:color w:val="000000" w:themeColor="text1"/>
                <w:sz w:val="24"/>
                <w:szCs w:val="24"/>
                <w:highlight w:val="none"/>
                <w:u w:val="none"/>
                <w:lang w:val="en-US" w:eastAsia="zh-CN"/>
                <w14:textFill>
                  <w14:solidFill>
                    <w14:schemeClr w14:val="tx1"/>
                  </w14:solidFill>
                </w14:textFill>
              </w:rPr>
              <w:t>5</w:t>
            </w:r>
            <w:r>
              <w:rPr>
                <w:rFonts w:hint="default" w:ascii="Times New Roman" w:hAnsi="Times New Roman" w:eastAsia="宋体" w:cs="Times New Roman"/>
                <w:color w:val="000000" w:themeColor="text1"/>
                <w:sz w:val="24"/>
                <w:szCs w:val="24"/>
                <w:highlight w:val="none"/>
                <w:u w:val="none"/>
                <w14:textFill>
                  <w14:solidFill>
                    <w14:schemeClr w14:val="tx1"/>
                  </w14:solidFill>
                </w14:textFill>
              </w:rPr>
              <w:t>度</w:t>
            </w:r>
            <w:r>
              <w:rPr>
                <w:rFonts w:hint="eastAsia" w:ascii="Times New Roman" w:hAnsi="Times New Roman" w:cs="Times New Roman"/>
                <w:color w:val="000000" w:themeColor="text1"/>
                <w:sz w:val="24"/>
                <w:szCs w:val="24"/>
                <w:highlight w:val="none"/>
                <w:u w:val="none"/>
                <w:lang w:val="en-US" w:eastAsia="zh-CN"/>
                <w14:textFill>
                  <w14:solidFill>
                    <w14:schemeClr w14:val="tx1"/>
                  </w14:solidFill>
                </w14:textFill>
              </w:rPr>
              <w:t>50</w:t>
            </w:r>
            <w:r>
              <w:rPr>
                <w:rFonts w:hint="default" w:ascii="Times New Roman" w:hAnsi="Times New Roman" w:eastAsia="宋体" w:cs="Times New Roman"/>
                <w:color w:val="000000" w:themeColor="text1"/>
                <w:sz w:val="24"/>
                <w:szCs w:val="24"/>
                <w:highlight w:val="none"/>
                <w:u w:val="none"/>
                <w14:textFill>
                  <w14:solidFill>
                    <w14:schemeClr w14:val="tx1"/>
                  </w14:solidFill>
                </w14:textFill>
              </w:rPr>
              <w:t>分</w:t>
            </w:r>
            <w:r>
              <w:rPr>
                <w:rFonts w:hint="eastAsia" w:ascii="Times New Roman" w:hAnsi="Times New Roman" w:cs="Times New Roman"/>
                <w:color w:val="000000" w:themeColor="text1"/>
                <w:sz w:val="24"/>
                <w:szCs w:val="24"/>
                <w:highlight w:val="none"/>
                <w:u w:val="none"/>
                <w:lang w:val="en-US" w:eastAsia="zh-CN"/>
                <w14:textFill>
                  <w14:solidFill>
                    <w14:schemeClr w14:val="tx1"/>
                  </w14:solidFill>
                </w14:textFill>
              </w:rPr>
              <w:t>27.683</w:t>
            </w:r>
            <w:r>
              <w:rPr>
                <w:rFonts w:hint="default" w:ascii="Times New Roman" w:hAnsi="Times New Roman" w:eastAsia="宋体" w:cs="Times New Roman"/>
                <w:color w:val="000000" w:themeColor="text1"/>
                <w:sz w:val="24"/>
                <w:szCs w:val="24"/>
                <w:highlight w:val="none"/>
                <w:u w:val="none"/>
                <w14:textFill>
                  <w14:solidFill>
                    <w14:schemeClr w14:val="tx1"/>
                  </w14:solidFill>
                </w14:textFill>
              </w:rPr>
              <w:t>秒）</w:t>
            </w:r>
          </w:p>
        </w:tc>
      </w:tr>
      <w:tr w14:paraId="2D82EE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32378E12">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国民经济</w:t>
            </w:r>
          </w:p>
          <w:p w14:paraId="57F155B4">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行业类别</w:t>
            </w:r>
          </w:p>
        </w:tc>
        <w:tc>
          <w:tcPr>
            <w:tcW w:w="21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268FB24">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C30</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99</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其他</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非金属矿物制品制造</w:t>
            </w:r>
          </w:p>
        </w:tc>
        <w:tc>
          <w:tcPr>
            <w:tcW w:w="20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BE2B9E2">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bookmarkStart w:id="0" w:name="_Hlk49843745"/>
            <w:r>
              <w:rPr>
                <w:rFonts w:hint="default" w:ascii="Times New Roman" w:hAnsi="Times New Roman" w:eastAsia="宋体" w:cs="Times New Roman"/>
                <w:color w:val="000000" w:themeColor="text1"/>
                <w:sz w:val="24"/>
                <w:szCs w:val="24"/>
                <w:highlight w:val="none"/>
                <w14:textFill>
                  <w14:solidFill>
                    <w14:schemeClr w14:val="tx1"/>
                  </w14:solidFill>
                </w14:textFill>
              </w:rPr>
              <w:t>建设项目</w:t>
            </w:r>
          </w:p>
          <w:p w14:paraId="411AF098">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行业类别</w:t>
            </w:r>
            <w:bookmarkEnd w:id="0"/>
          </w:p>
        </w:tc>
        <w:tc>
          <w:tcPr>
            <w:tcW w:w="291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672B3F71">
            <w:pPr>
              <w:adjustRightInd w:val="0"/>
              <w:snapToGrid w:val="0"/>
              <w:spacing w:beforeLines="0" w:afterLines="0"/>
              <w:ind w:left="0" w:leftChars="0" w:right="0" w:rightChars="0" w:firstLine="0" w:firstLineChars="0"/>
              <w:jc w:val="left"/>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二十七、非金属矿物制品业30，第60项、石墨及其他非金属矿物制品制造309中其他</w:t>
            </w:r>
          </w:p>
        </w:tc>
      </w:tr>
      <w:tr w14:paraId="0742D4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0013582F">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建设性质</w:t>
            </w:r>
          </w:p>
        </w:tc>
        <w:tc>
          <w:tcPr>
            <w:tcW w:w="21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27EF100">
            <w:pPr>
              <w:spacing w:beforeLines="0" w:afterLines="0"/>
              <w:jc w:val="left"/>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FE"/>
            </w:r>
            <w:r>
              <w:rPr>
                <w:rFonts w:hint="default" w:ascii="Times New Roman" w:hAnsi="Times New Roman" w:eastAsia="宋体" w:cs="Times New Roman"/>
                <w:color w:val="000000" w:themeColor="text1"/>
                <w:sz w:val="24"/>
                <w:szCs w:val="24"/>
                <w:highlight w:val="none"/>
                <w14:textFill>
                  <w14:solidFill>
                    <w14:schemeClr w14:val="tx1"/>
                  </w14:solidFill>
                </w14:textFill>
              </w:rPr>
              <w:t>新建（迁建）</w:t>
            </w:r>
          </w:p>
          <w:p w14:paraId="2C2AED50">
            <w:pPr>
              <w:spacing w:beforeLines="0" w:afterLines="0"/>
              <w:jc w:val="left"/>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A8"/>
            </w:r>
            <w:r>
              <w:rPr>
                <w:rFonts w:hint="default" w:ascii="Times New Roman" w:hAnsi="Times New Roman" w:eastAsia="宋体" w:cs="Times New Roman"/>
                <w:color w:val="000000" w:themeColor="text1"/>
                <w:sz w:val="24"/>
                <w:szCs w:val="24"/>
                <w:highlight w:val="none"/>
                <w14:textFill>
                  <w14:solidFill>
                    <w14:schemeClr w14:val="tx1"/>
                  </w14:solidFill>
                </w14:textFill>
              </w:rPr>
              <w:t>改建</w:t>
            </w:r>
          </w:p>
          <w:p w14:paraId="254D40C7">
            <w:pPr>
              <w:spacing w:beforeLines="0" w:afterLines="0"/>
              <w:jc w:val="left"/>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A8"/>
            </w:r>
            <w:r>
              <w:rPr>
                <w:rFonts w:hint="default" w:ascii="Times New Roman" w:hAnsi="Times New Roman" w:eastAsia="宋体" w:cs="Times New Roman"/>
                <w:color w:val="000000" w:themeColor="text1"/>
                <w:sz w:val="24"/>
                <w:szCs w:val="24"/>
                <w:highlight w:val="none"/>
                <w14:textFill>
                  <w14:solidFill>
                    <w14:schemeClr w14:val="tx1"/>
                  </w14:solidFill>
                </w14:textFill>
              </w:rPr>
              <w:t>扩建</w:t>
            </w:r>
          </w:p>
          <w:p w14:paraId="0059D0EC">
            <w:pPr>
              <w:spacing w:beforeLines="0" w:afterLines="0"/>
              <w:jc w:val="left"/>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A8"/>
            </w:r>
            <w:r>
              <w:rPr>
                <w:rFonts w:hint="default" w:ascii="Times New Roman" w:hAnsi="Times New Roman" w:eastAsia="宋体" w:cs="Times New Roman"/>
                <w:color w:val="000000" w:themeColor="text1"/>
                <w:sz w:val="24"/>
                <w:szCs w:val="24"/>
                <w:highlight w:val="none"/>
                <w14:textFill>
                  <w14:solidFill>
                    <w14:schemeClr w14:val="tx1"/>
                  </w14:solidFill>
                </w14:textFill>
              </w:rPr>
              <w:t>技术改造</w:t>
            </w:r>
          </w:p>
        </w:tc>
        <w:tc>
          <w:tcPr>
            <w:tcW w:w="20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966A16C">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建设项目</w:t>
            </w:r>
          </w:p>
          <w:p w14:paraId="3C55CF55">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申报情形</w:t>
            </w:r>
          </w:p>
        </w:tc>
        <w:tc>
          <w:tcPr>
            <w:tcW w:w="291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5A4B640D">
            <w:pPr>
              <w:spacing w:beforeLines="0" w:afterLines="0"/>
              <w:jc w:val="left"/>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FE"/>
            </w:r>
            <w:r>
              <w:rPr>
                <w:rFonts w:hint="default" w:ascii="Times New Roman" w:hAnsi="Times New Roman" w:eastAsia="宋体" w:cs="Times New Roman"/>
                <w:color w:val="000000" w:themeColor="text1"/>
                <w:sz w:val="24"/>
                <w:szCs w:val="24"/>
                <w:highlight w:val="none"/>
                <w14:textFill>
                  <w14:solidFill>
                    <w14:schemeClr w14:val="tx1"/>
                  </w14:solidFill>
                </w14:textFill>
              </w:rPr>
              <w:t>首次申报项目</w:t>
            </w:r>
          </w:p>
          <w:p w14:paraId="26147F74">
            <w:pPr>
              <w:spacing w:beforeLines="0" w:afterLines="0"/>
              <w:jc w:val="left"/>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A8"/>
            </w:r>
            <w:r>
              <w:rPr>
                <w:rFonts w:hint="default" w:ascii="Times New Roman" w:hAnsi="Times New Roman" w:eastAsia="宋体" w:cs="Times New Roman"/>
                <w:color w:val="000000" w:themeColor="text1"/>
                <w:sz w:val="24"/>
                <w:szCs w:val="24"/>
                <w:highlight w:val="none"/>
                <w14:textFill>
                  <w14:solidFill>
                    <w14:schemeClr w14:val="tx1"/>
                  </w14:solidFill>
                </w14:textFill>
              </w:rPr>
              <w:t>不予批准后再次申报项目</w:t>
            </w:r>
          </w:p>
          <w:p w14:paraId="7859260C">
            <w:pPr>
              <w:spacing w:beforeLines="0" w:afterLines="0"/>
              <w:jc w:val="left"/>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A8"/>
            </w:r>
            <w:r>
              <w:rPr>
                <w:rFonts w:hint="default" w:ascii="Times New Roman" w:hAnsi="Times New Roman" w:eastAsia="宋体" w:cs="Times New Roman"/>
                <w:color w:val="000000" w:themeColor="text1"/>
                <w:sz w:val="24"/>
                <w:szCs w:val="24"/>
                <w:highlight w:val="none"/>
                <w14:textFill>
                  <w14:solidFill>
                    <w14:schemeClr w14:val="tx1"/>
                  </w14:solidFill>
                </w14:textFill>
              </w:rPr>
              <w:t>超五年重新审核项目</w:t>
            </w:r>
          </w:p>
          <w:p w14:paraId="09D65C1E">
            <w:pPr>
              <w:spacing w:beforeLines="0" w:afterLines="0"/>
              <w:jc w:val="left"/>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A8"/>
            </w:r>
            <w:r>
              <w:rPr>
                <w:rFonts w:hint="default" w:ascii="Times New Roman" w:hAnsi="Times New Roman" w:eastAsia="宋体" w:cs="Times New Roman"/>
                <w:color w:val="000000" w:themeColor="text1"/>
                <w:sz w:val="24"/>
                <w:szCs w:val="24"/>
                <w:highlight w:val="none"/>
                <w14:textFill>
                  <w14:solidFill>
                    <w14:schemeClr w14:val="tx1"/>
                  </w14:solidFill>
                </w14:textFill>
              </w:rPr>
              <w:t>重大变动重新报批项目</w:t>
            </w:r>
          </w:p>
        </w:tc>
      </w:tr>
      <w:tr w14:paraId="079263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6675FB01">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项目审批（核准/</w:t>
            </w:r>
          </w:p>
          <w:p w14:paraId="2859BD04">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备案）部门（选填）</w:t>
            </w:r>
          </w:p>
        </w:tc>
        <w:tc>
          <w:tcPr>
            <w:tcW w:w="21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3398B6D">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正蓝旗发展和改革委员会</w:t>
            </w:r>
          </w:p>
        </w:tc>
        <w:tc>
          <w:tcPr>
            <w:tcW w:w="20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444FACD">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项目审批（核准/</w:t>
            </w:r>
          </w:p>
          <w:p w14:paraId="562518E4">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备案）文号（选填）</w:t>
            </w:r>
          </w:p>
        </w:tc>
        <w:tc>
          <w:tcPr>
            <w:tcW w:w="291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25A1FAD6">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2602-152530-04-05-817385</w:t>
            </w:r>
          </w:p>
        </w:tc>
      </w:tr>
      <w:tr w14:paraId="38A973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26240FAF">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总投资（万元）</w:t>
            </w:r>
          </w:p>
        </w:tc>
        <w:tc>
          <w:tcPr>
            <w:tcW w:w="21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73E7748">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1500</w:t>
            </w:r>
          </w:p>
        </w:tc>
        <w:tc>
          <w:tcPr>
            <w:tcW w:w="2000" w:type="dxa"/>
            <w:tcBorders>
              <w:top w:val="single" w:color="auto" w:sz="4" w:space="0"/>
              <w:left w:val="single" w:color="auto" w:sz="4" w:space="0"/>
              <w:bottom w:val="single" w:color="auto" w:sz="4" w:space="0"/>
              <w:right w:val="single" w:color="auto" w:sz="4" w:space="0"/>
              <w:tl2br w:val="nil"/>
              <w:tr2bl w:val="nil"/>
            </w:tcBorders>
            <w:noWrap w:val="0"/>
            <w:tcMar>
              <w:top w:w="16" w:type="dxa"/>
              <w:left w:w="16" w:type="dxa"/>
              <w:right w:w="16" w:type="dxa"/>
            </w:tcMar>
            <w:vAlign w:val="center"/>
          </w:tcPr>
          <w:p w14:paraId="48934DE2">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环保投资（万元）</w:t>
            </w:r>
          </w:p>
        </w:tc>
        <w:tc>
          <w:tcPr>
            <w:tcW w:w="291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4F9636D1">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65</w:t>
            </w:r>
          </w:p>
        </w:tc>
      </w:tr>
      <w:tr w14:paraId="357EB3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0E367148">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环保投资占比（%）</w:t>
            </w:r>
          </w:p>
        </w:tc>
        <w:tc>
          <w:tcPr>
            <w:tcW w:w="21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5910379">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4.3</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p>
        </w:tc>
        <w:tc>
          <w:tcPr>
            <w:tcW w:w="2000" w:type="dxa"/>
            <w:tcBorders>
              <w:top w:val="single" w:color="auto" w:sz="4" w:space="0"/>
              <w:left w:val="single" w:color="auto" w:sz="4" w:space="0"/>
              <w:bottom w:val="single" w:color="auto" w:sz="4" w:space="0"/>
              <w:right w:val="single" w:color="auto" w:sz="4" w:space="0"/>
              <w:tl2br w:val="nil"/>
              <w:tr2bl w:val="nil"/>
            </w:tcBorders>
            <w:noWrap w:val="0"/>
            <w:tcMar>
              <w:top w:w="16" w:type="dxa"/>
              <w:left w:w="16" w:type="dxa"/>
              <w:right w:w="16" w:type="dxa"/>
            </w:tcMar>
            <w:vAlign w:val="center"/>
          </w:tcPr>
          <w:p w14:paraId="60268989">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施工工期</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/月</w:t>
            </w:r>
          </w:p>
        </w:tc>
        <w:tc>
          <w:tcPr>
            <w:tcW w:w="291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571B1349">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2</w:t>
            </w:r>
          </w:p>
        </w:tc>
      </w:tr>
      <w:tr w14:paraId="4FE490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46EA9BB1">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是否开工建设</w:t>
            </w:r>
          </w:p>
        </w:tc>
        <w:tc>
          <w:tcPr>
            <w:tcW w:w="21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8DA97F7">
            <w:pPr>
              <w:adjustRightInd w:val="0"/>
              <w:snapToGrid w:val="0"/>
              <w:spacing w:beforeLines="0" w:afterLines="0"/>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FE"/>
            </w:r>
            <w:r>
              <w:rPr>
                <w:rFonts w:hint="default" w:ascii="Times New Roman" w:hAnsi="Times New Roman" w:eastAsia="宋体" w:cs="Times New Roman"/>
                <w:color w:val="000000" w:themeColor="text1"/>
                <w:sz w:val="24"/>
                <w:szCs w:val="24"/>
                <w:highlight w:val="none"/>
                <w14:textFill>
                  <w14:solidFill>
                    <w14:schemeClr w14:val="tx1"/>
                  </w14:solidFill>
                </w14:textFill>
              </w:rPr>
              <w:t>否</w:t>
            </w:r>
          </w:p>
          <w:p w14:paraId="3A29E9F0">
            <w:pPr>
              <w:adjustRightInd w:val="0"/>
              <w:snapToGrid w:val="0"/>
              <w:spacing w:beforeLines="0" w:afterLines="0"/>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sym w:font="Wingdings" w:char="00A8"/>
            </w:r>
            <w:r>
              <w:rPr>
                <w:rFonts w:hint="default" w:ascii="Times New Roman" w:hAnsi="Times New Roman" w:eastAsia="宋体" w:cs="Times New Roman"/>
                <w:color w:val="000000" w:themeColor="text1"/>
                <w:sz w:val="24"/>
                <w:szCs w:val="24"/>
                <w:highlight w:val="none"/>
                <w14:textFill>
                  <w14:solidFill>
                    <w14:schemeClr w14:val="tx1"/>
                  </w14:solidFill>
                </w14:textFill>
              </w:rPr>
              <w:t>是：</w:t>
            </w:r>
            <w:r>
              <w:rPr>
                <w:rFonts w:hint="default" w:ascii="Times New Roman" w:hAnsi="Times New Roman" w:eastAsia="宋体" w:cs="Times New Roman"/>
                <w:color w:val="000000" w:themeColor="text1"/>
                <w:sz w:val="24"/>
                <w:szCs w:val="24"/>
                <w:highlight w:val="none"/>
                <w:u w:val="single"/>
                <w14:textFill>
                  <w14:solidFill>
                    <w14:schemeClr w14:val="tx1"/>
                  </w14:solidFill>
                </w14:textFill>
              </w:rPr>
              <w:t xml:space="preserve">             </w:t>
            </w:r>
          </w:p>
        </w:tc>
        <w:tc>
          <w:tcPr>
            <w:tcW w:w="2000" w:type="dxa"/>
            <w:tcBorders>
              <w:top w:val="single" w:color="auto" w:sz="4" w:space="0"/>
              <w:left w:val="single" w:color="auto" w:sz="4" w:space="0"/>
              <w:bottom w:val="single" w:color="auto" w:sz="4" w:space="0"/>
              <w:right w:val="single" w:color="auto" w:sz="4" w:space="0"/>
              <w:tl2br w:val="nil"/>
              <w:tr2bl w:val="nil"/>
            </w:tcBorders>
            <w:noWrap w:val="0"/>
            <w:tcMar>
              <w:top w:w="16" w:type="dxa"/>
              <w:left w:w="16" w:type="dxa"/>
              <w:right w:w="16" w:type="dxa"/>
            </w:tcMar>
            <w:vAlign w:val="center"/>
          </w:tcPr>
          <w:p w14:paraId="4307B39A">
            <w:pPr>
              <w:adjustRightInd w:val="0"/>
              <w:snapToGrid w:val="0"/>
              <w:spacing w:beforeLines="0" w:afterLines="0"/>
              <w:jc w:val="center"/>
              <w:rPr>
                <w:rFonts w:hint="default" w:ascii="Times New Roman" w:hAnsi="Times New Roman" w:eastAsia="宋体" w:cs="Times New Roman"/>
                <w:color w:val="000000" w:themeColor="text1"/>
                <w:spacing w:val="-6"/>
                <w:sz w:val="24"/>
                <w:szCs w:val="24"/>
                <w:highlight w:val="none"/>
                <w14:textFill>
                  <w14:solidFill>
                    <w14:schemeClr w14:val="tx1"/>
                  </w14:solidFill>
                </w14:textFill>
              </w:rPr>
            </w:pPr>
            <w:r>
              <w:rPr>
                <w:rFonts w:hint="default" w:ascii="Times New Roman" w:hAnsi="Times New Roman" w:eastAsia="宋体" w:cs="Times New Roman"/>
                <w:color w:val="000000" w:themeColor="text1"/>
                <w:spacing w:val="-6"/>
                <w:sz w:val="24"/>
                <w:szCs w:val="24"/>
                <w:highlight w:val="none"/>
                <w14:textFill>
                  <w14:solidFill>
                    <w14:schemeClr w14:val="tx1"/>
                  </w14:solidFill>
                </w14:textFill>
              </w:rPr>
              <w:t>用地（用海）</w:t>
            </w:r>
          </w:p>
          <w:p w14:paraId="6254566A">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pacing w:val="-6"/>
                <w:sz w:val="24"/>
                <w:szCs w:val="24"/>
                <w:highlight w:val="none"/>
                <w14:textFill>
                  <w14:solidFill>
                    <w14:schemeClr w14:val="tx1"/>
                  </w14:solidFill>
                </w14:textFill>
              </w:rPr>
              <w:t>面积（m</w:t>
            </w:r>
            <w:r>
              <w:rPr>
                <w:rFonts w:hint="default" w:ascii="Times New Roman" w:hAnsi="Times New Roman" w:eastAsia="宋体" w:cs="Times New Roman"/>
                <w:color w:val="000000" w:themeColor="text1"/>
                <w:spacing w:val="-6"/>
                <w:sz w:val="24"/>
                <w:szCs w:val="24"/>
                <w:highlight w:val="none"/>
                <w:vertAlign w:val="superscript"/>
                <w14:textFill>
                  <w14:solidFill>
                    <w14:schemeClr w14:val="tx1"/>
                  </w14:solidFill>
                </w14:textFill>
              </w:rPr>
              <w:t>2</w:t>
            </w:r>
            <w:r>
              <w:rPr>
                <w:rFonts w:hint="default" w:ascii="Times New Roman" w:hAnsi="Times New Roman" w:eastAsia="宋体" w:cs="Times New Roman"/>
                <w:color w:val="000000" w:themeColor="text1"/>
                <w:spacing w:val="-6"/>
                <w:sz w:val="24"/>
                <w:szCs w:val="24"/>
                <w:highlight w:val="none"/>
                <w14:textFill>
                  <w14:solidFill>
                    <w14:schemeClr w14:val="tx1"/>
                  </w14:solidFill>
                </w14:textFill>
              </w:rPr>
              <w:t>）</w:t>
            </w:r>
          </w:p>
        </w:tc>
        <w:tc>
          <w:tcPr>
            <w:tcW w:w="291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3496C946">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总占地面积约27500m</w:t>
            </w:r>
            <w:r>
              <w:rPr>
                <w:rFonts w:hint="eastAsia"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2</w:t>
            </w:r>
          </w:p>
        </w:tc>
      </w:tr>
      <w:tr w14:paraId="03283D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61"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vAlign w:val="center"/>
          </w:tcPr>
          <w:p w14:paraId="2E3DE786">
            <w:pPr>
              <w:autoSpaceDE w:val="0"/>
              <w:autoSpaceDN w:val="0"/>
              <w:adjustRightInd w:val="0"/>
              <w:snapToGrid w:val="0"/>
              <w:spacing w:beforeLines="0" w:afterLines="0"/>
              <w:jc w:val="center"/>
              <w:rPr>
                <w:rFonts w:hint="default" w:ascii="Times New Roman" w:hAnsi="Times New Roman" w:eastAsia="宋体" w:cs="Times New Roman"/>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color w:val="000000" w:themeColor="text1"/>
                <w:kern w:val="0"/>
                <w:sz w:val="24"/>
                <w:szCs w:val="24"/>
                <w:highlight w:val="none"/>
                <w14:textFill>
                  <w14:solidFill>
                    <w14:schemeClr w14:val="tx1"/>
                  </w14:solidFill>
                </w14:textFill>
              </w:rPr>
              <w:t>专项评价设置情况</w:t>
            </w:r>
          </w:p>
        </w:tc>
        <w:tc>
          <w:tcPr>
            <w:tcW w:w="7052"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6CC4FBE7">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left"/>
              <w:textAlignment w:val="auto"/>
              <w:rPr>
                <w:rFonts w:hint="eastAsia" w:ascii="Times New Roman" w:hAnsi="Times New Roman" w:eastAsia="宋体" w:cs="Times New Roman"/>
                <w:color w:val="000000" w:themeColor="text1"/>
                <w:spacing w:val="0"/>
                <w:kern w:val="0"/>
                <w:sz w:val="24"/>
                <w:lang w:eastAsia="zh-CN"/>
                <w14:textFill>
                  <w14:solidFill>
                    <w14:schemeClr w14:val="tx1"/>
                  </w14:solidFill>
                </w14:textFill>
              </w:rPr>
            </w:pPr>
            <w:r>
              <w:rPr>
                <w:rFonts w:hint="eastAsia" w:ascii="Times New Roman" w:hAnsi="Times New Roman" w:eastAsia="宋体" w:cs="Times New Roman"/>
                <w:color w:val="000000" w:themeColor="text1"/>
                <w:spacing w:val="0"/>
                <w:kern w:val="0"/>
                <w:sz w:val="24"/>
                <w:lang w:eastAsia="zh-CN"/>
                <w14:textFill>
                  <w14:solidFill>
                    <w14:schemeClr w14:val="tx1"/>
                  </w14:solidFill>
                </w14:textFill>
              </w:rPr>
              <w:t>根据《建设项目环境影响报告表编制技术指南（污染影响类）（试行）》中专项评价设置原则表，确定本项目专题设置情况如下：</w:t>
            </w:r>
          </w:p>
          <w:p w14:paraId="673D7A0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bCs/>
                <w:color w:val="000000" w:themeColor="text1"/>
                <w:kern w:val="0"/>
                <w:sz w:val="24"/>
                <w:lang w:eastAsia="zh-CN"/>
                <w14:textFill>
                  <w14:solidFill>
                    <w14:schemeClr w14:val="tx1"/>
                  </w14:solidFill>
                </w14:textFill>
              </w:rPr>
            </w:pPr>
            <w:r>
              <w:rPr>
                <w:rFonts w:hint="eastAsia" w:ascii="Times New Roman" w:hAnsi="Times New Roman" w:eastAsia="宋体" w:cs="Times New Roman"/>
                <w:b/>
                <w:bCs/>
                <w:color w:val="000000" w:themeColor="text1"/>
                <w:spacing w:val="0"/>
                <w:kern w:val="0"/>
                <w:sz w:val="24"/>
                <w:lang w:eastAsia="zh-CN"/>
                <w14:textFill>
                  <w14:solidFill>
                    <w14:schemeClr w14:val="tx1"/>
                  </w14:solidFill>
                </w14:textFill>
              </w:rPr>
              <w:t>表1-1</w:t>
            </w:r>
            <w:r>
              <w:rPr>
                <w:rFonts w:hint="eastAsia" w:cs="Times New Roman"/>
                <w:b/>
                <w:bCs/>
                <w:color w:val="000000" w:themeColor="text1"/>
                <w:spacing w:val="0"/>
                <w:kern w:val="0"/>
                <w:sz w:val="24"/>
                <w:lang w:val="en-US" w:eastAsia="zh-CN"/>
                <w14:textFill>
                  <w14:solidFill>
                    <w14:schemeClr w14:val="tx1"/>
                  </w14:solidFill>
                </w14:textFill>
              </w:rPr>
              <w:t xml:space="preserve">  </w:t>
            </w:r>
            <w:r>
              <w:rPr>
                <w:rFonts w:hint="eastAsia" w:ascii="Times New Roman" w:hAnsi="Times New Roman" w:eastAsia="宋体" w:cs="Times New Roman"/>
                <w:b/>
                <w:bCs/>
                <w:color w:val="000000" w:themeColor="text1"/>
                <w:spacing w:val="0"/>
                <w:kern w:val="0"/>
                <w:sz w:val="24"/>
                <w:lang w:eastAsia="zh-CN"/>
                <w14:textFill>
                  <w14:solidFill>
                    <w14:schemeClr w14:val="tx1"/>
                  </w14:solidFill>
                </w14:textFill>
              </w:rPr>
              <w:t>本项目专题设置分析表</w:t>
            </w:r>
          </w:p>
          <w:tbl>
            <w:tblPr>
              <w:tblStyle w:val="25"/>
              <w:tblW w:w="4997" w:type="pct"/>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3"/>
              <w:gridCol w:w="3197"/>
              <w:gridCol w:w="1788"/>
              <w:gridCol w:w="1084"/>
            </w:tblGrid>
            <w:tr w14:paraId="78481E5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551" w:type="pct"/>
                  <w:tcBorders>
                    <w:tl2br w:val="nil"/>
                    <w:tr2bl w:val="nil"/>
                  </w:tcBorders>
                  <w:noWrap w:val="0"/>
                  <w:vAlign w:val="center"/>
                </w:tcPr>
                <w:p w14:paraId="24B2B559">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类别</w:t>
                  </w:r>
                </w:p>
              </w:tc>
              <w:tc>
                <w:tcPr>
                  <w:tcW w:w="2343" w:type="pct"/>
                  <w:tcBorders>
                    <w:tl2br w:val="nil"/>
                    <w:tr2bl w:val="nil"/>
                  </w:tcBorders>
                  <w:noWrap w:val="0"/>
                  <w:vAlign w:val="center"/>
                </w:tcPr>
                <w:p w14:paraId="26D3897A">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文件规定的设置原则</w:t>
                  </w:r>
                </w:p>
              </w:tc>
              <w:tc>
                <w:tcPr>
                  <w:tcW w:w="1310" w:type="pct"/>
                  <w:tcBorders>
                    <w:tl2br w:val="nil"/>
                    <w:tr2bl w:val="nil"/>
                  </w:tcBorders>
                  <w:noWrap w:val="0"/>
                  <w:vAlign w:val="center"/>
                </w:tcPr>
                <w:p w14:paraId="7253C2A6">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本项目情况</w:t>
                  </w:r>
                </w:p>
              </w:tc>
              <w:tc>
                <w:tcPr>
                  <w:tcW w:w="794" w:type="pct"/>
                  <w:tcBorders>
                    <w:tl2br w:val="nil"/>
                    <w:tr2bl w:val="nil"/>
                  </w:tcBorders>
                  <w:noWrap w:val="0"/>
                  <w:vAlign w:val="center"/>
                </w:tcPr>
                <w:p w14:paraId="1AB9FE1C">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设置情况</w:t>
                  </w:r>
                </w:p>
              </w:tc>
            </w:tr>
            <w:tr w14:paraId="22C94CD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jc w:val="center"/>
              </w:trPr>
              <w:tc>
                <w:tcPr>
                  <w:tcW w:w="551" w:type="pct"/>
                  <w:tcBorders>
                    <w:tl2br w:val="nil"/>
                    <w:tr2bl w:val="nil"/>
                  </w:tcBorders>
                  <w:noWrap w:val="0"/>
                  <w:vAlign w:val="center"/>
                </w:tcPr>
                <w:p w14:paraId="38FBD884">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大气</w:t>
                  </w:r>
                </w:p>
              </w:tc>
              <w:tc>
                <w:tcPr>
                  <w:tcW w:w="2343" w:type="pct"/>
                  <w:tcBorders>
                    <w:tl2br w:val="nil"/>
                    <w:tr2bl w:val="nil"/>
                  </w:tcBorders>
                  <w:noWrap w:val="0"/>
                  <w:vAlign w:val="center"/>
                </w:tcPr>
                <w:p w14:paraId="4CFFCD11">
                  <w:pPr>
                    <w:jc w:val="both"/>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0"/>
                      <w:sz w:val="21"/>
                      <w:szCs w:val="21"/>
                      <w14:textFill>
                        <w14:solidFill>
                          <w14:schemeClr w14:val="tx1"/>
                        </w14:solidFill>
                      </w14:textFill>
                    </w:rPr>
                    <w:t>排放废气含有毒有害污染物、二噁英、苯并[a]芘、氰化物、氯气且厂界外500米范围内有环境空气保护目标的建设项目</w:t>
                  </w:r>
                </w:p>
              </w:tc>
              <w:tc>
                <w:tcPr>
                  <w:tcW w:w="1310" w:type="pct"/>
                  <w:tcBorders>
                    <w:tl2br w:val="nil"/>
                    <w:tr2bl w:val="nil"/>
                  </w:tcBorders>
                  <w:noWrap w:val="0"/>
                  <w:vAlign w:val="center"/>
                </w:tcPr>
                <w:p w14:paraId="48809D2A">
                  <w:pPr>
                    <w:jc w:val="both"/>
                    <w:rPr>
                      <w:rFonts w:hint="eastAsia"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eastAsia" w:ascii="Times New Roman" w:hAnsi="Times New Roman" w:cs="Times New Roman"/>
                      <w:color w:val="000000" w:themeColor="text1"/>
                      <w:spacing w:val="0"/>
                      <w:kern w:val="0"/>
                      <w:sz w:val="21"/>
                      <w:szCs w:val="21"/>
                      <w:lang w:val="en-US" w:eastAsia="zh-CN"/>
                      <w14:textFill>
                        <w14:solidFill>
                          <w14:schemeClr w14:val="tx1"/>
                        </w14:solidFill>
                      </w14:textFill>
                    </w:rPr>
                    <w:t>本项目不产生</w:t>
                  </w:r>
                  <w:r>
                    <w:rPr>
                      <w:rFonts w:hint="default" w:ascii="Times New Roman" w:hAnsi="Times New Roman" w:eastAsia="宋体" w:cs="Times New Roman"/>
                      <w:color w:val="000000" w:themeColor="text1"/>
                      <w:spacing w:val="0"/>
                      <w:kern w:val="0"/>
                      <w:sz w:val="21"/>
                      <w:szCs w:val="21"/>
                      <w14:textFill>
                        <w14:solidFill>
                          <w14:schemeClr w14:val="tx1"/>
                        </w14:solidFill>
                      </w14:textFill>
                    </w:rPr>
                    <w:t>含有毒有害污染物、二噁英、苯并[a]芘、氰化物、氯气</w:t>
                  </w:r>
                  <w:r>
                    <w:rPr>
                      <w:rFonts w:hint="eastAsia" w:ascii="Times New Roman" w:hAnsi="Times New Roman" w:cs="Times New Roman"/>
                      <w:color w:val="000000" w:themeColor="text1"/>
                      <w:spacing w:val="0"/>
                      <w:kern w:val="0"/>
                      <w:sz w:val="21"/>
                      <w:szCs w:val="21"/>
                      <w:lang w:val="en-US" w:eastAsia="zh-CN"/>
                      <w14:textFill>
                        <w14:solidFill>
                          <w14:schemeClr w14:val="tx1"/>
                        </w14:solidFill>
                      </w14:textFill>
                    </w:rPr>
                    <w:t>污染物</w:t>
                  </w:r>
                </w:p>
              </w:tc>
              <w:tc>
                <w:tcPr>
                  <w:tcW w:w="794" w:type="pct"/>
                  <w:tcBorders>
                    <w:tl2br w:val="nil"/>
                    <w:tr2bl w:val="nil"/>
                  </w:tcBorders>
                  <w:noWrap w:val="0"/>
                  <w:vAlign w:val="center"/>
                </w:tcPr>
                <w:p w14:paraId="68550862">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不设置</w:t>
                  </w:r>
                </w:p>
              </w:tc>
            </w:tr>
            <w:tr w14:paraId="509BA2B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551" w:type="pct"/>
                  <w:tcBorders>
                    <w:tl2br w:val="nil"/>
                    <w:tr2bl w:val="nil"/>
                  </w:tcBorders>
                  <w:noWrap w:val="0"/>
                  <w:vAlign w:val="center"/>
                </w:tcPr>
                <w:p w14:paraId="196ED80B">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地表水</w:t>
                  </w:r>
                </w:p>
              </w:tc>
              <w:tc>
                <w:tcPr>
                  <w:tcW w:w="2343" w:type="pct"/>
                  <w:tcBorders>
                    <w:tl2br w:val="nil"/>
                    <w:tr2bl w:val="nil"/>
                  </w:tcBorders>
                  <w:noWrap w:val="0"/>
                  <w:vAlign w:val="center"/>
                </w:tcPr>
                <w:p w14:paraId="5CF66D50">
                  <w:pPr>
                    <w:jc w:val="both"/>
                    <w:rPr>
                      <w:rFonts w:hint="default" w:ascii="Times New Roman" w:hAnsi="Times New Roman" w:eastAsia="宋体" w:cs="Times New Roman"/>
                      <w:color w:val="000000" w:themeColor="text1"/>
                      <w:kern w:val="0"/>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0"/>
                      <w:sz w:val="21"/>
                      <w:szCs w:val="21"/>
                      <w:highlight w:val="none"/>
                      <w14:textFill>
                        <w14:solidFill>
                          <w14:schemeClr w14:val="tx1"/>
                        </w14:solidFill>
                      </w14:textFill>
                    </w:rPr>
                    <w:t>新增工业废水直排建设项目（槽罐车外送污水处理厂的除外）；新增废水直排的污水集中处理厂</w:t>
                  </w:r>
                </w:p>
              </w:tc>
              <w:tc>
                <w:tcPr>
                  <w:tcW w:w="1310" w:type="pct"/>
                  <w:tcBorders>
                    <w:tl2br w:val="nil"/>
                    <w:tr2bl w:val="nil"/>
                  </w:tcBorders>
                  <w:noWrap w:val="0"/>
                  <w:vAlign w:val="center"/>
                </w:tcPr>
                <w:p w14:paraId="2BFE01E0">
                  <w:pPr>
                    <w:jc w:val="center"/>
                    <w:rPr>
                      <w:rFonts w:hint="eastAsia" w:ascii="Times New Roman" w:hAnsi="Times New Roman" w:eastAsia="宋体" w:cs="Times New Roman"/>
                      <w:color w:val="000000" w:themeColor="text1"/>
                      <w:kern w:val="0"/>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pacing w:val="0"/>
                      <w:kern w:val="0"/>
                      <w:sz w:val="21"/>
                      <w:szCs w:val="21"/>
                      <w:highlight w:val="none"/>
                      <w:lang w:val="en-US" w:eastAsia="zh-CN"/>
                      <w14:textFill>
                        <w14:solidFill>
                          <w14:schemeClr w14:val="tx1"/>
                        </w14:solidFill>
                      </w14:textFill>
                    </w:rPr>
                    <w:t>不涉及</w:t>
                  </w:r>
                </w:p>
              </w:tc>
              <w:tc>
                <w:tcPr>
                  <w:tcW w:w="794" w:type="pct"/>
                  <w:tcBorders>
                    <w:tl2br w:val="nil"/>
                    <w:tr2bl w:val="nil"/>
                  </w:tcBorders>
                  <w:noWrap w:val="0"/>
                  <w:vAlign w:val="center"/>
                </w:tcPr>
                <w:p w14:paraId="75585EC3">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不设置</w:t>
                  </w:r>
                </w:p>
              </w:tc>
            </w:tr>
            <w:tr w14:paraId="3A754CA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551" w:type="pct"/>
                  <w:tcBorders>
                    <w:tl2br w:val="nil"/>
                    <w:tr2bl w:val="nil"/>
                  </w:tcBorders>
                  <w:noWrap w:val="0"/>
                  <w:vAlign w:val="center"/>
                </w:tcPr>
                <w:p w14:paraId="5E037082">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环境风险</w:t>
                  </w:r>
                </w:p>
              </w:tc>
              <w:tc>
                <w:tcPr>
                  <w:tcW w:w="2343" w:type="pct"/>
                  <w:tcBorders>
                    <w:tl2br w:val="nil"/>
                    <w:tr2bl w:val="nil"/>
                  </w:tcBorders>
                  <w:noWrap w:val="0"/>
                  <w:vAlign w:val="center"/>
                </w:tcPr>
                <w:p w14:paraId="571DA04F">
                  <w:pPr>
                    <w:jc w:val="both"/>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0"/>
                      <w:sz w:val="21"/>
                      <w:szCs w:val="21"/>
                      <w14:textFill>
                        <w14:solidFill>
                          <w14:schemeClr w14:val="tx1"/>
                        </w14:solidFill>
                      </w14:textFill>
                    </w:rPr>
                    <w:t>有毒有害和易燃易爆危险物质存储量超过临界量的建设项目</w:t>
                  </w:r>
                </w:p>
              </w:tc>
              <w:tc>
                <w:tcPr>
                  <w:tcW w:w="1310" w:type="pct"/>
                  <w:tcBorders>
                    <w:tl2br w:val="nil"/>
                    <w:tr2bl w:val="nil"/>
                  </w:tcBorders>
                  <w:noWrap w:val="0"/>
                  <w:vAlign w:val="center"/>
                </w:tcPr>
                <w:p w14:paraId="438C2CFB">
                  <w:pPr>
                    <w:jc w:val="center"/>
                    <w:rPr>
                      <w:rFonts w:hint="eastAsia"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0"/>
                      <w:sz w:val="21"/>
                      <w:szCs w:val="21"/>
                      <w:lang w:val="en-US" w:eastAsia="zh-CN"/>
                      <w14:textFill>
                        <w14:solidFill>
                          <w14:schemeClr w14:val="tx1"/>
                        </w14:solidFill>
                      </w14:textFill>
                    </w:rPr>
                    <w:t>不涉及</w:t>
                  </w:r>
                </w:p>
              </w:tc>
              <w:tc>
                <w:tcPr>
                  <w:tcW w:w="794" w:type="pct"/>
                  <w:tcBorders>
                    <w:tl2br w:val="nil"/>
                    <w:tr2bl w:val="nil"/>
                  </w:tcBorders>
                  <w:noWrap w:val="0"/>
                  <w:vAlign w:val="center"/>
                </w:tcPr>
                <w:p w14:paraId="02F67BF3">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不设置</w:t>
                  </w:r>
                </w:p>
              </w:tc>
            </w:tr>
            <w:tr w14:paraId="4AA9214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8" w:hRule="atLeast"/>
                <w:jc w:val="center"/>
              </w:trPr>
              <w:tc>
                <w:tcPr>
                  <w:tcW w:w="551" w:type="pct"/>
                  <w:tcBorders>
                    <w:tl2br w:val="nil"/>
                    <w:tr2bl w:val="nil"/>
                  </w:tcBorders>
                  <w:noWrap w:val="0"/>
                  <w:vAlign w:val="center"/>
                </w:tcPr>
                <w:p w14:paraId="52CAA7C1">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生态</w:t>
                  </w:r>
                </w:p>
              </w:tc>
              <w:tc>
                <w:tcPr>
                  <w:tcW w:w="2343" w:type="pct"/>
                  <w:tcBorders>
                    <w:tl2br w:val="nil"/>
                    <w:tr2bl w:val="nil"/>
                  </w:tcBorders>
                  <w:noWrap w:val="0"/>
                  <w:vAlign w:val="center"/>
                </w:tcPr>
                <w:p w14:paraId="1A5877D1">
                  <w:pPr>
                    <w:jc w:val="both"/>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0"/>
                      <w:sz w:val="21"/>
                      <w:szCs w:val="21"/>
                      <w14:textFill>
                        <w14:solidFill>
                          <w14:schemeClr w14:val="tx1"/>
                        </w14:solidFill>
                      </w14:textFill>
                    </w:rPr>
                    <w:t>取水口下游500米范围内有重要水生生物的自然产卵场、索饵场、越冬场和洄游通道的新增河道取水的污染类建设项目</w:t>
                  </w:r>
                </w:p>
              </w:tc>
              <w:tc>
                <w:tcPr>
                  <w:tcW w:w="1310" w:type="pct"/>
                  <w:tcBorders>
                    <w:tl2br w:val="nil"/>
                    <w:tr2bl w:val="nil"/>
                  </w:tcBorders>
                  <w:noWrap w:val="0"/>
                  <w:vAlign w:val="center"/>
                </w:tcPr>
                <w:p w14:paraId="37EAA375">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0"/>
                      <w:sz w:val="21"/>
                      <w:szCs w:val="21"/>
                      <w14:textFill>
                        <w14:solidFill>
                          <w14:schemeClr w14:val="tx1"/>
                        </w14:solidFill>
                      </w14:textFill>
                    </w:rPr>
                    <w:t>不涉及</w:t>
                  </w:r>
                </w:p>
              </w:tc>
              <w:tc>
                <w:tcPr>
                  <w:tcW w:w="794" w:type="pct"/>
                  <w:tcBorders>
                    <w:tl2br w:val="nil"/>
                    <w:tr2bl w:val="nil"/>
                  </w:tcBorders>
                  <w:noWrap w:val="0"/>
                  <w:vAlign w:val="center"/>
                </w:tcPr>
                <w:p w14:paraId="7B36DC4E">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不设置</w:t>
                  </w:r>
                </w:p>
              </w:tc>
            </w:tr>
            <w:tr w14:paraId="3E53953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551" w:type="pct"/>
                  <w:tcBorders>
                    <w:tl2br w:val="nil"/>
                    <w:tr2bl w:val="nil"/>
                  </w:tcBorders>
                  <w:noWrap w:val="0"/>
                  <w:vAlign w:val="center"/>
                </w:tcPr>
                <w:p w14:paraId="45E30BD0">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海洋</w:t>
                  </w:r>
                </w:p>
              </w:tc>
              <w:tc>
                <w:tcPr>
                  <w:tcW w:w="2343" w:type="pct"/>
                  <w:tcBorders>
                    <w:tl2br w:val="nil"/>
                    <w:tr2bl w:val="nil"/>
                  </w:tcBorders>
                  <w:noWrap w:val="0"/>
                  <w:vAlign w:val="center"/>
                </w:tcPr>
                <w:p w14:paraId="69788B56">
                  <w:pPr>
                    <w:jc w:val="both"/>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0"/>
                      <w:sz w:val="21"/>
                      <w:szCs w:val="21"/>
                      <w14:textFill>
                        <w14:solidFill>
                          <w14:schemeClr w14:val="tx1"/>
                        </w14:solidFill>
                      </w14:textFill>
                    </w:rPr>
                    <w:t>直接向海排放污染物的海洋工程建设项目</w:t>
                  </w:r>
                </w:p>
              </w:tc>
              <w:tc>
                <w:tcPr>
                  <w:tcW w:w="1310" w:type="pct"/>
                  <w:tcBorders>
                    <w:tl2br w:val="nil"/>
                    <w:tr2bl w:val="nil"/>
                  </w:tcBorders>
                  <w:noWrap w:val="0"/>
                  <w:vAlign w:val="center"/>
                </w:tcPr>
                <w:p w14:paraId="71B54BBA">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0"/>
                      <w:sz w:val="21"/>
                      <w:szCs w:val="21"/>
                      <w14:textFill>
                        <w14:solidFill>
                          <w14:schemeClr w14:val="tx1"/>
                        </w14:solidFill>
                      </w14:textFill>
                    </w:rPr>
                    <w:t>不涉及</w:t>
                  </w:r>
                </w:p>
              </w:tc>
              <w:tc>
                <w:tcPr>
                  <w:tcW w:w="794" w:type="pct"/>
                  <w:tcBorders>
                    <w:tl2br w:val="nil"/>
                    <w:tr2bl w:val="nil"/>
                  </w:tcBorders>
                  <w:noWrap w:val="0"/>
                  <w:vAlign w:val="center"/>
                </w:tcPr>
                <w:p w14:paraId="7CA206F3">
                  <w:pPr>
                    <w:jc w:val="cente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vertAlign w:val="baseline"/>
                      <w:lang w:val="en-US" w:eastAsia="zh-CN"/>
                      <w14:textFill>
                        <w14:solidFill>
                          <w14:schemeClr w14:val="tx1"/>
                        </w14:solidFill>
                      </w14:textFill>
                    </w:rPr>
                    <w:t>不设置</w:t>
                  </w:r>
                </w:p>
              </w:tc>
            </w:tr>
          </w:tbl>
          <w:p w14:paraId="3027E296">
            <w:pPr>
              <w:keepNext w:val="0"/>
              <w:keepLines w:val="0"/>
              <w:pageBreakBefore w:val="0"/>
              <w:widowControl w:val="0"/>
              <w:kinsoku/>
              <w:wordWrap/>
              <w:overflowPunct/>
              <w:topLinePunct w:val="0"/>
              <w:autoSpaceDE w:val="0"/>
              <w:autoSpaceDN w:val="0"/>
              <w:bidi w:val="0"/>
              <w:adjustRightInd w:val="0"/>
              <w:snapToGrid w:val="0"/>
              <w:spacing w:beforeLines="0" w:afterLines="0" w:line="360" w:lineRule="auto"/>
              <w:ind w:left="0" w:leftChars="0" w:right="0" w:rightChars="0" w:firstLine="480" w:firstLineChars="200"/>
              <w:jc w:val="both"/>
              <w:textAlignment w:val="auto"/>
              <w:rPr>
                <w:rFonts w:hint="default" w:ascii="Times New Roman" w:hAnsi="Times New Roman" w:eastAsia="宋体" w:cs="Times New Roman"/>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综上，本项目不开展专项评价。</w:t>
            </w:r>
          </w:p>
        </w:tc>
      </w:tr>
      <w:tr w14:paraId="541AE1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6"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vAlign w:val="center"/>
          </w:tcPr>
          <w:p w14:paraId="4165CF6D">
            <w:pPr>
              <w:autoSpaceDE w:val="0"/>
              <w:autoSpaceDN w:val="0"/>
              <w:adjustRightInd w:val="0"/>
              <w:snapToGrid w:val="0"/>
              <w:spacing w:beforeLines="0" w:afterLines="0"/>
              <w:jc w:val="center"/>
              <w:rPr>
                <w:rFonts w:hint="default" w:ascii="Times New Roman" w:hAnsi="Times New Roman" w:eastAsia="宋体" w:cs="Times New Roman"/>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规划情况</w:t>
            </w:r>
          </w:p>
        </w:tc>
        <w:tc>
          <w:tcPr>
            <w:tcW w:w="7052"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1983A73D">
            <w:pPr>
              <w:autoSpaceDE w:val="0"/>
              <w:autoSpaceDN w:val="0"/>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kern w:val="0"/>
                <w:sz w:val="24"/>
                <w:szCs w:val="24"/>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4"/>
                <w:szCs w:val="24"/>
                <w:highlight w:val="none"/>
                <w:lang w:eastAsia="zh-CN"/>
                <w14:textFill>
                  <w14:solidFill>
                    <w14:schemeClr w14:val="tx1"/>
                  </w14:solidFill>
                </w14:textFill>
              </w:rPr>
              <w:t>无</w:t>
            </w:r>
          </w:p>
        </w:tc>
      </w:tr>
      <w:tr w14:paraId="506FB3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vAlign w:val="center"/>
          </w:tcPr>
          <w:p w14:paraId="65FAEC02">
            <w:pPr>
              <w:adjustRightInd w:val="0"/>
              <w:snapToGrid w:val="0"/>
              <w:spacing w:beforeLines="0" w:afterLines="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规划环境影响</w:t>
            </w:r>
          </w:p>
          <w:p w14:paraId="48FE1D05">
            <w:pPr>
              <w:adjustRightInd w:val="0"/>
              <w:snapToGrid w:val="0"/>
              <w:spacing w:beforeLines="0" w:afterLines="0"/>
              <w:jc w:val="center"/>
              <w:rPr>
                <w:rFonts w:hint="default" w:ascii="Times New Roman" w:hAnsi="Times New Roman" w:eastAsia="宋体" w:cs="Times New Roman"/>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评价情况</w:t>
            </w:r>
          </w:p>
        </w:tc>
        <w:tc>
          <w:tcPr>
            <w:tcW w:w="7052"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3BC7060C">
            <w:pPr>
              <w:autoSpaceDE w:val="0"/>
              <w:autoSpaceDN w:val="0"/>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000000" w:themeColor="text1"/>
                <w:kern w:val="0"/>
                <w:sz w:val="24"/>
                <w:szCs w:val="24"/>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4"/>
                <w:szCs w:val="24"/>
                <w:highlight w:val="none"/>
                <w:lang w:eastAsia="zh-CN"/>
                <w14:textFill>
                  <w14:solidFill>
                    <w14:schemeClr w14:val="tx1"/>
                  </w14:solidFill>
                </w14:textFill>
              </w:rPr>
              <w:t>无</w:t>
            </w:r>
          </w:p>
        </w:tc>
      </w:tr>
      <w:tr w14:paraId="2CCA89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818" w:type="dxa"/>
            <w:tcBorders>
              <w:top w:val="single" w:color="auto" w:sz="4" w:space="0"/>
              <w:left w:val="single" w:color="auto" w:sz="8" w:space="0"/>
              <w:bottom w:val="single" w:color="auto" w:sz="4" w:space="0"/>
              <w:right w:val="single" w:color="auto" w:sz="4" w:space="0"/>
              <w:tl2br w:val="nil"/>
              <w:tr2bl w:val="nil"/>
            </w:tcBorders>
            <w:noWrap w:val="0"/>
            <w:vAlign w:val="center"/>
          </w:tcPr>
          <w:p w14:paraId="760CE9F4">
            <w:pPr>
              <w:autoSpaceDE w:val="0"/>
              <w:autoSpaceDN w:val="0"/>
              <w:adjustRightInd w:val="0"/>
              <w:snapToGrid w:val="0"/>
              <w:spacing w:beforeLines="0" w:afterLines="0"/>
              <w:jc w:val="center"/>
              <w:rPr>
                <w:rFonts w:hint="default" w:ascii="Times New Roman" w:hAnsi="Times New Roman" w:eastAsia="宋体" w:cs="Times New Roman"/>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color w:val="000000" w:themeColor="text1"/>
                <w:kern w:val="0"/>
                <w:sz w:val="24"/>
                <w:szCs w:val="24"/>
                <w:highlight w:val="none"/>
                <w14:textFill>
                  <w14:solidFill>
                    <w14:schemeClr w14:val="tx1"/>
                  </w14:solidFill>
                </w14:textFill>
              </w:rPr>
              <w:t>规划及规划环境影响评价符合性分析</w:t>
            </w:r>
          </w:p>
        </w:tc>
        <w:tc>
          <w:tcPr>
            <w:tcW w:w="7052"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1C6223BE">
            <w:pPr>
              <w:autoSpaceDE w:val="0"/>
              <w:autoSpaceDN w:val="0"/>
              <w:adjustRightInd w:val="0"/>
              <w:snapToGrid w:val="0"/>
              <w:spacing w:beforeLines="0" w:afterLines="0"/>
              <w:jc w:val="center"/>
              <w:rPr>
                <w:rFonts w:hint="default" w:ascii="Times New Roman" w:hAnsi="Times New Roman" w:eastAsia="宋体" w:cs="Times New Roman"/>
                <w:color w:val="000000" w:themeColor="text1"/>
                <w:kern w:val="0"/>
                <w:sz w:val="24"/>
                <w:szCs w:val="24"/>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4"/>
                <w:szCs w:val="24"/>
                <w:highlight w:val="none"/>
                <w:lang w:eastAsia="zh-CN"/>
                <w14:textFill>
                  <w14:solidFill>
                    <w14:schemeClr w14:val="tx1"/>
                  </w14:solidFill>
                </w14:textFill>
              </w:rPr>
              <w:t>无</w:t>
            </w:r>
          </w:p>
        </w:tc>
      </w:tr>
      <w:tr w14:paraId="306EE0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818" w:type="dxa"/>
            <w:tcBorders>
              <w:top w:val="single" w:color="auto" w:sz="4" w:space="0"/>
              <w:left w:val="single" w:color="auto" w:sz="8" w:space="0"/>
              <w:bottom w:val="single" w:color="auto" w:sz="8" w:space="0"/>
              <w:right w:val="single" w:color="auto" w:sz="4" w:space="0"/>
              <w:tl2br w:val="nil"/>
              <w:tr2bl w:val="nil"/>
            </w:tcBorders>
            <w:noWrap w:val="0"/>
            <w:vAlign w:val="center"/>
          </w:tcPr>
          <w:p w14:paraId="10C7135B">
            <w:pPr>
              <w:autoSpaceDE w:val="0"/>
              <w:autoSpaceDN w:val="0"/>
              <w:adjustRightInd w:val="0"/>
              <w:snapToGrid w:val="0"/>
              <w:spacing w:beforeLines="0" w:afterLines="0"/>
              <w:jc w:val="center"/>
              <w:rPr>
                <w:rFonts w:hint="default" w:ascii="Times New Roman" w:hAnsi="Times New Roman" w:eastAsia="宋体" w:cs="Times New Roman"/>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color w:val="000000" w:themeColor="text1"/>
                <w:kern w:val="0"/>
                <w:sz w:val="24"/>
                <w:szCs w:val="24"/>
                <w:highlight w:val="none"/>
                <w14:textFill>
                  <w14:solidFill>
                    <w14:schemeClr w14:val="tx1"/>
                  </w14:solidFill>
                </w14:textFill>
              </w:rPr>
              <w:t>其他符合性分析</w:t>
            </w:r>
          </w:p>
        </w:tc>
        <w:tc>
          <w:tcPr>
            <w:tcW w:w="7052" w:type="dxa"/>
            <w:gridSpan w:val="3"/>
            <w:tcBorders>
              <w:top w:val="single" w:color="auto" w:sz="4" w:space="0"/>
              <w:left w:val="single" w:color="auto" w:sz="4" w:space="0"/>
              <w:bottom w:val="single" w:color="auto" w:sz="8" w:space="0"/>
              <w:right w:val="single" w:color="auto" w:sz="8" w:space="0"/>
              <w:tl2br w:val="nil"/>
              <w:tr2bl w:val="nil"/>
            </w:tcBorders>
            <w:noWrap w:val="0"/>
            <w:vAlign w:val="center"/>
          </w:tcPr>
          <w:p w14:paraId="31F33AAC">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
                <w:bCs/>
                <w:color w:val="000000" w:themeColor="text1"/>
                <w:sz w:val="24"/>
                <w:szCs w:val="24"/>
                <w:highlight w:val="none"/>
                <w:lang w:val="en-US" w:eastAsia="zh-CN"/>
                <w14:textFill>
                  <w14:solidFill>
                    <w14:schemeClr w14:val="tx1"/>
                  </w14:solidFill>
                </w14:textFill>
              </w:rPr>
              <w:t>1</w:t>
            </w:r>
            <w:r>
              <w:rPr>
                <w:rFonts w:hint="default" w:ascii="Times New Roman" w:hAnsi="Times New Roman" w:cs="Times New Roman"/>
                <w:b/>
                <w:bCs/>
                <w:color w:val="000000" w:themeColor="text1"/>
                <w:sz w:val="24"/>
                <w:szCs w:val="24"/>
                <w:highlight w:val="none"/>
                <w:lang w:val="en-US" w:eastAsia="zh-CN"/>
                <w14:textFill>
                  <w14:solidFill>
                    <w14:schemeClr w14:val="tx1"/>
                  </w14:solidFill>
                </w14:textFill>
              </w:rPr>
              <w:t>、项目选址与</w:t>
            </w:r>
            <w:r>
              <w:rPr>
                <w:rFonts w:hint="eastAsia" w:ascii="Times New Roman" w:hAnsi="Times New Roman" w:cs="Times New Roman"/>
                <w:b/>
                <w:bCs/>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bCs/>
                <w:color w:val="000000" w:themeColor="text1"/>
                <w:sz w:val="24"/>
                <w:szCs w:val="24"/>
                <w:highlight w:val="none"/>
                <w:lang w:val="en-US" w:eastAsia="zh-CN"/>
                <w14:textFill>
                  <w14:solidFill>
                    <w14:schemeClr w14:val="tx1"/>
                  </w14:solidFill>
                </w14:textFill>
              </w:rPr>
              <w:t>三线一单</w:t>
            </w:r>
            <w:r>
              <w:rPr>
                <w:rFonts w:hint="eastAsia" w:ascii="Times New Roman" w:hAnsi="Times New Roman" w:cs="Times New Roman"/>
                <w:b/>
                <w:bCs/>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bCs/>
                <w:color w:val="000000" w:themeColor="text1"/>
                <w:sz w:val="24"/>
                <w:szCs w:val="24"/>
                <w:highlight w:val="none"/>
                <w:lang w:val="en-US" w:eastAsia="zh-CN"/>
                <w14:textFill>
                  <w14:solidFill>
                    <w14:schemeClr w14:val="tx1"/>
                  </w14:solidFill>
                </w14:textFill>
              </w:rPr>
              <w:t>符合性分析</w:t>
            </w:r>
          </w:p>
          <w:p w14:paraId="2C9D6A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b/>
                <w:color w:val="000000" w:themeColor="text1"/>
                <w:sz w:val="24"/>
                <w:szCs w:val="24"/>
                <w:highlight w:val="none"/>
                <w14:textFill>
                  <w14:solidFill>
                    <w14:schemeClr w14:val="tx1"/>
                  </w14:solidFill>
                </w14:textFill>
              </w:rPr>
            </w:pPr>
            <w:r>
              <w:rPr>
                <w:rFonts w:hint="default" w:ascii="Times New Roman" w:hAnsi="Times New Roman" w:cs="Times New Roman"/>
                <w:b/>
                <w:color w:val="000000" w:themeColor="text1"/>
                <w:sz w:val="24"/>
                <w:szCs w:val="24"/>
                <w:highlight w:val="none"/>
                <w:lang w:eastAsia="zh-CN"/>
                <w14:textFill>
                  <w14:solidFill>
                    <w14:schemeClr w14:val="tx1"/>
                  </w14:solidFill>
                </w14:textFill>
              </w:rPr>
              <w:t>表</w:t>
            </w:r>
            <w:r>
              <w:rPr>
                <w:rFonts w:hint="default" w:ascii="Times New Roman" w:hAnsi="Times New Roman" w:cs="Times New Roman"/>
                <w:b/>
                <w:color w:val="000000" w:themeColor="text1"/>
                <w:sz w:val="24"/>
                <w:szCs w:val="24"/>
                <w:highlight w:val="none"/>
                <w:lang w:val="en-US" w:eastAsia="zh-CN"/>
                <w14:textFill>
                  <w14:solidFill>
                    <w14:schemeClr w14:val="tx1"/>
                  </w14:solidFill>
                </w14:textFill>
              </w:rPr>
              <w:t>1</w:t>
            </w:r>
            <w:r>
              <w:rPr>
                <w:rFonts w:hint="eastAsia" w:ascii="Times New Roman" w:hAnsi="Times New Roman" w:cs="Times New Roman"/>
                <w:b/>
                <w:color w:val="000000" w:themeColor="text1"/>
                <w:sz w:val="24"/>
                <w:szCs w:val="24"/>
                <w:highlight w:val="none"/>
                <w:lang w:val="en-US" w:eastAsia="zh-CN"/>
                <w14:textFill>
                  <w14:solidFill>
                    <w14:schemeClr w14:val="tx1"/>
                  </w14:solidFill>
                </w14:textFill>
              </w:rPr>
              <w:t>-1</w:t>
            </w:r>
            <w:r>
              <w:rPr>
                <w:rFonts w:hint="default" w:ascii="Times New Roman" w:hAnsi="Times New Roman" w:cs="Times New Roman"/>
                <w:b/>
                <w:color w:val="000000" w:themeColor="text1"/>
                <w:sz w:val="24"/>
                <w:szCs w:val="24"/>
                <w:highlight w:val="none"/>
                <w14:textFill>
                  <w14:solidFill>
                    <w14:schemeClr w14:val="tx1"/>
                  </w14:solidFill>
                </w14:textFill>
              </w:rPr>
              <w:t xml:space="preserve">  </w:t>
            </w:r>
            <w:r>
              <w:rPr>
                <w:rFonts w:hint="eastAsia" w:ascii="Times New Roman" w:hAnsi="Times New Roman" w:cs="Times New Roman"/>
                <w:b/>
                <w:color w:val="000000" w:themeColor="text1"/>
                <w:sz w:val="24"/>
                <w:szCs w:val="24"/>
                <w:highlight w:val="none"/>
                <w:lang w:eastAsia="zh-CN"/>
                <w14:textFill>
                  <w14:solidFill>
                    <w14:schemeClr w14:val="tx1"/>
                  </w14:solidFill>
                </w14:textFill>
              </w:rPr>
              <w:t>“</w:t>
            </w:r>
            <w:r>
              <w:rPr>
                <w:rFonts w:hint="default" w:ascii="Times New Roman" w:hAnsi="Times New Roman" w:cs="Times New Roman"/>
                <w:b/>
                <w:color w:val="000000" w:themeColor="text1"/>
                <w:sz w:val="24"/>
                <w:szCs w:val="24"/>
                <w:highlight w:val="none"/>
                <w14:textFill>
                  <w14:solidFill>
                    <w14:schemeClr w14:val="tx1"/>
                  </w14:solidFill>
                </w14:textFill>
              </w:rPr>
              <w:t>三线一单</w:t>
            </w:r>
            <w:r>
              <w:rPr>
                <w:rFonts w:hint="eastAsia" w:ascii="Times New Roman" w:hAnsi="Times New Roman" w:cs="Times New Roman"/>
                <w:b/>
                <w:color w:val="000000" w:themeColor="text1"/>
                <w:sz w:val="24"/>
                <w:szCs w:val="24"/>
                <w:highlight w:val="none"/>
                <w:lang w:eastAsia="zh-CN"/>
                <w14:textFill>
                  <w14:solidFill>
                    <w14:schemeClr w14:val="tx1"/>
                  </w14:solidFill>
                </w14:textFill>
              </w:rPr>
              <w:t>”</w:t>
            </w:r>
            <w:r>
              <w:rPr>
                <w:rFonts w:hint="default" w:ascii="Times New Roman" w:hAnsi="Times New Roman" w:cs="Times New Roman"/>
                <w:b/>
                <w:color w:val="000000" w:themeColor="text1"/>
                <w:sz w:val="24"/>
                <w:szCs w:val="24"/>
                <w:highlight w:val="none"/>
                <w14:textFill>
                  <w14:solidFill>
                    <w14:schemeClr w14:val="tx1"/>
                  </w14:solidFill>
                </w14:textFill>
              </w:rPr>
              <w:t>符合性分析</w:t>
            </w:r>
          </w:p>
          <w:tbl>
            <w:tblPr>
              <w:tblStyle w:val="25"/>
              <w:tblW w:w="4998" w:type="pct"/>
              <w:jc w:val="center"/>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34"/>
              <w:gridCol w:w="5275"/>
              <w:gridCol w:w="814"/>
            </w:tblGrid>
            <w:tr w14:paraId="2505B36B">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6" w:hRule="atLeast"/>
                <w:jc w:val="center"/>
              </w:trPr>
              <w:tc>
                <w:tcPr>
                  <w:tcW w:w="538" w:type="pct"/>
                  <w:tcBorders>
                    <w:tl2br w:val="nil"/>
                    <w:tr2bl w:val="nil"/>
                  </w:tcBorders>
                  <w:noWrap w:val="0"/>
                  <w:vAlign w:val="center"/>
                </w:tcPr>
                <w:p w14:paraId="2EFAD583">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b/>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b/>
                      <w:color w:val="000000" w:themeColor="text1"/>
                      <w:position w:val="0"/>
                      <w:sz w:val="21"/>
                      <w:szCs w:val="21"/>
                      <w:highlight w:val="none"/>
                      <w14:textFill>
                        <w14:solidFill>
                          <w14:schemeClr w14:val="tx1"/>
                        </w14:solidFill>
                      </w14:textFill>
                    </w:rPr>
                    <w:t>内容</w:t>
                  </w:r>
                </w:p>
              </w:tc>
              <w:tc>
                <w:tcPr>
                  <w:tcW w:w="3864" w:type="pct"/>
                  <w:tcBorders>
                    <w:tl2br w:val="nil"/>
                    <w:tr2bl w:val="nil"/>
                  </w:tcBorders>
                  <w:noWrap w:val="0"/>
                  <w:vAlign w:val="center"/>
                </w:tcPr>
                <w:p w14:paraId="03EB5C45">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b/>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b/>
                      <w:color w:val="000000" w:themeColor="text1"/>
                      <w:position w:val="0"/>
                      <w:sz w:val="21"/>
                      <w:szCs w:val="21"/>
                      <w:highlight w:val="none"/>
                      <w14:textFill>
                        <w14:solidFill>
                          <w14:schemeClr w14:val="tx1"/>
                        </w14:solidFill>
                      </w14:textFill>
                    </w:rPr>
                    <w:t>符合性分析</w:t>
                  </w:r>
                </w:p>
              </w:tc>
              <w:tc>
                <w:tcPr>
                  <w:tcW w:w="596" w:type="pct"/>
                  <w:tcBorders>
                    <w:tl2br w:val="nil"/>
                    <w:tr2bl w:val="nil"/>
                  </w:tcBorders>
                  <w:noWrap w:val="0"/>
                  <w:vAlign w:val="center"/>
                </w:tcPr>
                <w:p w14:paraId="361C2CB7">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b/>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b/>
                      <w:color w:val="000000" w:themeColor="text1"/>
                      <w:position w:val="0"/>
                      <w:sz w:val="21"/>
                      <w:szCs w:val="21"/>
                      <w:highlight w:val="none"/>
                      <w14:textFill>
                        <w14:solidFill>
                          <w14:schemeClr w14:val="tx1"/>
                        </w14:solidFill>
                      </w14:textFill>
                    </w:rPr>
                    <w:t>符合性</w:t>
                  </w:r>
                </w:p>
              </w:tc>
            </w:tr>
            <w:tr w14:paraId="230BA200">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39" w:hRule="atLeast"/>
                <w:jc w:val="center"/>
              </w:trPr>
              <w:tc>
                <w:tcPr>
                  <w:tcW w:w="538" w:type="pct"/>
                  <w:tcBorders>
                    <w:tl2br w:val="nil"/>
                    <w:tr2bl w:val="nil"/>
                  </w:tcBorders>
                  <w:noWrap w:val="0"/>
                  <w:vAlign w:val="center"/>
                </w:tcPr>
                <w:p w14:paraId="2DBE054B">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color w:val="000000" w:themeColor="text1"/>
                      <w:position w:val="0"/>
                      <w:sz w:val="21"/>
                      <w:szCs w:val="21"/>
                      <w:highlight w:val="none"/>
                      <w14:textFill>
                        <w14:solidFill>
                          <w14:schemeClr w14:val="tx1"/>
                        </w14:solidFill>
                      </w14:textFill>
                    </w:rPr>
                    <w:t>生态保护红线</w:t>
                  </w:r>
                </w:p>
              </w:tc>
              <w:tc>
                <w:tcPr>
                  <w:tcW w:w="3864" w:type="pct"/>
                  <w:tcBorders>
                    <w:tl2br w:val="nil"/>
                    <w:tr2bl w:val="nil"/>
                  </w:tcBorders>
                  <w:noWrap w:val="0"/>
                  <w:vAlign w:val="center"/>
                </w:tcPr>
                <w:p w14:paraId="6D9E19F6">
                  <w:pPr>
                    <w:pageBreakBefore w:val="0"/>
                    <w:numPr>
                      <w:ilvl w:val="0"/>
                      <w:numId w:val="0"/>
                    </w:numPr>
                    <w:autoSpaceDE w:val="0"/>
                    <w:autoSpaceDN w:val="0"/>
                    <w:bidi w:val="0"/>
                    <w:snapToGrid/>
                    <w:spacing w:before="0" w:after="0" w:line="240" w:lineRule="auto"/>
                    <w:ind w:right="0" w:firstLine="420"/>
                    <w:jc w:val="both"/>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根据《锡林郭勒盟生态环境保护委员会办公室关于印发锡林郭勒盟</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三线一单</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生态环境分区管控意见修改单和锡林郭勒盟生态环境准入清单的通知（锡环委办发〔2024〕1号）》，锡林郭勒盟共划分环境管控单元157个，包括优先保护单元、重点管控单元、一般管控单元三类，实施分类管控。本项目位于内蒙古锡林郭勒盟正蓝旗上都镇巴彦高勒嘎查，</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环境管控单元名称为</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采矿用地，管控单元编码为ZH15253020003</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，管控单元类别为“</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重点</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管控单元</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。项目所在区域内无自然保护区、水源保护区、风景名胜区、文物古迹等需要特殊保护的环境敏感目标，项目区不在生态保护红线范围内，符合生态保护红线要求。</w:t>
                  </w:r>
                </w:p>
              </w:tc>
              <w:tc>
                <w:tcPr>
                  <w:tcW w:w="596" w:type="pct"/>
                  <w:tcBorders>
                    <w:tl2br w:val="nil"/>
                    <w:tr2bl w:val="nil"/>
                  </w:tcBorders>
                  <w:noWrap w:val="0"/>
                  <w:vAlign w:val="center"/>
                </w:tcPr>
                <w:p w14:paraId="7FD5D6CE">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color w:val="000000" w:themeColor="text1"/>
                      <w:position w:val="0"/>
                      <w:sz w:val="21"/>
                      <w:szCs w:val="21"/>
                      <w:highlight w:val="none"/>
                      <w14:textFill>
                        <w14:solidFill>
                          <w14:schemeClr w14:val="tx1"/>
                        </w14:solidFill>
                      </w14:textFill>
                    </w:rPr>
                    <w:t>符合</w:t>
                  </w:r>
                </w:p>
              </w:tc>
            </w:tr>
            <w:tr w14:paraId="024BA555">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84" w:hRule="atLeast"/>
                <w:jc w:val="center"/>
              </w:trPr>
              <w:tc>
                <w:tcPr>
                  <w:tcW w:w="538" w:type="pct"/>
                  <w:tcBorders>
                    <w:tl2br w:val="nil"/>
                    <w:tr2bl w:val="nil"/>
                  </w:tcBorders>
                  <w:noWrap w:val="0"/>
                  <w:vAlign w:val="center"/>
                </w:tcPr>
                <w:p w14:paraId="24BC78CD">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color w:val="000000" w:themeColor="text1"/>
                      <w:position w:val="0"/>
                      <w:sz w:val="21"/>
                      <w:szCs w:val="21"/>
                      <w:highlight w:val="none"/>
                      <w14:textFill>
                        <w14:solidFill>
                          <w14:schemeClr w14:val="tx1"/>
                        </w14:solidFill>
                      </w14:textFill>
                    </w:rPr>
                    <w:t>资源利用上线</w:t>
                  </w:r>
                </w:p>
              </w:tc>
              <w:tc>
                <w:tcPr>
                  <w:tcW w:w="3864" w:type="pct"/>
                  <w:tcBorders>
                    <w:tl2br w:val="nil"/>
                    <w:tr2bl w:val="nil"/>
                  </w:tcBorders>
                  <w:noWrap w:val="0"/>
                  <w:vAlign w:val="center"/>
                </w:tcPr>
                <w:p w14:paraId="14A04A87">
                  <w:pPr>
                    <w:pageBreakBefore w:val="0"/>
                    <w:numPr>
                      <w:ilvl w:val="0"/>
                      <w:numId w:val="0"/>
                    </w:numPr>
                    <w:autoSpaceDE w:val="0"/>
                    <w:autoSpaceDN w:val="0"/>
                    <w:bidi w:val="0"/>
                    <w:snapToGrid/>
                    <w:spacing w:before="0" w:after="0" w:line="240" w:lineRule="auto"/>
                    <w:ind w:right="0" w:firstLine="420"/>
                    <w:jc w:val="both"/>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vertAlign w:val="baseline"/>
                      <w:lang w:val="en-US" w:eastAsia="zh-CN"/>
                      <w14:textFill>
                        <w14:solidFill>
                          <w14:schemeClr w14:val="tx1"/>
                        </w14:solidFill>
                      </w14:textFill>
                    </w:rPr>
                    <w:t>本项目运营过程中需要一定的水、电等资源的消耗，项目消耗资源符合清洁生产中能源消耗要求，本项目资源消耗量相对区域资源总量所占比例极少，用水量和用电量不会触及区域资源利用上线要求。</w:t>
                  </w:r>
                </w:p>
              </w:tc>
              <w:tc>
                <w:tcPr>
                  <w:tcW w:w="596" w:type="pct"/>
                  <w:tcBorders>
                    <w:tl2br w:val="nil"/>
                    <w:tr2bl w:val="nil"/>
                  </w:tcBorders>
                  <w:noWrap w:val="0"/>
                  <w:vAlign w:val="center"/>
                </w:tcPr>
                <w:p w14:paraId="57F26CAC">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color w:val="000000" w:themeColor="text1"/>
                      <w:position w:val="0"/>
                      <w:sz w:val="21"/>
                      <w:szCs w:val="21"/>
                      <w:highlight w:val="none"/>
                      <w14:textFill>
                        <w14:solidFill>
                          <w14:schemeClr w14:val="tx1"/>
                        </w14:solidFill>
                      </w14:textFill>
                    </w:rPr>
                    <w:t>符合</w:t>
                  </w:r>
                </w:p>
              </w:tc>
            </w:tr>
            <w:tr w14:paraId="3B48D958">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8" w:hRule="atLeast"/>
                <w:jc w:val="center"/>
              </w:trPr>
              <w:tc>
                <w:tcPr>
                  <w:tcW w:w="538" w:type="pct"/>
                  <w:tcBorders>
                    <w:tl2br w:val="nil"/>
                    <w:tr2bl w:val="nil"/>
                  </w:tcBorders>
                  <w:noWrap w:val="0"/>
                  <w:vAlign w:val="center"/>
                </w:tcPr>
                <w:p w14:paraId="12B766E9">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color w:val="000000" w:themeColor="text1"/>
                      <w:position w:val="0"/>
                      <w:sz w:val="21"/>
                      <w:szCs w:val="21"/>
                      <w:highlight w:val="none"/>
                      <w14:textFill>
                        <w14:solidFill>
                          <w14:schemeClr w14:val="tx1"/>
                        </w14:solidFill>
                      </w14:textFill>
                    </w:rPr>
                    <w:t>环境质量底线</w:t>
                  </w:r>
                </w:p>
              </w:tc>
              <w:tc>
                <w:tcPr>
                  <w:tcW w:w="3864" w:type="pct"/>
                  <w:tcBorders>
                    <w:tl2br w:val="nil"/>
                    <w:tr2bl w:val="nil"/>
                  </w:tcBorders>
                  <w:noWrap w:val="0"/>
                  <w:vAlign w:val="center"/>
                </w:tcPr>
                <w:p w14:paraId="6A174B50">
                  <w:pPr>
                    <w:pageBreakBefore w:val="0"/>
                    <w:numPr>
                      <w:ilvl w:val="0"/>
                      <w:numId w:val="0"/>
                    </w:numPr>
                    <w:autoSpaceDE w:val="0"/>
                    <w:autoSpaceDN w:val="0"/>
                    <w:bidi w:val="0"/>
                    <w:snapToGrid/>
                    <w:spacing w:before="0" w:after="0" w:line="240" w:lineRule="auto"/>
                    <w:ind w:right="0" w:firstLine="420"/>
                    <w:jc w:val="both"/>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vertAlign w:val="baseline"/>
                      <w:lang w:val="en-US" w:eastAsia="zh-CN"/>
                      <w14:textFill>
                        <w14:solidFill>
                          <w14:schemeClr w14:val="tx1"/>
                        </w14:solidFill>
                      </w14:textFill>
                    </w:rPr>
                    <w:t>项目区域环境空气质量属于《环境空气质量标准》（GB3095-20</w:t>
                  </w:r>
                  <w:r>
                    <w:rPr>
                      <w:rFonts w:hint="eastAsia" w:ascii="Times New Roman" w:hAnsi="Times New Roman" w:cs="宋体"/>
                      <w:color w:val="000000" w:themeColor="text1"/>
                      <w:sz w:val="21"/>
                      <w:szCs w:val="21"/>
                      <w:highlight w:val="none"/>
                      <w:vertAlign w:val="baseline"/>
                      <w:lang w:val="en-US" w:eastAsia="zh-CN"/>
                      <w14:textFill>
                        <w14:solidFill>
                          <w14:schemeClr w14:val="tx1"/>
                        </w14:solidFill>
                      </w14:textFill>
                    </w:rPr>
                    <w:t>26</w:t>
                  </w:r>
                  <w:r>
                    <w:rPr>
                      <w:rFonts w:hint="eastAsia" w:ascii="Times New Roman" w:hAnsi="Times New Roman" w:eastAsia="宋体" w:cs="宋体"/>
                      <w:color w:val="000000" w:themeColor="text1"/>
                      <w:sz w:val="21"/>
                      <w:szCs w:val="21"/>
                      <w:highlight w:val="none"/>
                      <w:vertAlign w:val="baseline"/>
                      <w:lang w:val="en-US" w:eastAsia="zh-CN"/>
                      <w14:textFill>
                        <w14:solidFill>
                          <w14:schemeClr w14:val="tx1"/>
                        </w14:solidFill>
                      </w14:textFill>
                    </w:rPr>
                    <w:t>）中二类功能区，根据内蒙古自治区环境保护厅发布的《202</w:t>
                  </w:r>
                  <w:r>
                    <w:rPr>
                      <w:rFonts w:hint="eastAsia" w:ascii="Times New Roman" w:hAnsi="Times New Roman" w:cs="宋体"/>
                      <w:color w:val="000000" w:themeColor="text1"/>
                      <w:sz w:val="21"/>
                      <w:szCs w:val="21"/>
                      <w:highlight w:val="none"/>
                      <w:vertAlign w:val="baseline"/>
                      <w:lang w:val="en-US" w:eastAsia="zh-CN"/>
                      <w14:textFill>
                        <w14:solidFill>
                          <w14:schemeClr w14:val="tx1"/>
                        </w14:solidFill>
                      </w14:textFill>
                    </w:rPr>
                    <w:t>4</w:t>
                  </w:r>
                  <w:r>
                    <w:rPr>
                      <w:rFonts w:hint="eastAsia" w:ascii="Times New Roman" w:hAnsi="Times New Roman" w:eastAsia="宋体" w:cs="宋体"/>
                      <w:color w:val="000000" w:themeColor="text1"/>
                      <w:sz w:val="21"/>
                      <w:szCs w:val="21"/>
                      <w:highlight w:val="none"/>
                      <w:vertAlign w:val="baseline"/>
                      <w:lang w:val="en-US" w:eastAsia="zh-CN"/>
                      <w14:textFill>
                        <w14:solidFill>
                          <w14:schemeClr w14:val="tx1"/>
                        </w14:solidFill>
                      </w14:textFill>
                    </w:rPr>
                    <w:t>年内蒙古自治区生态环境状况公报》及锡林郭勒盟环境质量相关数据，项目所在区域锡林郭勒盟正蓝旗为环境空气质量达标区。主要污染物年均浓度值均低于《环境空气质量标准》（GB3095-20</w:t>
                  </w:r>
                  <w:r>
                    <w:rPr>
                      <w:rFonts w:hint="eastAsia" w:ascii="Times New Roman" w:hAnsi="Times New Roman" w:cs="宋体"/>
                      <w:color w:val="000000" w:themeColor="text1"/>
                      <w:sz w:val="21"/>
                      <w:szCs w:val="21"/>
                      <w:highlight w:val="none"/>
                      <w:vertAlign w:val="baseline"/>
                      <w:lang w:val="en-US" w:eastAsia="zh-CN"/>
                      <w14:textFill>
                        <w14:solidFill>
                          <w14:schemeClr w14:val="tx1"/>
                        </w14:solidFill>
                      </w14:textFill>
                    </w:rPr>
                    <w:t>26</w:t>
                  </w:r>
                  <w:r>
                    <w:rPr>
                      <w:rFonts w:hint="eastAsia" w:ascii="Times New Roman" w:hAnsi="Times New Roman" w:eastAsia="宋体" w:cs="宋体"/>
                      <w:color w:val="000000" w:themeColor="text1"/>
                      <w:sz w:val="21"/>
                      <w:szCs w:val="21"/>
                      <w:highlight w:val="none"/>
                      <w:vertAlign w:val="baseline"/>
                      <w:lang w:val="en-US" w:eastAsia="zh-CN"/>
                      <w14:textFill>
                        <w14:solidFill>
                          <w14:schemeClr w14:val="tx1"/>
                        </w14:solidFill>
                      </w14:textFill>
                    </w:rPr>
                    <w:t>）二级标准限值。本项目环评期间（2026年3月）对特征污染物TSP进行了补充监测，监测结果满足《环境空气质量标准》（GB3095-2026）中过渡阶段限值（二级标准：300</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μ</w:t>
                  </w:r>
                  <w:r>
                    <w:rPr>
                      <w:rFonts w:hint="eastAsia" w:ascii="Times New Roman" w:hAnsi="Times New Roman" w:eastAsia="宋体" w:cs="宋体"/>
                      <w:color w:val="000000" w:themeColor="text1"/>
                      <w:sz w:val="21"/>
                      <w:szCs w:val="21"/>
                      <w:highlight w:val="none"/>
                      <w:vertAlign w:val="baseline"/>
                      <w:lang w:val="en-US" w:eastAsia="zh-CN"/>
                      <w14:textFill>
                        <w14:solidFill>
                          <w14:schemeClr w14:val="tx1"/>
                        </w14:solidFill>
                      </w14:textFill>
                    </w:rPr>
                    <w:t>g/m³），表明区域环境质量具有一定容量。项目运营期产生的颗粒物经高效布袋除尘器处理后，排放浓度满足《石灰、电石工业大气污染物排放标准》（GB 41618-2022）要求；厂界噪声满足《工业企业厂界环境噪声排放标准》（GB12348-2008）2类标准；生活污水依托现有设施处理，固废得到合理处置。在采取上述措施后，项目建设不会突破当地环境质量底线，符合环境质量底线的要求。</w:t>
                  </w:r>
                </w:p>
              </w:tc>
              <w:tc>
                <w:tcPr>
                  <w:tcW w:w="596" w:type="pct"/>
                  <w:tcBorders>
                    <w:tl2br w:val="nil"/>
                    <w:tr2bl w:val="nil"/>
                  </w:tcBorders>
                  <w:noWrap w:val="0"/>
                  <w:vAlign w:val="center"/>
                </w:tcPr>
                <w:p w14:paraId="699B2444">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color w:val="000000" w:themeColor="text1"/>
                      <w:position w:val="0"/>
                      <w:sz w:val="21"/>
                      <w:szCs w:val="21"/>
                      <w:highlight w:val="none"/>
                      <w14:textFill>
                        <w14:solidFill>
                          <w14:schemeClr w14:val="tx1"/>
                        </w14:solidFill>
                      </w14:textFill>
                    </w:rPr>
                    <w:t>符合</w:t>
                  </w:r>
                </w:p>
              </w:tc>
            </w:tr>
            <w:tr w14:paraId="6B6E3781">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40" w:hRule="atLeast"/>
                <w:jc w:val="center"/>
              </w:trPr>
              <w:tc>
                <w:tcPr>
                  <w:tcW w:w="538" w:type="pct"/>
                  <w:tcBorders>
                    <w:tl2br w:val="nil"/>
                    <w:tr2bl w:val="nil"/>
                  </w:tcBorders>
                  <w:noWrap w:val="0"/>
                  <w:vAlign w:val="center"/>
                </w:tcPr>
                <w:p w14:paraId="4F03B05E">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default" w:ascii="Times New Roman" w:hAnsi="Times New Roman" w:cs="Times New Roman"/>
                      <w:color w:val="000000" w:themeColor="text1"/>
                      <w:position w:val="0"/>
                      <w:sz w:val="21"/>
                      <w:szCs w:val="21"/>
                      <w:highlight w:val="none"/>
                      <w:lang w:val="en-US" w:eastAsia="zh-CN"/>
                      <w14:textFill>
                        <w14:solidFill>
                          <w14:schemeClr w14:val="tx1"/>
                        </w14:solidFill>
                      </w14:textFill>
                    </w:rPr>
                    <w:t>准入</w:t>
                  </w:r>
                  <w:r>
                    <w:rPr>
                      <w:rFonts w:hint="default" w:ascii="Times New Roman" w:hAnsi="Times New Roman" w:eastAsia="宋体" w:cs="Times New Roman"/>
                      <w:color w:val="000000" w:themeColor="text1"/>
                      <w:position w:val="0"/>
                      <w:sz w:val="21"/>
                      <w:szCs w:val="21"/>
                      <w:highlight w:val="none"/>
                      <w14:textFill>
                        <w14:solidFill>
                          <w14:schemeClr w14:val="tx1"/>
                        </w14:solidFill>
                      </w14:textFill>
                    </w:rPr>
                    <w:t>清单</w:t>
                  </w:r>
                </w:p>
              </w:tc>
              <w:tc>
                <w:tcPr>
                  <w:tcW w:w="3864" w:type="pct"/>
                  <w:tcBorders>
                    <w:tl2br w:val="nil"/>
                    <w:tr2bl w:val="nil"/>
                  </w:tcBorders>
                  <w:noWrap w:val="0"/>
                  <w:vAlign w:val="center"/>
                </w:tcPr>
                <w:p w14:paraId="1263169F">
                  <w:pPr>
                    <w:pageBreakBefore w:val="0"/>
                    <w:numPr>
                      <w:ilvl w:val="0"/>
                      <w:numId w:val="0"/>
                    </w:numPr>
                    <w:autoSpaceDE w:val="0"/>
                    <w:autoSpaceDN w:val="0"/>
                    <w:bidi w:val="0"/>
                    <w:snapToGrid/>
                    <w:spacing w:before="0" w:after="0" w:line="240" w:lineRule="auto"/>
                    <w:ind w:right="0" w:firstLine="420"/>
                    <w:jc w:val="both"/>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eastAsia" w:ascii="Times New Roman" w:hAnsi="Times New Roman" w:cs="Times New Roman"/>
                      <w:color w:val="000000" w:themeColor="text1"/>
                      <w:spacing w:val="0"/>
                      <w:sz w:val="21"/>
                      <w:szCs w:val="21"/>
                      <w:highlight w:val="none"/>
                      <w:lang w:val="en-US" w:eastAsia="zh-CN"/>
                      <w14:textFill>
                        <w14:solidFill>
                          <w14:schemeClr w14:val="tx1"/>
                        </w14:solidFill>
                      </w14:textFill>
                    </w:rPr>
                    <w:t>根据</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《锡林郭勒盟生态环境保护委员会办公室关于印发锡林郭勒盟</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三线一单</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生态环境分区管控意见修改单和锡林郭勒盟生态环境准入清单的通知（锡环委办发〔2024〕1号）》</w:t>
                  </w:r>
                  <w: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t>中</w:t>
                  </w:r>
                  <w:r>
                    <w:rPr>
                      <w:rFonts w:hint="eastAsia" w:ascii="Times New Roman" w:hAnsi="Times New Roman" w:cs="Times New Roman"/>
                      <w:color w:val="000000" w:themeColor="text1"/>
                      <w:spacing w:val="0"/>
                      <w:sz w:val="21"/>
                      <w:szCs w:val="21"/>
                      <w:highlight w:val="none"/>
                      <w:lang w:eastAsia="zh-CN"/>
                      <w14:textFill>
                        <w14:solidFill>
                          <w14:schemeClr w14:val="tx1"/>
                        </w14:solidFill>
                      </w14:textFill>
                    </w:rPr>
                    <w:t>“锡林郭勒盟</w:t>
                  </w:r>
                  <w:r>
                    <w:rPr>
                      <w:rFonts w:hint="eastAsia" w:ascii="Times New Roman" w:hAnsi="Times New Roman" w:cs="Times New Roman"/>
                      <w:color w:val="000000" w:themeColor="text1"/>
                      <w:spacing w:val="0"/>
                      <w:sz w:val="21"/>
                      <w:szCs w:val="21"/>
                      <w:highlight w:val="none"/>
                      <w:lang w:val="en-US" w:eastAsia="zh-CN"/>
                      <w14:textFill>
                        <w14:solidFill>
                          <w14:schemeClr w14:val="tx1"/>
                        </w14:solidFill>
                      </w14:textFill>
                    </w:rPr>
                    <w:t>正蓝旗</w:t>
                  </w:r>
                  <w: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t>生态环境准入清单</w:t>
                  </w:r>
                  <w:r>
                    <w:rPr>
                      <w:rFonts w:hint="eastAsia" w:ascii="Times New Roman" w:hAnsi="Times New Roman" w:cs="Times New Roman"/>
                      <w:color w:val="000000" w:themeColor="text1"/>
                      <w:spacing w:val="0"/>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t>，本项目位于</w:t>
                  </w:r>
                  <w: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t>内蒙古锡林郭勒盟正蓝旗上都镇巴彦高勒嘎查</w:t>
                  </w:r>
                  <w:r>
                    <w:rPr>
                      <w:rFonts w:hint="eastAsia" w:ascii="Times New Roman" w:hAnsi="Times New Roman" w:cs="Times New Roman"/>
                      <w:color w:val="000000" w:themeColor="text1"/>
                      <w:spacing w:val="0"/>
                      <w:sz w:val="21"/>
                      <w:szCs w:val="21"/>
                      <w:highlight w:val="none"/>
                      <w:lang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环境管控单元名称为</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采矿用地</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，管控单元编码为ZH15253020003，管控单元类别为“</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重点</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管控单元”</w:t>
                  </w:r>
                  <w: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t>，</w:t>
                  </w:r>
                  <w:r>
                    <w:rPr>
                      <w:rFonts w:hint="eastAsia" w:ascii="Times New Roman" w:hAnsi="Times New Roman" w:eastAsia="宋体" w:cs="Times New Roman"/>
                      <w:color w:val="000000" w:themeColor="text1"/>
                      <w:spacing w:val="0"/>
                      <w:sz w:val="21"/>
                      <w:szCs w:val="21"/>
                      <w:highlight w:val="none"/>
                      <w:lang w:eastAsia="zh-CN"/>
                      <w14:textFill>
                        <w14:solidFill>
                          <w14:schemeClr w14:val="tx1"/>
                        </w14:solidFill>
                      </w14:textFill>
                    </w:rPr>
                    <w:t>项目符合空间布局约束、污染物排放管控、环境风险防控以及资源利用效率要求，</w:t>
                  </w:r>
                  <w: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t>因此，本项目的建设符合环境准入要求。</w:t>
                  </w:r>
                </w:p>
              </w:tc>
              <w:tc>
                <w:tcPr>
                  <w:tcW w:w="596" w:type="pct"/>
                  <w:tcBorders>
                    <w:tl2br w:val="nil"/>
                    <w:tr2bl w:val="nil"/>
                  </w:tcBorders>
                  <w:noWrap w:val="0"/>
                  <w:vAlign w:val="center"/>
                </w:tcPr>
                <w:p w14:paraId="00399476">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000000" w:themeColor="text1"/>
                      <w:position w:val="0"/>
                      <w:sz w:val="21"/>
                      <w:szCs w:val="21"/>
                      <w:highlight w:val="none"/>
                      <w14:textFill>
                        <w14:solidFill>
                          <w14:schemeClr w14:val="tx1"/>
                        </w14:solidFill>
                      </w14:textFill>
                    </w:rPr>
                  </w:pPr>
                  <w:r>
                    <w:rPr>
                      <w:rFonts w:hint="default" w:ascii="Times New Roman" w:hAnsi="Times New Roman" w:eastAsia="宋体" w:cs="Times New Roman"/>
                      <w:color w:val="000000" w:themeColor="text1"/>
                      <w:position w:val="0"/>
                      <w:sz w:val="21"/>
                      <w:szCs w:val="21"/>
                      <w:highlight w:val="none"/>
                      <w14:textFill>
                        <w14:solidFill>
                          <w14:schemeClr w14:val="tx1"/>
                        </w14:solidFill>
                      </w14:textFill>
                    </w:rPr>
                    <w:t>符合</w:t>
                  </w:r>
                </w:p>
              </w:tc>
            </w:tr>
          </w:tbl>
          <w:p w14:paraId="7E22704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
                <w:bCs/>
                <w:color w:val="000000" w:themeColor="text1"/>
                <w:sz w:val="24"/>
                <w:szCs w:val="24"/>
                <w:highlight w:val="none"/>
                <w:lang w:val="en-US" w:eastAsia="zh-CN"/>
                <w14:textFill>
                  <w14:solidFill>
                    <w14:schemeClr w14:val="tx1"/>
                  </w14:solidFill>
                </w14:textFill>
              </w:rPr>
              <w:t>表1-2  与锡林郭勒盟正蓝旗生态环境准入清单“正蓝旗采矿用地ZH15253020003”</w:t>
            </w:r>
            <w:r>
              <w:rPr>
                <w:rFonts w:hint="eastAsia" w:ascii="宋体" w:hAnsi="宋体" w:cs="宋体"/>
                <w:b/>
                <w:bCs/>
                <w:color w:val="000000" w:themeColor="text1"/>
                <w:position w:val="0"/>
                <w:sz w:val="24"/>
                <w:szCs w:val="24"/>
                <w:highlight w:val="none"/>
                <w:lang w:val="en-US" w:eastAsia="zh-CN"/>
                <w14:textFill>
                  <w14:solidFill>
                    <w14:schemeClr w14:val="tx1"/>
                  </w14:solidFill>
                </w14:textFill>
              </w:rPr>
              <w:t>符合性分析</w:t>
            </w:r>
          </w:p>
          <w:tbl>
            <w:tblPr>
              <w:tblStyle w:val="25"/>
              <w:tblW w:w="4997"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2"/>
              <w:gridCol w:w="687"/>
              <w:gridCol w:w="3390"/>
              <w:gridCol w:w="1345"/>
              <w:gridCol w:w="858"/>
            </w:tblGrid>
            <w:tr w14:paraId="528800F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PrEx>
              <w:trPr>
                <w:trHeight w:val="397" w:hRule="atLeast"/>
              </w:trPr>
              <w:tc>
                <w:tcPr>
                  <w:tcW w:w="3385" w:type="pct"/>
                  <w:gridSpan w:val="3"/>
                  <w:tcBorders>
                    <w:tl2br w:val="nil"/>
                    <w:tr2bl w:val="nil"/>
                  </w:tcBorders>
                  <w:noWrap w:val="0"/>
                  <w:vAlign w:val="center"/>
                </w:tcPr>
                <w:p w14:paraId="4A97218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管控要求</w:t>
                  </w:r>
                </w:p>
              </w:tc>
              <w:tc>
                <w:tcPr>
                  <w:tcW w:w="985" w:type="pct"/>
                  <w:tcBorders>
                    <w:tl2br w:val="nil"/>
                    <w:tr2bl w:val="nil"/>
                  </w:tcBorders>
                  <w:noWrap w:val="0"/>
                  <w:vAlign w:val="center"/>
                </w:tcPr>
                <w:p w14:paraId="07890FA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实际情况</w:t>
                  </w:r>
                </w:p>
              </w:tc>
              <w:tc>
                <w:tcPr>
                  <w:tcW w:w="628" w:type="pct"/>
                  <w:tcBorders>
                    <w:tl2br w:val="nil"/>
                    <w:tr2bl w:val="nil"/>
                  </w:tcBorders>
                  <w:noWrap w:val="0"/>
                  <w:vAlign w:val="center"/>
                </w:tcPr>
                <w:p w14:paraId="24AEC9D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符合性</w:t>
                  </w:r>
                </w:p>
              </w:tc>
            </w:tr>
            <w:tr w14:paraId="0C805E5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4" w:hRule="atLeast"/>
              </w:trPr>
              <w:tc>
                <w:tcPr>
                  <w:tcW w:w="397" w:type="pct"/>
                  <w:vMerge w:val="restart"/>
                  <w:tcBorders>
                    <w:tl2br w:val="nil"/>
                    <w:tr2bl w:val="nil"/>
                  </w:tcBorders>
                  <w:noWrap w:val="0"/>
                  <w:vAlign w:val="center"/>
                </w:tcPr>
                <w:p w14:paraId="5D77E87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空间布局约束</w:t>
                  </w:r>
                </w:p>
              </w:tc>
              <w:tc>
                <w:tcPr>
                  <w:tcW w:w="503" w:type="pct"/>
                  <w:vMerge w:val="restart"/>
                  <w:tcBorders>
                    <w:tl2br w:val="nil"/>
                    <w:tr2bl w:val="nil"/>
                  </w:tcBorders>
                  <w:noWrap w:val="0"/>
                  <w:vAlign w:val="center"/>
                </w:tcPr>
                <w:p w14:paraId="2D25D5DD">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1.执行锡林郭勒盟总体准入要求中第</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一</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条关于自然保护区、饮用水源保护区等区域内矿产资源开发活动准入及退出的要求。</w:t>
                  </w:r>
                </w:p>
              </w:tc>
              <w:tc>
                <w:tcPr>
                  <w:tcW w:w="2484" w:type="pct"/>
                  <w:tcBorders>
                    <w:tl2br w:val="nil"/>
                    <w:tr2bl w:val="nil"/>
                  </w:tcBorders>
                  <w:shd w:val="clear" w:color="auto" w:fill="auto"/>
                  <w:noWrap w:val="0"/>
                  <w:vAlign w:val="center"/>
                </w:tcPr>
                <w:p w14:paraId="3BABA763">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1.</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禁止布局现有化工园区以外新的化工园区。禁止在海河流域内蒙古锡林郭勒盟段及主要支流岸线1公里范围内扩大现有园区的面积。</w:t>
                  </w:r>
                </w:p>
              </w:tc>
              <w:tc>
                <w:tcPr>
                  <w:tcW w:w="985" w:type="pct"/>
                  <w:tcBorders>
                    <w:tl2br w:val="nil"/>
                    <w:tr2bl w:val="nil"/>
                  </w:tcBorders>
                  <w:shd w:val="clear" w:color="auto" w:fill="auto"/>
                  <w:noWrap w:val="0"/>
                  <w:vAlign w:val="center"/>
                </w:tcPr>
                <w:p w14:paraId="412BAB4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6C5442F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65CAC07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4" w:hRule="atLeast"/>
              </w:trPr>
              <w:tc>
                <w:tcPr>
                  <w:tcW w:w="397" w:type="pct"/>
                  <w:vMerge w:val="continue"/>
                  <w:tcBorders>
                    <w:tl2br w:val="nil"/>
                    <w:tr2bl w:val="nil"/>
                  </w:tcBorders>
                  <w:noWrap w:val="0"/>
                  <w:vAlign w:val="center"/>
                </w:tcPr>
                <w:p w14:paraId="069ECE66">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3583A565">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5A60501D">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新（改、扩）建化工项目必须符合规划环评及审查意见相关要求，必须与居民区或城市规划的居住用地保持足够的缓冲距离。</w:t>
                  </w:r>
                </w:p>
              </w:tc>
              <w:tc>
                <w:tcPr>
                  <w:tcW w:w="985" w:type="pct"/>
                  <w:tcBorders>
                    <w:tl2br w:val="nil"/>
                    <w:tr2bl w:val="nil"/>
                  </w:tcBorders>
                  <w:shd w:val="clear" w:color="auto" w:fill="auto"/>
                  <w:noWrap w:val="0"/>
                  <w:vAlign w:val="center"/>
                </w:tcPr>
                <w:p w14:paraId="3688076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6F25576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34A76E6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2" w:hRule="atLeast"/>
              </w:trPr>
              <w:tc>
                <w:tcPr>
                  <w:tcW w:w="397" w:type="pct"/>
                  <w:vMerge w:val="continue"/>
                  <w:tcBorders>
                    <w:tl2br w:val="nil"/>
                    <w:tr2bl w:val="nil"/>
                  </w:tcBorders>
                  <w:noWrap w:val="0"/>
                  <w:vAlign w:val="center"/>
                </w:tcPr>
                <w:p w14:paraId="17106499">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1976D4C3">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2D7C5474">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严禁水泥、电解铝、平板玻璃等行业新增产能，对确有必要新建的项目实行等量或减量置换。</w:t>
                  </w:r>
                </w:p>
              </w:tc>
              <w:tc>
                <w:tcPr>
                  <w:tcW w:w="985" w:type="pct"/>
                  <w:tcBorders>
                    <w:tl2br w:val="nil"/>
                    <w:tr2bl w:val="nil"/>
                  </w:tcBorders>
                  <w:shd w:val="clear" w:color="auto" w:fill="auto"/>
                  <w:noWrap w:val="0"/>
                  <w:vAlign w:val="center"/>
                </w:tcPr>
                <w:p w14:paraId="77A71341">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36ED37C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18A335C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397" w:type="pct"/>
                  <w:vMerge w:val="continue"/>
                  <w:tcBorders>
                    <w:tl2br w:val="nil"/>
                    <w:tr2bl w:val="nil"/>
                  </w:tcBorders>
                  <w:noWrap w:val="0"/>
                  <w:vAlign w:val="center"/>
                </w:tcPr>
                <w:p w14:paraId="39899F11">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2CB6840A">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020FBCD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4.</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全盟各旗县市（区）及以上城市建成区基本淘汰每小时10蒸吨及以下燃煤锅炉及茶浴炉、经营性炉灶、储粮烘干设备等燃煤设施，原则上不再新建每小时35蒸吨以下的燃煤锅炉，其他地区原则上不再新建每小时10蒸吨以下的燃煤锅炉。</w:t>
                  </w:r>
                </w:p>
              </w:tc>
              <w:tc>
                <w:tcPr>
                  <w:tcW w:w="985" w:type="pct"/>
                  <w:tcBorders>
                    <w:tl2br w:val="nil"/>
                    <w:tr2bl w:val="nil"/>
                  </w:tcBorders>
                  <w:shd w:val="clear" w:color="auto" w:fill="auto"/>
                  <w:noWrap w:val="0"/>
                  <w:vAlign w:val="center"/>
                </w:tcPr>
                <w:p w14:paraId="4932680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本项目不建设锅炉</w:t>
                  </w:r>
                </w:p>
              </w:tc>
              <w:tc>
                <w:tcPr>
                  <w:tcW w:w="628" w:type="pct"/>
                  <w:tcBorders>
                    <w:tl2br w:val="nil"/>
                    <w:tr2bl w:val="nil"/>
                  </w:tcBorders>
                  <w:shd w:val="clear" w:color="auto" w:fill="auto"/>
                  <w:noWrap w:val="0"/>
                  <w:vAlign w:val="center"/>
                </w:tcPr>
                <w:p w14:paraId="4A00D6F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0AE4417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397" w:type="pct"/>
                  <w:vMerge w:val="continue"/>
                  <w:tcBorders>
                    <w:tl2br w:val="nil"/>
                    <w:tr2bl w:val="nil"/>
                  </w:tcBorders>
                  <w:noWrap w:val="0"/>
                  <w:vAlign w:val="center"/>
                </w:tcPr>
                <w:p w14:paraId="4D3265B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4565B473">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7EDD771D">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5.</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禁止在城市主导风向上风向新建涉气重污染项目。</w:t>
                  </w:r>
                </w:p>
              </w:tc>
              <w:tc>
                <w:tcPr>
                  <w:tcW w:w="985" w:type="pct"/>
                  <w:tcBorders>
                    <w:tl2br w:val="nil"/>
                    <w:tr2bl w:val="nil"/>
                  </w:tcBorders>
                  <w:shd w:val="clear" w:color="auto" w:fill="auto"/>
                  <w:noWrap w:val="0"/>
                  <w:vAlign w:val="center"/>
                </w:tcPr>
                <w:p w14:paraId="20F91554">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本项目位于城区主导风向侧风向，且不属于</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涉气重污染项目</w:t>
                  </w:r>
                </w:p>
              </w:tc>
              <w:tc>
                <w:tcPr>
                  <w:tcW w:w="628" w:type="pct"/>
                  <w:tcBorders>
                    <w:tl2br w:val="nil"/>
                    <w:tr2bl w:val="nil"/>
                  </w:tcBorders>
                  <w:shd w:val="clear" w:color="auto" w:fill="auto"/>
                  <w:noWrap w:val="0"/>
                  <w:vAlign w:val="center"/>
                </w:tcPr>
                <w:p w14:paraId="0A32957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53B0B9B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3" w:hRule="atLeast"/>
              </w:trPr>
              <w:tc>
                <w:tcPr>
                  <w:tcW w:w="397" w:type="pct"/>
                  <w:vMerge w:val="continue"/>
                  <w:tcBorders>
                    <w:tl2br w:val="nil"/>
                    <w:tr2bl w:val="nil"/>
                  </w:tcBorders>
                  <w:noWrap w:val="0"/>
                  <w:vAlign w:val="center"/>
                </w:tcPr>
                <w:p w14:paraId="2A4F4DC6">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72749964">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2A9E0D9C">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6.</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重大项目原则上布局在优化开发区和重点开发区，并符合城乡规划和土地利用总体规划。推进企业向工业集聚区集中，并实施工业集聚区生态化改造。严禁地下水超采区新建高耗水、高污染项目，已建项目要采用先进节水技术，提高用水水平。</w:t>
                  </w:r>
                </w:p>
              </w:tc>
              <w:tc>
                <w:tcPr>
                  <w:tcW w:w="985" w:type="pct"/>
                  <w:tcBorders>
                    <w:tl2br w:val="nil"/>
                    <w:tr2bl w:val="nil"/>
                  </w:tcBorders>
                  <w:shd w:val="clear" w:color="auto" w:fill="auto"/>
                  <w:noWrap w:val="0"/>
                  <w:vAlign w:val="center"/>
                </w:tcPr>
                <w:p w14:paraId="15E49E39">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本项目不属于重大项目</w:t>
                  </w:r>
                </w:p>
              </w:tc>
              <w:tc>
                <w:tcPr>
                  <w:tcW w:w="628" w:type="pct"/>
                  <w:tcBorders>
                    <w:tl2br w:val="nil"/>
                    <w:tr2bl w:val="nil"/>
                  </w:tcBorders>
                  <w:shd w:val="clear" w:color="auto" w:fill="auto"/>
                  <w:noWrap w:val="0"/>
                  <w:vAlign w:val="center"/>
                </w:tcPr>
                <w:p w14:paraId="3298C1B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038A54F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4" w:hRule="atLeast"/>
              </w:trPr>
              <w:tc>
                <w:tcPr>
                  <w:tcW w:w="397" w:type="pct"/>
                  <w:vMerge w:val="continue"/>
                  <w:tcBorders>
                    <w:tl2br w:val="nil"/>
                    <w:tr2bl w:val="nil"/>
                  </w:tcBorders>
                  <w:noWrap w:val="0"/>
                  <w:vAlign w:val="center"/>
                </w:tcPr>
                <w:p w14:paraId="5C4E469D">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34D98FD6">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6547AA84">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7.</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新建、改扩建《管控目录》中的</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两高</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项目，项目选址必须进园区，工艺技术装备须达到同行业先进水平，符合新增产能管控。</w:t>
                  </w:r>
                </w:p>
              </w:tc>
              <w:tc>
                <w:tcPr>
                  <w:tcW w:w="985" w:type="pct"/>
                  <w:tcBorders>
                    <w:tl2br w:val="nil"/>
                    <w:tr2bl w:val="nil"/>
                  </w:tcBorders>
                  <w:shd w:val="clear" w:color="auto" w:fill="auto"/>
                  <w:noWrap w:val="0"/>
                  <w:vAlign w:val="center"/>
                </w:tcPr>
                <w:p w14:paraId="39C068E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本项目不属于“两高”项目</w:t>
                  </w:r>
                </w:p>
              </w:tc>
              <w:tc>
                <w:tcPr>
                  <w:tcW w:w="628" w:type="pct"/>
                  <w:tcBorders>
                    <w:tl2br w:val="nil"/>
                    <w:tr2bl w:val="nil"/>
                  </w:tcBorders>
                  <w:shd w:val="clear" w:color="auto" w:fill="auto"/>
                  <w:noWrap w:val="0"/>
                  <w:vAlign w:val="center"/>
                </w:tcPr>
                <w:p w14:paraId="26B7D8C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29DDB1E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9" w:hRule="atLeast"/>
              </w:trPr>
              <w:tc>
                <w:tcPr>
                  <w:tcW w:w="397" w:type="pct"/>
                  <w:vMerge w:val="continue"/>
                  <w:tcBorders>
                    <w:tl2br w:val="nil"/>
                    <w:tr2bl w:val="nil"/>
                  </w:tcBorders>
                  <w:noWrap w:val="0"/>
                  <w:vAlign w:val="center"/>
                </w:tcPr>
                <w:p w14:paraId="176F8A8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1DD2E57E">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4E73A13E">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8.</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禁止在燃气管网和集中供热管网覆盖的区域新建、改建、扩建分散燃烧煤炭、重油、渣油的集中供热设施；已建成的不能达标排放的集中供热设施应当在规定的期限内拆除。</w:t>
                  </w:r>
                </w:p>
              </w:tc>
              <w:tc>
                <w:tcPr>
                  <w:tcW w:w="985" w:type="pct"/>
                  <w:tcBorders>
                    <w:tl2br w:val="nil"/>
                    <w:tr2bl w:val="nil"/>
                  </w:tcBorders>
                  <w:shd w:val="clear" w:color="auto" w:fill="auto"/>
                  <w:noWrap w:val="0"/>
                  <w:vAlign w:val="center"/>
                </w:tcPr>
                <w:p w14:paraId="6789BA0A">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7514352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259B00B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7" w:hRule="atLeast"/>
              </w:trPr>
              <w:tc>
                <w:tcPr>
                  <w:tcW w:w="397" w:type="pct"/>
                  <w:vMerge w:val="continue"/>
                  <w:tcBorders>
                    <w:tl2br w:val="nil"/>
                    <w:tr2bl w:val="nil"/>
                  </w:tcBorders>
                  <w:noWrap w:val="0"/>
                  <w:vAlign w:val="center"/>
                </w:tcPr>
                <w:p w14:paraId="779CD89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4C7A8259">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40CE41EF">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9.</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禁止在自然保护区、饮用水水源保护区、风景名胜区等敏感区域内新建、扩建、改建工业炉窑。</w:t>
                  </w:r>
                </w:p>
              </w:tc>
              <w:tc>
                <w:tcPr>
                  <w:tcW w:w="985" w:type="pct"/>
                  <w:tcBorders>
                    <w:tl2br w:val="nil"/>
                    <w:tr2bl w:val="nil"/>
                  </w:tcBorders>
                  <w:shd w:val="clear" w:color="auto" w:fill="auto"/>
                  <w:noWrap w:val="0"/>
                  <w:vAlign w:val="center"/>
                </w:tcPr>
                <w:p w14:paraId="6314DE9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本项目不涉及敏感区域</w:t>
                  </w:r>
                </w:p>
              </w:tc>
              <w:tc>
                <w:tcPr>
                  <w:tcW w:w="628" w:type="pct"/>
                  <w:tcBorders>
                    <w:tl2br w:val="nil"/>
                    <w:tr2bl w:val="nil"/>
                  </w:tcBorders>
                  <w:shd w:val="clear" w:color="auto" w:fill="auto"/>
                  <w:noWrap w:val="0"/>
                  <w:vAlign w:val="center"/>
                </w:tcPr>
                <w:p w14:paraId="361E41D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710F671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9" w:hRule="atLeast"/>
              </w:trPr>
              <w:tc>
                <w:tcPr>
                  <w:tcW w:w="397" w:type="pct"/>
                  <w:vMerge w:val="continue"/>
                  <w:tcBorders>
                    <w:tl2br w:val="nil"/>
                    <w:tr2bl w:val="nil"/>
                  </w:tcBorders>
                  <w:noWrap w:val="0"/>
                  <w:vAlign w:val="center"/>
                </w:tcPr>
                <w:p w14:paraId="7A095101">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4B9A83F7">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6FA2CAC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10.</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禁止在河湖管理范围内向河湖排放、倾倒、处置油类、酸液、碱液或者剧毒废液污染物等；禁止新建、改建、扩建围堤、阻水渠道、阻水道路；禁止弃置、倾倒、堆放、掩埋固体废物。</w:t>
                  </w:r>
                </w:p>
              </w:tc>
              <w:tc>
                <w:tcPr>
                  <w:tcW w:w="985" w:type="pct"/>
                  <w:tcBorders>
                    <w:tl2br w:val="nil"/>
                    <w:tr2bl w:val="nil"/>
                  </w:tcBorders>
                  <w:shd w:val="clear" w:color="auto" w:fill="auto"/>
                  <w:noWrap w:val="0"/>
                  <w:vAlign w:val="center"/>
                </w:tcPr>
                <w:p w14:paraId="552F7F3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2234A1A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187E171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1" w:hRule="atLeast"/>
              </w:trPr>
              <w:tc>
                <w:tcPr>
                  <w:tcW w:w="397" w:type="pct"/>
                  <w:vMerge w:val="continue"/>
                  <w:tcBorders>
                    <w:tl2br w:val="nil"/>
                    <w:tr2bl w:val="nil"/>
                  </w:tcBorders>
                  <w:noWrap w:val="0"/>
                  <w:vAlign w:val="center"/>
                </w:tcPr>
                <w:p w14:paraId="774A45B1">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4BC5962F">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23819CF2">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11.</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禁止在崩塌、滑坡危险区和泥石流易发区从事取土、挖砂、采石等可能造成水土流失的活动。永久基本农田集中区域不得新建可能造成土壤污染的建设项目。</w:t>
                  </w:r>
                </w:p>
              </w:tc>
              <w:tc>
                <w:tcPr>
                  <w:tcW w:w="985" w:type="pct"/>
                  <w:tcBorders>
                    <w:tl2br w:val="nil"/>
                    <w:tr2bl w:val="nil"/>
                  </w:tcBorders>
                  <w:shd w:val="clear" w:color="auto" w:fill="auto"/>
                  <w:noWrap w:val="0"/>
                  <w:vAlign w:val="center"/>
                </w:tcPr>
                <w:p w14:paraId="17A73376">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本项目不涉及基本农田</w:t>
                  </w:r>
                </w:p>
              </w:tc>
              <w:tc>
                <w:tcPr>
                  <w:tcW w:w="628" w:type="pct"/>
                  <w:tcBorders>
                    <w:tl2br w:val="nil"/>
                    <w:tr2bl w:val="nil"/>
                  </w:tcBorders>
                  <w:shd w:val="clear" w:color="auto" w:fill="auto"/>
                  <w:noWrap w:val="0"/>
                  <w:vAlign w:val="center"/>
                </w:tcPr>
                <w:p w14:paraId="11A307D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621566F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397" w:type="pct"/>
                  <w:vMerge w:val="continue"/>
                  <w:tcBorders>
                    <w:tl2br w:val="nil"/>
                    <w:tr2bl w:val="nil"/>
                  </w:tcBorders>
                  <w:noWrap w:val="0"/>
                  <w:vAlign w:val="center"/>
                </w:tcPr>
                <w:p w14:paraId="098E3E2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2266AB1F">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18D27D1C">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12.</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在饮用水水源准保护区内，禁止下列行为：（一）新建、扩建化工、生物发酵、电镀、皮革、冶炼、放射性、炼油、炼焦以及其他严重污染水体的建设项目，改建增加排污量的项目；（二）进行可能严重影响饮用水水源水质和水量的矿产勘查、采选等活动；（三）倾倒、堆放工业废渣、垃圾、粪便以及其他废弃物；（四）破坏水源涵养林、护岸林以及水源保护相关植被的活动；（五）</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法律法规</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规定的其他可能污染饮用水水源的行为。在饮用水水源二级保护区内，除饮用水水源准保护区内禁止的行为外，禁止下列行为：（一）设置排污口；（二）新建、改建、扩建排放污染物的建设项目或者其他设施；（三）影响水源补给的活动以及与饮用水供水无关的勘查、开采活动；（四）新建、扩建油库、加油站；（五）建立火葬场、墓地；（六）设置畜禽养殖场、养殖小区；（七）利用未经净化处理达标的污水灌溉农田；（八）超过标准使用农药、化肥、含磷洗涤剂；（九）掩埋、弃置动物尸体；（十）</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法律法规</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规定的其他可能污染饮用水水源的行为。在饮用水水源一级保护区内，除饮用水水源准保护区、二级保护区内禁止的行为外，还禁止下列行为：（一）新建、改建、扩建与供水设施和保护水源无关的建设项目；（二）从事网箱养殖、旅游、游泳、垂钓或者其他可能污染饮用水水体的行为。</w:t>
                  </w:r>
                </w:p>
              </w:tc>
              <w:tc>
                <w:tcPr>
                  <w:tcW w:w="985" w:type="pct"/>
                  <w:tcBorders>
                    <w:tl2br w:val="nil"/>
                    <w:tr2bl w:val="nil"/>
                  </w:tcBorders>
                  <w:shd w:val="clear" w:color="auto" w:fill="auto"/>
                  <w:noWrap w:val="0"/>
                  <w:vAlign w:val="center"/>
                </w:tcPr>
                <w:p w14:paraId="0C8C30F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本项目不涉及饮用水水源保护区</w:t>
                  </w:r>
                </w:p>
              </w:tc>
              <w:tc>
                <w:tcPr>
                  <w:tcW w:w="628" w:type="pct"/>
                  <w:tcBorders>
                    <w:tl2br w:val="nil"/>
                    <w:tr2bl w:val="nil"/>
                  </w:tcBorders>
                  <w:shd w:val="clear" w:color="auto" w:fill="auto"/>
                  <w:noWrap w:val="0"/>
                  <w:vAlign w:val="center"/>
                </w:tcPr>
                <w:p w14:paraId="02858A5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01E22E1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397" w:type="pct"/>
                  <w:vMerge w:val="continue"/>
                  <w:tcBorders>
                    <w:tl2br w:val="nil"/>
                    <w:tr2bl w:val="nil"/>
                  </w:tcBorders>
                  <w:noWrap w:val="0"/>
                  <w:vAlign w:val="center"/>
                </w:tcPr>
                <w:p w14:paraId="41EC2F10">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restart"/>
                  <w:tcBorders>
                    <w:tl2br w:val="nil"/>
                    <w:tr2bl w:val="nil"/>
                  </w:tcBorders>
                  <w:noWrap w:val="0"/>
                  <w:vAlign w:val="center"/>
                </w:tcPr>
                <w:p w14:paraId="2EEDE0FF">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2</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.执行锡林郭勒盟总体准入要求中第十七条关于自然保护区、饮用水源保护区等区域内矿产资源开发活动准入及退出的要求。</w:t>
                  </w:r>
                </w:p>
              </w:tc>
              <w:tc>
                <w:tcPr>
                  <w:tcW w:w="2484" w:type="pct"/>
                  <w:tcBorders>
                    <w:tl2br w:val="nil"/>
                    <w:tr2bl w:val="nil"/>
                  </w:tcBorders>
                  <w:noWrap w:val="0"/>
                  <w:vAlign w:val="center"/>
                </w:tcPr>
                <w:p w14:paraId="2EFE5220">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1.</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自然保护区内禁止新设矿业权。</w:t>
                  </w:r>
                </w:p>
              </w:tc>
              <w:tc>
                <w:tcPr>
                  <w:tcW w:w="985" w:type="pct"/>
                  <w:tcBorders>
                    <w:tl2br w:val="nil"/>
                    <w:tr2bl w:val="nil"/>
                  </w:tcBorders>
                  <w:noWrap w:val="0"/>
                  <w:vAlign w:val="center"/>
                </w:tcPr>
                <w:p w14:paraId="6531287D">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4D5144D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AB9258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1" w:hRule="atLeast"/>
              </w:trPr>
              <w:tc>
                <w:tcPr>
                  <w:tcW w:w="397" w:type="pct"/>
                  <w:vMerge w:val="continue"/>
                  <w:tcBorders>
                    <w:tl2br w:val="nil"/>
                    <w:tr2bl w:val="nil"/>
                  </w:tcBorders>
                  <w:noWrap w:val="0"/>
                  <w:vAlign w:val="center"/>
                </w:tcPr>
                <w:p w14:paraId="78477B6C">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highlight w:val="none"/>
                      <w14:textFill>
                        <w14:solidFill>
                          <w14:schemeClr w14:val="tx1"/>
                        </w14:solidFill>
                      </w14:textFill>
                    </w:rPr>
                  </w:pPr>
                </w:p>
              </w:tc>
              <w:tc>
                <w:tcPr>
                  <w:tcW w:w="503" w:type="pct"/>
                  <w:vMerge w:val="continue"/>
                  <w:tcBorders>
                    <w:tl2br w:val="nil"/>
                    <w:tr2bl w:val="nil"/>
                  </w:tcBorders>
                  <w:noWrap w:val="0"/>
                  <w:vAlign w:val="center"/>
                </w:tcPr>
                <w:p w14:paraId="3341370C">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highlight w:val="none"/>
                      <w14:textFill>
                        <w14:solidFill>
                          <w14:schemeClr w14:val="tx1"/>
                        </w14:solidFill>
                      </w14:textFill>
                    </w:rPr>
                  </w:pPr>
                </w:p>
              </w:tc>
              <w:tc>
                <w:tcPr>
                  <w:tcW w:w="2484" w:type="pct"/>
                  <w:tcBorders>
                    <w:tl2br w:val="nil"/>
                    <w:tr2bl w:val="nil"/>
                  </w:tcBorders>
                  <w:noWrap w:val="0"/>
                  <w:vAlign w:val="center"/>
                </w:tcPr>
                <w:p w14:paraId="6111338D">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2.</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自然保护区内已设置的商业探矿权、采矿权和取水权，依法限期退出。自然保护区设立之前已存在的合法探矿权、采矿权和取水权，以及自然保护区设立之后各项手续完备且已征得保护区主管部门同意设立的探矿权、采矿权和取水权，按照内蒙古自治区自然保护区内矿业权清理工作方案等要求依法退出。</w:t>
                  </w:r>
                </w:p>
              </w:tc>
              <w:tc>
                <w:tcPr>
                  <w:tcW w:w="985" w:type="pct"/>
                  <w:tcBorders>
                    <w:tl2br w:val="nil"/>
                    <w:tr2bl w:val="nil"/>
                  </w:tcBorders>
                  <w:noWrap w:val="0"/>
                  <w:vAlign w:val="center"/>
                </w:tcPr>
                <w:p w14:paraId="47981C6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6F88C96A">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50A700F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397" w:type="pct"/>
                  <w:vMerge w:val="continue"/>
                  <w:tcBorders>
                    <w:tl2br w:val="nil"/>
                    <w:tr2bl w:val="nil"/>
                  </w:tcBorders>
                  <w:noWrap w:val="0"/>
                  <w:vAlign w:val="center"/>
                </w:tcPr>
                <w:p w14:paraId="0D661B8D">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highlight w:val="none"/>
                      <w14:textFill>
                        <w14:solidFill>
                          <w14:schemeClr w14:val="tx1"/>
                        </w14:solidFill>
                      </w14:textFill>
                    </w:rPr>
                  </w:pPr>
                </w:p>
              </w:tc>
              <w:tc>
                <w:tcPr>
                  <w:tcW w:w="503" w:type="pct"/>
                  <w:vMerge w:val="continue"/>
                  <w:tcBorders>
                    <w:tl2br w:val="nil"/>
                    <w:tr2bl w:val="nil"/>
                  </w:tcBorders>
                  <w:noWrap w:val="0"/>
                  <w:vAlign w:val="center"/>
                </w:tcPr>
                <w:p w14:paraId="6E7409D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highlight w:val="none"/>
                      <w14:textFill>
                        <w14:solidFill>
                          <w14:schemeClr w14:val="tx1"/>
                        </w14:solidFill>
                      </w14:textFill>
                    </w:rPr>
                  </w:pPr>
                </w:p>
              </w:tc>
              <w:tc>
                <w:tcPr>
                  <w:tcW w:w="2484" w:type="pct"/>
                  <w:tcBorders>
                    <w:tl2br w:val="nil"/>
                    <w:tr2bl w:val="nil"/>
                  </w:tcBorders>
                  <w:shd w:val="clear" w:color="auto" w:fill="auto"/>
                  <w:noWrap w:val="0"/>
                  <w:vAlign w:val="center"/>
                </w:tcPr>
                <w:p w14:paraId="6F4F6FC7">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3.</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开采范围与自然保护区、饮用水水源保护区等区域重叠的煤矿，依法关闭退出。其中，矿业权后于自然保护区、饮用水源保护区的煤矿，立即退出；矿业权先于自然保护区、饮用水源保护区的煤矿，原则上在2020年前退出，确因开采特殊紧缺煤种的非煤与瓦斯突出煤矿，或满足林区、边远山区居民生活用煤需要、承担特殊供应任务的煤矿，以及处于自然保护区核心区和缓冲区、之外的煤矿，在落实安全生产保障和环境保护措施的前提下，经报请省级人民政府有关部门同意后，方可适当延迟退出时间。</w:t>
                  </w:r>
                </w:p>
              </w:tc>
              <w:tc>
                <w:tcPr>
                  <w:tcW w:w="985" w:type="pct"/>
                  <w:tcBorders>
                    <w:tl2br w:val="nil"/>
                    <w:tr2bl w:val="nil"/>
                  </w:tcBorders>
                  <w:shd w:val="clear" w:color="auto" w:fill="auto"/>
                  <w:noWrap w:val="0"/>
                  <w:vAlign w:val="center"/>
                </w:tcPr>
                <w:p w14:paraId="38B1527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6C6FAA4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A3F37B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7" w:hRule="atLeast"/>
              </w:trPr>
              <w:tc>
                <w:tcPr>
                  <w:tcW w:w="397" w:type="pct"/>
                  <w:vMerge w:val="continue"/>
                  <w:tcBorders>
                    <w:tl2br w:val="nil"/>
                    <w:tr2bl w:val="nil"/>
                  </w:tcBorders>
                  <w:noWrap w:val="0"/>
                  <w:vAlign w:val="center"/>
                </w:tcPr>
                <w:p w14:paraId="60F46D01">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noWrap w:val="0"/>
                  <w:vAlign w:val="center"/>
                </w:tcPr>
                <w:p w14:paraId="77810B29">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非经国务院授权的有关主管部门同意，不得在以下地区开采矿产资源：（1）港口、机场、国防工程建设设施圈定地区以内；（2）重要工业区、大型水利工程设施、城镇市政工程设施附近一定距离以内；（3）铁路、重要公路两侧一定距离以内；（4）重要河流、堤坝两侧一定距离以内；（5）国家划定的自然保护区、重要风景名胜区，国家重点保护的不能移动的历史文物和名胜古迹所在地；（6）国家规定不得开采矿产资源的其他地区。禁止在自然保护区内从事开采活动。自然保护区内已有探矿权和采矿权，在维护矿业权人合法权益的前提下，依法有序退出。</w:t>
                  </w:r>
                </w:p>
              </w:tc>
              <w:tc>
                <w:tcPr>
                  <w:tcW w:w="985" w:type="pct"/>
                  <w:tcBorders>
                    <w:tl2br w:val="nil"/>
                    <w:tr2bl w:val="nil"/>
                  </w:tcBorders>
                  <w:noWrap w:val="0"/>
                  <w:vAlign w:val="center"/>
                </w:tcPr>
                <w:p w14:paraId="0F6484A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本项目不涉及（1）~（6）提及的区域，亦不在保护区内</w:t>
                  </w:r>
                </w:p>
              </w:tc>
              <w:tc>
                <w:tcPr>
                  <w:tcW w:w="628" w:type="pct"/>
                  <w:tcBorders>
                    <w:tl2br w:val="nil"/>
                    <w:tr2bl w:val="nil"/>
                  </w:tcBorders>
                  <w:noWrap w:val="0"/>
                  <w:vAlign w:val="center"/>
                </w:tcPr>
                <w:p w14:paraId="519C1DE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1E9059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397" w:type="pct"/>
                  <w:vMerge w:val="continue"/>
                  <w:tcBorders>
                    <w:tl2br w:val="nil"/>
                    <w:tr2bl w:val="nil"/>
                  </w:tcBorders>
                  <w:noWrap w:val="0"/>
                  <w:vAlign w:val="center"/>
                </w:tcPr>
                <w:p w14:paraId="69210AD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noWrap w:val="0"/>
                  <w:vAlign w:val="center"/>
                </w:tcPr>
                <w:p w14:paraId="2D2D192A">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3</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三区两线</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范围和矿产资源禁止开采区内不得新设置开采矿山。</w:t>
                  </w:r>
                </w:p>
              </w:tc>
              <w:tc>
                <w:tcPr>
                  <w:tcW w:w="985" w:type="pct"/>
                  <w:tcBorders>
                    <w:tl2br w:val="nil"/>
                    <w:tr2bl w:val="nil"/>
                  </w:tcBorders>
                  <w:noWrap w:val="0"/>
                  <w:vAlign w:val="center"/>
                </w:tcPr>
                <w:p w14:paraId="48132181">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涉及</w:t>
                  </w:r>
                </w:p>
              </w:tc>
              <w:tc>
                <w:tcPr>
                  <w:tcW w:w="628" w:type="pct"/>
                  <w:tcBorders>
                    <w:tl2br w:val="nil"/>
                    <w:tr2bl w:val="nil"/>
                  </w:tcBorders>
                  <w:noWrap w:val="0"/>
                  <w:vAlign w:val="center"/>
                </w:tcPr>
                <w:p w14:paraId="5DAD669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31412FC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397" w:type="pct"/>
                  <w:vMerge w:val="continue"/>
                  <w:tcBorders>
                    <w:tl2br w:val="nil"/>
                    <w:tr2bl w:val="nil"/>
                  </w:tcBorders>
                  <w:noWrap w:val="0"/>
                  <w:vAlign w:val="center"/>
                </w:tcPr>
                <w:p w14:paraId="12D5C61A">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noWrap w:val="0"/>
                  <w:vAlign w:val="center"/>
                </w:tcPr>
                <w:p w14:paraId="5CBFF8FB">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4</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.规划期内未达到绿色矿山建设标准的停产矿山，依法依规逐步退出市场。</w:t>
                  </w:r>
                </w:p>
              </w:tc>
              <w:tc>
                <w:tcPr>
                  <w:tcW w:w="985" w:type="pct"/>
                  <w:tcBorders>
                    <w:tl2br w:val="nil"/>
                    <w:tr2bl w:val="nil"/>
                  </w:tcBorders>
                  <w:noWrap w:val="0"/>
                  <w:vAlign w:val="center"/>
                </w:tcPr>
                <w:p w14:paraId="7B679B0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5EE31FA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0287E31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397" w:type="pct"/>
                  <w:vMerge w:val="continue"/>
                  <w:tcBorders>
                    <w:tl2br w:val="nil"/>
                    <w:tr2bl w:val="nil"/>
                  </w:tcBorders>
                  <w:noWrap w:val="0"/>
                  <w:vAlign w:val="center"/>
                </w:tcPr>
                <w:p w14:paraId="09A0213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noWrap w:val="0"/>
                  <w:vAlign w:val="center"/>
                </w:tcPr>
                <w:p w14:paraId="701EC135">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5</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.禁止建设不符合国家产业结构调整指导目录中的项目</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tc>
              <w:tc>
                <w:tcPr>
                  <w:tcW w:w="985" w:type="pct"/>
                  <w:tcBorders>
                    <w:tl2br w:val="nil"/>
                    <w:tr2bl w:val="nil"/>
                  </w:tcBorders>
                  <w:noWrap w:val="0"/>
                  <w:vAlign w:val="center"/>
                </w:tcPr>
                <w:p w14:paraId="6CECE2D0">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不涉及</w:t>
                  </w:r>
                </w:p>
              </w:tc>
              <w:tc>
                <w:tcPr>
                  <w:tcW w:w="628" w:type="pct"/>
                  <w:tcBorders>
                    <w:tl2br w:val="nil"/>
                    <w:tr2bl w:val="nil"/>
                  </w:tcBorders>
                  <w:noWrap w:val="0"/>
                  <w:vAlign w:val="center"/>
                </w:tcPr>
                <w:p w14:paraId="534FAB0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97E32A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trPr>
              <w:tc>
                <w:tcPr>
                  <w:tcW w:w="397" w:type="pct"/>
                  <w:vMerge w:val="continue"/>
                  <w:tcBorders>
                    <w:tl2br w:val="nil"/>
                    <w:tr2bl w:val="nil"/>
                  </w:tcBorders>
                  <w:noWrap w:val="0"/>
                  <w:vAlign w:val="center"/>
                </w:tcPr>
                <w:p w14:paraId="688914B0">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noWrap w:val="0"/>
                  <w:vAlign w:val="center"/>
                </w:tcPr>
                <w:p w14:paraId="1F1C291C">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6</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.禁止在城区和国省干线公路、二级公路可视范围内（或2公里以上）及河道两侧等水土流失重点防控区进行采矿、选矿活动</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tc>
              <w:tc>
                <w:tcPr>
                  <w:tcW w:w="985" w:type="pct"/>
                  <w:tcBorders>
                    <w:tl2br w:val="nil"/>
                    <w:tr2bl w:val="nil"/>
                  </w:tcBorders>
                  <w:noWrap w:val="0"/>
                  <w:vAlign w:val="center"/>
                </w:tcPr>
                <w:p w14:paraId="006CF4C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本项目不在这些禁止区域内</w:t>
                  </w:r>
                </w:p>
              </w:tc>
              <w:tc>
                <w:tcPr>
                  <w:tcW w:w="628" w:type="pct"/>
                  <w:tcBorders>
                    <w:tl2br w:val="nil"/>
                    <w:tr2bl w:val="nil"/>
                  </w:tcBorders>
                  <w:noWrap w:val="0"/>
                  <w:vAlign w:val="center"/>
                </w:tcPr>
                <w:p w14:paraId="49C53BCD">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5757083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2" w:hRule="atLeast"/>
              </w:trPr>
              <w:tc>
                <w:tcPr>
                  <w:tcW w:w="397" w:type="pct"/>
                  <w:vMerge w:val="restart"/>
                  <w:tcBorders>
                    <w:tl2br w:val="nil"/>
                    <w:tr2bl w:val="nil"/>
                  </w:tcBorders>
                  <w:noWrap w:val="0"/>
                  <w:vAlign w:val="center"/>
                </w:tcPr>
                <w:p w14:paraId="5F060B5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污染物排放管控</w:t>
                  </w:r>
                </w:p>
              </w:tc>
              <w:tc>
                <w:tcPr>
                  <w:tcW w:w="503" w:type="pct"/>
                  <w:vMerge w:val="restart"/>
                  <w:tcBorders>
                    <w:tl2br w:val="nil"/>
                    <w:tr2bl w:val="nil"/>
                  </w:tcBorders>
                  <w:noWrap w:val="0"/>
                  <w:vAlign w:val="center"/>
                </w:tcPr>
                <w:p w14:paraId="3A83308B">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1.</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执行锡林郭勒盟总体准入要求中第二条关于污染物排放管控的准入要求。</w:t>
                  </w:r>
                </w:p>
              </w:tc>
              <w:tc>
                <w:tcPr>
                  <w:tcW w:w="2484" w:type="pct"/>
                  <w:tcBorders>
                    <w:tl2br w:val="nil"/>
                    <w:tr2bl w:val="nil"/>
                  </w:tcBorders>
                  <w:noWrap w:val="0"/>
                  <w:vAlign w:val="center"/>
                </w:tcPr>
                <w:p w14:paraId="3FF64C27">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1.</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严格落实污染物排放总量控制制度，把主要污染物排放总量指标作为环评审批的前置条件。对未完成上一年度主要污染物总量减排目标的地区或企业、环境质量未达到环境功能区划要求、被实施区域限批的地区及未进行排污权交易的工业企业建设项目暂停新增主要污染物排放建设项目的总量审批。</w:t>
                  </w:r>
                </w:p>
              </w:tc>
              <w:tc>
                <w:tcPr>
                  <w:tcW w:w="985" w:type="pct"/>
                  <w:tcBorders>
                    <w:tl2br w:val="nil"/>
                    <w:tr2bl w:val="nil"/>
                  </w:tcBorders>
                  <w:noWrap w:val="0"/>
                  <w:vAlign w:val="center"/>
                </w:tcPr>
                <w:p w14:paraId="69D36BD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2DB838D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CBF30B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trPr>
              <w:tc>
                <w:tcPr>
                  <w:tcW w:w="397" w:type="pct"/>
                  <w:vMerge w:val="continue"/>
                  <w:tcBorders>
                    <w:tl2br w:val="nil"/>
                    <w:tr2bl w:val="nil"/>
                  </w:tcBorders>
                  <w:noWrap w:val="0"/>
                  <w:vAlign w:val="center"/>
                </w:tcPr>
                <w:p w14:paraId="5DEA68B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79CB0466">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5E7847A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45米以上高架源纳入自治区重点污染源在线监控并实现与生态环境部门联网。</w:t>
                  </w:r>
                </w:p>
              </w:tc>
              <w:tc>
                <w:tcPr>
                  <w:tcW w:w="985" w:type="pct"/>
                  <w:tcBorders>
                    <w:tl2br w:val="nil"/>
                    <w:tr2bl w:val="nil"/>
                  </w:tcBorders>
                  <w:noWrap w:val="0"/>
                  <w:vAlign w:val="center"/>
                </w:tcPr>
                <w:p w14:paraId="7BDAAA1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6B8B2CE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符合</w:t>
                  </w:r>
                </w:p>
              </w:tc>
            </w:tr>
            <w:tr w14:paraId="1D830FB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97" w:type="pct"/>
                  <w:vMerge w:val="continue"/>
                  <w:tcBorders>
                    <w:tl2br w:val="nil"/>
                    <w:tr2bl w:val="nil"/>
                  </w:tcBorders>
                  <w:noWrap w:val="0"/>
                  <w:vAlign w:val="center"/>
                </w:tcPr>
                <w:p w14:paraId="78FFE667">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78C95519">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4AF78596">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加强矿山开采污染治理。强化矿山开采、储存、装卸、运输过程的污染防治，确保粉尘达标排放。</w:t>
                  </w:r>
                </w:p>
              </w:tc>
              <w:tc>
                <w:tcPr>
                  <w:tcW w:w="985" w:type="pct"/>
                  <w:tcBorders>
                    <w:tl2br w:val="nil"/>
                    <w:tr2bl w:val="nil"/>
                  </w:tcBorders>
                  <w:noWrap w:val="0"/>
                  <w:vAlign w:val="center"/>
                </w:tcPr>
                <w:p w14:paraId="3A3BE866">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本项目</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不涉及</w:t>
                  </w:r>
                </w:p>
              </w:tc>
              <w:tc>
                <w:tcPr>
                  <w:tcW w:w="628" w:type="pct"/>
                  <w:tcBorders>
                    <w:tl2br w:val="nil"/>
                    <w:tr2bl w:val="nil"/>
                  </w:tcBorders>
                  <w:noWrap w:val="0"/>
                  <w:vAlign w:val="center"/>
                </w:tcPr>
                <w:p w14:paraId="6FBB8C9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符合</w:t>
                  </w:r>
                </w:p>
              </w:tc>
            </w:tr>
            <w:tr w14:paraId="0DFFA35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trPr>
              <w:tc>
                <w:tcPr>
                  <w:tcW w:w="397" w:type="pct"/>
                  <w:vMerge w:val="continue"/>
                  <w:tcBorders>
                    <w:tl2br w:val="nil"/>
                    <w:tr2bl w:val="nil"/>
                  </w:tcBorders>
                  <w:noWrap w:val="0"/>
                  <w:vAlign w:val="center"/>
                </w:tcPr>
                <w:p w14:paraId="3B28D8D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5CE1252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0A0F5BA2">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4.</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重点行业粉状物料堆场必须进行全封闭，块状物料必须安装抑尘设施。</w:t>
                  </w:r>
                </w:p>
              </w:tc>
              <w:tc>
                <w:tcPr>
                  <w:tcW w:w="985" w:type="pct"/>
                  <w:tcBorders>
                    <w:tl2br w:val="nil"/>
                    <w:tr2bl w:val="nil"/>
                  </w:tcBorders>
                  <w:noWrap w:val="0"/>
                  <w:vAlign w:val="center"/>
                </w:tcPr>
                <w:p w14:paraId="4414EE6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t>本项目粉状物料均采用密闭筒仓贮存，仓顶配套布袋除尘器，</w:t>
                  </w:r>
                  <w:r>
                    <w:rPr>
                      <w:rFonts w:hint="eastAsia" w:ascii="Times New Roman" w:hAnsi="Times New Roman" w:cs="Times New Roman"/>
                      <w:color w:val="000000" w:themeColor="text1"/>
                      <w:spacing w:val="0"/>
                      <w:sz w:val="21"/>
                      <w:szCs w:val="21"/>
                      <w:highlight w:val="none"/>
                      <w:lang w:val="en-US" w:eastAsia="zh-CN"/>
                      <w14:textFill>
                        <w14:solidFill>
                          <w14:schemeClr w14:val="tx1"/>
                        </w14:solidFill>
                      </w14:textFill>
                    </w:rPr>
                    <w:t>原料装卸</w:t>
                  </w:r>
                  <w:r>
                    <w:rPr>
                      <w:rFonts w:hint="eastAsia"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t>、贮存</w:t>
                  </w:r>
                  <w:r>
                    <w:rPr>
                      <w:rFonts w:hint="eastAsia" w:ascii="Times New Roman" w:hAnsi="Times New Roman" w:cs="Times New Roman"/>
                      <w:color w:val="000000" w:themeColor="text1"/>
                      <w:spacing w:val="0"/>
                      <w:sz w:val="21"/>
                      <w:szCs w:val="21"/>
                      <w:highlight w:val="none"/>
                      <w:lang w:val="en-US" w:eastAsia="zh-CN"/>
                      <w14:textFill>
                        <w14:solidFill>
                          <w14:schemeClr w14:val="tx1"/>
                        </w14:solidFill>
                      </w14:textFill>
                    </w:rPr>
                    <w:t>及上料</w:t>
                  </w:r>
                  <w:r>
                    <w:rPr>
                      <w:rFonts w:hint="eastAsia"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t>过程全密闭，无敞开式粉状物料堆存</w:t>
                  </w:r>
                </w:p>
              </w:tc>
              <w:tc>
                <w:tcPr>
                  <w:tcW w:w="628" w:type="pct"/>
                  <w:tcBorders>
                    <w:tl2br w:val="nil"/>
                    <w:tr2bl w:val="nil"/>
                  </w:tcBorders>
                  <w:noWrap w:val="0"/>
                  <w:vAlign w:val="center"/>
                </w:tcPr>
                <w:p w14:paraId="363736B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符合</w:t>
                  </w:r>
                </w:p>
              </w:tc>
            </w:tr>
            <w:tr w14:paraId="2BBCFA9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trPr>
              <w:tc>
                <w:tcPr>
                  <w:tcW w:w="397" w:type="pct"/>
                  <w:vMerge w:val="continue"/>
                  <w:tcBorders>
                    <w:tl2br w:val="nil"/>
                    <w:tr2bl w:val="nil"/>
                  </w:tcBorders>
                  <w:noWrap w:val="0"/>
                  <w:vAlign w:val="center"/>
                </w:tcPr>
                <w:p w14:paraId="06334C1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5B104B72">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2099BE9B">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5.</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所有新建城镇污水处理设施要执行一级A排放标准。</w:t>
                  </w:r>
                </w:p>
              </w:tc>
              <w:tc>
                <w:tcPr>
                  <w:tcW w:w="985" w:type="pct"/>
                  <w:tcBorders>
                    <w:tl2br w:val="nil"/>
                    <w:tr2bl w:val="nil"/>
                  </w:tcBorders>
                  <w:noWrap w:val="0"/>
                  <w:vAlign w:val="center"/>
                </w:tcPr>
                <w:p w14:paraId="7A97E78A">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349B1D3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符合</w:t>
                  </w:r>
                </w:p>
              </w:tc>
            </w:tr>
            <w:tr w14:paraId="64B77F4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trPr>
              <w:tc>
                <w:tcPr>
                  <w:tcW w:w="397" w:type="pct"/>
                  <w:vMerge w:val="continue"/>
                  <w:tcBorders>
                    <w:tl2br w:val="nil"/>
                    <w:tr2bl w:val="nil"/>
                  </w:tcBorders>
                  <w:noWrap w:val="0"/>
                  <w:vAlign w:val="center"/>
                </w:tcPr>
                <w:p w14:paraId="18BE42E6">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66E12334">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3755AE5C">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6.</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加大对纯凝机组和热电联产机组技术改造力度，加快供热管网建设，推进老旧管网改造，降低系统能耗，充分释放和提高供热能力，淘汰管网覆盖范围内的燃煤锅炉和散煤。</w:t>
                  </w:r>
                </w:p>
              </w:tc>
              <w:tc>
                <w:tcPr>
                  <w:tcW w:w="985" w:type="pct"/>
                  <w:tcBorders>
                    <w:tl2br w:val="nil"/>
                    <w:tr2bl w:val="nil"/>
                  </w:tcBorders>
                  <w:noWrap w:val="0"/>
                  <w:vAlign w:val="center"/>
                </w:tcPr>
                <w:p w14:paraId="6F2D484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1C299BF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符合</w:t>
                  </w:r>
                </w:p>
              </w:tc>
            </w:tr>
            <w:tr w14:paraId="36132E0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397" w:type="pct"/>
                  <w:vMerge w:val="continue"/>
                  <w:tcBorders>
                    <w:tl2br w:val="nil"/>
                    <w:tr2bl w:val="nil"/>
                  </w:tcBorders>
                  <w:noWrap w:val="0"/>
                  <w:vAlign w:val="center"/>
                </w:tcPr>
                <w:p w14:paraId="43A2D8E1">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56B8BC01">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4EA9B095">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7.</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对新发现的小型造纸、制革、印染、染料、炼焦、炼硫、炼砷、炼油、电镀、农药等严重污染水环境的</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十小</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企业坚决依法予以取缔。</w:t>
                  </w:r>
                </w:p>
              </w:tc>
              <w:tc>
                <w:tcPr>
                  <w:tcW w:w="985" w:type="pct"/>
                  <w:tcBorders>
                    <w:tl2br w:val="nil"/>
                    <w:tr2bl w:val="nil"/>
                  </w:tcBorders>
                  <w:noWrap w:val="0"/>
                  <w:vAlign w:val="center"/>
                </w:tcPr>
                <w:p w14:paraId="2DDBAC4D">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本项目不属于</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十小</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企业</w:t>
                  </w:r>
                </w:p>
              </w:tc>
              <w:tc>
                <w:tcPr>
                  <w:tcW w:w="628" w:type="pct"/>
                  <w:tcBorders>
                    <w:tl2br w:val="nil"/>
                    <w:tr2bl w:val="nil"/>
                  </w:tcBorders>
                  <w:noWrap w:val="0"/>
                  <w:vAlign w:val="center"/>
                </w:tcPr>
                <w:p w14:paraId="0AFEAD5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符合</w:t>
                  </w:r>
                </w:p>
              </w:tc>
            </w:tr>
            <w:tr w14:paraId="632A36D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7" w:hRule="atLeast"/>
              </w:trPr>
              <w:tc>
                <w:tcPr>
                  <w:tcW w:w="397" w:type="pct"/>
                  <w:vMerge w:val="continue"/>
                  <w:tcBorders>
                    <w:tl2br w:val="nil"/>
                    <w:tr2bl w:val="nil"/>
                  </w:tcBorders>
                  <w:noWrap w:val="0"/>
                  <w:vAlign w:val="center"/>
                </w:tcPr>
                <w:p w14:paraId="7C29186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3A2EEEFB">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313C51F3">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8.贮存煤炭、煤矸石、煤渣、煤灰等易产生煤尘的物料应当密闭；不能密闭的，应当设置不低于堆放物高度的严密围挡，并采取有效覆盖措施防治煤尘污染。</w:t>
                  </w:r>
                </w:p>
              </w:tc>
              <w:tc>
                <w:tcPr>
                  <w:tcW w:w="985" w:type="pct"/>
                  <w:tcBorders>
                    <w:tl2br w:val="nil"/>
                    <w:tr2bl w:val="nil"/>
                  </w:tcBorders>
                  <w:noWrap w:val="0"/>
                  <w:vAlign w:val="center"/>
                </w:tcPr>
                <w:p w14:paraId="2EBA64F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18C163C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B0C409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7" w:hRule="atLeast"/>
              </w:trPr>
              <w:tc>
                <w:tcPr>
                  <w:tcW w:w="397" w:type="pct"/>
                  <w:vMerge w:val="continue"/>
                  <w:tcBorders>
                    <w:tl2br w:val="nil"/>
                    <w:tr2bl w:val="nil"/>
                  </w:tcBorders>
                  <w:noWrap w:val="0"/>
                  <w:vAlign w:val="center"/>
                </w:tcPr>
                <w:p w14:paraId="6C6E8607">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6C595051">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345BE675">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9.禁止露天焚烧沥青、油毡、橡胶、塑料、皮革、垃圾以及其他产生有毒有害烟尘和恶臭气体的物质；确需焚烧处理的，应当采用专用焚烧装置。</w:t>
                  </w:r>
                </w:p>
              </w:tc>
              <w:tc>
                <w:tcPr>
                  <w:tcW w:w="985" w:type="pct"/>
                  <w:tcBorders>
                    <w:tl2br w:val="nil"/>
                    <w:tr2bl w:val="nil"/>
                  </w:tcBorders>
                  <w:noWrap w:val="0"/>
                  <w:vAlign w:val="center"/>
                </w:tcPr>
                <w:p w14:paraId="0C0ABBB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73D1158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20F777C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7" w:hRule="atLeast"/>
              </w:trPr>
              <w:tc>
                <w:tcPr>
                  <w:tcW w:w="397" w:type="pct"/>
                  <w:vMerge w:val="continue"/>
                  <w:tcBorders>
                    <w:tl2br w:val="nil"/>
                    <w:tr2bl w:val="nil"/>
                  </w:tcBorders>
                  <w:noWrap w:val="0"/>
                  <w:vAlign w:val="center"/>
                </w:tcPr>
                <w:p w14:paraId="0729843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50941B1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3F059F3E">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10.禁止在居民住宅楼、未配套设立专用烟道的商住综合楼以及商住综合楼内与居住层相邻的商业楼层内新建、改建、扩建产生油烟、异味、废气的餐饮服务项目。</w:t>
                  </w:r>
                </w:p>
              </w:tc>
              <w:tc>
                <w:tcPr>
                  <w:tcW w:w="985" w:type="pct"/>
                  <w:tcBorders>
                    <w:tl2br w:val="nil"/>
                    <w:tr2bl w:val="nil"/>
                  </w:tcBorders>
                  <w:noWrap w:val="0"/>
                  <w:vAlign w:val="center"/>
                </w:tcPr>
                <w:p w14:paraId="19BFDD5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4340215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7D4200C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2" w:hRule="atLeast"/>
              </w:trPr>
              <w:tc>
                <w:tcPr>
                  <w:tcW w:w="397" w:type="pct"/>
                  <w:vMerge w:val="continue"/>
                  <w:tcBorders>
                    <w:tl2br w:val="nil"/>
                    <w:tr2bl w:val="nil"/>
                  </w:tcBorders>
                  <w:noWrap w:val="0"/>
                  <w:vAlign w:val="center"/>
                </w:tcPr>
                <w:p w14:paraId="58C93EC6">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012CBABB">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281EEC60">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11.排放工业废水的企业应当采取有效措施，收集和处理产生的全部废水，应当达标排放。含有毒有害水污染物的工业废水应当分类收集和处理，禁止稀释排放。</w:t>
                  </w:r>
                </w:p>
              </w:tc>
              <w:tc>
                <w:tcPr>
                  <w:tcW w:w="985" w:type="pct"/>
                  <w:tcBorders>
                    <w:tl2br w:val="nil"/>
                    <w:tr2bl w:val="nil"/>
                  </w:tcBorders>
                  <w:noWrap w:val="0"/>
                  <w:vAlign w:val="center"/>
                </w:tcPr>
                <w:p w14:paraId="272B92D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本项目不涉及工业废水排放</w:t>
                  </w:r>
                </w:p>
              </w:tc>
              <w:tc>
                <w:tcPr>
                  <w:tcW w:w="628" w:type="pct"/>
                  <w:tcBorders>
                    <w:tl2br w:val="nil"/>
                    <w:tr2bl w:val="nil"/>
                  </w:tcBorders>
                  <w:noWrap w:val="0"/>
                  <w:vAlign w:val="center"/>
                </w:tcPr>
                <w:p w14:paraId="71897AF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62DEBC1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7" w:hRule="atLeast"/>
              </w:trPr>
              <w:tc>
                <w:tcPr>
                  <w:tcW w:w="397" w:type="pct"/>
                  <w:vMerge w:val="continue"/>
                  <w:tcBorders>
                    <w:tl2br w:val="nil"/>
                    <w:tr2bl w:val="nil"/>
                  </w:tcBorders>
                  <w:noWrap w:val="0"/>
                  <w:vAlign w:val="center"/>
                </w:tcPr>
                <w:p w14:paraId="51AFDC09">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60F53FEC">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2F255DE1">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12.禁止餐饮、洗浴、洗涤、洗车经营者直接向雨水排放系统、河道等外环境排放污水。</w:t>
                  </w:r>
                </w:p>
              </w:tc>
              <w:tc>
                <w:tcPr>
                  <w:tcW w:w="985" w:type="pct"/>
                  <w:tcBorders>
                    <w:tl2br w:val="nil"/>
                    <w:tr2bl w:val="nil"/>
                  </w:tcBorders>
                  <w:noWrap w:val="0"/>
                  <w:vAlign w:val="center"/>
                </w:tcPr>
                <w:p w14:paraId="33D586C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3C1B4D4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745297F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97" w:type="pct"/>
                  <w:vMerge w:val="continue"/>
                  <w:tcBorders>
                    <w:tl2br w:val="nil"/>
                    <w:tr2bl w:val="nil"/>
                  </w:tcBorders>
                  <w:noWrap w:val="0"/>
                  <w:vAlign w:val="center"/>
                </w:tcPr>
                <w:p w14:paraId="02A6234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2F0F825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6EB87D90">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13.禁止含酚废水作为煤气水封水、冲渣水。</w:t>
                  </w:r>
                </w:p>
              </w:tc>
              <w:tc>
                <w:tcPr>
                  <w:tcW w:w="985" w:type="pct"/>
                  <w:tcBorders>
                    <w:tl2br w:val="nil"/>
                    <w:tr2bl w:val="nil"/>
                  </w:tcBorders>
                  <w:noWrap w:val="0"/>
                  <w:vAlign w:val="center"/>
                </w:tcPr>
                <w:p w14:paraId="5B03073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本项目不涉及含酚废水</w:t>
                  </w:r>
                </w:p>
              </w:tc>
              <w:tc>
                <w:tcPr>
                  <w:tcW w:w="628" w:type="pct"/>
                  <w:tcBorders>
                    <w:tl2br w:val="nil"/>
                    <w:tr2bl w:val="nil"/>
                  </w:tcBorders>
                  <w:noWrap w:val="0"/>
                  <w:vAlign w:val="center"/>
                </w:tcPr>
                <w:p w14:paraId="5F818CA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1777541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2" w:hRule="atLeast"/>
              </w:trPr>
              <w:tc>
                <w:tcPr>
                  <w:tcW w:w="397" w:type="pct"/>
                  <w:vMerge w:val="continue"/>
                  <w:tcBorders>
                    <w:tl2br w:val="nil"/>
                    <w:tr2bl w:val="nil"/>
                  </w:tcBorders>
                  <w:noWrap w:val="0"/>
                  <w:vAlign w:val="center"/>
                </w:tcPr>
                <w:p w14:paraId="347A7E57">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29CC7E94">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6DC7B40F">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14.禁止生产、销售、使用不符合国家标准的农用薄膜。禁止将危险废物混入生活垃圾或者其他废物贮存、运输。</w:t>
                  </w:r>
                </w:p>
              </w:tc>
              <w:tc>
                <w:tcPr>
                  <w:tcW w:w="985" w:type="pct"/>
                  <w:tcBorders>
                    <w:tl2br w:val="nil"/>
                    <w:tr2bl w:val="nil"/>
                  </w:tcBorders>
                  <w:noWrap w:val="0"/>
                  <w:vAlign w:val="center"/>
                </w:tcPr>
                <w:p w14:paraId="114C3BE7">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0502DCB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E0DC3B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7" w:hRule="atLeast"/>
              </w:trPr>
              <w:tc>
                <w:tcPr>
                  <w:tcW w:w="397" w:type="pct"/>
                  <w:vMerge w:val="continue"/>
                  <w:tcBorders>
                    <w:tl2br w:val="nil"/>
                    <w:tr2bl w:val="nil"/>
                  </w:tcBorders>
                  <w:noWrap w:val="0"/>
                  <w:vAlign w:val="center"/>
                </w:tcPr>
                <w:p w14:paraId="6DE67E06">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6119C6B2">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2EAFFEB2">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15.禁止以任何方式进口固体废物。禁止境外的固体废物进境倾倒、堆放、处置。</w:t>
                  </w:r>
                </w:p>
              </w:tc>
              <w:tc>
                <w:tcPr>
                  <w:tcW w:w="985" w:type="pct"/>
                  <w:tcBorders>
                    <w:tl2br w:val="nil"/>
                    <w:tr2bl w:val="nil"/>
                  </w:tcBorders>
                  <w:noWrap w:val="0"/>
                  <w:vAlign w:val="center"/>
                </w:tcPr>
                <w:p w14:paraId="4161834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1D4344A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5576B19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trPr>
              <w:tc>
                <w:tcPr>
                  <w:tcW w:w="397" w:type="pct"/>
                  <w:vMerge w:val="continue"/>
                  <w:tcBorders>
                    <w:tl2br w:val="nil"/>
                    <w:tr2bl w:val="nil"/>
                  </w:tcBorders>
                  <w:noWrap w:val="0"/>
                  <w:vAlign w:val="center"/>
                </w:tcPr>
                <w:p w14:paraId="19C1FA41">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61F66B70">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2.严防矿产资源开发污染土壤。矿产资源开发活动集中的区域，执行重点污染物排放限值要求</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tc>
              <w:tc>
                <w:tcPr>
                  <w:tcW w:w="985" w:type="pct"/>
                  <w:tcBorders>
                    <w:tl2br w:val="nil"/>
                    <w:tr2bl w:val="nil"/>
                  </w:tcBorders>
                  <w:shd w:val="clear" w:color="auto" w:fill="auto"/>
                  <w:noWrap w:val="0"/>
                  <w:vAlign w:val="center"/>
                </w:tcPr>
                <w:p w14:paraId="1BABF12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24B070DD">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3E261EE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9" w:hRule="atLeast"/>
              </w:trPr>
              <w:tc>
                <w:tcPr>
                  <w:tcW w:w="397" w:type="pct"/>
                  <w:vMerge w:val="continue"/>
                  <w:tcBorders>
                    <w:tl2br w:val="nil"/>
                    <w:tr2bl w:val="nil"/>
                  </w:tcBorders>
                  <w:noWrap w:val="0"/>
                  <w:vAlign w:val="center"/>
                </w:tcPr>
                <w:p w14:paraId="5E38F9A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356AA971">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3.矿产资源勘查以及采选过程中排土场、露天采场、尾矿库、矿区专用道路、矿山工业场地、沉陷区、矸石场、矿山污染场地等的生态环境保护与治理恢复工作须满足《矿山生态环境保护与治理恢复技术规范（试行）》（HJ651-2013）要求</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tc>
              <w:tc>
                <w:tcPr>
                  <w:tcW w:w="985" w:type="pct"/>
                  <w:tcBorders>
                    <w:tl2br w:val="nil"/>
                    <w:tr2bl w:val="nil"/>
                  </w:tcBorders>
                  <w:shd w:val="clear" w:color="auto" w:fill="auto"/>
                  <w:noWrap w:val="0"/>
                  <w:vAlign w:val="center"/>
                </w:tcPr>
                <w:p w14:paraId="6E5872EA">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2F6ED4D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7FEBBA6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397" w:type="pct"/>
                  <w:vMerge w:val="continue"/>
                  <w:tcBorders>
                    <w:tl2br w:val="nil"/>
                    <w:tr2bl w:val="nil"/>
                  </w:tcBorders>
                  <w:noWrap w:val="0"/>
                  <w:vAlign w:val="center"/>
                </w:tcPr>
                <w:p w14:paraId="3D360E0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05FDCE11">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4.落实边开采、边保护、边复垦的要求，使新建、在建矿山损毁土地得到全面复垦</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tc>
              <w:tc>
                <w:tcPr>
                  <w:tcW w:w="985" w:type="pct"/>
                  <w:tcBorders>
                    <w:tl2br w:val="nil"/>
                    <w:tr2bl w:val="nil"/>
                  </w:tcBorders>
                  <w:shd w:val="clear" w:color="auto" w:fill="auto"/>
                  <w:noWrap w:val="0"/>
                  <w:vAlign w:val="center"/>
                </w:tcPr>
                <w:p w14:paraId="49911DC0">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77DCA3C0">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1EA6606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397" w:type="pct"/>
                  <w:vMerge w:val="continue"/>
                  <w:tcBorders>
                    <w:tl2br w:val="nil"/>
                    <w:tr2bl w:val="nil"/>
                  </w:tcBorders>
                  <w:noWrap w:val="0"/>
                  <w:vAlign w:val="center"/>
                </w:tcPr>
                <w:p w14:paraId="0178D169">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1408F49F">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5.新设立矿山执行绿色矿山标准建设，新建矿山全部按照绿色矿山标准进行规划、设计、建设和运营管理</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tc>
              <w:tc>
                <w:tcPr>
                  <w:tcW w:w="985" w:type="pct"/>
                  <w:tcBorders>
                    <w:tl2br w:val="nil"/>
                    <w:tr2bl w:val="nil"/>
                  </w:tcBorders>
                  <w:shd w:val="clear" w:color="auto" w:fill="auto"/>
                  <w:noWrap w:val="0"/>
                  <w:vAlign w:val="center"/>
                </w:tcPr>
                <w:p w14:paraId="092888F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2F568AA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09697C0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397" w:type="pct"/>
                  <w:vMerge w:val="continue"/>
                  <w:tcBorders>
                    <w:tl2br w:val="nil"/>
                    <w:tr2bl w:val="nil"/>
                  </w:tcBorders>
                  <w:noWrap w:val="0"/>
                  <w:vAlign w:val="center"/>
                </w:tcPr>
                <w:p w14:paraId="6B88C2A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3C0D181A">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6.全面推进在期生产矿山的绿色矿山建设，加快矿山企业技术改造</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tc>
              <w:tc>
                <w:tcPr>
                  <w:tcW w:w="985" w:type="pct"/>
                  <w:tcBorders>
                    <w:tl2br w:val="nil"/>
                    <w:tr2bl w:val="nil"/>
                  </w:tcBorders>
                  <w:shd w:val="clear" w:color="auto" w:fill="auto"/>
                  <w:noWrap w:val="0"/>
                  <w:vAlign w:val="center"/>
                </w:tcPr>
                <w:p w14:paraId="66769A3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7FE854B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2D9AE12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397" w:type="pct"/>
                  <w:vMerge w:val="continue"/>
                  <w:tcBorders>
                    <w:tl2br w:val="nil"/>
                    <w:tr2bl w:val="nil"/>
                  </w:tcBorders>
                  <w:noWrap w:val="0"/>
                  <w:vAlign w:val="center"/>
                </w:tcPr>
                <w:p w14:paraId="4E7C56B1">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3E40C9F3">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7.</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三废</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排放符合环保指标要求</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tc>
              <w:tc>
                <w:tcPr>
                  <w:tcW w:w="985" w:type="pct"/>
                  <w:tcBorders>
                    <w:tl2br w:val="nil"/>
                    <w:tr2bl w:val="nil"/>
                  </w:tcBorders>
                  <w:shd w:val="clear" w:color="auto" w:fill="auto"/>
                  <w:noWrap w:val="0"/>
                  <w:vAlign w:val="center"/>
                </w:tcPr>
                <w:p w14:paraId="190819D2">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项目排放污染物均满足环保指标要求</w:t>
                  </w:r>
                </w:p>
              </w:tc>
              <w:tc>
                <w:tcPr>
                  <w:tcW w:w="628" w:type="pct"/>
                  <w:tcBorders>
                    <w:tl2br w:val="nil"/>
                    <w:tr2bl w:val="nil"/>
                  </w:tcBorders>
                  <w:shd w:val="clear" w:color="auto" w:fill="auto"/>
                  <w:noWrap w:val="0"/>
                  <w:vAlign w:val="center"/>
                </w:tcPr>
                <w:p w14:paraId="3F52B5A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1769942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rPr>
              <w:tc>
                <w:tcPr>
                  <w:tcW w:w="397" w:type="pct"/>
                  <w:vMerge w:val="continue"/>
                  <w:tcBorders>
                    <w:tl2br w:val="nil"/>
                    <w:tr2bl w:val="nil"/>
                  </w:tcBorders>
                  <w:noWrap w:val="0"/>
                  <w:vAlign w:val="center"/>
                </w:tcPr>
                <w:p w14:paraId="1040F8D6">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32A2E55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8.新建排放重金属污染物的建设项目全面执行重金属重点污染物排放限值要求</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tc>
              <w:tc>
                <w:tcPr>
                  <w:tcW w:w="985" w:type="pct"/>
                  <w:tcBorders>
                    <w:tl2br w:val="nil"/>
                    <w:tr2bl w:val="nil"/>
                  </w:tcBorders>
                  <w:shd w:val="clear" w:color="auto" w:fill="auto"/>
                  <w:noWrap w:val="0"/>
                  <w:vAlign w:val="center"/>
                </w:tcPr>
                <w:p w14:paraId="72C55A7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1480132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EF892E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9" w:hRule="atLeast"/>
              </w:trPr>
              <w:tc>
                <w:tcPr>
                  <w:tcW w:w="397" w:type="pct"/>
                  <w:vMerge w:val="restart"/>
                  <w:tcBorders>
                    <w:tl2br w:val="nil"/>
                    <w:tr2bl w:val="nil"/>
                  </w:tcBorders>
                  <w:noWrap w:val="0"/>
                  <w:vAlign w:val="center"/>
                </w:tcPr>
                <w:p w14:paraId="7AD6085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环境风险防控</w:t>
                  </w:r>
                </w:p>
              </w:tc>
              <w:tc>
                <w:tcPr>
                  <w:tcW w:w="503" w:type="pct"/>
                  <w:vMerge w:val="restart"/>
                  <w:tcBorders>
                    <w:tl2br w:val="nil"/>
                    <w:tr2bl w:val="nil"/>
                  </w:tcBorders>
                  <w:noWrap w:val="0"/>
                  <w:vAlign w:val="center"/>
                </w:tcPr>
                <w:p w14:paraId="031E991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1.执行锡林郭勒盟总体准入要求中第三条关于环境风险防控的准入要求。</w:t>
                  </w:r>
                </w:p>
              </w:tc>
              <w:tc>
                <w:tcPr>
                  <w:tcW w:w="2484" w:type="pct"/>
                  <w:tcBorders>
                    <w:tl2br w:val="nil"/>
                    <w:tr2bl w:val="nil"/>
                  </w:tcBorders>
                  <w:noWrap w:val="0"/>
                  <w:vAlign w:val="center"/>
                </w:tcPr>
                <w:p w14:paraId="0A2962B5">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1.</w:t>
                  </w:r>
                  <w:r>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建立重污染天气预警体系。完善重度及以上污染天气的区域联合预警机制，预测到区域将出现大范围重污染天气时，各相关地区按级别启动应急响应措施，实施区域应急联动。</w:t>
                  </w:r>
                </w:p>
              </w:tc>
              <w:tc>
                <w:tcPr>
                  <w:tcW w:w="985" w:type="pct"/>
                  <w:tcBorders>
                    <w:tl2br w:val="nil"/>
                    <w:tr2bl w:val="nil"/>
                  </w:tcBorders>
                  <w:noWrap w:val="0"/>
                  <w:vAlign w:val="center"/>
                </w:tcPr>
                <w:p w14:paraId="3A92A986">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按照政府发布的重污染天气预案要求执行</w:t>
                  </w:r>
                </w:p>
              </w:tc>
              <w:tc>
                <w:tcPr>
                  <w:tcW w:w="628" w:type="pct"/>
                  <w:tcBorders>
                    <w:tl2br w:val="nil"/>
                    <w:tr2bl w:val="nil"/>
                  </w:tcBorders>
                  <w:noWrap w:val="0"/>
                  <w:vAlign w:val="center"/>
                </w:tcPr>
                <w:p w14:paraId="7038E2D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05F5EF2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9" w:hRule="atLeast"/>
              </w:trPr>
              <w:tc>
                <w:tcPr>
                  <w:tcW w:w="397" w:type="pct"/>
                  <w:vMerge w:val="continue"/>
                  <w:tcBorders>
                    <w:tl2br w:val="nil"/>
                    <w:tr2bl w:val="nil"/>
                  </w:tcBorders>
                  <w:noWrap w:val="0"/>
                  <w:vAlign w:val="center"/>
                </w:tcPr>
                <w:p w14:paraId="1AA9182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highlight w:val="none"/>
                      <w14:textFill>
                        <w14:solidFill>
                          <w14:schemeClr w14:val="tx1"/>
                        </w14:solidFill>
                      </w14:textFill>
                    </w:rPr>
                  </w:pPr>
                </w:p>
              </w:tc>
              <w:tc>
                <w:tcPr>
                  <w:tcW w:w="503" w:type="pct"/>
                  <w:vMerge w:val="continue"/>
                  <w:tcBorders>
                    <w:tl2br w:val="nil"/>
                    <w:tr2bl w:val="nil"/>
                  </w:tcBorders>
                  <w:noWrap w:val="0"/>
                  <w:vAlign w:val="center"/>
                </w:tcPr>
                <w:p w14:paraId="49D818F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highlight w:val="none"/>
                      <w14:textFill>
                        <w14:solidFill>
                          <w14:schemeClr w14:val="tx1"/>
                        </w14:solidFill>
                      </w14:textFill>
                    </w:rPr>
                  </w:pPr>
                </w:p>
              </w:tc>
              <w:tc>
                <w:tcPr>
                  <w:tcW w:w="2484" w:type="pct"/>
                  <w:tcBorders>
                    <w:tl2br w:val="nil"/>
                    <w:tr2bl w:val="nil"/>
                  </w:tcBorders>
                  <w:noWrap w:val="0"/>
                  <w:vAlign w:val="center"/>
                </w:tcPr>
                <w:p w14:paraId="7C9B438D">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严格高能耗、高物耗和产能过剩、低水平重复建设项目，以及涉及其他具有重大环境风险建设项目的环评审批。</w:t>
                  </w:r>
                </w:p>
              </w:tc>
              <w:tc>
                <w:tcPr>
                  <w:tcW w:w="985" w:type="pct"/>
                  <w:tcBorders>
                    <w:tl2br w:val="nil"/>
                    <w:tr2bl w:val="nil"/>
                  </w:tcBorders>
                  <w:noWrap w:val="0"/>
                  <w:vAlign w:val="center"/>
                </w:tcPr>
                <w:p w14:paraId="2880B39A">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6B08461D">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C5E97C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397" w:type="pct"/>
                  <w:vMerge w:val="continue"/>
                  <w:tcBorders>
                    <w:tl2br w:val="nil"/>
                    <w:tr2bl w:val="nil"/>
                  </w:tcBorders>
                  <w:noWrap w:val="0"/>
                  <w:vAlign w:val="center"/>
                </w:tcPr>
                <w:p w14:paraId="73D919D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6F65789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3271C749">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对高风险化学品生产、使用进行严格限制，并逐步淘汰替代。</w:t>
                  </w:r>
                </w:p>
              </w:tc>
              <w:tc>
                <w:tcPr>
                  <w:tcW w:w="985" w:type="pct"/>
                  <w:tcBorders>
                    <w:tl2br w:val="nil"/>
                    <w:tr2bl w:val="nil"/>
                  </w:tcBorders>
                  <w:noWrap w:val="0"/>
                  <w:vAlign w:val="center"/>
                </w:tcPr>
                <w:p w14:paraId="5737288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7289E6F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573E2B9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trPr>
              <w:tc>
                <w:tcPr>
                  <w:tcW w:w="397" w:type="pct"/>
                  <w:vMerge w:val="continue"/>
                  <w:tcBorders>
                    <w:tl2br w:val="nil"/>
                    <w:tr2bl w:val="nil"/>
                  </w:tcBorders>
                  <w:noWrap w:val="0"/>
                  <w:vAlign w:val="center"/>
                </w:tcPr>
                <w:p w14:paraId="2B8E99A7">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2A2D035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noWrap w:val="0"/>
                  <w:vAlign w:val="center"/>
                </w:tcPr>
                <w:p w14:paraId="31EC25AE">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4.</w:t>
                  </w:r>
                  <w:r>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严格控制有毒有害物质排放，按年度向所在地盟行政公署、设区的市人民政府生态环境主管部门报告排放情况。</w:t>
                  </w:r>
                </w:p>
              </w:tc>
              <w:tc>
                <w:tcPr>
                  <w:tcW w:w="985" w:type="pct"/>
                  <w:tcBorders>
                    <w:tl2br w:val="nil"/>
                    <w:tr2bl w:val="nil"/>
                  </w:tcBorders>
                  <w:noWrap w:val="0"/>
                  <w:vAlign w:val="center"/>
                </w:tcPr>
                <w:p w14:paraId="37ED85A7">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6559857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2B1AC2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97" w:type="pct"/>
                  <w:vMerge w:val="continue"/>
                  <w:tcBorders>
                    <w:tl2br w:val="nil"/>
                    <w:tr2bl w:val="nil"/>
                  </w:tcBorders>
                  <w:noWrap w:val="0"/>
                  <w:vAlign w:val="center"/>
                </w:tcPr>
                <w:p w14:paraId="6120415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06B7C046">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484" w:type="pct"/>
                  <w:tcBorders>
                    <w:tl2br w:val="nil"/>
                    <w:tr2bl w:val="nil"/>
                  </w:tcBorders>
                  <w:shd w:val="clear" w:color="auto" w:fill="auto"/>
                  <w:noWrap w:val="0"/>
                  <w:vAlign w:val="center"/>
                </w:tcPr>
                <w:p w14:paraId="00787D86">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5.</w:t>
                  </w:r>
                  <w:r>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t>建立并实施土壤污染隐患排查制度，定期对重点区域、重点设施开展隐患排查，发现污染隐患的，应当制定整改方案，采取措施消除隐患，保证持续有效防止有毒有害物质渗漏、流失、扬散</w:t>
                  </w:r>
                  <w:r>
                    <w:rPr>
                      <w:rFonts w:hint="eastAsia"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t>。</w:t>
                  </w:r>
                </w:p>
              </w:tc>
              <w:tc>
                <w:tcPr>
                  <w:tcW w:w="985" w:type="pct"/>
                  <w:tcBorders>
                    <w:tl2br w:val="nil"/>
                    <w:tr2bl w:val="nil"/>
                  </w:tcBorders>
                  <w:shd w:val="clear" w:color="auto" w:fill="auto"/>
                  <w:noWrap w:val="0"/>
                  <w:vAlign w:val="center"/>
                </w:tcPr>
                <w:p w14:paraId="388CBA8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2DE6FE1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1AB19A7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397" w:type="pct"/>
                  <w:vMerge w:val="continue"/>
                  <w:tcBorders>
                    <w:tl2br w:val="nil"/>
                    <w:tr2bl w:val="nil"/>
                  </w:tcBorders>
                  <w:noWrap w:val="0"/>
                  <w:vAlign w:val="center"/>
                </w:tcPr>
                <w:p w14:paraId="723936A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121C86EF">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2.制定环境风险应急预案，成立应急组织机构，配备必要的应急设施和应急物资，定期开展环境风险应急演练。</w:t>
                  </w:r>
                </w:p>
              </w:tc>
              <w:tc>
                <w:tcPr>
                  <w:tcW w:w="985" w:type="pct"/>
                  <w:tcBorders>
                    <w:tl2br w:val="nil"/>
                    <w:tr2bl w:val="nil"/>
                  </w:tcBorders>
                  <w:shd w:val="clear" w:color="auto" w:fill="auto"/>
                  <w:noWrap w:val="0"/>
                  <w:vAlign w:val="center"/>
                </w:tcPr>
                <w:p w14:paraId="3AA57C8A">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本项目建成</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投产</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后，编制环境风险应急预案，并定期开展环境风险应急演练</w:t>
                  </w:r>
                </w:p>
              </w:tc>
              <w:tc>
                <w:tcPr>
                  <w:tcW w:w="628" w:type="pct"/>
                  <w:tcBorders>
                    <w:tl2br w:val="nil"/>
                    <w:tr2bl w:val="nil"/>
                  </w:tcBorders>
                  <w:shd w:val="clear" w:color="auto" w:fill="auto"/>
                  <w:noWrap w:val="0"/>
                  <w:vAlign w:val="center"/>
                </w:tcPr>
                <w:p w14:paraId="5E9939F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24F282D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1" w:hRule="atLeast"/>
              </w:trPr>
              <w:tc>
                <w:tcPr>
                  <w:tcW w:w="397" w:type="pct"/>
                  <w:vMerge w:val="continue"/>
                  <w:tcBorders>
                    <w:tl2br w:val="nil"/>
                    <w:tr2bl w:val="nil"/>
                  </w:tcBorders>
                  <w:noWrap w:val="0"/>
                  <w:vAlign w:val="center"/>
                </w:tcPr>
                <w:p w14:paraId="056920BD">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1116AF0B">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3.全面整治历史遗留尾矿库，完善覆膜、压土、排洪、堤坝加固等隐患治理和闭库措施。有重点监管尾矿库的企业要开展环境风险评估，完善污染治理设施，储备应急物资。加强对矿产资源开发利用活动的辐射安全监管，有关企业每年要对本矿区土壤进行辐射环境监测。</w:t>
                  </w:r>
                </w:p>
              </w:tc>
              <w:tc>
                <w:tcPr>
                  <w:tcW w:w="985" w:type="pct"/>
                  <w:tcBorders>
                    <w:tl2br w:val="nil"/>
                    <w:tr2bl w:val="nil"/>
                  </w:tcBorders>
                  <w:shd w:val="clear" w:color="auto" w:fill="auto"/>
                  <w:noWrap w:val="0"/>
                  <w:vAlign w:val="center"/>
                </w:tcPr>
                <w:p w14:paraId="6B2553F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533FF5C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0A0B5C1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 w:hRule="atLeast"/>
              </w:trPr>
              <w:tc>
                <w:tcPr>
                  <w:tcW w:w="397" w:type="pct"/>
                  <w:vMerge w:val="restart"/>
                  <w:tcBorders>
                    <w:tl2br w:val="nil"/>
                    <w:tr2bl w:val="nil"/>
                  </w:tcBorders>
                  <w:noWrap w:val="0"/>
                  <w:vAlign w:val="center"/>
                </w:tcPr>
                <w:p w14:paraId="69EFD1C0">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资源利</w:t>
                  </w:r>
                </w:p>
                <w:p w14:paraId="7C82ED9D">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用效率</w:t>
                  </w:r>
                </w:p>
                <w:p w14:paraId="1FC7EFA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要求</w:t>
                  </w:r>
                </w:p>
              </w:tc>
              <w:tc>
                <w:tcPr>
                  <w:tcW w:w="503" w:type="pct"/>
                  <w:vMerge w:val="restart"/>
                  <w:tcBorders>
                    <w:tl2br w:val="nil"/>
                    <w:tr2bl w:val="nil"/>
                  </w:tcBorders>
                  <w:noWrap w:val="0"/>
                  <w:vAlign w:val="center"/>
                </w:tcPr>
                <w:p w14:paraId="11B0EDD9">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t>1.</w:t>
                  </w:r>
                  <w:r>
                    <w:rPr>
                      <w:rFonts w:hint="default"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t>执行锡林郭勒盟总体准入要求中第四条关于资源开发效率的准入要求。</w:t>
                  </w:r>
                </w:p>
              </w:tc>
              <w:tc>
                <w:tcPr>
                  <w:tcW w:w="2484" w:type="pct"/>
                  <w:tcBorders>
                    <w:tl2br w:val="nil"/>
                    <w:tr2bl w:val="nil"/>
                  </w:tcBorders>
                  <w:noWrap w:val="0"/>
                  <w:vAlign w:val="center"/>
                </w:tcPr>
                <w:p w14:paraId="08C373F7">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t>1.新建、改建、扩建火力发电、钢铁、纺织、造纸、石化和化工等高耗水工业项目禁止取用地下水。已建高耗水工业项目使用地下水的，应当采取节水措施，逐步减少地下水开采量。有条件的，应当将地下水水源替换为非常规水源或者地表水水源。</w:t>
                  </w:r>
                </w:p>
              </w:tc>
              <w:tc>
                <w:tcPr>
                  <w:tcW w:w="985" w:type="pct"/>
                  <w:tcBorders>
                    <w:tl2br w:val="nil"/>
                    <w:tr2bl w:val="nil"/>
                  </w:tcBorders>
                  <w:noWrap w:val="0"/>
                  <w:vAlign w:val="center"/>
                </w:tcPr>
                <w:p w14:paraId="02BCDA47">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4097EF0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01D01F9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 w:hRule="atLeast"/>
              </w:trPr>
              <w:tc>
                <w:tcPr>
                  <w:tcW w:w="397" w:type="pct"/>
                  <w:vMerge w:val="continue"/>
                  <w:tcBorders>
                    <w:tl2br w:val="nil"/>
                    <w:tr2bl w:val="nil"/>
                  </w:tcBorders>
                  <w:noWrap w:val="0"/>
                  <w:vAlign w:val="center"/>
                </w:tcPr>
                <w:p w14:paraId="3B6B61E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71120443">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pPr>
                </w:p>
              </w:tc>
              <w:tc>
                <w:tcPr>
                  <w:tcW w:w="2484" w:type="pct"/>
                  <w:tcBorders>
                    <w:tl2br w:val="nil"/>
                    <w:tr2bl w:val="nil"/>
                  </w:tcBorders>
                  <w:noWrap w:val="0"/>
                  <w:vAlign w:val="center"/>
                </w:tcPr>
                <w:p w14:paraId="674574C9">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t>2.旗县级人民政府应当对禁采区内已有地下水取水工程予以限期封闭或者停止使用。</w:t>
                  </w:r>
                </w:p>
              </w:tc>
              <w:tc>
                <w:tcPr>
                  <w:tcW w:w="985" w:type="pct"/>
                  <w:tcBorders>
                    <w:tl2br w:val="nil"/>
                    <w:tr2bl w:val="nil"/>
                  </w:tcBorders>
                  <w:noWrap w:val="0"/>
                  <w:vAlign w:val="center"/>
                </w:tcPr>
                <w:p w14:paraId="72536313">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65DACEA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1E347AB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 w:hRule="atLeast"/>
              </w:trPr>
              <w:tc>
                <w:tcPr>
                  <w:tcW w:w="397" w:type="pct"/>
                  <w:vMerge w:val="continue"/>
                  <w:tcBorders>
                    <w:tl2br w:val="nil"/>
                    <w:tr2bl w:val="nil"/>
                  </w:tcBorders>
                  <w:noWrap w:val="0"/>
                  <w:vAlign w:val="center"/>
                </w:tcPr>
                <w:p w14:paraId="2C90537D">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5A883FAA">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pPr>
                </w:p>
              </w:tc>
              <w:tc>
                <w:tcPr>
                  <w:tcW w:w="2484" w:type="pct"/>
                  <w:tcBorders>
                    <w:tl2br w:val="nil"/>
                    <w:tr2bl w:val="nil"/>
                  </w:tcBorders>
                  <w:noWrap w:val="0"/>
                  <w:vAlign w:val="center"/>
                </w:tcPr>
                <w:p w14:paraId="5010ADF0">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t>3.到2025年，实现地下水重点用水户监控计量设施全覆盖，加快实行地下水红线管控，锡林郭勒盟年用水总量控制在8.23亿立方米以内；</w:t>
                  </w:r>
                </w:p>
              </w:tc>
              <w:tc>
                <w:tcPr>
                  <w:tcW w:w="985" w:type="pct"/>
                  <w:tcBorders>
                    <w:tl2br w:val="nil"/>
                    <w:tr2bl w:val="nil"/>
                  </w:tcBorders>
                  <w:noWrap w:val="0"/>
                  <w:vAlign w:val="center"/>
                </w:tcPr>
                <w:p w14:paraId="2B40699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73255411">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47C0161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9" w:hRule="atLeast"/>
              </w:trPr>
              <w:tc>
                <w:tcPr>
                  <w:tcW w:w="397" w:type="pct"/>
                  <w:vMerge w:val="continue"/>
                  <w:tcBorders>
                    <w:tl2br w:val="nil"/>
                    <w:tr2bl w:val="nil"/>
                  </w:tcBorders>
                  <w:noWrap w:val="0"/>
                  <w:vAlign w:val="center"/>
                </w:tcPr>
                <w:p w14:paraId="121E79C7">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503" w:type="pct"/>
                  <w:vMerge w:val="continue"/>
                  <w:tcBorders>
                    <w:tl2br w:val="nil"/>
                    <w:tr2bl w:val="nil"/>
                  </w:tcBorders>
                  <w:noWrap w:val="0"/>
                  <w:vAlign w:val="center"/>
                </w:tcPr>
                <w:p w14:paraId="7236431F">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pPr>
                </w:p>
              </w:tc>
              <w:tc>
                <w:tcPr>
                  <w:tcW w:w="2484" w:type="pct"/>
                  <w:tcBorders>
                    <w:tl2br w:val="nil"/>
                    <w:tr2bl w:val="nil"/>
                  </w:tcBorders>
                  <w:noWrap w:val="0"/>
                  <w:vAlign w:val="center"/>
                </w:tcPr>
                <w:p w14:paraId="6A9C059A">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t>4.到2030年，锡林郭勒盟用水总量控制目标为8.37亿立方米。</w:t>
                  </w:r>
                </w:p>
              </w:tc>
              <w:tc>
                <w:tcPr>
                  <w:tcW w:w="985" w:type="pct"/>
                  <w:tcBorders>
                    <w:tl2br w:val="nil"/>
                    <w:tr2bl w:val="nil"/>
                  </w:tcBorders>
                  <w:noWrap w:val="0"/>
                  <w:vAlign w:val="center"/>
                </w:tcPr>
                <w:p w14:paraId="406DCE7F">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noWrap w:val="0"/>
                  <w:vAlign w:val="center"/>
                </w:tcPr>
                <w:p w14:paraId="39B3439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14FE0AD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 w:hRule="atLeast"/>
              </w:trPr>
              <w:tc>
                <w:tcPr>
                  <w:tcW w:w="397" w:type="pct"/>
                  <w:vMerge w:val="continue"/>
                  <w:tcBorders>
                    <w:tl2br w:val="nil"/>
                    <w:tr2bl w:val="nil"/>
                  </w:tcBorders>
                  <w:noWrap w:val="0"/>
                  <w:vAlign w:val="center"/>
                </w:tcPr>
                <w:p w14:paraId="5B57D2D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4F6CCA28">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kern w:val="2"/>
                      <w:sz w:val="21"/>
                      <w:szCs w:val="21"/>
                      <w:highlight w:val="none"/>
                      <w:vertAlign w:val="baseline"/>
                      <w:lang w:val="en-US" w:eastAsia="zh-CN" w:bidi="ar-SA"/>
                      <w14:textFill>
                        <w14:solidFill>
                          <w14:schemeClr w14:val="tx1"/>
                        </w14:solidFill>
                      </w14:textFill>
                    </w:rPr>
                    <w:t>2.矿山“三率”水平达到国内同行业先进水平，矿山“三率”水平达标率达85%以上，尾矿排放重金属残留水平进一步降低。</w:t>
                  </w:r>
                </w:p>
              </w:tc>
              <w:tc>
                <w:tcPr>
                  <w:tcW w:w="985" w:type="pct"/>
                  <w:tcBorders>
                    <w:tl2br w:val="nil"/>
                    <w:tr2bl w:val="nil"/>
                  </w:tcBorders>
                  <w:shd w:val="clear" w:color="auto" w:fill="auto"/>
                  <w:noWrap w:val="0"/>
                  <w:vAlign w:val="center"/>
                </w:tcPr>
                <w:p w14:paraId="24B5D51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3108F94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30326A4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trPr>
              <w:tc>
                <w:tcPr>
                  <w:tcW w:w="397" w:type="pct"/>
                  <w:vMerge w:val="continue"/>
                  <w:tcBorders>
                    <w:tl2br w:val="nil"/>
                    <w:tr2bl w:val="nil"/>
                  </w:tcBorders>
                  <w:noWrap w:val="0"/>
                  <w:vAlign w:val="center"/>
                </w:tcPr>
                <w:p w14:paraId="01B56E5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46987E6C">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3</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.严控地下水超采。严格执行《地下水超采区和重要地下水水源地水位与水量双控方案》</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，落实节水改造、水源置换及监测等各项措施。</w:t>
                  </w:r>
                </w:p>
              </w:tc>
              <w:tc>
                <w:tcPr>
                  <w:tcW w:w="985" w:type="pct"/>
                  <w:tcBorders>
                    <w:tl2br w:val="nil"/>
                    <w:tr2bl w:val="nil"/>
                  </w:tcBorders>
                  <w:shd w:val="clear" w:color="auto" w:fill="auto"/>
                  <w:noWrap w:val="0"/>
                  <w:vAlign w:val="center"/>
                </w:tcPr>
                <w:p w14:paraId="6CE34C1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1C0D8F8E">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r w14:paraId="64157F2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trPr>
              <w:tc>
                <w:tcPr>
                  <w:tcW w:w="397" w:type="pct"/>
                  <w:vMerge w:val="continue"/>
                  <w:tcBorders>
                    <w:tl2br w:val="nil"/>
                    <w:tr2bl w:val="nil"/>
                  </w:tcBorders>
                  <w:noWrap w:val="0"/>
                  <w:vAlign w:val="center"/>
                </w:tcPr>
                <w:p w14:paraId="316390A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p>
              </w:tc>
              <w:tc>
                <w:tcPr>
                  <w:tcW w:w="2988" w:type="pct"/>
                  <w:gridSpan w:val="2"/>
                  <w:tcBorders>
                    <w:tl2br w:val="nil"/>
                    <w:tr2bl w:val="nil"/>
                  </w:tcBorders>
                  <w:shd w:val="clear" w:color="auto" w:fill="auto"/>
                  <w:noWrap w:val="0"/>
                  <w:vAlign w:val="center"/>
                </w:tcPr>
                <w:p w14:paraId="5F2953BA">
                  <w:pPr>
                    <w:keepNext w:val="0"/>
                    <w:keepLines w:val="0"/>
                    <w:pageBreakBefore w:val="0"/>
                    <w:widowControl w:val="0"/>
                    <w:kinsoku/>
                    <w:wordWrap/>
                    <w:overflowPunct/>
                    <w:topLinePunct w:val="0"/>
                    <w:autoSpaceDE/>
                    <w:autoSpaceDN/>
                    <w:bidi w:val="0"/>
                    <w:adjustRightInd/>
                    <w:snapToGrid w:val="0"/>
                    <w:spacing w:line="240" w:lineRule="auto"/>
                    <w:jc w:val="both"/>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4</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.实行地下水</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五控</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制度。</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五控</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即严格管控地下水开发利用总量、水位、用途、水质及机电井数量。</w:t>
                  </w:r>
                </w:p>
              </w:tc>
              <w:tc>
                <w:tcPr>
                  <w:tcW w:w="985" w:type="pct"/>
                  <w:tcBorders>
                    <w:tl2br w:val="nil"/>
                    <w:tr2bl w:val="nil"/>
                  </w:tcBorders>
                  <w:shd w:val="clear" w:color="auto" w:fill="auto"/>
                  <w:noWrap w:val="0"/>
                  <w:vAlign w:val="center"/>
                </w:tcPr>
                <w:p w14:paraId="136B9659">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本项目不涉及</w:t>
                  </w:r>
                </w:p>
              </w:tc>
              <w:tc>
                <w:tcPr>
                  <w:tcW w:w="628" w:type="pct"/>
                  <w:tcBorders>
                    <w:tl2br w:val="nil"/>
                    <w:tr2bl w:val="nil"/>
                  </w:tcBorders>
                  <w:shd w:val="clear" w:color="auto" w:fill="auto"/>
                  <w:noWrap w:val="0"/>
                  <w:vAlign w:val="center"/>
                </w:tcPr>
                <w:p w14:paraId="1EB6C12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符合</w:t>
                  </w:r>
                </w:p>
              </w:tc>
            </w:tr>
          </w:tbl>
          <w:p w14:paraId="55C6726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经以上分析，本项目与《锡林郭勒盟生态环境保护委员会办公室关于印发锡林郭勒盟</w:t>
            </w:r>
            <w:r>
              <w:rPr>
                <w:rFonts w:hint="eastAsia" w:ascii="Times New Roman" w:hAnsi="Times New Roman" w:cs="Times New Roman"/>
                <w:color w:val="000000" w:themeColor="text1"/>
                <w:highlight w:val="none"/>
                <w:lang w:val="en-US" w:eastAsia="zh-CN"/>
                <w14:textFill>
                  <w14:solidFill>
                    <w14:schemeClr w14:val="tx1"/>
                  </w14:solidFill>
                </w14:textFill>
              </w:rPr>
              <w:t>“</w:t>
            </w:r>
            <w:r>
              <w:rPr>
                <w:rFonts w:hint="default" w:ascii="Times New Roman" w:hAnsi="Times New Roman" w:cs="Times New Roman"/>
                <w:color w:val="000000" w:themeColor="text1"/>
                <w:highlight w:val="none"/>
                <w:lang w:val="en-US" w:eastAsia="zh-CN"/>
                <w14:textFill>
                  <w14:solidFill>
                    <w14:schemeClr w14:val="tx1"/>
                  </w14:solidFill>
                </w14:textFill>
              </w:rPr>
              <w:t>三线一单</w:t>
            </w:r>
            <w:r>
              <w:rPr>
                <w:rFonts w:hint="eastAsia" w:ascii="Times New Roman" w:hAnsi="Times New Roman" w:cs="Times New Roman"/>
                <w:color w:val="000000" w:themeColor="text1"/>
                <w:highlight w:val="none"/>
                <w:lang w:val="en-US" w:eastAsia="zh-CN"/>
                <w14:textFill>
                  <w14:solidFill>
                    <w14:schemeClr w14:val="tx1"/>
                  </w14:solidFill>
                </w14:textFill>
              </w:rPr>
              <w:t>”</w:t>
            </w:r>
            <w:r>
              <w:rPr>
                <w:rFonts w:hint="default" w:ascii="Times New Roman" w:hAnsi="Times New Roman" w:cs="Times New Roman"/>
                <w:color w:val="000000" w:themeColor="text1"/>
                <w:highlight w:val="none"/>
                <w:lang w:val="en-US" w:eastAsia="zh-CN"/>
                <w14:textFill>
                  <w14:solidFill>
                    <w14:schemeClr w14:val="tx1"/>
                  </w14:solidFill>
                </w14:textFill>
              </w:rPr>
              <w:t>生态环境分区管控意见修改单和锡林郭勒盟生态环境准入清单的通知（锡环委办发〔2024〕1号）》符合。</w:t>
            </w:r>
          </w:p>
          <w:p w14:paraId="688BA51E">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宋体" w:eastAsia="宋体" w:cs="宋体"/>
                <w:b/>
                <w:bCs/>
                <w:color w:val="000000" w:themeColor="text1"/>
                <w:sz w:val="24"/>
                <w:highlight w:val="none"/>
                <w:lang w:val="en-US" w:eastAsia="zh-CN" w:bidi="ar"/>
                <w14:textFill>
                  <w14:solidFill>
                    <w14:schemeClr w14:val="tx1"/>
                  </w14:solidFill>
                </w14:textFill>
              </w:rPr>
            </w:pPr>
            <w:r>
              <w:rPr>
                <w:rFonts w:hint="eastAsia" w:ascii="Times New Roman" w:hAnsi="宋体" w:eastAsia="宋体" w:cs="宋体"/>
                <w:b/>
                <w:bCs/>
                <w:color w:val="000000" w:themeColor="text1"/>
                <w:sz w:val="24"/>
                <w:highlight w:val="none"/>
                <w:lang w:val="en-US" w:eastAsia="zh-CN" w:bidi="ar"/>
                <w14:textFill>
                  <w14:solidFill>
                    <w14:schemeClr w14:val="tx1"/>
                  </w14:solidFill>
                </w14:textFill>
              </w:rPr>
              <w:t>2</w:t>
            </w:r>
            <w:r>
              <w:rPr>
                <w:rFonts w:hint="default" w:ascii="Times New Roman" w:hAnsi="宋体" w:eastAsia="宋体" w:cs="宋体"/>
                <w:b/>
                <w:bCs/>
                <w:color w:val="000000" w:themeColor="text1"/>
                <w:sz w:val="24"/>
                <w:highlight w:val="none"/>
                <w:lang w:val="en-US" w:eastAsia="zh-CN" w:bidi="ar"/>
                <w14:textFill>
                  <w14:solidFill>
                    <w14:schemeClr w14:val="tx1"/>
                  </w14:solidFill>
                </w14:textFill>
              </w:rPr>
              <w:t>、项目选址与产业政策分析</w:t>
            </w:r>
          </w:p>
          <w:p w14:paraId="1F54B96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sz w:val="24"/>
                <w:szCs w:val="24"/>
                <w:highlight w:val="none"/>
                <w14:textFill>
                  <w14:solidFill>
                    <w14:schemeClr w14:val="tx1"/>
                  </w14:solidFill>
                </w14:textFill>
              </w:rPr>
            </w:pPr>
            <w:r>
              <w:rPr>
                <w:rFonts w:hint="eastAsia" w:ascii="Times New Roman" w:hAnsi="Times New Roman" w:eastAsia="黑体" w:cs="Times New Roman"/>
                <w:color w:val="000000" w:themeColor="text1"/>
                <w:sz w:val="24"/>
                <w:szCs w:val="24"/>
                <w:highlight w:val="none"/>
                <w:lang w:val="en-US" w:eastAsia="zh-CN"/>
                <w14:textFill>
                  <w14:solidFill>
                    <w14:schemeClr w14:val="tx1"/>
                  </w14:solidFill>
                </w14:textFill>
              </w:rPr>
              <w:t>（1）</w:t>
            </w:r>
            <w:r>
              <w:rPr>
                <w:rFonts w:hint="default" w:ascii="Times New Roman" w:hAnsi="Times New Roman" w:eastAsia="黑体" w:cs="Times New Roman"/>
                <w:color w:val="000000" w:themeColor="text1"/>
                <w:sz w:val="24"/>
                <w:szCs w:val="24"/>
                <w:highlight w:val="none"/>
                <w14:textFill>
                  <w14:solidFill>
                    <w14:schemeClr w14:val="tx1"/>
                  </w14:solidFill>
                </w14:textFill>
              </w:rPr>
              <w:t>产业政策相符性</w:t>
            </w:r>
          </w:p>
          <w:p w14:paraId="3820C3D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本项目为石灰石粉磨项目，根据中华人民共和国国家发展和改革委员会《产业结构调整指导目录</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2024年本</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》，本项目不属于限制类、淘汰类与鼓励类，为允许类，与产业政策相符。</w:t>
            </w:r>
          </w:p>
          <w:p w14:paraId="51591BC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本项目于</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2026年2月5日</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在</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正蓝旗发展和改革委员会</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备案，项目代码</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2602-152530-04-05-817385</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，因此，项目的建设符合国家产业政策。</w:t>
            </w:r>
          </w:p>
          <w:p w14:paraId="31DCC83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sz w:val="24"/>
                <w:szCs w:val="24"/>
                <w:highlight w:val="none"/>
                <w:lang w:val="zh-CN"/>
                <w14:textFill>
                  <w14:solidFill>
                    <w14:schemeClr w14:val="tx1"/>
                  </w14:solidFill>
                </w14:textFill>
              </w:rPr>
            </w:pPr>
            <w:r>
              <w:rPr>
                <w:rFonts w:hint="default" w:ascii="Times New Roman" w:hAnsi="Times New Roman" w:cs="Times New Roman"/>
                <w:color w:val="000000" w:themeColor="text1"/>
                <w:sz w:val="24"/>
                <w:szCs w:val="24"/>
                <w:highlight w:val="none"/>
                <w:lang w:val="zh-CN"/>
                <w14:textFill>
                  <w14:solidFill>
                    <w14:schemeClr w14:val="tx1"/>
                  </w14:solidFill>
                </w14:textFill>
              </w:rPr>
              <w:t>综上所述，本项目</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符合</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国家和自治区</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产业政策</w:t>
            </w:r>
            <w:r>
              <w:rPr>
                <w:rFonts w:hint="default" w:ascii="Times New Roman" w:hAnsi="Times New Roman" w:cs="Times New Roman"/>
                <w:color w:val="000000" w:themeColor="text1"/>
                <w:sz w:val="24"/>
                <w:szCs w:val="24"/>
                <w:highlight w:val="none"/>
                <w:lang w:val="zh-CN"/>
                <w14:textFill>
                  <w14:solidFill>
                    <w14:schemeClr w14:val="tx1"/>
                  </w14:solidFill>
                </w14:textFill>
              </w:rPr>
              <w:t>。</w:t>
            </w:r>
          </w:p>
          <w:p w14:paraId="7930C7F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黑体" w:cs="Times New Roman"/>
                <w:color w:val="000000" w:themeColor="text1"/>
                <w:sz w:val="24"/>
                <w:szCs w:val="24"/>
                <w:highlight w:val="none"/>
                <w:lang w:val="en-US" w:eastAsia="zh-CN"/>
                <w14:textFill>
                  <w14:solidFill>
                    <w14:schemeClr w14:val="tx1"/>
                  </w14:solidFill>
                </w14:textFill>
              </w:rPr>
              <w:t>（2）</w:t>
            </w:r>
            <w:r>
              <w:rPr>
                <w:rFonts w:hint="default" w:ascii="Times New Roman" w:hAnsi="Times New Roman" w:eastAsia="黑体" w:cs="Times New Roman"/>
                <w:color w:val="000000" w:themeColor="text1"/>
                <w:sz w:val="24"/>
                <w:szCs w:val="24"/>
                <w:highlight w:val="none"/>
                <w:lang w:val="en-US" w:eastAsia="zh-CN"/>
                <w14:textFill>
                  <w14:solidFill>
                    <w14:schemeClr w14:val="tx1"/>
                  </w14:solidFill>
                </w14:textFill>
              </w:rPr>
              <w:t>选址合理性</w:t>
            </w:r>
            <w:r>
              <w:rPr>
                <w:rFonts w:hint="eastAsia" w:ascii="Times New Roman" w:hAnsi="Times New Roman" w:eastAsia="黑体" w:cs="Times New Roman"/>
                <w:color w:val="000000" w:themeColor="text1"/>
                <w:sz w:val="24"/>
                <w:szCs w:val="24"/>
                <w:highlight w:val="none"/>
                <w:lang w:val="en-US" w:eastAsia="zh-CN"/>
                <w14:textFill>
                  <w14:solidFill>
                    <w14:schemeClr w14:val="tx1"/>
                  </w14:solidFill>
                </w14:textFill>
              </w:rPr>
              <w:t>分析</w:t>
            </w:r>
          </w:p>
          <w:p w14:paraId="200D5B7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本项目位于内蒙古锡林郭勒盟正蓝旗上都镇巴彦高勒嘎查，项目租用正蓝旗上都华欣能源有限责任公司现有工业场地及闲置厂房（租赁合同见附件5），不新</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征</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建设用地。项目所占土地性质为工业用地（附件4），土地手续齐全，租用关系合法、明晰。</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本项目主要从事石灰石粉的生产，污染物产生量小，经处理后对周边环境影响较小。本项目不涉及饮用水水源保护区、生态红线、自然保护区、永久基本农田等环境敏感目标。此外，项目具有水、电等应有保障，交通便利等条件。</w:t>
            </w:r>
          </w:p>
          <w:p w14:paraId="1825725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因此，本项目选址合理可行。</w:t>
            </w:r>
          </w:p>
          <w:p w14:paraId="12E3C3B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黑体" w:cs="Times New Roman"/>
                <w:color w:val="000000" w:themeColor="text1"/>
                <w:sz w:val="24"/>
                <w:szCs w:val="24"/>
                <w:highlight w:val="none"/>
                <w:lang w:val="en-US" w:eastAsia="zh-CN"/>
                <w14:textFill>
                  <w14:solidFill>
                    <w14:schemeClr w14:val="tx1"/>
                  </w14:solidFill>
                </w14:textFill>
              </w:rPr>
              <w:t>（3）</w:t>
            </w:r>
            <w:r>
              <w:rPr>
                <w:rFonts w:hint="default" w:ascii="Times New Roman" w:hAnsi="Times New Roman" w:eastAsia="黑体" w:cs="Times New Roman"/>
                <w:color w:val="000000" w:themeColor="text1"/>
                <w:sz w:val="24"/>
                <w:szCs w:val="24"/>
                <w:highlight w:val="none"/>
                <w:lang w:val="en-US" w:eastAsia="zh-CN"/>
                <w14:textFill>
                  <w14:solidFill>
                    <w14:schemeClr w14:val="tx1"/>
                  </w14:solidFill>
                </w14:textFill>
              </w:rPr>
              <w:t>租用场地合理性、可行性分析</w:t>
            </w:r>
          </w:p>
          <w:p w14:paraId="4E2F750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宋体" w:eastAsia="宋体" w:cs="宋体"/>
                <w:b/>
                <w:bCs/>
                <w:color w:val="000000" w:themeColor="text1"/>
                <w:sz w:val="24"/>
                <w:highlight w:val="none"/>
                <w:lang w:val="en-US" w:eastAsia="zh-CN" w:bidi="ar"/>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本项目租用正蓝旗上都华欣能源有限责任公司的现有场地和部分设施。该场地已具备较为完善的水、电、路等基础配套设施，可有效缩短建设周期，降低工程投资。同时，租用现有工业场地避免了新征土地带来的生态扰动和土地资源占用，符合资源节约和环境保护的原则。本项目为石灰石粉磨加工，与租用场地原矿山项目的物料属性具有关联性，实现了存量资产的盘活利用，因此租用方案合理可行。</w:t>
            </w:r>
          </w:p>
          <w:p w14:paraId="6AB07DF2">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宋体" w:eastAsia="宋体" w:cs="宋体"/>
                <w:b/>
                <w:bCs/>
                <w:color w:val="000000" w:themeColor="text1"/>
                <w:sz w:val="24"/>
                <w:highlight w:val="none"/>
                <w:lang w:val="en-US" w:eastAsia="zh-CN" w:bidi="ar"/>
                <w14:textFill>
                  <w14:solidFill>
                    <w14:schemeClr w14:val="tx1"/>
                  </w14:solidFill>
                </w14:textFill>
              </w:rPr>
              <w:t>3、</w:t>
            </w: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与《锡林郭勒盟“十四五”生态环境保护规划》符合性分析</w:t>
            </w:r>
          </w:p>
          <w:p w14:paraId="7C64052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本项目为石灰石粉磨加工项目，属于非金属矿物制品业中的绿色建材配套产业。根据《锡林郭勒盟“十四五”生态环境保护规划》（以下简称《规划》）中关于生态安全屏障建设、污染防治攻坚及产业结构优化升级的相关要求，本项目与规划的符合性具体分析如下：</w:t>
            </w:r>
          </w:p>
          <w:p w14:paraId="52AEE91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①</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与生态空间管控要求的符合性</w:t>
            </w:r>
          </w:p>
          <w:p w14:paraId="093A393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《规划》明确要求严格管控草原生态红线，持续优化生态空间布局，严禁在生态保护红线及沙化敏感区进行违规开发。</w:t>
            </w:r>
          </w:p>
          <w:p w14:paraId="1E2A407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本项目性质为工业加工项目，不涉及矿产资源开采。若项目选址严格避开生态保护红线、草原禁牧区及沙化敏感区域，优先利用存量工业用地或开发区建设用地，则完全符合《规划》关于生态空间“三区三线”管控的要求，不构成对草原生态系统的直接破坏。</w:t>
            </w:r>
          </w:p>
          <w:p w14:paraId="3B75B35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②</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与污染防治要求的符合性</w:t>
            </w:r>
          </w:p>
          <w:p w14:paraId="5D25004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《规划》提出要持续打好蓝天保卫战，严控工业粉尘、噪声等污染物排放，推进工业企业清洁生产与绿色转型。</w:t>
            </w:r>
          </w:p>
          <w:p w14:paraId="19F2A0B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本项目生产过程中产生的主要污染物为颗粒物与噪声。通过采用全封闭生产车间、</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负压收集</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脉冲布袋</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除尘器等环保工艺，颗粒物排放浓度可稳定控制在《石灰、电石工业大气污染物排放标准》（GB 41618-2022）特别排放限值要求以内，厂界噪声也能满足工业企业厂界环境噪声排放标准。落实上述污染防治措施后，本项目符合《规划》中关于严控工业无组织扬尘、改善区域环境空气质量的核心目标。</w:t>
            </w:r>
          </w:p>
          <w:p w14:paraId="0BF5E02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③</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与资源循环利用导向的符合性</w:t>
            </w:r>
          </w:p>
          <w:p w14:paraId="3AFA883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《规划》强调发展循环经济，提高工业固体废物综合利用率，推进水资源集约节约利用。</w:t>
            </w:r>
          </w:p>
          <w:p w14:paraId="0222417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本项目产生的除尘灰及废石粉等固废，性质稳定且可直接作为原料外售或综合利用，实现“零固废排放”；生产废水经处理后循环回用，本项目不产生生产废水；员工生活污水经化粪池处理满足《污水综合排放标准》（GB8978-1996）三级标准后，送上都镇生活污水处理厂进行进一步处理</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能够实现“废水零排放”。项目的建设与运营契合《规划》中“提高固废资源化水平”与“建设节水型社会”的发展导向。</w:t>
            </w:r>
          </w:p>
          <w:p w14:paraId="210C9D2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④</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与产业结构优化导向的符合性</w:t>
            </w:r>
          </w:p>
          <w:p w14:paraId="39019DA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《规划》支持盟内绿色建材产业链集群发展，鼓励低能耗、低排放、高附加值的新型工业项目落地。</w:t>
            </w:r>
          </w:p>
          <w:p w14:paraId="56D63AB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本项目属于石灰石深加工产业链环节，产品主要服务于周边区域的建筑及建材需求，属于</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允许</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类产业。项目采用高效节能粉磨设备，能源消费指标符合国家及行业先进水平，符合《规划》关于调整优化产业结构、推动工业绿色低碳转型的总体要求。</w:t>
            </w:r>
          </w:p>
          <w:p w14:paraId="1868AB2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综上所述，本项目在严格落实各项生态保护与污染防治措施的前提下，总体符合《锡林郭勒盟“十四五”生态环境保护规划》的发展方向与管控要求。项目的建设将有利于促进区域绿色建材产业链的完善，实现经济效益、社会效益与生态环境效益的统一。</w:t>
            </w:r>
          </w:p>
          <w:p w14:paraId="234E1B5B">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eastAsia" w:ascii="Times New Roman" w:hAnsi="宋体" w:eastAsia="宋体" w:cs="宋体"/>
                <w:b/>
                <w:bCs/>
                <w:color w:val="000000" w:themeColor="text1"/>
                <w:sz w:val="24"/>
                <w:highlight w:val="none"/>
                <w:lang w:val="en-US" w:eastAsia="zh-CN" w:bidi="ar"/>
                <w14:textFill>
                  <w14:solidFill>
                    <w14:schemeClr w14:val="tx1"/>
                  </w14:solidFill>
                </w14:textFill>
              </w:rPr>
            </w:pPr>
            <w:r>
              <w:rPr>
                <w:rFonts w:hint="eastAsia" w:ascii="Times New Roman" w:hAnsi="宋体" w:eastAsia="宋体" w:cs="宋体"/>
                <w:b/>
                <w:bCs/>
                <w:color w:val="000000" w:themeColor="text1"/>
                <w:sz w:val="24"/>
                <w:highlight w:val="none"/>
                <w:lang w:val="en-US" w:eastAsia="zh-CN" w:bidi="ar"/>
                <w14:textFill>
                  <w14:solidFill>
                    <w14:schemeClr w14:val="tx1"/>
                  </w14:solidFill>
                </w14:textFill>
              </w:rPr>
              <w:t>4、与正蓝旗国土空间规划的符合性分析</w:t>
            </w:r>
          </w:p>
          <w:p w14:paraId="3EB56C6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根据《正蓝旗国土空间总体规划（2021-2035年）》及相关图件，本项目选址位于规划确定的工业用地范围内，不涉及永久基本农田、生态保护红线和城镇开发边界（即“三区三线”中除城镇开发边界外的集中建设区或弹性发展区）。项目主要从事非金属矿物制品制造，属于规划的工业发展方向，其建设内容、用地性质与正蓝旗国土空间总体规划的用途管制要求相符。因此，本项目选址符合正蓝旗国土空间总体规划。</w:t>
            </w:r>
          </w:p>
          <w:p w14:paraId="54034740">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eastAsia" w:ascii="Times New Roman" w:hAnsi="宋体" w:eastAsia="宋体" w:cs="宋体"/>
                <w:b/>
                <w:bCs/>
                <w:color w:val="000000" w:themeColor="text1"/>
                <w:sz w:val="24"/>
                <w:highlight w:val="none"/>
                <w:lang w:val="en-US" w:eastAsia="zh-CN" w:bidi="ar"/>
                <w14:textFill>
                  <w14:solidFill>
                    <w14:schemeClr w14:val="tx1"/>
                  </w14:solidFill>
                </w14:textFill>
              </w:rPr>
            </w:pPr>
            <w:r>
              <w:rPr>
                <w:rFonts w:hint="eastAsia" w:ascii="Times New Roman" w:hAnsi="宋体" w:eastAsia="宋体" w:cs="宋体"/>
                <w:b/>
                <w:bCs/>
                <w:color w:val="000000" w:themeColor="text1"/>
                <w:sz w:val="24"/>
                <w:highlight w:val="none"/>
                <w:lang w:val="en-US" w:eastAsia="zh-CN" w:bidi="ar"/>
                <w14:textFill>
                  <w14:solidFill>
                    <w14:schemeClr w14:val="tx1"/>
                  </w14:solidFill>
                </w14:textFill>
              </w:rPr>
              <w:t>5、与生态保护红线的位置关系</w:t>
            </w:r>
          </w:p>
          <w:p w14:paraId="0E2D4E0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经与正蓝旗生态保护红线划定成果矢量数据叠图分析，本项目选址不在正蓝旗划定的生态保护红线范围内。项目周边无自然保护区、饮用水水源保护区、风景名胜区等需要特殊保护的环境敏感目标。项目与生态保护红线的位置关系详见附图6（项目与生态保护红线位置关系图）。</w:t>
            </w:r>
          </w:p>
          <w:p w14:paraId="7CB01B2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此外，项目污染物产生量小，经处理后对周边环境影响较小，交通便利。</w:t>
            </w:r>
          </w:p>
          <w:p w14:paraId="12A8A00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p>
          <w:p w14:paraId="2AB2C51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p>
          <w:p w14:paraId="63676FCD">
            <w:pPr>
              <w:keepNext w:val="0"/>
              <w:keepLines w:val="0"/>
              <w:pageBreakBefore w:val="0"/>
              <w:widowControl w:val="0"/>
              <w:kinsoku/>
              <w:wordWrap/>
              <w:overflowPunct/>
              <w:topLinePunct w:val="0"/>
              <w:autoSpaceDE/>
              <w:autoSpaceDN/>
              <w:bidi w:val="0"/>
              <w:adjustRightInd/>
              <w:snapToGrid w:val="0"/>
              <w:spacing w:beforeLines="0" w:line="360" w:lineRule="auto"/>
              <w:jc w:val="both"/>
              <w:textAlignment w:val="auto"/>
              <w:rPr>
                <w:rFonts w:hint="default" w:ascii="Times New Roman" w:hAnsi="Times New Roman" w:eastAsia="宋体" w:cs="Times New Roman"/>
                <w:color w:val="000000" w:themeColor="text1"/>
                <w:kern w:val="0"/>
                <w:sz w:val="24"/>
                <w:szCs w:val="24"/>
                <w:highlight w:val="none"/>
                <w14:textFill>
                  <w14:solidFill>
                    <w14:schemeClr w14:val="tx1"/>
                  </w14:solidFill>
                </w14:textFill>
              </w:rPr>
            </w:pPr>
          </w:p>
        </w:tc>
      </w:tr>
    </w:tbl>
    <w:p w14:paraId="418E0733">
      <w:pPr>
        <w:rPr>
          <w:rFonts w:hint="default" w:ascii="Times New Roman" w:hAnsi="Times New Roman" w:eastAsia="黑体" w:cs="Times New Roman"/>
          <w:snapToGrid w:val="0"/>
          <w:sz w:val="30"/>
          <w:szCs w:val="24"/>
          <w:highlight w:val="yellow"/>
        </w:rPr>
      </w:pPr>
      <w:r>
        <w:rPr>
          <w:rFonts w:hint="default" w:ascii="Times New Roman" w:hAnsi="Times New Roman" w:eastAsia="黑体" w:cs="Times New Roman"/>
          <w:snapToGrid w:val="0"/>
          <w:sz w:val="30"/>
          <w:szCs w:val="24"/>
          <w:highlight w:val="yellow"/>
        </w:rPr>
        <w:br w:type="page"/>
      </w:r>
    </w:p>
    <w:p w14:paraId="42896FF6">
      <w:pPr>
        <w:pStyle w:val="20"/>
        <w:spacing w:beforeLines="0" w:afterLines="0"/>
        <w:jc w:val="center"/>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二、建设项目工程分析</w:t>
      </w:r>
    </w:p>
    <w:tbl>
      <w:tblPr>
        <w:tblStyle w:val="2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35"/>
        <w:gridCol w:w="8325"/>
      </w:tblGrid>
      <w:tr w14:paraId="50DEB3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735" w:type="dxa"/>
            <w:tcBorders>
              <w:top w:val="single" w:color="auto" w:sz="8" w:space="0"/>
              <w:left w:val="single" w:color="auto" w:sz="8" w:space="0"/>
              <w:bottom w:val="single" w:color="auto" w:sz="4" w:space="0"/>
              <w:right w:val="single" w:color="auto" w:sz="4" w:space="0"/>
              <w:tl2br w:val="nil"/>
              <w:tr2bl w:val="nil"/>
            </w:tcBorders>
            <w:noWrap w:val="0"/>
            <w:vAlign w:val="center"/>
          </w:tcPr>
          <w:p w14:paraId="5495A646">
            <w:pPr>
              <w:pStyle w:val="20"/>
              <w:adjustRightInd w:val="0"/>
              <w:snapToGrid w:val="0"/>
              <w:spacing w:before="0" w:beforeLines="0" w:beforeAutospacing="0" w:after="0" w:afterLines="0" w:afterAutospacing="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建设内容</w:t>
            </w:r>
          </w:p>
        </w:tc>
        <w:tc>
          <w:tcPr>
            <w:tcW w:w="8325" w:type="dxa"/>
            <w:tcBorders>
              <w:top w:val="single" w:color="auto" w:sz="8" w:space="0"/>
              <w:left w:val="single" w:color="auto" w:sz="4" w:space="0"/>
              <w:bottom w:val="single" w:color="auto" w:sz="4" w:space="0"/>
              <w:right w:val="single" w:color="auto" w:sz="8" w:space="0"/>
              <w:tl2br w:val="nil"/>
              <w:tr2bl w:val="nil"/>
            </w:tcBorders>
            <w:noWrap w:val="0"/>
            <w:vAlign w:val="top"/>
          </w:tcPr>
          <w:p w14:paraId="297A83B3">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1、项目由来</w:t>
            </w:r>
          </w:p>
          <w:p w14:paraId="5622EAE2">
            <w:pPr>
              <w:pStyle w:val="2"/>
              <w:keepNext w:val="0"/>
              <w:keepLines w:val="0"/>
              <w:pageBreakBefore w:val="0"/>
              <w:widowControl w:val="0"/>
              <w:kinsoku/>
              <w:wordWrap/>
              <w:overflowPunct/>
              <w:topLinePunct w:val="0"/>
              <w:autoSpaceDE/>
              <w:autoSpaceDN/>
              <w:bidi w:val="0"/>
              <w:snapToGrid w:val="0"/>
              <w:spacing w:line="360" w:lineRule="auto"/>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锡林浩特市</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宁蒙商贸有限公司是一家从事建筑材料</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销售及</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轻质建筑材料销售</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轻质建筑</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材料</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制造等业务的公司，成立于</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2018年12月4日</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，公司坐落在内蒙古自治区</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郭勒盟</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锡林浩特市</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楚</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办</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布尔古德街鼎盛蛮天地3楼331室，企业</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经营的</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项目</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建筑材料销售</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轻质建筑材料</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销售；</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轻质建筑材料制造</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；非金属矿物</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制品制造</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；非金属矿物</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及制品销售</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石灰和</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石膏</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制造</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石灰和</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石膏</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销售</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五金产品制造</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五金产品</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零售；</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橡胶制品制造</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橡胶制品</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销售；</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消防器材</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销售；</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化肥</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销售；</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普通货物仓储服务</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不</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含</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危险化学品等需许可审批的项目</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再生资源</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销售；</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煤炭及制品销售</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等等。</w:t>
            </w:r>
          </w:p>
          <w:p w14:paraId="39E903A1">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石灰石粉是由天然碳酸盐石灰石磨碎而成，是常用的粉状无机填料，具有纯度高、惰性大、不易化学反应、热稳定性好、白度高、质软、干燥、不含结晶水、无毒、无味、无臭、分散性好等优点。通常作为填料，广泛应用于人造地砖、橡胶、塑料、造纸、涂料、油漆等日用化工行业，做填充剂用。根据市场需求，锡林浩特市宁蒙商贸有限公司投资1500万元建设</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锡林浩特市宁蒙商贸有限公司石灰石粉磨项目</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w:t>
            </w:r>
          </w:p>
          <w:p w14:paraId="4906ADDA">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根</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据《中华人民共和国环境保护法》《中华人民共和国环境影响评价法》《建设项目环境保护管理条例》及《建设项目环境影响评价分类管理名录》（2021年版）等相关文件的规定，该项目属于“</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二十七、非金属矿物制品业30，第60项、石墨及其他非金属矿物制品制造309中其他</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”，应编制环境影响报告表。</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内蒙古筹信环保科技有限公司</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受锡林浩特市宁蒙商贸有限公司委托，对项目进行环境影响评价，编制环境影响评价报告表。我公司接受委托后，立即组织技术人员进行现场踏勘。同时根据项目的工程特征和项目建设区域的环境情况，对环境影响因素进行了识别和筛选，按照《建设项目环境影响报告表编制技术指南》（污染影响类）（试行）要求，编制完成本项目环境影响报告表。</w:t>
            </w:r>
          </w:p>
          <w:p w14:paraId="3F7F415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2" w:firstLineChars="200"/>
              <w:jc w:val="both"/>
              <w:textAlignment w:val="auto"/>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t>2、工程概况</w:t>
            </w:r>
          </w:p>
          <w:p w14:paraId="092E6FF0">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项目名称：锡林浩特市宁蒙商贸有限公司石灰石粉磨项目</w:t>
            </w:r>
          </w:p>
          <w:p w14:paraId="5BBAFF70">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建设单位：锡林浩特市宁蒙商贸有限公司</w:t>
            </w:r>
          </w:p>
          <w:p w14:paraId="5E6A025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建设地址：内蒙古锡林郭勒盟正蓝旗上都镇巴彦高勒嘎查</w:t>
            </w:r>
          </w:p>
          <w:p w14:paraId="3583C68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项目性质：新建</w:t>
            </w:r>
          </w:p>
          <w:p w14:paraId="7AB81E3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项目投资：</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1500万</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元</w:t>
            </w:r>
          </w:p>
          <w:p w14:paraId="30D2EDFA">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行业类别：</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二十七、非金属矿物制品业30，第60项、石墨及其他非金属矿物制品制造309中其他</w:t>
            </w:r>
          </w:p>
          <w:p w14:paraId="0B62DB4E">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3</w:t>
            </w:r>
            <w:r>
              <w:rPr>
                <w:rFonts w:hint="default" w:ascii="Times New Roman" w:hAnsi="Times New Roman" w:cs="Times New Roman"/>
                <w:b/>
                <w:bCs/>
                <w:color w:val="000000" w:themeColor="text1"/>
                <w:highlight w:val="none"/>
                <w:lang w:val="en-US" w:eastAsia="zh-CN"/>
                <w14:textFill>
                  <w14:solidFill>
                    <w14:schemeClr w14:val="tx1"/>
                  </w14:solidFill>
                </w14:textFill>
              </w:rPr>
              <w:t>、工程内容及规模</w:t>
            </w:r>
          </w:p>
          <w:p w14:paraId="7AA4B4CD">
            <w:pPr>
              <w:keepNext w:val="0"/>
              <w:keepLines w:val="0"/>
              <w:pageBreakBefore w:val="0"/>
              <w:widowControl w:val="0"/>
              <w:shd w:val="clear"/>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
                <w:bCs/>
                <w:color w:val="000000" w:themeColor="text1"/>
                <w:sz w:val="24"/>
                <w:szCs w:val="24"/>
                <w:highlight w:val="none"/>
                <w:lang w:val="en-US" w:eastAsia="zh-CN"/>
                <w14:textFill>
                  <w14:solidFill>
                    <w14:schemeClr w14:val="tx1"/>
                  </w14:solidFill>
                </w14:textFill>
              </w:rPr>
              <w:t>3.1</w:t>
            </w: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建设规模及内容</w:t>
            </w:r>
          </w:p>
          <w:p w14:paraId="008645A3">
            <w:pPr>
              <w:keepNext w:val="0"/>
              <w:keepLines w:val="0"/>
              <w:pageBreakBefore w:val="0"/>
              <w:widowControl w:val="0"/>
              <w:shd w:val="clea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本</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项目租用正蓝旗上都华欣新能源有限公司现有厂区</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，项目总占地面积为2.75公顷，新建全封闭式钢结构原料库6075m</w:t>
            </w:r>
            <w:r>
              <w:rPr>
                <w:rFonts w:hint="eastAsia" w:ascii="Times New Roman" w:hAnsi="Times New Roman" w:cs="Times New Roman"/>
                <w:color w:val="000000" w:themeColor="text1"/>
                <w:sz w:val="24"/>
                <w:szCs w:val="24"/>
                <w:highlight w:val="none"/>
                <w:vertAlign w:val="superscript"/>
                <w:lang w:val="en-US" w:eastAsia="zh-CN"/>
                <w14:textFill>
                  <w14:solidFill>
                    <w14:schemeClr w14:val="tx1"/>
                  </w14:solidFill>
                </w14:textFill>
              </w:rPr>
              <w:t>2</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，配套设施用地0.75公顷（其中生产车间为4000m</w:t>
            </w:r>
            <w:r>
              <w:rPr>
                <w:rFonts w:hint="eastAsia" w:ascii="Times New Roman" w:hAnsi="Times New Roman" w:cs="Times New Roman"/>
                <w:color w:val="000000" w:themeColor="text1"/>
                <w:sz w:val="24"/>
                <w:szCs w:val="24"/>
                <w:highlight w:val="none"/>
                <w:vertAlign w:val="superscript"/>
                <w:lang w:val="en-US" w:eastAsia="zh-CN"/>
                <w14:textFill>
                  <w14:solidFill>
                    <w14:schemeClr w14:val="tx1"/>
                  </w14:solidFill>
                </w14:textFill>
              </w:rPr>
              <w:t>2</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，成品区3000m</w:t>
            </w:r>
            <w:r>
              <w:rPr>
                <w:rFonts w:hint="eastAsia" w:ascii="Times New Roman" w:hAnsi="Times New Roman" w:cs="Times New Roman"/>
                <w:color w:val="000000" w:themeColor="text1"/>
                <w:sz w:val="24"/>
                <w:szCs w:val="24"/>
                <w:highlight w:val="none"/>
                <w:vertAlign w:val="superscript"/>
                <w:lang w:val="en-US" w:eastAsia="zh-CN"/>
                <w14:textFill>
                  <w14:solidFill>
                    <w14:schemeClr w14:val="tx1"/>
                  </w14:solidFill>
                </w14:textFill>
              </w:rPr>
              <w:t>2</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，变压器500m</w:t>
            </w:r>
            <w:r>
              <w:rPr>
                <w:rFonts w:hint="eastAsia" w:ascii="Times New Roman" w:hAnsi="Times New Roman" w:cs="Times New Roman"/>
                <w:color w:val="000000" w:themeColor="text1"/>
                <w:sz w:val="24"/>
                <w:szCs w:val="24"/>
                <w:highlight w:val="none"/>
                <w:vertAlign w:val="superscript"/>
                <w:lang w:val="en-US" w:eastAsia="zh-CN"/>
                <w14:textFill>
                  <w14:solidFill>
                    <w14:schemeClr w14:val="tx1"/>
                  </w14:solidFill>
                </w14:textFill>
              </w:rPr>
              <w:t>2</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），土地性质为工业用地。新增磨粉机GK2150四套，储料罐四套，变压器S18-1600KVA两台。</w:t>
            </w:r>
          </w:p>
          <w:p w14:paraId="0B36DF18">
            <w:pPr>
              <w:keepNext w:val="0"/>
              <w:keepLines w:val="0"/>
              <w:pageBreakBefore w:val="0"/>
              <w:widowControl w:val="0"/>
              <w:shd w:val="clear"/>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项目主要建设内容见表2-1。</w:t>
            </w:r>
          </w:p>
          <w:p w14:paraId="323FBA34">
            <w:pPr>
              <w:keepNext w:val="0"/>
              <w:keepLines w:val="0"/>
              <w:pageBreakBefore w:val="0"/>
              <w:widowControl w:val="0"/>
              <w:shd w:val="clear"/>
              <w:kinsoku/>
              <w:wordWrap/>
              <w:overflowPunct/>
              <w:topLinePunct w:val="0"/>
              <w:autoSpaceDE/>
              <w:autoSpaceDN/>
              <w:bidi w:val="0"/>
              <w:adjustRightInd/>
              <w:snapToGrid w:val="0"/>
              <w:spacing w:beforeLines="0" w:line="360" w:lineRule="auto"/>
              <w:jc w:val="center"/>
              <w:textAlignment w:val="auto"/>
              <w:rPr>
                <w:rFonts w:hint="eastAsia" w:ascii="Times New Roman" w:hAnsi="Times New Roman" w:eastAsia="宋体" w:cs="宋体"/>
                <w:b/>
                <w:color w:val="000000" w:themeColor="text1"/>
                <w:sz w:val="24"/>
                <w:szCs w:val="24"/>
                <w:highlight w:val="none"/>
                <w14:textFill>
                  <w14:solidFill>
                    <w14:schemeClr w14:val="tx1"/>
                  </w14:solidFill>
                </w14:textFill>
              </w:rPr>
            </w:pPr>
            <w:r>
              <w:rPr>
                <w:rFonts w:hint="eastAsia" w:ascii="Times New Roman" w:hAnsi="Times New Roman" w:eastAsia="宋体" w:cs="宋体"/>
                <w:b/>
                <w:color w:val="000000" w:themeColor="text1"/>
                <w:sz w:val="24"/>
                <w:szCs w:val="24"/>
                <w:highlight w:val="none"/>
                <w14:textFill>
                  <w14:solidFill>
                    <w14:schemeClr w14:val="tx1"/>
                  </w14:solidFill>
                </w14:textFill>
              </w:rPr>
              <w:t>表</w:t>
            </w:r>
            <w:r>
              <w:rPr>
                <w:rFonts w:hint="eastAsia" w:ascii="Times New Roman" w:hAnsi="Times New Roman" w:cs="宋体"/>
                <w:b/>
                <w:color w:val="000000" w:themeColor="text1"/>
                <w:sz w:val="24"/>
                <w:szCs w:val="24"/>
                <w:highlight w:val="none"/>
                <w:lang w:val="en-US" w:eastAsia="zh-CN"/>
                <w14:textFill>
                  <w14:solidFill>
                    <w14:schemeClr w14:val="tx1"/>
                  </w14:solidFill>
                </w14:textFill>
              </w:rPr>
              <w:t>2-1</w:t>
            </w:r>
            <w:r>
              <w:rPr>
                <w:rFonts w:hint="eastAsia" w:ascii="Times New Roman" w:hAnsi="Times New Roman" w:eastAsia="宋体" w:cs="宋体"/>
                <w:b/>
                <w:color w:val="000000" w:themeColor="text1"/>
                <w:sz w:val="24"/>
                <w:szCs w:val="24"/>
                <w:highlight w:val="none"/>
                <w:lang w:val="en-US" w:eastAsia="zh-CN"/>
                <w14:textFill>
                  <w14:solidFill>
                    <w14:schemeClr w14:val="tx1"/>
                  </w14:solidFill>
                </w14:textFill>
              </w:rPr>
              <w:t xml:space="preserve"> </w:t>
            </w:r>
            <w:r>
              <w:rPr>
                <w:rFonts w:hint="eastAsia" w:ascii="Times New Roman" w:hAnsi="Times New Roman" w:eastAsia="宋体" w:cs="宋体"/>
                <w:b/>
                <w:color w:val="000000" w:themeColor="text1"/>
                <w:sz w:val="24"/>
                <w:szCs w:val="24"/>
                <w:highlight w:val="none"/>
                <w14:textFill>
                  <w14:solidFill>
                    <w14:schemeClr w14:val="tx1"/>
                  </w14:solidFill>
                </w14:textFill>
              </w:rPr>
              <w:t xml:space="preserve"> </w:t>
            </w:r>
            <w:r>
              <w:rPr>
                <w:rFonts w:hint="eastAsia" w:ascii="Times New Roman" w:hAnsi="Times New Roman" w:eastAsia="宋体" w:cs="宋体"/>
                <w:b/>
                <w:color w:val="000000" w:themeColor="text1"/>
                <w:sz w:val="24"/>
                <w:szCs w:val="24"/>
                <w:highlight w:val="none"/>
                <w:lang w:val="en-US" w:eastAsia="zh-CN"/>
                <w14:textFill>
                  <w14:solidFill>
                    <w14:schemeClr w14:val="tx1"/>
                  </w14:solidFill>
                </w14:textFill>
              </w:rPr>
              <w:t>建</w:t>
            </w:r>
            <w:r>
              <w:rPr>
                <w:rFonts w:hint="eastAsia" w:ascii="Times New Roman" w:hAnsi="Times New Roman" w:eastAsia="宋体" w:cs="宋体"/>
                <w:b/>
                <w:color w:val="000000" w:themeColor="text1"/>
                <w:sz w:val="24"/>
                <w:szCs w:val="24"/>
                <w:highlight w:val="none"/>
                <w:lang w:eastAsia="zh-CN"/>
                <w14:textFill>
                  <w14:solidFill>
                    <w14:schemeClr w14:val="tx1"/>
                  </w14:solidFill>
                </w14:textFill>
              </w:rPr>
              <w:t>项目</w:t>
            </w:r>
            <w:r>
              <w:rPr>
                <w:rFonts w:hint="eastAsia" w:ascii="Times New Roman" w:hAnsi="Times New Roman" w:eastAsia="宋体" w:cs="宋体"/>
                <w:b/>
                <w:color w:val="000000" w:themeColor="text1"/>
                <w:sz w:val="24"/>
                <w:szCs w:val="24"/>
                <w:highlight w:val="none"/>
                <w14:textFill>
                  <w14:solidFill>
                    <w14:schemeClr w14:val="tx1"/>
                  </w14:solidFill>
                </w14:textFill>
              </w:rPr>
              <w:t>工程内容一览表</w:t>
            </w:r>
          </w:p>
          <w:tbl>
            <w:tblPr>
              <w:tblStyle w:val="24"/>
              <w:tblW w:w="4998"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1140"/>
              <w:gridCol w:w="4823"/>
              <w:gridCol w:w="1401"/>
            </w:tblGrid>
            <w:tr w14:paraId="3FA1F6E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1156" w:type="pct"/>
                  <w:gridSpan w:val="2"/>
                  <w:tcBorders>
                    <w:tl2br w:val="nil"/>
                    <w:tr2bl w:val="nil"/>
                  </w:tcBorders>
                  <w:noWrap w:val="0"/>
                  <w:vAlign w:val="center"/>
                </w:tcPr>
                <w:p w14:paraId="3F9E84F0">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项目组成</w:t>
                  </w:r>
                </w:p>
              </w:tc>
              <w:tc>
                <w:tcPr>
                  <w:tcW w:w="2978" w:type="pct"/>
                  <w:tcBorders>
                    <w:tl2br w:val="nil"/>
                    <w:tr2bl w:val="nil"/>
                  </w:tcBorders>
                  <w:noWrap w:val="0"/>
                  <w:vAlign w:val="center"/>
                </w:tcPr>
                <w:p w14:paraId="4D7CA830">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t>建设内容</w:t>
                  </w:r>
                </w:p>
              </w:tc>
              <w:tc>
                <w:tcPr>
                  <w:tcW w:w="865" w:type="pct"/>
                  <w:tcBorders>
                    <w:tl2br w:val="nil"/>
                    <w:tr2bl w:val="nil"/>
                  </w:tcBorders>
                  <w:noWrap w:val="0"/>
                  <w:vAlign w:val="center"/>
                </w:tcPr>
                <w:p w14:paraId="0960E11C">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t>备注</w:t>
                  </w:r>
                </w:p>
              </w:tc>
            </w:tr>
            <w:tr w14:paraId="0A6994F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452" w:type="pct"/>
                  <w:tcBorders>
                    <w:tl2br w:val="nil"/>
                    <w:tr2bl w:val="nil"/>
                  </w:tcBorders>
                  <w:noWrap w:val="0"/>
                  <w:vAlign w:val="center"/>
                </w:tcPr>
                <w:p w14:paraId="422F83A2">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主体工程</w:t>
                  </w:r>
                </w:p>
              </w:tc>
              <w:tc>
                <w:tcPr>
                  <w:tcW w:w="704" w:type="pct"/>
                  <w:tcBorders>
                    <w:tl2br w:val="nil"/>
                    <w:tr2bl w:val="nil"/>
                  </w:tcBorders>
                  <w:shd w:val="clear" w:color="auto" w:fill="auto"/>
                  <w:noWrap w:val="0"/>
                  <w:vAlign w:val="center"/>
                </w:tcPr>
                <w:p w14:paraId="2E477142">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生产车间</w:t>
                  </w:r>
                </w:p>
              </w:tc>
              <w:tc>
                <w:tcPr>
                  <w:tcW w:w="2978" w:type="pct"/>
                  <w:tcBorders>
                    <w:tl2br w:val="nil"/>
                    <w:tr2bl w:val="nil"/>
                  </w:tcBorders>
                  <w:shd w:val="clear" w:color="auto" w:fill="auto"/>
                  <w:noWrap w:val="0"/>
                  <w:vAlign w:val="center"/>
                </w:tcPr>
                <w:p w14:paraId="5905E629">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全封闭钢结构车间内，占地面积约</w:t>
                  </w: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4</w:t>
                  </w: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000m</w:t>
                  </w:r>
                  <w:r>
                    <w:rPr>
                      <w:rFonts w:hint="default" w:ascii="Times New Roman" w:hAnsi="Times New Roman" w:eastAsia="宋体" w:cs="Times New Roman"/>
                      <w:color w:val="000000" w:themeColor="text1"/>
                      <w:kern w:val="0"/>
                      <w:sz w:val="21"/>
                      <w:szCs w:val="21"/>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w:t>
                  </w: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地面全部硬化，</w:t>
                  </w: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设</w:t>
                  </w: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4</w:t>
                  </w: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条250目石灰石粉生产线，主要由摆式磨粉机、输送皮带、提升机等组成，年产250目石灰石粉30万吨</w:t>
                  </w:r>
                </w:p>
              </w:tc>
              <w:tc>
                <w:tcPr>
                  <w:tcW w:w="865" w:type="pct"/>
                  <w:tcBorders>
                    <w:tl2br w:val="nil"/>
                    <w:tr2bl w:val="nil"/>
                  </w:tcBorders>
                  <w:shd w:val="clear" w:color="auto" w:fill="auto"/>
                  <w:noWrap w:val="0"/>
                  <w:vAlign w:val="center"/>
                </w:tcPr>
                <w:p w14:paraId="76B6B2D7">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新建</w:t>
                  </w:r>
                </w:p>
              </w:tc>
            </w:tr>
            <w:tr w14:paraId="6006F9A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452" w:type="pct"/>
                  <w:vMerge w:val="restart"/>
                  <w:tcBorders>
                    <w:tl2br w:val="nil"/>
                    <w:tr2bl w:val="nil"/>
                  </w:tcBorders>
                  <w:noWrap w:val="0"/>
                  <w:vAlign w:val="center"/>
                </w:tcPr>
                <w:p w14:paraId="23DF8FBA">
                  <w:pPr>
                    <w:shd w:val="clear"/>
                    <w:autoSpaceDE w:val="0"/>
                    <w:autoSpaceDN w:val="0"/>
                    <w:adjustRightInd w:val="0"/>
                    <w:spacing w:line="24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储运工程</w:t>
                  </w:r>
                </w:p>
              </w:tc>
              <w:tc>
                <w:tcPr>
                  <w:tcW w:w="704" w:type="pct"/>
                  <w:tcBorders>
                    <w:tl2br w:val="nil"/>
                    <w:tr2bl w:val="nil"/>
                  </w:tcBorders>
                  <w:shd w:val="clear" w:color="auto" w:fill="auto"/>
                  <w:noWrap w:val="0"/>
                  <w:vAlign w:val="center"/>
                </w:tcPr>
                <w:p w14:paraId="239574E7">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kern w:val="0"/>
                      <w:sz w:val="21"/>
                      <w:szCs w:val="21"/>
                      <w:highlight w:val="none"/>
                      <w:lang w:val="en-US" w:eastAsia="zh-CN" w:bidi="ar-SA"/>
                      <w14:textFill>
                        <w14:solidFill>
                          <w14:schemeClr w14:val="tx1"/>
                        </w14:solidFill>
                      </w14:textFill>
                    </w:rPr>
                    <w:t>原料库</w:t>
                  </w:r>
                </w:p>
              </w:tc>
              <w:tc>
                <w:tcPr>
                  <w:tcW w:w="2978" w:type="pct"/>
                  <w:tcBorders>
                    <w:tl2br w:val="nil"/>
                    <w:tr2bl w:val="nil"/>
                  </w:tcBorders>
                  <w:shd w:val="clear" w:color="auto" w:fill="auto"/>
                  <w:noWrap w:val="0"/>
                  <w:vAlign w:val="center"/>
                </w:tcPr>
                <w:p w14:paraId="433CE7D8">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kern w:val="0"/>
                      <w:sz w:val="21"/>
                      <w:szCs w:val="21"/>
                      <w:highlight w:val="none"/>
                      <w:vertAlign w:val="baseline"/>
                      <w:lang w:val="en-US" w:eastAsia="zh-CN" w:bidi="ar-SA"/>
                      <w14:textFill>
                        <w14:solidFill>
                          <w14:schemeClr w14:val="tx1"/>
                        </w14:solidFill>
                      </w14:textFill>
                    </w:rPr>
                    <w:t>全封闭式钢结构</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原料</w:t>
                  </w:r>
                  <w:r>
                    <w:rPr>
                      <w:rFonts w:hint="eastAsia" w:ascii="Times New Roman" w:hAnsi="Times New Roman" w:cs="Times New Roman"/>
                      <w:color w:val="000000" w:themeColor="text1"/>
                      <w:kern w:val="0"/>
                      <w:sz w:val="21"/>
                      <w:szCs w:val="21"/>
                      <w:highlight w:val="none"/>
                      <w:lang w:val="en-US" w:eastAsia="zh-CN" w:bidi="ar-SA"/>
                      <w14:textFill>
                        <w14:solidFill>
                          <w14:schemeClr w14:val="tx1"/>
                        </w14:solidFill>
                      </w14:textFill>
                    </w:rPr>
                    <w:t>库</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，面积约</w:t>
                  </w:r>
                  <w:r>
                    <w:rPr>
                      <w:rFonts w:hint="eastAsia" w:ascii="Times New Roman" w:hAnsi="Times New Roman" w:cs="Times New Roman"/>
                      <w:color w:val="000000" w:themeColor="text1"/>
                      <w:kern w:val="0"/>
                      <w:sz w:val="21"/>
                      <w:szCs w:val="21"/>
                      <w:highlight w:val="none"/>
                      <w:lang w:val="en-US" w:eastAsia="zh-CN" w:bidi="ar-SA"/>
                      <w14:textFill>
                        <w14:solidFill>
                          <w14:schemeClr w14:val="tx1"/>
                        </w14:solidFill>
                      </w14:textFill>
                    </w:rPr>
                    <w:t>6075</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vertAlign w:val="baseline"/>
                      <w:lang w:val="en-US" w:eastAsia="zh-CN" w:bidi="ar-SA"/>
                      <w14:textFill>
                        <w14:solidFill>
                          <w14:schemeClr w14:val="tx1"/>
                        </w14:solidFill>
                      </w14:textFill>
                    </w:rPr>
                    <w:t>，</w:t>
                  </w:r>
                </w:p>
              </w:tc>
              <w:tc>
                <w:tcPr>
                  <w:tcW w:w="865" w:type="pct"/>
                  <w:tcBorders>
                    <w:tl2br w:val="nil"/>
                    <w:tr2bl w:val="nil"/>
                  </w:tcBorders>
                  <w:shd w:val="clear" w:color="auto" w:fill="auto"/>
                  <w:noWrap w:val="0"/>
                  <w:vAlign w:val="center"/>
                </w:tcPr>
                <w:p w14:paraId="15DB4AC1">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新建</w:t>
                  </w:r>
                </w:p>
              </w:tc>
            </w:tr>
            <w:tr w14:paraId="639AE80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52" w:type="pct"/>
                  <w:vMerge w:val="continue"/>
                  <w:tcBorders>
                    <w:tl2br w:val="nil"/>
                    <w:tr2bl w:val="nil"/>
                  </w:tcBorders>
                  <w:noWrap w:val="0"/>
                  <w:vAlign w:val="center"/>
                </w:tcPr>
                <w:p w14:paraId="0E99FEC7">
                  <w:pPr>
                    <w:shd w:val="clear"/>
                    <w:autoSpaceDE w:val="0"/>
                    <w:autoSpaceDN w:val="0"/>
                    <w:adjustRightInd w:val="0"/>
                    <w:spacing w:line="24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704" w:type="pct"/>
                  <w:tcBorders>
                    <w:tl2br w:val="nil"/>
                    <w:tr2bl w:val="nil"/>
                  </w:tcBorders>
                  <w:shd w:val="clear" w:color="auto" w:fill="auto"/>
                  <w:noWrap w:val="0"/>
                  <w:vAlign w:val="center"/>
                </w:tcPr>
                <w:p w14:paraId="1FC395FA">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成品区</w:t>
                  </w:r>
                </w:p>
              </w:tc>
              <w:tc>
                <w:tcPr>
                  <w:tcW w:w="2978" w:type="pct"/>
                  <w:tcBorders>
                    <w:tl2br w:val="nil"/>
                    <w:tr2bl w:val="nil"/>
                  </w:tcBorders>
                  <w:shd w:val="clear" w:color="auto" w:fill="auto"/>
                  <w:noWrap w:val="0"/>
                  <w:vAlign w:val="center"/>
                </w:tcPr>
                <w:p w14:paraId="0DEDDD85">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半封闭式彩钢结构，</w:t>
                  </w:r>
                  <w:r>
                    <w:rPr>
                      <w:rFonts w:hint="eastAsia" w:ascii="Times New Roman" w:hAnsi="Times New Roman" w:cs="Times New Roman"/>
                      <w:color w:val="000000" w:themeColor="text1"/>
                      <w:kern w:val="0"/>
                      <w:sz w:val="21"/>
                      <w:szCs w:val="21"/>
                      <w:highlight w:val="none"/>
                      <w:lang w:val="en-US" w:eastAsia="zh-CN" w:bidi="ar-SA"/>
                      <w14:textFill>
                        <w14:solidFill>
                          <w14:schemeClr w14:val="tx1"/>
                        </w14:solidFill>
                      </w14:textFill>
                    </w:rPr>
                    <w:t>占地面积</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约</w:t>
                  </w:r>
                  <w:r>
                    <w:rPr>
                      <w:rFonts w:hint="eastAsia" w:ascii="Times New Roman" w:hAnsi="Times New Roman" w:cs="Times New Roman"/>
                      <w:color w:val="000000" w:themeColor="text1"/>
                      <w:kern w:val="0"/>
                      <w:sz w:val="21"/>
                      <w:szCs w:val="21"/>
                      <w:highlight w:val="none"/>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000</w:t>
                  </w: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m</w:t>
                  </w:r>
                  <w:r>
                    <w:rPr>
                      <w:rFonts w:hint="default" w:ascii="Times New Roman" w:hAnsi="Times New Roman" w:eastAsia="宋体" w:cs="Times New Roman"/>
                      <w:color w:val="000000" w:themeColor="text1"/>
                      <w:kern w:val="0"/>
                      <w:sz w:val="21"/>
                      <w:szCs w:val="21"/>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，里面有4套</w:t>
                  </w:r>
                  <w:r>
                    <w:rPr>
                      <w:rFonts w:hint="eastAsia" w:ascii="Times New Roman" w:hAnsi="Times New Roman" w:cs="Times New Roman"/>
                      <w:color w:val="000000" w:themeColor="text1"/>
                      <w:kern w:val="0"/>
                      <w:sz w:val="21"/>
                      <w:szCs w:val="21"/>
                      <w:highlight w:val="none"/>
                      <w:lang w:val="en-US" w:eastAsia="zh-CN" w:bidi="ar-SA"/>
                      <w14:textFill>
                        <w14:solidFill>
                          <w14:schemeClr w14:val="tx1"/>
                        </w14:solidFill>
                      </w14:textFill>
                    </w:rPr>
                    <w:t>密闭</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储料储罐</w:t>
                  </w:r>
                  <w:r>
                    <w:rPr>
                      <w:rFonts w:hint="eastAsia" w:ascii="Times New Roman" w:hAnsi="Times New Roman" w:cs="Times New Roman"/>
                      <w:color w:val="000000" w:themeColor="text1"/>
                      <w:kern w:val="0"/>
                      <w:sz w:val="21"/>
                      <w:szCs w:val="21"/>
                      <w:highlight w:val="none"/>
                      <w:lang w:val="en-US" w:eastAsia="zh-CN" w:bidi="ar-SA"/>
                      <w14:textFill>
                        <w14:solidFill>
                          <w14:schemeClr w14:val="tx1"/>
                        </w14:solidFill>
                      </w14:textFill>
                    </w:rPr>
                    <w:t>（仓顶配脉冲布袋除尘器），</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用于成品存放</w:t>
                  </w:r>
                </w:p>
              </w:tc>
              <w:tc>
                <w:tcPr>
                  <w:tcW w:w="865" w:type="pct"/>
                  <w:tcBorders>
                    <w:tl2br w:val="nil"/>
                    <w:tr2bl w:val="nil"/>
                  </w:tcBorders>
                  <w:shd w:val="clear" w:color="auto" w:fill="auto"/>
                  <w:noWrap w:val="0"/>
                  <w:vAlign w:val="center"/>
                </w:tcPr>
                <w:p w14:paraId="6E2D016E">
                  <w:pPr>
                    <w:shd w:val="clea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新建</w:t>
                  </w:r>
                </w:p>
              </w:tc>
            </w:tr>
            <w:tr w14:paraId="4F614B1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452" w:type="pct"/>
                  <w:vMerge w:val="restart"/>
                  <w:tcBorders>
                    <w:tl2br w:val="nil"/>
                    <w:tr2bl w:val="nil"/>
                  </w:tcBorders>
                  <w:noWrap w:val="0"/>
                  <w:vAlign w:val="center"/>
                </w:tcPr>
                <w:p w14:paraId="2B89180D">
                  <w:pPr>
                    <w:autoSpaceDE w:val="0"/>
                    <w:autoSpaceDN w:val="0"/>
                    <w:adjustRightInd w:val="0"/>
                    <w:spacing w:line="24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辅助工程</w:t>
                  </w:r>
                </w:p>
              </w:tc>
              <w:tc>
                <w:tcPr>
                  <w:tcW w:w="704" w:type="pct"/>
                  <w:tcBorders>
                    <w:tl2br w:val="nil"/>
                    <w:tr2bl w:val="nil"/>
                  </w:tcBorders>
                  <w:shd w:val="clear" w:color="auto" w:fill="auto"/>
                  <w:noWrap w:val="0"/>
                  <w:vAlign w:val="center"/>
                </w:tcPr>
                <w:p w14:paraId="7C3B3859">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办公区</w:t>
                  </w:r>
                </w:p>
              </w:tc>
              <w:tc>
                <w:tcPr>
                  <w:tcW w:w="2978" w:type="pct"/>
                  <w:tcBorders>
                    <w:tl2br w:val="nil"/>
                    <w:tr2bl w:val="nil"/>
                  </w:tcBorders>
                  <w:shd w:val="clear" w:color="auto" w:fill="auto"/>
                  <w:noWrap w:val="0"/>
                  <w:vAlign w:val="center"/>
                </w:tcPr>
                <w:p w14:paraId="0D214A64">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办公区位于厂区东墙外</w:t>
                  </w:r>
                  <w:r>
                    <w:rPr>
                      <w:rFonts w:hint="default" w:ascii="Times New Roman" w:hAnsi="Times New Roman" w:eastAsia="宋体" w:cs="Times New Roman"/>
                      <w:color w:val="000000" w:themeColor="text1"/>
                      <w:kern w:val="0"/>
                      <w:sz w:val="21"/>
                      <w:szCs w:val="21"/>
                      <w:highlight w:val="none"/>
                      <w:vertAlign w:val="baseline"/>
                      <w:lang w:val="en-US" w:eastAsia="zh-CN" w:bidi="ar-SA"/>
                      <w14:textFill>
                        <w14:solidFill>
                          <w14:schemeClr w14:val="tx1"/>
                        </w14:solidFill>
                      </w14:textFill>
                    </w:rPr>
                    <w:t>，主要用于员工办公，住宿</w:t>
                  </w:r>
                </w:p>
              </w:tc>
              <w:tc>
                <w:tcPr>
                  <w:tcW w:w="865" w:type="pct"/>
                  <w:tcBorders>
                    <w:tl2br w:val="nil"/>
                    <w:tr2bl w:val="nil"/>
                  </w:tcBorders>
                  <w:noWrap w:val="0"/>
                  <w:vAlign w:val="center"/>
                </w:tcPr>
                <w:p w14:paraId="00FF92E8">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依托现有</w:t>
                  </w:r>
                </w:p>
              </w:tc>
            </w:tr>
            <w:tr w14:paraId="31194B8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452" w:type="pct"/>
                  <w:vMerge w:val="continue"/>
                  <w:tcBorders>
                    <w:tl2br w:val="nil"/>
                    <w:tr2bl w:val="nil"/>
                  </w:tcBorders>
                  <w:noWrap w:val="0"/>
                  <w:vAlign w:val="center"/>
                </w:tcPr>
                <w:p w14:paraId="269C632C">
                  <w:pPr>
                    <w:autoSpaceDE w:val="0"/>
                    <w:autoSpaceDN w:val="0"/>
                    <w:adjustRightInd w:val="0"/>
                    <w:spacing w:line="24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704" w:type="pct"/>
                  <w:tcBorders>
                    <w:tl2br w:val="nil"/>
                    <w:tr2bl w:val="nil"/>
                  </w:tcBorders>
                  <w:shd w:val="clear" w:color="auto" w:fill="auto"/>
                  <w:noWrap w:val="0"/>
                  <w:vAlign w:val="center"/>
                </w:tcPr>
                <w:p w14:paraId="0D21CBFC">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变压器</w:t>
                  </w:r>
                </w:p>
              </w:tc>
              <w:tc>
                <w:tcPr>
                  <w:tcW w:w="2978" w:type="pct"/>
                  <w:tcBorders>
                    <w:tl2br w:val="nil"/>
                    <w:tr2bl w:val="nil"/>
                  </w:tcBorders>
                  <w:shd w:val="clear" w:color="auto" w:fill="auto"/>
                  <w:noWrap w:val="0"/>
                  <w:vAlign w:val="center"/>
                </w:tcPr>
                <w:p w14:paraId="2D01E138">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位于生产车间南侧，占地面积约500m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，里面布置2台S18-1600KVA变压器</w:t>
                  </w:r>
                </w:p>
              </w:tc>
              <w:tc>
                <w:tcPr>
                  <w:tcW w:w="865" w:type="pct"/>
                  <w:tcBorders>
                    <w:tl2br w:val="nil"/>
                    <w:tr2bl w:val="nil"/>
                  </w:tcBorders>
                  <w:noWrap w:val="0"/>
                  <w:vAlign w:val="center"/>
                </w:tcPr>
                <w:p w14:paraId="7EBAB0A1">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新建</w:t>
                  </w:r>
                </w:p>
              </w:tc>
            </w:tr>
            <w:tr w14:paraId="6C19DD3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452" w:type="pct"/>
                  <w:vMerge w:val="restart"/>
                  <w:tcBorders>
                    <w:tl2br w:val="nil"/>
                    <w:tr2bl w:val="nil"/>
                  </w:tcBorders>
                  <w:noWrap w:val="0"/>
                  <w:vAlign w:val="center"/>
                </w:tcPr>
                <w:p w14:paraId="157A981A">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公用工程</w:t>
                  </w:r>
                </w:p>
              </w:tc>
              <w:tc>
                <w:tcPr>
                  <w:tcW w:w="704" w:type="pct"/>
                  <w:tcBorders>
                    <w:tl2br w:val="nil"/>
                    <w:tr2bl w:val="nil"/>
                  </w:tcBorders>
                  <w:noWrap w:val="0"/>
                  <w:vAlign w:val="center"/>
                </w:tcPr>
                <w:p w14:paraId="004BCD43">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给水</w:t>
                  </w:r>
                </w:p>
              </w:tc>
              <w:tc>
                <w:tcPr>
                  <w:tcW w:w="2978" w:type="pct"/>
                  <w:tcBorders>
                    <w:tl2br w:val="nil"/>
                    <w:tr2bl w:val="nil"/>
                  </w:tcBorders>
                  <w:noWrap w:val="0"/>
                  <w:vAlign w:val="center"/>
                </w:tcPr>
                <w:p w14:paraId="06A1170A">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14:textFill>
                        <w14:solidFill>
                          <w14:schemeClr w14:val="tx1"/>
                        </w14:solidFill>
                      </w14:textFill>
                    </w:rPr>
                  </w:pPr>
                  <w:r>
                    <w:rPr>
                      <w:rFonts w:hint="eastAsia" w:ascii="Times New Roman" w:hAnsi="Times New Roman" w:cs="Times New Roman"/>
                      <w:color w:val="000000" w:themeColor="text1"/>
                      <w:kern w:val="2"/>
                      <w:sz w:val="21"/>
                      <w:szCs w:val="21"/>
                      <w:highlight w:val="none"/>
                      <w:lang w:val="en-US" w:eastAsia="zh-CN" w:bidi="ar-SA"/>
                      <w14:textFill>
                        <w14:solidFill>
                          <w14:schemeClr w14:val="tx1"/>
                        </w14:solidFill>
                      </w14:textFill>
                    </w:rPr>
                    <w:t>职工</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生活用水为外购桶装水</w:t>
                  </w:r>
                </w:p>
              </w:tc>
              <w:tc>
                <w:tcPr>
                  <w:tcW w:w="865" w:type="pct"/>
                  <w:tcBorders>
                    <w:tl2br w:val="nil"/>
                    <w:tr2bl w:val="nil"/>
                  </w:tcBorders>
                  <w:noWrap w:val="0"/>
                  <w:vAlign w:val="center"/>
                </w:tcPr>
                <w:p w14:paraId="6428E0C4">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w:t>
                  </w:r>
                </w:p>
              </w:tc>
            </w:tr>
            <w:tr w14:paraId="79F14C2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452" w:type="pct"/>
                  <w:vMerge w:val="continue"/>
                  <w:tcBorders>
                    <w:tl2br w:val="nil"/>
                    <w:tr2bl w:val="nil"/>
                  </w:tcBorders>
                  <w:noWrap w:val="0"/>
                  <w:vAlign w:val="center"/>
                </w:tcPr>
                <w:p w14:paraId="3B505074">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704" w:type="pct"/>
                  <w:tcBorders>
                    <w:tl2br w:val="nil"/>
                    <w:tr2bl w:val="nil"/>
                  </w:tcBorders>
                  <w:noWrap w:val="0"/>
                  <w:vAlign w:val="center"/>
                </w:tcPr>
                <w:p w14:paraId="343643FF">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排水</w:t>
                  </w:r>
                </w:p>
              </w:tc>
              <w:tc>
                <w:tcPr>
                  <w:tcW w:w="2978" w:type="pct"/>
                  <w:tcBorders>
                    <w:tl2br w:val="nil"/>
                    <w:tr2bl w:val="nil"/>
                  </w:tcBorders>
                  <w:noWrap w:val="0"/>
                  <w:vAlign w:val="center"/>
                </w:tcPr>
                <w:p w14:paraId="5B8A379C">
                  <w:pPr>
                    <w:rPr>
                      <w:rFonts w:hint="default" w:ascii="Times New Roman" w:hAnsi="Times New Roman" w:eastAsia="宋体" w:cs="Times New Roman"/>
                      <w:color w:val="000000" w:themeColor="text1"/>
                      <w:kern w:val="0"/>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员工生活污水经化粪池处理满足《污水综合排放标准》（GB</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8978-1996</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）三级标准后，送上都镇生活污水处理厂进行进一步处理；项目不产生生产废水</w:t>
                  </w:r>
                </w:p>
              </w:tc>
              <w:tc>
                <w:tcPr>
                  <w:tcW w:w="865" w:type="pct"/>
                  <w:tcBorders>
                    <w:tl2br w:val="nil"/>
                    <w:tr2bl w:val="nil"/>
                  </w:tcBorders>
                  <w:noWrap w:val="0"/>
                  <w:vAlign w:val="center"/>
                </w:tcPr>
                <w:p w14:paraId="65C8A744">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依托现有</w:t>
                  </w:r>
                </w:p>
              </w:tc>
            </w:tr>
            <w:tr w14:paraId="1EDFD28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452" w:type="pct"/>
                  <w:vMerge w:val="continue"/>
                  <w:tcBorders>
                    <w:tl2br w:val="nil"/>
                    <w:tr2bl w:val="nil"/>
                  </w:tcBorders>
                  <w:noWrap w:val="0"/>
                  <w:vAlign w:val="center"/>
                </w:tcPr>
                <w:p w14:paraId="39E410B6">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704" w:type="pct"/>
                  <w:tcBorders>
                    <w:tl2br w:val="nil"/>
                    <w:tr2bl w:val="nil"/>
                  </w:tcBorders>
                  <w:shd w:val="clear" w:color="auto" w:fill="auto"/>
                  <w:noWrap w:val="0"/>
                  <w:vAlign w:val="center"/>
                </w:tcPr>
                <w:p w14:paraId="01730B3A">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供电</w:t>
                  </w:r>
                </w:p>
              </w:tc>
              <w:tc>
                <w:tcPr>
                  <w:tcW w:w="2978" w:type="pct"/>
                  <w:tcBorders>
                    <w:tl2br w:val="nil"/>
                    <w:tr2bl w:val="nil"/>
                  </w:tcBorders>
                  <w:shd w:val="clear" w:color="auto" w:fill="auto"/>
                  <w:noWrap w:val="0"/>
                  <w:vAlign w:val="center"/>
                </w:tcPr>
                <w:p w14:paraId="0EC10487">
                  <w:pPr>
                    <w:autoSpaceDE w:val="0"/>
                    <w:autoSpaceDN w:val="0"/>
                    <w:adjustRightInd w:val="0"/>
                    <w:spacing w:line="240" w:lineRule="auto"/>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项目依托正蓝旗上都华欣能源有限责任公司供电系统供电</w:t>
                  </w:r>
                </w:p>
              </w:tc>
              <w:tc>
                <w:tcPr>
                  <w:tcW w:w="865" w:type="pct"/>
                  <w:tcBorders>
                    <w:tl2br w:val="nil"/>
                    <w:tr2bl w:val="nil"/>
                  </w:tcBorders>
                  <w:shd w:val="clear" w:color="auto" w:fill="auto"/>
                  <w:noWrap w:val="0"/>
                  <w:vAlign w:val="center"/>
                </w:tcPr>
                <w:p w14:paraId="64466773">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依托现有</w:t>
                  </w:r>
                </w:p>
              </w:tc>
            </w:tr>
            <w:tr w14:paraId="0E6B0E7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452" w:type="pct"/>
                  <w:vMerge w:val="continue"/>
                  <w:tcBorders>
                    <w:tl2br w:val="nil"/>
                    <w:tr2bl w:val="nil"/>
                  </w:tcBorders>
                  <w:noWrap w:val="0"/>
                  <w:vAlign w:val="center"/>
                </w:tcPr>
                <w:p w14:paraId="19B15B8C">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704" w:type="pct"/>
                  <w:tcBorders>
                    <w:tl2br w:val="nil"/>
                    <w:tr2bl w:val="nil"/>
                  </w:tcBorders>
                  <w:noWrap w:val="0"/>
                  <w:vAlign w:val="center"/>
                </w:tcPr>
                <w:p w14:paraId="29AFF750">
                  <w:pPr>
                    <w:autoSpaceDE w:val="0"/>
                    <w:autoSpaceDN w:val="0"/>
                    <w:adjustRightInd w:val="0"/>
                    <w:spacing w:line="240" w:lineRule="auto"/>
                    <w:jc w:val="center"/>
                    <w:rPr>
                      <w:rFonts w:hint="eastAsia"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道路</w:t>
                  </w:r>
                </w:p>
              </w:tc>
              <w:tc>
                <w:tcPr>
                  <w:tcW w:w="2978" w:type="pct"/>
                  <w:tcBorders>
                    <w:tl2br w:val="nil"/>
                    <w:tr2bl w:val="nil"/>
                  </w:tcBorders>
                  <w:noWrap w:val="0"/>
                  <w:vAlign w:val="center"/>
                </w:tcPr>
                <w:p w14:paraId="775750DB">
                  <w:pPr>
                    <w:autoSpaceDE w:val="0"/>
                    <w:autoSpaceDN w:val="0"/>
                    <w:adjustRightInd w:val="0"/>
                    <w:spacing w:line="240" w:lineRule="auto"/>
                    <w:jc w:val="both"/>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厂区内外运输道路</w:t>
                  </w:r>
                </w:p>
              </w:tc>
              <w:tc>
                <w:tcPr>
                  <w:tcW w:w="865" w:type="pct"/>
                  <w:tcBorders>
                    <w:tl2br w:val="nil"/>
                    <w:tr2bl w:val="nil"/>
                  </w:tcBorders>
                  <w:noWrap w:val="0"/>
                  <w:vAlign w:val="center"/>
                </w:tcPr>
                <w:p w14:paraId="0057BB89">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依托现有</w:t>
                  </w:r>
                </w:p>
              </w:tc>
            </w:tr>
            <w:tr w14:paraId="1B92CA3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452" w:type="pct"/>
                  <w:vMerge w:val="restart"/>
                  <w:tcBorders>
                    <w:tl2br w:val="nil"/>
                    <w:tr2bl w:val="nil"/>
                  </w:tcBorders>
                  <w:noWrap w:val="0"/>
                  <w:vAlign w:val="center"/>
                </w:tcPr>
                <w:p w14:paraId="5CCECBBB">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环保工程</w:t>
                  </w:r>
                </w:p>
              </w:tc>
              <w:tc>
                <w:tcPr>
                  <w:tcW w:w="704" w:type="pct"/>
                  <w:tcBorders>
                    <w:tl2br w:val="nil"/>
                    <w:tr2bl w:val="nil"/>
                  </w:tcBorders>
                  <w:noWrap w:val="0"/>
                  <w:vAlign w:val="center"/>
                </w:tcPr>
                <w:p w14:paraId="3F665F0C">
                  <w:pPr>
                    <w:autoSpaceDE w:val="0"/>
                    <w:autoSpaceDN w:val="0"/>
                    <w:adjustRightInd w:val="0"/>
                    <w:spacing w:line="240" w:lineRule="auto"/>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t>大气防治措施</w:t>
                  </w:r>
                </w:p>
              </w:tc>
              <w:tc>
                <w:tcPr>
                  <w:tcW w:w="3843" w:type="pct"/>
                  <w:gridSpan w:val="2"/>
                  <w:tcBorders>
                    <w:tl2br w:val="nil"/>
                    <w:tr2bl w:val="nil"/>
                  </w:tcBorders>
                  <w:shd w:val="clear" w:color="auto" w:fill="auto"/>
                  <w:noWrap w:val="0"/>
                  <w:vAlign w:val="center"/>
                </w:tcPr>
                <w:p w14:paraId="3C26502E">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原料</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装卸</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粉尘，</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装卸过程洒水抑尘，原料库</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全封闭；上料粉尘，上料</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口位于封闭式原料库内</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每条</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石灰石磨粉工序</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（生产线1~生产线4）</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将粉尘引入</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对应的负压收集+</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脉冲</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布袋</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除尘器</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（TA001~TA004）</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处理后经</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各自</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15米高排气筒</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（DA001~DA004）</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排放，除尘效率99%；</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每个</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储粉罐粉尘，经</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各自</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仓顶自带脉冲式滤芯除尘器过滤后顶部排放；车辆运输粉尘，洒水抑尘，车辆减速行驶，原料运输车辆100%苫盖</w:t>
                  </w:r>
                </w:p>
              </w:tc>
            </w:tr>
            <w:tr w14:paraId="25D056D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452" w:type="pct"/>
                  <w:vMerge w:val="continue"/>
                  <w:tcBorders>
                    <w:tl2br w:val="nil"/>
                    <w:tr2bl w:val="nil"/>
                  </w:tcBorders>
                  <w:noWrap w:val="0"/>
                  <w:vAlign w:val="center"/>
                </w:tcPr>
                <w:p w14:paraId="287B619D">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704" w:type="pct"/>
                  <w:tcBorders>
                    <w:tl2br w:val="nil"/>
                    <w:tr2bl w:val="nil"/>
                  </w:tcBorders>
                  <w:shd w:val="clear" w:color="auto" w:fill="auto"/>
                  <w:noWrap w:val="0"/>
                  <w:vAlign w:val="center"/>
                </w:tcPr>
                <w:p w14:paraId="6A5FE5AF">
                  <w:pPr>
                    <w:autoSpaceDE w:val="0"/>
                    <w:autoSpaceDN w:val="0"/>
                    <w:adjustRightInd w:val="0"/>
                    <w:spacing w:line="240" w:lineRule="auto"/>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废水</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防治</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措施</w:t>
                  </w:r>
                </w:p>
              </w:tc>
              <w:tc>
                <w:tcPr>
                  <w:tcW w:w="3843" w:type="pct"/>
                  <w:gridSpan w:val="2"/>
                  <w:tcBorders>
                    <w:tl2br w:val="nil"/>
                    <w:tr2bl w:val="nil"/>
                  </w:tcBorders>
                  <w:shd w:val="clear" w:color="auto" w:fill="auto"/>
                  <w:noWrap w:val="0"/>
                  <w:vAlign w:val="center"/>
                </w:tcPr>
                <w:p w14:paraId="629050FC">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本项目不产生生产废水；</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员工生活污水经化粪池处理满足《污水综合排放标准》（GB</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8978-1996</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）三级标准后，送上都镇生活污水处理厂进行进一步处理</w:t>
                  </w:r>
                </w:p>
              </w:tc>
            </w:tr>
            <w:tr w14:paraId="3059015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452" w:type="pct"/>
                  <w:vMerge w:val="continue"/>
                  <w:tcBorders>
                    <w:tl2br w:val="nil"/>
                    <w:tr2bl w:val="nil"/>
                  </w:tcBorders>
                  <w:noWrap w:val="0"/>
                  <w:vAlign w:val="center"/>
                </w:tcPr>
                <w:p w14:paraId="5A08FA6F">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704" w:type="pct"/>
                  <w:tcBorders>
                    <w:tl2br w:val="nil"/>
                    <w:tr2bl w:val="nil"/>
                  </w:tcBorders>
                  <w:noWrap w:val="0"/>
                  <w:vAlign w:val="center"/>
                </w:tcPr>
                <w:p w14:paraId="319D9E1A">
                  <w:pPr>
                    <w:spacing w:line="360" w:lineRule="exact"/>
                    <w:jc w:val="center"/>
                    <w:textAlignment w:val="baseline"/>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噪声</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防治措施</w:t>
                  </w:r>
                </w:p>
              </w:tc>
              <w:tc>
                <w:tcPr>
                  <w:tcW w:w="3843" w:type="pct"/>
                  <w:gridSpan w:val="2"/>
                  <w:tcBorders>
                    <w:tl2br w:val="nil"/>
                    <w:tr2bl w:val="nil"/>
                  </w:tcBorders>
                  <w:noWrap w:val="0"/>
                  <w:vAlign w:val="center"/>
                </w:tcPr>
                <w:p w14:paraId="4E3E5333">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采用低噪声设备与工艺，</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限制车速</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，加强厂区车辆管理，</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并采取隔声、消音</w:t>
                  </w:r>
                  <w:r>
                    <w:rPr>
                      <w:rFonts w:hint="default" w:ascii="Times New Roman" w:hAnsi="Times New Roman" w:eastAsia="宋体" w:cs="Times New Roman"/>
                      <w:color w:val="000000" w:themeColor="text1"/>
                      <w:sz w:val="21"/>
                      <w:szCs w:val="21"/>
                      <w:highlight w:val="none"/>
                      <w14:textFill>
                        <w14:solidFill>
                          <w14:schemeClr w14:val="tx1"/>
                        </w14:solidFill>
                      </w14:textFill>
                    </w:rPr>
                    <w:t>、</w:t>
                  </w:r>
                  <w:r>
                    <w:rPr>
                      <w:rFonts w:hint="eastAsia" w:ascii="Times New Roman" w:hAnsi="Times New Roman" w:cs="Times New Roman"/>
                      <w:color w:val="000000" w:themeColor="text1"/>
                      <w:sz w:val="21"/>
                      <w:szCs w:val="21"/>
                      <w:highlight w:val="none"/>
                      <w:lang w:eastAsia="zh-CN"/>
                      <w14:textFill>
                        <w14:solidFill>
                          <w14:schemeClr w14:val="tx1"/>
                        </w14:solidFill>
                      </w14:textFill>
                    </w:rPr>
                    <w:t>减振</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等</w:t>
                  </w:r>
                  <w:r>
                    <w:rPr>
                      <w:rFonts w:hint="default" w:ascii="Times New Roman" w:hAnsi="Times New Roman" w:eastAsia="宋体" w:cs="Times New Roman"/>
                      <w:color w:val="000000" w:themeColor="text1"/>
                      <w:sz w:val="21"/>
                      <w:szCs w:val="21"/>
                      <w:highlight w:val="none"/>
                      <w14:textFill>
                        <w14:solidFill>
                          <w14:schemeClr w14:val="tx1"/>
                        </w14:solidFill>
                      </w14:textFill>
                    </w:rPr>
                    <w:t>装置</w:t>
                  </w:r>
                </w:p>
              </w:tc>
            </w:tr>
            <w:tr w14:paraId="4E59796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452" w:type="pct"/>
                  <w:vMerge w:val="continue"/>
                  <w:tcBorders>
                    <w:tl2br w:val="nil"/>
                    <w:tr2bl w:val="nil"/>
                  </w:tcBorders>
                  <w:noWrap w:val="0"/>
                  <w:vAlign w:val="center"/>
                </w:tcPr>
                <w:p w14:paraId="16F8DAB5">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704" w:type="pct"/>
                  <w:tcBorders>
                    <w:tl2br w:val="nil"/>
                    <w:tr2bl w:val="nil"/>
                  </w:tcBorders>
                  <w:noWrap w:val="0"/>
                  <w:vAlign w:val="center"/>
                </w:tcPr>
                <w:p w14:paraId="3C007A64">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t>固废</w:t>
                  </w:r>
                  <w: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t>防治</w:t>
                  </w:r>
                  <w:r>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t>措施</w:t>
                  </w:r>
                </w:p>
              </w:tc>
              <w:tc>
                <w:tcPr>
                  <w:tcW w:w="3843" w:type="pct"/>
                  <w:gridSpan w:val="2"/>
                  <w:tcBorders>
                    <w:tl2br w:val="nil"/>
                    <w:tr2bl w:val="nil"/>
                  </w:tcBorders>
                  <w:noWrap w:val="0"/>
                  <w:vAlign w:val="center"/>
                </w:tcPr>
                <w:p w14:paraId="38A6625B">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生活垃圾</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定期运往正蓝旗</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上都镇生活垃圾填埋场填埋</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处置</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布袋除尘器收集的粉尘</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直接作为产品出售；废布袋收集后交由废品回收站处置</w:t>
                  </w:r>
                </w:p>
              </w:tc>
            </w:tr>
          </w:tbl>
          <w:p w14:paraId="222B16AE">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eastAsia" w:ascii="Times New Roman" w:hAnsi="Times New Roman" w:eastAsia="宋体" w:cs="宋体"/>
                <w:b/>
                <w:color w:val="000000" w:themeColor="text1"/>
                <w:sz w:val="24"/>
                <w:szCs w:val="24"/>
                <w:highlight w:val="none"/>
                <w14:textFill>
                  <w14:solidFill>
                    <w14:schemeClr w14:val="tx1"/>
                  </w14:solidFill>
                </w14:textFill>
              </w:rPr>
            </w:pPr>
            <w:r>
              <w:rPr>
                <w:rFonts w:hint="eastAsia" w:ascii="Times New Roman" w:hAnsi="Times New Roman" w:eastAsia="宋体" w:cs="宋体"/>
                <w:b/>
                <w:color w:val="000000" w:themeColor="text1"/>
                <w:sz w:val="24"/>
                <w:szCs w:val="24"/>
                <w:highlight w:val="none"/>
                <w14:textFill>
                  <w14:solidFill>
                    <w14:schemeClr w14:val="tx1"/>
                  </w14:solidFill>
                </w14:textFill>
              </w:rPr>
              <w:t>表</w:t>
            </w:r>
            <w:r>
              <w:rPr>
                <w:rFonts w:hint="eastAsia" w:ascii="Times New Roman" w:hAnsi="Times New Roman" w:cs="宋体"/>
                <w:b/>
                <w:color w:val="000000" w:themeColor="text1"/>
                <w:sz w:val="24"/>
                <w:szCs w:val="24"/>
                <w:highlight w:val="none"/>
                <w:lang w:val="en-US" w:eastAsia="zh-CN"/>
                <w14:textFill>
                  <w14:solidFill>
                    <w14:schemeClr w14:val="tx1"/>
                  </w14:solidFill>
                </w14:textFill>
              </w:rPr>
              <w:t>2-2</w:t>
            </w:r>
            <w:r>
              <w:rPr>
                <w:rFonts w:hint="eastAsia" w:ascii="Times New Roman" w:hAnsi="Times New Roman" w:eastAsia="宋体" w:cs="宋体"/>
                <w:b/>
                <w:color w:val="000000" w:themeColor="text1"/>
                <w:sz w:val="24"/>
                <w:szCs w:val="24"/>
                <w:highlight w:val="none"/>
                <w14:textFill>
                  <w14:solidFill>
                    <w14:schemeClr w14:val="tx1"/>
                  </w14:solidFill>
                </w14:textFill>
              </w:rPr>
              <w:t xml:space="preserve">  主要设备一览表</w:t>
            </w:r>
          </w:p>
          <w:tbl>
            <w:tblPr>
              <w:tblStyle w:val="24"/>
              <w:tblW w:w="4947" w:type="pct"/>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2410"/>
              <w:gridCol w:w="2909"/>
              <w:gridCol w:w="919"/>
              <w:gridCol w:w="919"/>
            </w:tblGrid>
            <w:tr w14:paraId="1F672EF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534" w:type="pct"/>
                  <w:tcBorders>
                    <w:tl2br w:val="nil"/>
                    <w:tr2bl w:val="nil"/>
                  </w:tcBorders>
                  <w:noWrap w:val="0"/>
                  <w:vAlign w:val="center"/>
                </w:tcPr>
                <w:p w14:paraId="7072C25D">
                  <w:pPr>
                    <w:adjustRightInd w:val="0"/>
                    <w:snapToGrid w:val="0"/>
                    <w:spacing w:line="0" w:lineRule="atLeast"/>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序号</w:t>
                  </w:r>
                </w:p>
              </w:tc>
              <w:tc>
                <w:tcPr>
                  <w:tcW w:w="1503" w:type="pct"/>
                  <w:tcBorders>
                    <w:tl2br w:val="nil"/>
                    <w:tr2bl w:val="nil"/>
                  </w:tcBorders>
                  <w:noWrap w:val="0"/>
                  <w:vAlign w:val="center"/>
                </w:tcPr>
                <w:p w14:paraId="32E4E246">
                  <w:pPr>
                    <w:adjustRightInd w:val="0"/>
                    <w:snapToGrid w:val="0"/>
                    <w:spacing w:line="0" w:lineRule="atLeast"/>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设备名称</w:t>
                  </w:r>
                </w:p>
              </w:tc>
              <w:tc>
                <w:tcPr>
                  <w:tcW w:w="1814" w:type="pct"/>
                  <w:tcBorders>
                    <w:tl2br w:val="nil"/>
                    <w:tr2bl w:val="nil"/>
                  </w:tcBorders>
                  <w:noWrap w:val="0"/>
                  <w:vAlign w:val="center"/>
                </w:tcPr>
                <w:p w14:paraId="04766446">
                  <w:pPr>
                    <w:adjustRightInd w:val="0"/>
                    <w:snapToGrid w:val="0"/>
                    <w:spacing w:line="0" w:lineRule="atLeast"/>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规格型号</w:t>
                  </w:r>
                </w:p>
              </w:tc>
              <w:tc>
                <w:tcPr>
                  <w:tcW w:w="573" w:type="pct"/>
                  <w:tcBorders>
                    <w:tl2br w:val="nil"/>
                    <w:tr2bl w:val="nil"/>
                  </w:tcBorders>
                  <w:noWrap w:val="0"/>
                  <w:vAlign w:val="center"/>
                </w:tcPr>
                <w:p w14:paraId="3D9E28D4">
                  <w:pPr>
                    <w:adjustRightInd w:val="0"/>
                    <w:snapToGrid w:val="0"/>
                    <w:spacing w:line="0" w:lineRule="atLeast"/>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数量</w:t>
                  </w:r>
                </w:p>
              </w:tc>
              <w:tc>
                <w:tcPr>
                  <w:tcW w:w="573" w:type="pct"/>
                  <w:tcBorders>
                    <w:tl2br w:val="nil"/>
                    <w:tr2bl w:val="nil"/>
                  </w:tcBorders>
                  <w:noWrap w:val="0"/>
                  <w:vAlign w:val="center"/>
                </w:tcPr>
                <w:p w14:paraId="681C52C0">
                  <w:pPr>
                    <w:adjustRightInd w:val="0"/>
                    <w:snapToGrid w:val="0"/>
                    <w:spacing w:line="0" w:lineRule="atLeas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cs="宋体"/>
                      <w:color w:val="000000" w:themeColor="text1"/>
                      <w:sz w:val="21"/>
                      <w:szCs w:val="21"/>
                      <w:highlight w:val="none"/>
                      <w:lang w:val="en-US" w:eastAsia="zh-CN"/>
                      <w14:textFill>
                        <w14:solidFill>
                          <w14:schemeClr w14:val="tx1"/>
                        </w14:solidFill>
                      </w14:textFill>
                    </w:rPr>
                    <w:t>备注</w:t>
                  </w:r>
                </w:p>
              </w:tc>
            </w:tr>
            <w:tr w14:paraId="0C288E5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534" w:type="pct"/>
                  <w:tcBorders>
                    <w:tl2br w:val="nil"/>
                    <w:tr2bl w:val="nil"/>
                  </w:tcBorders>
                  <w:noWrap w:val="0"/>
                  <w:vAlign w:val="center"/>
                </w:tcPr>
                <w:p w14:paraId="7AF8881F">
                  <w:pPr>
                    <w:adjustRightInd w:val="0"/>
                    <w:snapToGrid w:val="0"/>
                    <w:spacing w:line="0" w:lineRule="atLeast"/>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1</w:t>
                  </w:r>
                </w:p>
              </w:tc>
              <w:tc>
                <w:tcPr>
                  <w:tcW w:w="1503" w:type="pct"/>
                  <w:tcBorders>
                    <w:tl2br w:val="nil"/>
                    <w:tr2bl w:val="nil"/>
                  </w:tcBorders>
                  <w:shd w:val="clear" w:color="auto" w:fill="auto"/>
                  <w:noWrap w:val="0"/>
                  <w:vAlign w:val="center"/>
                </w:tcPr>
                <w:p w14:paraId="73B5D2F6">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皮带</w:t>
                  </w: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输送机</w:t>
                  </w:r>
                </w:p>
              </w:tc>
              <w:tc>
                <w:tcPr>
                  <w:tcW w:w="1814" w:type="pct"/>
                  <w:tcBorders>
                    <w:tl2br w:val="nil"/>
                    <w:tr2bl w:val="nil"/>
                  </w:tcBorders>
                  <w:shd w:val="clear" w:color="auto" w:fill="auto"/>
                  <w:noWrap w:val="0"/>
                  <w:vAlign w:val="center"/>
                </w:tcPr>
                <w:p w14:paraId="1655408C">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573" w:type="pct"/>
                  <w:tcBorders>
                    <w:tl2br w:val="nil"/>
                    <w:tr2bl w:val="nil"/>
                  </w:tcBorders>
                  <w:shd w:val="clear" w:color="auto" w:fill="auto"/>
                  <w:noWrap w:val="0"/>
                  <w:vAlign w:val="center"/>
                </w:tcPr>
                <w:p w14:paraId="37BD76D5">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4套</w:t>
                  </w:r>
                </w:p>
              </w:tc>
              <w:tc>
                <w:tcPr>
                  <w:tcW w:w="573" w:type="pct"/>
                  <w:tcBorders>
                    <w:tl2br w:val="nil"/>
                    <w:tr2bl w:val="nil"/>
                  </w:tcBorders>
                  <w:shd w:val="clear" w:color="auto" w:fill="auto"/>
                  <w:noWrap w:val="0"/>
                  <w:vAlign w:val="center"/>
                </w:tcPr>
                <w:p w14:paraId="0EFA5DD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p>
              </w:tc>
            </w:tr>
            <w:tr w14:paraId="09BEFF2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534" w:type="pct"/>
                  <w:tcBorders>
                    <w:tl2br w:val="nil"/>
                    <w:tr2bl w:val="nil"/>
                  </w:tcBorders>
                  <w:noWrap w:val="0"/>
                  <w:vAlign w:val="center"/>
                </w:tcPr>
                <w:p w14:paraId="57B6D9C6">
                  <w:pPr>
                    <w:adjustRightInd w:val="0"/>
                    <w:snapToGrid w:val="0"/>
                    <w:spacing w:line="0" w:lineRule="atLeas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2</w:t>
                  </w:r>
                </w:p>
              </w:tc>
              <w:tc>
                <w:tcPr>
                  <w:tcW w:w="1503" w:type="pct"/>
                  <w:tcBorders>
                    <w:tl2br w:val="nil"/>
                    <w:tr2bl w:val="nil"/>
                  </w:tcBorders>
                  <w:shd w:val="clear" w:color="auto" w:fill="auto"/>
                  <w:noWrap w:val="0"/>
                  <w:vAlign w:val="center"/>
                </w:tcPr>
                <w:p w14:paraId="7C471B0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摆式</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磨粉机</w:t>
                  </w:r>
                </w:p>
              </w:tc>
              <w:tc>
                <w:tcPr>
                  <w:tcW w:w="1814" w:type="pct"/>
                  <w:tcBorders>
                    <w:tl2br w:val="nil"/>
                    <w:tr2bl w:val="nil"/>
                  </w:tcBorders>
                  <w:shd w:val="clear" w:color="auto" w:fill="auto"/>
                  <w:noWrap w:val="0"/>
                  <w:vAlign w:val="center"/>
                </w:tcPr>
                <w:p w14:paraId="4B79186C">
                  <w:pPr>
                    <w:jc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GK2150</w:t>
                  </w:r>
                </w:p>
              </w:tc>
              <w:tc>
                <w:tcPr>
                  <w:tcW w:w="573" w:type="pct"/>
                  <w:tcBorders>
                    <w:tl2br w:val="nil"/>
                    <w:tr2bl w:val="nil"/>
                  </w:tcBorders>
                  <w:shd w:val="clear" w:color="auto" w:fill="auto"/>
                  <w:noWrap w:val="0"/>
                  <w:vAlign w:val="center"/>
                </w:tcPr>
                <w:p w14:paraId="5FC5005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4套</w:t>
                  </w:r>
                </w:p>
              </w:tc>
              <w:tc>
                <w:tcPr>
                  <w:tcW w:w="573" w:type="pct"/>
                  <w:tcBorders>
                    <w:tl2br w:val="nil"/>
                    <w:tr2bl w:val="nil"/>
                  </w:tcBorders>
                  <w:shd w:val="clear" w:color="auto" w:fill="auto"/>
                  <w:noWrap w:val="0"/>
                  <w:vAlign w:val="center"/>
                </w:tcPr>
                <w:p w14:paraId="22A1297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p>
              </w:tc>
            </w:tr>
            <w:tr w14:paraId="6C0437B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534" w:type="pct"/>
                  <w:tcBorders>
                    <w:tl2br w:val="nil"/>
                    <w:tr2bl w:val="nil"/>
                  </w:tcBorders>
                  <w:noWrap w:val="0"/>
                  <w:vAlign w:val="center"/>
                </w:tcPr>
                <w:p w14:paraId="262D89C5">
                  <w:pPr>
                    <w:adjustRightInd w:val="0"/>
                    <w:snapToGrid w:val="0"/>
                    <w:spacing w:line="0" w:lineRule="atLeast"/>
                    <w:jc w:val="center"/>
                    <w:rPr>
                      <w:rFonts w:hint="default"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3</w:t>
                  </w:r>
                </w:p>
              </w:tc>
              <w:tc>
                <w:tcPr>
                  <w:tcW w:w="1503" w:type="pct"/>
                  <w:tcBorders>
                    <w:tl2br w:val="nil"/>
                    <w:tr2bl w:val="nil"/>
                  </w:tcBorders>
                  <w:shd w:val="clear" w:color="auto" w:fill="auto"/>
                  <w:noWrap w:val="0"/>
                  <w:vAlign w:val="center"/>
                </w:tcPr>
                <w:p w14:paraId="29B08A7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储料罐</w:t>
                  </w:r>
                </w:p>
              </w:tc>
              <w:tc>
                <w:tcPr>
                  <w:tcW w:w="1814" w:type="pct"/>
                  <w:tcBorders>
                    <w:tl2br w:val="nil"/>
                    <w:tr2bl w:val="nil"/>
                  </w:tcBorders>
                  <w:shd w:val="clear" w:color="auto" w:fill="auto"/>
                  <w:noWrap w:val="0"/>
                  <w:vAlign w:val="center"/>
                </w:tcPr>
                <w:p w14:paraId="509A8901">
                  <w:pPr>
                    <w:jc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p>
              </w:tc>
              <w:tc>
                <w:tcPr>
                  <w:tcW w:w="573" w:type="pct"/>
                  <w:tcBorders>
                    <w:tl2br w:val="nil"/>
                    <w:tr2bl w:val="nil"/>
                  </w:tcBorders>
                  <w:shd w:val="clear" w:color="auto" w:fill="auto"/>
                  <w:noWrap w:val="0"/>
                  <w:vAlign w:val="center"/>
                </w:tcPr>
                <w:p w14:paraId="65C560A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4套</w:t>
                  </w:r>
                </w:p>
              </w:tc>
              <w:tc>
                <w:tcPr>
                  <w:tcW w:w="573" w:type="pct"/>
                  <w:tcBorders>
                    <w:tl2br w:val="nil"/>
                    <w:tr2bl w:val="nil"/>
                  </w:tcBorders>
                  <w:shd w:val="clear" w:color="auto" w:fill="auto"/>
                  <w:noWrap w:val="0"/>
                  <w:vAlign w:val="center"/>
                </w:tcPr>
                <w:p w14:paraId="2D9DDAA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p>
              </w:tc>
            </w:tr>
            <w:tr w14:paraId="18F4299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534" w:type="pct"/>
                  <w:tcBorders>
                    <w:tl2br w:val="nil"/>
                    <w:tr2bl w:val="nil"/>
                  </w:tcBorders>
                  <w:noWrap w:val="0"/>
                  <w:vAlign w:val="center"/>
                </w:tcPr>
                <w:p w14:paraId="006C5C40">
                  <w:pPr>
                    <w:adjustRightInd w:val="0"/>
                    <w:snapToGrid w:val="0"/>
                    <w:spacing w:line="0" w:lineRule="atLeast"/>
                    <w:jc w:val="center"/>
                    <w:rPr>
                      <w:rFonts w:hint="default"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4</w:t>
                  </w:r>
                </w:p>
              </w:tc>
              <w:tc>
                <w:tcPr>
                  <w:tcW w:w="1503" w:type="pct"/>
                  <w:tcBorders>
                    <w:tl2br w:val="nil"/>
                    <w:tr2bl w:val="nil"/>
                  </w:tcBorders>
                  <w:shd w:val="clear" w:color="auto" w:fill="auto"/>
                  <w:noWrap w:val="0"/>
                  <w:vAlign w:val="center"/>
                </w:tcPr>
                <w:p w14:paraId="1493331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变压器</w:t>
                  </w:r>
                </w:p>
              </w:tc>
              <w:tc>
                <w:tcPr>
                  <w:tcW w:w="1814" w:type="pct"/>
                  <w:tcBorders>
                    <w:tl2br w:val="nil"/>
                    <w:tr2bl w:val="nil"/>
                  </w:tcBorders>
                  <w:shd w:val="clear" w:color="auto" w:fill="auto"/>
                  <w:noWrap w:val="0"/>
                  <w:vAlign w:val="center"/>
                </w:tcPr>
                <w:p w14:paraId="3AF615CB">
                  <w:pPr>
                    <w:jc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S18-1600KVA</w:t>
                  </w:r>
                </w:p>
              </w:tc>
              <w:tc>
                <w:tcPr>
                  <w:tcW w:w="573" w:type="pct"/>
                  <w:tcBorders>
                    <w:tl2br w:val="nil"/>
                    <w:tr2bl w:val="nil"/>
                  </w:tcBorders>
                  <w:shd w:val="clear" w:color="auto" w:fill="auto"/>
                  <w:noWrap w:val="0"/>
                  <w:vAlign w:val="center"/>
                </w:tcPr>
                <w:p w14:paraId="2B8A9B0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2台</w:t>
                  </w:r>
                </w:p>
              </w:tc>
              <w:tc>
                <w:tcPr>
                  <w:tcW w:w="573" w:type="pct"/>
                  <w:tcBorders>
                    <w:tl2br w:val="nil"/>
                    <w:tr2bl w:val="nil"/>
                  </w:tcBorders>
                  <w:shd w:val="clear" w:color="auto" w:fill="auto"/>
                  <w:noWrap w:val="0"/>
                  <w:vAlign w:val="center"/>
                </w:tcPr>
                <w:p w14:paraId="435CC2C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p>
              </w:tc>
            </w:tr>
            <w:tr w14:paraId="0A9CE97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34" w:type="pct"/>
                  <w:tcBorders>
                    <w:tl2br w:val="nil"/>
                    <w:tr2bl w:val="nil"/>
                  </w:tcBorders>
                  <w:shd w:val="clear" w:color="auto" w:fill="auto"/>
                  <w:noWrap w:val="0"/>
                  <w:vAlign w:val="center"/>
                </w:tcPr>
                <w:p w14:paraId="1149EE38">
                  <w:pPr>
                    <w:adjustRightInd w:val="0"/>
                    <w:snapToGrid w:val="0"/>
                    <w:spacing w:line="0" w:lineRule="atLeast"/>
                    <w:jc w:val="center"/>
                    <w:rPr>
                      <w:rFonts w:hint="eastAsia" w:ascii="Times New Roman" w:hAnsi="Times New Roman" w:eastAsia="宋体" w:cs="宋体"/>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5</w:t>
                  </w:r>
                </w:p>
              </w:tc>
              <w:tc>
                <w:tcPr>
                  <w:tcW w:w="1503" w:type="pct"/>
                  <w:tcBorders>
                    <w:tl2br w:val="nil"/>
                    <w:tr2bl w:val="nil"/>
                  </w:tcBorders>
                  <w:shd w:val="clear" w:color="auto" w:fill="auto"/>
                  <w:noWrap w:val="0"/>
                  <w:vAlign w:val="center"/>
                </w:tcPr>
                <w:p w14:paraId="6967AF4F">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布袋除尘器</w:t>
                  </w:r>
                </w:p>
              </w:tc>
              <w:tc>
                <w:tcPr>
                  <w:tcW w:w="1814" w:type="pct"/>
                  <w:tcBorders>
                    <w:tl2br w:val="nil"/>
                    <w:tr2bl w:val="nil"/>
                  </w:tcBorders>
                  <w:shd w:val="clear" w:color="auto" w:fill="auto"/>
                  <w:noWrap w:val="0"/>
                  <w:vAlign w:val="center"/>
                </w:tcPr>
                <w:p w14:paraId="04909B44">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573" w:type="pct"/>
                  <w:tcBorders>
                    <w:tl2br w:val="nil"/>
                    <w:tr2bl w:val="nil"/>
                  </w:tcBorders>
                  <w:shd w:val="clear" w:color="auto" w:fill="auto"/>
                  <w:noWrap w:val="0"/>
                  <w:vAlign w:val="center"/>
                </w:tcPr>
                <w:p w14:paraId="7512565D">
                  <w:pPr>
                    <w:keepNext w:val="0"/>
                    <w:keepLines w:val="0"/>
                    <w:widowControl/>
                    <w:suppressLineNumbers w:val="0"/>
                    <w:jc w:val="center"/>
                    <w:textAlignment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4套</w:t>
                  </w:r>
                </w:p>
              </w:tc>
              <w:tc>
                <w:tcPr>
                  <w:tcW w:w="573" w:type="pct"/>
                  <w:tcBorders>
                    <w:tl2br w:val="nil"/>
                    <w:tr2bl w:val="nil"/>
                  </w:tcBorders>
                  <w:shd w:val="clear" w:color="auto" w:fill="auto"/>
                  <w:noWrap w:val="0"/>
                  <w:vAlign w:val="center"/>
                </w:tcPr>
                <w:p w14:paraId="167DFF6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p>
              </w:tc>
            </w:tr>
            <w:tr w14:paraId="1E5D4F0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34" w:type="pct"/>
                  <w:tcBorders>
                    <w:tl2br w:val="nil"/>
                    <w:tr2bl w:val="nil"/>
                  </w:tcBorders>
                  <w:shd w:val="clear" w:color="auto" w:fill="auto"/>
                  <w:noWrap w:val="0"/>
                  <w:vAlign w:val="center"/>
                </w:tcPr>
                <w:p w14:paraId="297B0118">
                  <w:pPr>
                    <w:adjustRightInd w:val="0"/>
                    <w:snapToGrid w:val="0"/>
                    <w:spacing w:line="0" w:lineRule="atLeast"/>
                    <w:jc w:val="center"/>
                    <w:rPr>
                      <w:rFonts w:hint="default"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cs="宋体"/>
                      <w:color w:val="000000" w:themeColor="text1"/>
                      <w:sz w:val="21"/>
                      <w:szCs w:val="21"/>
                      <w:highlight w:val="none"/>
                      <w:lang w:val="en-US" w:eastAsia="zh-CN"/>
                      <w14:textFill>
                        <w14:solidFill>
                          <w14:schemeClr w14:val="tx1"/>
                        </w14:solidFill>
                      </w14:textFill>
                    </w:rPr>
                    <w:t>6</w:t>
                  </w:r>
                </w:p>
              </w:tc>
              <w:tc>
                <w:tcPr>
                  <w:tcW w:w="1503" w:type="pct"/>
                  <w:tcBorders>
                    <w:tl2br w:val="nil"/>
                    <w:tr2bl w:val="nil"/>
                  </w:tcBorders>
                  <w:shd w:val="clear" w:color="auto" w:fill="auto"/>
                  <w:noWrap w:val="0"/>
                  <w:vAlign w:val="center"/>
                </w:tcPr>
                <w:p w14:paraId="6C03506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提升机</w:t>
                  </w:r>
                </w:p>
              </w:tc>
              <w:tc>
                <w:tcPr>
                  <w:tcW w:w="1814" w:type="pct"/>
                  <w:tcBorders>
                    <w:tl2br w:val="nil"/>
                    <w:tr2bl w:val="nil"/>
                  </w:tcBorders>
                  <w:shd w:val="clear" w:color="auto" w:fill="auto"/>
                  <w:noWrap w:val="0"/>
                  <w:vAlign w:val="center"/>
                </w:tcPr>
                <w:p w14:paraId="4D7236E9">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573" w:type="pct"/>
                  <w:tcBorders>
                    <w:tl2br w:val="nil"/>
                    <w:tr2bl w:val="nil"/>
                  </w:tcBorders>
                  <w:shd w:val="clear" w:color="auto" w:fill="auto"/>
                  <w:noWrap w:val="0"/>
                  <w:vAlign w:val="center"/>
                </w:tcPr>
                <w:p w14:paraId="1DEBB4B0">
                  <w:pPr>
                    <w:keepNext w:val="0"/>
                    <w:keepLines w:val="0"/>
                    <w:widowControl/>
                    <w:suppressLineNumbers w:val="0"/>
                    <w:jc w:val="center"/>
                    <w:textAlignment w:val="center"/>
                    <w:rPr>
                      <w:rFonts w:hint="default"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4套</w:t>
                  </w:r>
                </w:p>
              </w:tc>
              <w:tc>
                <w:tcPr>
                  <w:tcW w:w="573" w:type="pct"/>
                  <w:tcBorders>
                    <w:tl2br w:val="nil"/>
                    <w:tr2bl w:val="nil"/>
                  </w:tcBorders>
                  <w:shd w:val="clear" w:color="auto" w:fill="auto"/>
                  <w:noWrap w:val="0"/>
                  <w:vAlign w:val="center"/>
                </w:tcPr>
                <w:p w14:paraId="0A312FC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pPr>
                </w:p>
              </w:tc>
            </w:tr>
          </w:tbl>
          <w:p w14:paraId="3439F92C">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eastAsia" w:ascii="Times New Roman" w:hAnsi="Times New Roman" w:eastAsia="宋体" w:cs="宋体"/>
                <w:b/>
                <w:bCs/>
                <w:color w:val="000000" w:themeColor="text1"/>
                <w:sz w:val="24"/>
                <w:szCs w:val="24"/>
                <w:highlight w:val="none"/>
                <w14:textFill>
                  <w14:solidFill>
                    <w14:schemeClr w14:val="tx1"/>
                  </w14:solidFill>
                </w14:textFill>
              </w:rPr>
            </w:pPr>
            <w:r>
              <w:rPr>
                <w:rFonts w:hint="eastAsia" w:ascii="Times New Roman" w:hAnsi="Times New Roman" w:cs="宋体"/>
                <w:b/>
                <w:bCs/>
                <w:color w:val="000000" w:themeColor="text1"/>
                <w:sz w:val="24"/>
                <w:szCs w:val="24"/>
                <w:highlight w:val="none"/>
                <w:lang w:val="en-US" w:eastAsia="zh-CN"/>
                <w14:textFill>
                  <w14:solidFill>
                    <w14:schemeClr w14:val="tx1"/>
                  </w14:solidFill>
                </w14:textFill>
              </w:rPr>
              <w:t>3.2</w:t>
            </w:r>
            <w:r>
              <w:rPr>
                <w:rFonts w:hint="eastAsia" w:ascii="Times New Roman" w:hAnsi="Times New Roman" w:eastAsia="宋体" w:cs="宋体"/>
                <w:b/>
                <w:bCs/>
                <w:color w:val="000000" w:themeColor="text1"/>
                <w:sz w:val="24"/>
                <w:szCs w:val="24"/>
                <w:highlight w:val="none"/>
                <w14:textFill>
                  <w14:solidFill>
                    <w14:schemeClr w14:val="tx1"/>
                  </w14:solidFill>
                </w14:textFill>
              </w:rPr>
              <w:t>原辅材料消耗</w:t>
            </w:r>
          </w:p>
          <w:p w14:paraId="059BA18F">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color w:val="000000" w:themeColor="text1"/>
                <w:sz w:val="24"/>
                <w:szCs w:val="20"/>
                <w:highlight w:val="none"/>
                <w14:textFill>
                  <w14:solidFill>
                    <w14:schemeClr w14:val="tx1"/>
                  </w14:solidFill>
                </w14:textFill>
              </w:rPr>
            </w:pPr>
            <w:r>
              <w:rPr>
                <w:rFonts w:hint="eastAsia" w:ascii="Times New Roman" w:hAnsi="Times New Roman"/>
                <w:color w:val="000000" w:themeColor="text1"/>
                <w:sz w:val="24"/>
                <w:szCs w:val="20"/>
                <w:highlight w:val="none"/>
                <w:lang w:val="en-US" w:eastAsia="zh-CN"/>
                <w14:textFill>
                  <w14:solidFill>
                    <w14:schemeClr w14:val="tx1"/>
                  </w14:solidFill>
                </w14:textFill>
              </w:rPr>
              <w:t>①</w:t>
            </w:r>
            <w:r>
              <w:rPr>
                <w:rFonts w:hint="eastAsia" w:ascii="Times New Roman" w:hAnsi="Times New Roman"/>
                <w:color w:val="000000" w:themeColor="text1"/>
                <w:sz w:val="24"/>
                <w:szCs w:val="20"/>
                <w:highlight w:val="none"/>
                <w14:textFill>
                  <w14:solidFill>
                    <w14:schemeClr w14:val="tx1"/>
                  </w14:solidFill>
                </w14:textFill>
              </w:rPr>
              <w:t>产品方案</w:t>
            </w:r>
          </w:p>
          <w:p w14:paraId="1FBAE562">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color w:val="000000" w:themeColor="text1"/>
                <w:sz w:val="24"/>
                <w:szCs w:val="20"/>
                <w:highlight w:val="none"/>
                <w14:textFill>
                  <w14:solidFill>
                    <w14:schemeClr w14:val="tx1"/>
                  </w14:solidFill>
                </w14:textFill>
              </w:rPr>
            </w:pPr>
            <w:r>
              <w:rPr>
                <w:rFonts w:hint="eastAsia" w:ascii="Times New Roman" w:hAnsi="Times New Roman"/>
                <w:color w:val="000000" w:themeColor="text1"/>
                <w:sz w:val="24"/>
                <w:szCs w:val="20"/>
                <w:highlight w:val="none"/>
                <w14:textFill>
                  <w14:solidFill>
                    <w14:schemeClr w14:val="tx1"/>
                  </w14:solidFill>
                </w14:textFill>
              </w:rPr>
              <w:t>本项目产品</w:t>
            </w:r>
            <w:r>
              <w:rPr>
                <w:rFonts w:hint="eastAsia" w:ascii="Times New Roman" w:hAnsi="Times New Roman"/>
                <w:color w:val="000000" w:themeColor="text1"/>
                <w:sz w:val="24"/>
                <w:szCs w:val="20"/>
                <w:highlight w:val="none"/>
                <w:lang w:val="en-US" w:eastAsia="zh-CN"/>
                <w14:textFill>
                  <w14:solidFill>
                    <w14:schemeClr w14:val="tx1"/>
                  </w14:solidFill>
                </w14:textFill>
              </w:rPr>
              <w:t>产量见下</w:t>
            </w:r>
            <w:r>
              <w:rPr>
                <w:rFonts w:hint="eastAsia" w:ascii="Times New Roman" w:hAnsi="Times New Roman"/>
                <w:bCs/>
                <w:color w:val="000000" w:themeColor="text1"/>
                <w:sz w:val="24"/>
                <w:highlight w:val="none"/>
                <w14:textFill>
                  <w14:solidFill>
                    <w14:schemeClr w14:val="tx1"/>
                  </w14:solidFill>
                </w14:textFill>
              </w:rPr>
              <w:t>表。</w:t>
            </w:r>
          </w:p>
          <w:p w14:paraId="5DBFD90D">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ascii="Times New Roman" w:hAnsi="Times New Roman"/>
                <w:b/>
                <w:color w:val="000000" w:themeColor="text1"/>
                <w:sz w:val="24"/>
                <w:szCs w:val="20"/>
                <w:highlight w:val="none"/>
                <w14:textFill>
                  <w14:solidFill>
                    <w14:schemeClr w14:val="tx1"/>
                  </w14:solidFill>
                </w14:textFill>
              </w:rPr>
            </w:pPr>
            <w:r>
              <w:rPr>
                <w:rFonts w:ascii="Times New Roman" w:hAnsi="Times New Roman"/>
                <w:b/>
                <w:color w:val="000000" w:themeColor="text1"/>
                <w:sz w:val="24"/>
                <w:szCs w:val="20"/>
                <w:highlight w:val="none"/>
                <w14:textFill>
                  <w14:solidFill>
                    <w14:schemeClr w14:val="tx1"/>
                  </w14:solidFill>
                </w14:textFill>
              </w:rPr>
              <w:t>表</w:t>
            </w:r>
            <w:r>
              <w:rPr>
                <w:rFonts w:hint="eastAsia" w:ascii="Times New Roman" w:hAnsi="Times New Roman"/>
                <w:b/>
                <w:color w:val="000000" w:themeColor="text1"/>
                <w:sz w:val="24"/>
                <w:szCs w:val="20"/>
                <w:highlight w:val="none"/>
                <w:lang w:val="en-US" w:eastAsia="zh-CN"/>
                <w14:textFill>
                  <w14:solidFill>
                    <w14:schemeClr w14:val="tx1"/>
                  </w14:solidFill>
                </w14:textFill>
              </w:rPr>
              <w:t>2-3</w:t>
            </w:r>
            <w:r>
              <w:rPr>
                <w:rFonts w:ascii="Times New Roman" w:hAnsi="Times New Roman"/>
                <w:b/>
                <w:color w:val="000000" w:themeColor="text1"/>
                <w:sz w:val="24"/>
                <w:szCs w:val="20"/>
                <w:highlight w:val="none"/>
                <w14:textFill>
                  <w14:solidFill>
                    <w14:schemeClr w14:val="tx1"/>
                  </w14:solidFill>
                </w14:textFill>
              </w:rPr>
              <w:t xml:space="preserve">  </w:t>
            </w:r>
            <w:r>
              <w:rPr>
                <w:rFonts w:hint="eastAsia" w:ascii="Times New Roman" w:hAnsi="Times New Roman"/>
                <w:b/>
                <w:color w:val="000000" w:themeColor="text1"/>
                <w:sz w:val="24"/>
                <w:szCs w:val="20"/>
                <w:highlight w:val="none"/>
                <w:lang w:val="en-US" w:eastAsia="zh-CN"/>
                <w14:textFill>
                  <w14:solidFill>
                    <w14:schemeClr w14:val="tx1"/>
                  </w14:solidFill>
                </w14:textFill>
              </w:rPr>
              <w:t>产品方案一览</w:t>
            </w:r>
            <w:r>
              <w:rPr>
                <w:rFonts w:ascii="Times New Roman" w:hAnsi="Times New Roman"/>
                <w:b/>
                <w:color w:val="000000" w:themeColor="text1"/>
                <w:sz w:val="24"/>
                <w:szCs w:val="20"/>
                <w:highlight w:val="none"/>
                <w14:textFill>
                  <w14:solidFill>
                    <w14:schemeClr w14:val="tx1"/>
                  </w14:solidFill>
                </w14:textFill>
              </w:rPr>
              <w:t>表</w:t>
            </w:r>
          </w:p>
          <w:tbl>
            <w:tblPr>
              <w:tblStyle w:val="24"/>
              <w:tblW w:w="4995" w:type="pct"/>
              <w:tblInd w:w="0" w:type="dxa"/>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09"/>
              <w:gridCol w:w="1920"/>
              <w:gridCol w:w="1497"/>
              <w:gridCol w:w="1226"/>
              <w:gridCol w:w="2544"/>
            </w:tblGrid>
            <w:tr w14:paraId="773251E8">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67" w:hRule="atLeast"/>
              </w:trPr>
              <w:tc>
                <w:tcPr>
                  <w:tcW w:w="561" w:type="pct"/>
                  <w:tcBorders>
                    <w:tl2br w:val="nil"/>
                    <w:tr2bl w:val="nil"/>
                  </w:tcBorders>
                  <w:noWrap w:val="0"/>
                  <w:vAlign w:val="center"/>
                </w:tcPr>
                <w:p w14:paraId="4BD55EA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bCs/>
                      <w:color w:val="000000" w:themeColor="text1"/>
                      <w:szCs w:val="21"/>
                      <w:highlight w:val="none"/>
                      <w14:textFill>
                        <w14:solidFill>
                          <w14:schemeClr w14:val="tx1"/>
                        </w14:solidFill>
                      </w14:textFill>
                    </w:rPr>
                  </w:pPr>
                  <w:r>
                    <w:rPr>
                      <w:rFonts w:hint="default" w:ascii="Times New Roman" w:hAnsi="Times New Roman" w:cs="Times New Roman"/>
                      <w:b/>
                      <w:bCs/>
                      <w:color w:val="000000" w:themeColor="text1"/>
                      <w:szCs w:val="21"/>
                      <w:highlight w:val="none"/>
                      <w14:textFill>
                        <w14:solidFill>
                          <w14:schemeClr w14:val="tx1"/>
                        </w14:solidFill>
                      </w14:textFill>
                    </w:rPr>
                    <w:t>序号</w:t>
                  </w:r>
                </w:p>
              </w:tc>
              <w:tc>
                <w:tcPr>
                  <w:tcW w:w="1185" w:type="pct"/>
                  <w:tcBorders>
                    <w:tl2br w:val="nil"/>
                    <w:tr2bl w:val="nil"/>
                  </w:tcBorders>
                  <w:noWrap w:val="0"/>
                  <w:vAlign w:val="center"/>
                </w:tcPr>
                <w:p w14:paraId="4F94018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000000" w:themeColor="text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Cs w:val="21"/>
                      <w:highlight w:val="none"/>
                      <w:lang w:val="en-US" w:eastAsia="zh-CN"/>
                      <w14:textFill>
                        <w14:solidFill>
                          <w14:schemeClr w14:val="tx1"/>
                        </w14:solidFill>
                      </w14:textFill>
                    </w:rPr>
                    <w:t>产品名称</w:t>
                  </w:r>
                </w:p>
              </w:tc>
              <w:tc>
                <w:tcPr>
                  <w:tcW w:w="924" w:type="pct"/>
                  <w:tcBorders>
                    <w:tl2br w:val="nil"/>
                    <w:tr2bl w:val="nil"/>
                  </w:tcBorders>
                  <w:noWrap w:val="0"/>
                  <w:vAlign w:val="center"/>
                </w:tcPr>
                <w:p w14:paraId="2850EE6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000000" w:themeColor="text1"/>
                      <w:szCs w:val="21"/>
                      <w:highlight w:val="none"/>
                      <w:lang w:eastAsia="zh-CN"/>
                      <w14:textFill>
                        <w14:solidFill>
                          <w14:schemeClr w14:val="tx1"/>
                        </w14:solidFill>
                      </w14:textFill>
                    </w:rPr>
                  </w:pPr>
                  <w:r>
                    <w:rPr>
                      <w:rFonts w:hint="default" w:ascii="Times New Roman" w:hAnsi="Times New Roman" w:cs="Times New Roman"/>
                      <w:b/>
                      <w:bCs/>
                      <w:color w:val="000000" w:themeColor="text1"/>
                      <w:szCs w:val="21"/>
                      <w:highlight w:val="none"/>
                      <w14:textFill>
                        <w14:solidFill>
                          <w14:schemeClr w14:val="tx1"/>
                        </w14:solidFill>
                      </w14:textFill>
                    </w:rPr>
                    <w:t>年产量</w:t>
                  </w:r>
                </w:p>
              </w:tc>
              <w:tc>
                <w:tcPr>
                  <w:tcW w:w="757" w:type="pct"/>
                  <w:tcBorders>
                    <w:tl2br w:val="nil"/>
                    <w:tr2bl w:val="nil"/>
                  </w:tcBorders>
                  <w:noWrap w:val="0"/>
                  <w:vAlign w:val="center"/>
                </w:tcPr>
                <w:p w14:paraId="7C663590">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b/>
                      <w:bCs/>
                      <w:color w:val="000000" w:themeColor="text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Cs w:val="21"/>
                      <w:highlight w:val="none"/>
                      <w:lang w:val="en-US" w:eastAsia="zh-CN"/>
                      <w14:textFill>
                        <w14:solidFill>
                          <w14:schemeClr w14:val="tx1"/>
                        </w14:solidFill>
                      </w14:textFill>
                    </w:rPr>
                    <w:t>单位</w:t>
                  </w:r>
                </w:p>
              </w:tc>
              <w:tc>
                <w:tcPr>
                  <w:tcW w:w="1570" w:type="pct"/>
                  <w:tcBorders>
                    <w:tl2br w:val="nil"/>
                    <w:tr2bl w:val="nil"/>
                  </w:tcBorders>
                  <w:noWrap w:val="0"/>
                  <w:vAlign w:val="center"/>
                </w:tcPr>
                <w:p w14:paraId="5C9C473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bCs/>
                      <w:color w:val="000000" w:themeColor="text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Cs w:val="21"/>
                      <w:highlight w:val="none"/>
                      <w:lang w:val="en-US" w:eastAsia="zh-CN"/>
                      <w14:textFill>
                        <w14:solidFill>
                          <w14:schemeClr w14:val="tx1"/>
                        </w14:solidFill>
                      </w14:textFill>
                    </w:rPr>
                    <w:t>包装</w:t>
                  </w:r>
                </w:p>
              </w:tc>
            </w:tr>
            <w:tr w14:paraId="5BE9FCC4">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77" w:hRule="atLeast"/>
              </w:trPr>
              <w:tc>
                <w:tcPr>
                  <w:tcW w:w="561" w:type="pct"/>
                  <w:tcBorders>
                    <w:tl2br w:val="nil"/>
                    <w:tr2bl w:val="nil"/>
                  </w:tcBorders>
                  <w:noWrap w:val="0"/>
                  <w:vAlign w:val="center"/>
                </w:tcPr>
                <w:p w14:paraId="3881967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cs="Times New Roman"/>
                      <w:color w:val="000000" w:themeColor="text1"/>
                      <w:szCs w:val="21"/>
                      <w:highlight w:val="none"/>
                      <w:lang w:val="en-US" w:eastAsia="zh-CN"/>
                      <w14:textFill>
                        <w14:solidFill>
                          <w14:schemeClr w14:val="tx1"/>
                        </w14:solidFill>
                      </w14:textFill>
                    </w:rPr>
                    <w:t>1</w:t>
                  </w:r>
                </w:p>
              </w:tc>
              <w:tc>
                <w:tcPr>
                  <w:tcW w:w="1185" w:type="pct"/>
                  <w:tcBorders>
                    <w:tl2br w:val="nil"/>
                    <w:tr2bl w:val="nil"/>
                  </w:tcBorders>
                  <w:noWrap w:val="0"/>
                  <w:vAlign w:val="center"/>
                </w:tcPr>
                <w:p w14:paraId="5CA14C3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color w:val="000000" w:themeColor="text1"/>
                      <w:szCs w:val="21"/>
                      <w:highlight w:val="none"/>
                      <w:lang w:val="en-US" w:eastAsia="zh-CN"/>
                      <w14:textFill>
                        <w14:solidFill>
                          <w14:schemeClr w14:val="tx1"/>
                        </w14:solidFill>
                      </w14:textFill>
                    </w:rPr>
                  </w:pPr>
                  <w:r>
                    <w:rPr>
                      <w:rFonts w:hint="eastAsia" w:ascii="Times New Roman" w:hAnsi="Times New Roman" w:cs="Times New Roman"/>
                      <w:color w:val="000000" w:themeColor="text1"/>
                      <w:kern w:val="2"/>
                      <w:sz w:val="21"/>
                      <w:szCs w:val="21"/>
                      <w:highlight w:val="none"/>
                      <w:lang w:val="en-US" w:eastAsia="zh-CN"/>
                      <w14:textFill>
                        <w14:solidFill>
                          <w14:schemeClr w14:val="tx1"/>
                        </w14:solidFill>
                      </w14:textFill>
                    </w:rPr>
                    <w:t>250目石灰石粉</w:t>
                  </w:r>
                </w:p>
              </w:tc>
              <w:tc>
                <w:tcPr>
                  <w:tcW w:w="924" w:type="pct"/>
                  <w:tcBorders>
                    <w:tl2br w:val="nil"/>
                    <w:tr2bl w:val="nil"/>
                  </w:tcBorders>
                  <w:noWrap w:val="0"/>
                  <w:vAlign w:val="center"/>
                </w:tcPr>
                <w:p w14:paraId="3C8DFF1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300000</w:t>
                  </w:r>
                </w:p>
              </w:tc>
              <w:tc>
                <w:tcPr>
                  <w:tcW w:w="757" w:type="pct"/>
                  <w:tcBorders>
                    <w:tl2br w:val="nil"/>
                    <w:tr2bl w:val="nil"/>
                  </w:tcBorders>
                  <w:noWrap w:val="0"/>
                  <w:vAlign w:val="center"/>
                </w:tcPr>
                <w:p w14:paraId="634AD4D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t/a</w:t>
                  </w:r>
                </w:p>
              </w:tc>
              <w:tc>
                <w:tcPr>
                  <w:tcW w:w="1570" w:type="pct"/>
                  <w:tcBorders>
                    <w:tl2br w:val="nil"/>
                    <w:tr2bl w:val="nil"/>
                  </w:tcBorders>
                  <w:noWrap w:val="0"/>
                  <w:vAlign w:val="center"/>
                </w:tcPr>
                <w:p w14:paraId="63BB21C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储罐</w:t>
                  </w:r>
                </w:p>
              </w:tc>
            </w:tr>
          </w:tbl>
          <w:p w14:paraId="343764C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both"/>
              <w:textAlignment w:val="auto"/>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cs="宋体"/>
                <w:color w:val="000000" w:themeColor="text1"/>
                <w:sz w:val="24"/>
                <w:szCs w:val="24"/>
                <w:highlight w:val="none"/>
                <w:lang w:val="en-US" w:eastAsia="zh-CN"/>
                <w14:textFill>
                  <w14:solidFill>
                    <w14:schemeClr w14:val="tx1"/>
                  </w14:solidFill>
                </w14:textFill>
              </w:rPr>
              <w:t>②原辅材料</w:t>
            </w:r>
          </w:p>
          <w:p w14:paraId="6A86721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both"/>
              <w:textAlignment w:val="auto"/>
              <w:rPr>
                <w:rFonts w:hint="eastAsia" w:ascii="Times New Roman" w:hAnsi="Times New Roman" w:eastAsia="宋体" w:cs="宋体"/>
                <w:b/>
                <w:bCs/>
                <w:color w:val="000000" w:themeColor="text1"/>
                <w:sz w:val="24"/>
                <w:szCs w:val="24"/>
                <w:highlight w:val="none"/>
                <w:lang w:eastAsia="zh-CN"/>
                <w14:textFill>
                  <w14:solidFill>
                    <w14:schemeClr w14:val="tx1"/>
                  </w14:solidFill>
                </w14:textFill>
              </w:rPr>
            </w:pPr>
            <w:r>
              <w:rPr>
                <w:rFonts w:hint="eastAsia" w:ascii="Times New Roman" w:hAnsi="Times New Roman" w:eastAsia="宋体" w:cs="宋体"/>
                <w:color w:val="000000" w:themeColor="text1"/>
                <w:sz w:val="24"/>
                <w:szCs w:val="24"/>
                <w:highlight w:val="none"/>
                <w14:textFill>
                  <w14:solidFill>
                    <w14:schemeClr w14:val="tx1"/>
                  </w14:solidFill>
                </w14:textFill>
              </w:rPr>
              <w:t>本项目原辅材料消耗详</w:t>
            </w:r>
            <w:r>
              <w:rPr>
                <w:rFonts w:hint="eastAsia" w:ascii="Times New Roman" w:hAnsi="Times New Roman" w:cs="宋体"/>
                <w:color w:val="000000" w:themeColor="text1"/>
                <w:sz w:val="24"/>
                <w:szCs w:val="24"/>
                <w:highlight w:val="none"/>
                <w:lang w:eastAsia="zh-CN"/>
                <w14:textFill>
                  <w14:solidFill>
                    <w14:schemeClr w14:val="tx1"/>
                  </w14:solidFill>
                </w14:textFill>
              </w:rPr>
              <w:t>见下</w:t>
            </w:r>
            <w:r>
              <w:rPr>
                <w:rFonts w:hint="eastAsia" w:ascii="Times New Roman" w:hAnsi="Times New Roman" w:eastAsia="宋体" w:cs="宋体"/>
                <w:color w:val="000000" w:themeColor="text1"/>
                <w:sz w:val="24"/>
                <w:szCs w:val="24"/>
                <w:highlight w:val="none"/>
                <w14:textFill>
                  <w14:solidFill>
                    <w14:schemeClr w14:val="tx1"/>
                  </w14:solidFill>
                </w14:textFill>
              </w:rPr>
              <w:t>表。</w:t>
            </w:r>
          </w:p>
          <w:p w14:paraId="589B7D74">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eastAsia="宋体" w:cs="宋体"/>
                <w:b/>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宋体"/>
                <w:b/>
                <w:bCs/>
                <w:color w:val="000000" w:themeColor="text1"/>
                <w:sz w:val="24"/>
                <w:szCs w:val="24"/>
                <w:highlight w:val="none"/>
                <w:lang w:eastAsia="zh-CN"/>
                <w14:textFill>
                  <w14:solidFill>
                    <w14:schemeClr w14:val="tx1"/>
                  </w14:solidFill>
                </w14:textFill>
              </w:rPr>
              <w:t>表</w:t>
            </w:r>
            <w:r>
              <w:rPr>
                <w:rFonts w:hint="eastAsia" w:ascii="Times New Roman" w:hAnsi="Times New Roman" w:cs="宋体"/>
                <w:b/>
                <w:bCs/>
                <w:color w:val="000000" w:themeColor="text1"/>
                <w:sz w:val="24"/>
                <w:szCs w:val="24"/>
                <w:highlight w:val="none"/>
                <w:lang w:val="en-US" w:eastAsia="zh-CN"/>
                <w14:textFill>
                  <w14:solidFill>
                    <w14:schemeClr w14:val="tx1"/>
                  </w14:solidFill>
                </w14:textFill>
              </w:rPr>
              <w:t>2-4</w:t>
            </w:r>
            <w:r>
              <w:rPr>
                <w:rFonts w:hint="eastAsia" w:ascii="Times New Roman" w:hAnsi="Times New Roman"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Times New Roman" w:hAnsi="Times New Roman" w:cs="宋体"/>
                <w:b/>
                <w:bCs/>
                <w:color w:val="000000" w:themeColor="text1"/>
                <w:sz w:val="24"/>
                <w:szCs w:val="24"/>
                <w:highlight w:val="none"/>
                <w:lang w:val="en-US" w:eastAsia="zh-CN"/>
                <w14:textFill>
                  <w14:solidFill>
                    <w14:schemeClr w14:val="tx1"/>
                  </w14:solidFill>
                </w14:textFill>
              </w:rPr>
              <w:t xml:space="preserve"> </w:t>
            </w:r>
            <w:r>
              <w:rPr>
                <w:rFonts w:hint="eastAsia" w:ascii="Times New Roman" w:hAnsi="Times New Roman" w:eastAsia="宋体" w:cs="宋体"/>
                <w:b/>
                <w:bCs/>
                <w:color w:val="000000" w:themeColor="text1"/>
                <w:sz w:val="24"/>
                <w:szCs w:val="24"/>
                <w:highlight w:val="none"/>
                <w:lang w:val="en-US" w:eastAsia="zh-CN"/>
                <w14:textFill>
                  <w14:solidFill>
                    <w14:schemeClr w14:val="tx1"/>
                  </w14:solidFill>
                </w14:textFill>
              </w:rPr>
              <w:t>项目主要原辅材料一览表</w:t>
            </w:r>
          </w:p>
          <w:tbl>
            <w:tblPr>
              <w:tblStyle w:val="24"/>
              <w:tblW w:w="8302" w:type="dxa"/>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9"/>
              <w:gridCol w:w="1229"/>
              <w:gridCol w:w="686"/>
              <w:gridCol w:w="990"/>
              <w:gridCol w:w="768"/>
              <w:gridCol w:w="2360"/>
              <w:gridCol w:w="616"/>
              <w:gridCol w:w="1044"/>
            </w:tblGrid>
            <w:tr w14:paraId="3B3531E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366" w:type="pct"/>
                  <w:tcBorders>
                    <w:tl2br w:val="nil"/>
                    <w:tr2bl w:val="nil"/>
                  </w:tcBorders>
                  <w:noWrap w:val="0"/>
                  <w:vAlign w:val="center"/>
                </w:tcPr>
                <w:p w14:paraId="4FCFCD0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序号</w:t>
                  </w:r>
                </w:p>
              </w:tc>
              <w:tc>
                <w:tcPr>
                  <w:tcW w:w="740" w:type="pct"/>
                  <w:tcBorders>
                    <w:tl2br w:val="nil"/>
                    <w:tr2bl w:val="nil"/>
                  </w:tcBorders>
                  <w:noWrap w:val="0"/>
                  <w:vAlign w:val="center"/>
                </w:tcPr>
                <w:p w14:paraId="1214DF1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名称</w:t>
                  </w:r>
                </w:p>
              </w:tc>
              <w:tc>
                <w:tcPr>
                  <w:tcW w:w="413" w:type="pct"/>
                  <w:tcBorders>
                    <w:tl2br w:val="nil"/>
                    <w:tr2bl w:val="nil"/>
                  </w:tcBorders>
                  <w:shd w:val="clear" w:color="auto" w:fill="auto"/>
                  <w:noWrap w:val="0"/>
                  <w:vAlign w:val="center"/>
                </w:tcPr>
                <w:p w14:paraId="1A63AA39">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单位</w:t>
                  </w:r>
                </w:p>
              </w:tc>
              <w:tc>
                <w:tcPr>
                  <w:tcW w:w="596" w:type="pct"/>
                  <w:tcBorders>
                    <w:tl2br w:val="nil"/>
                    <w:tr2bl w:val="nil"/>
                  </w:tcBorders>
                  <w:noWrap w:val="0"/>
                  <w:vAlign w:val="center"/>
                </w:tcPr>
                <w:p w14:paraId="08656D8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用量</w:t>
                  </w:r>
                </w:p>
              </w:tc>
              <w:tc>
                <w:tcPr>
                  <w:tcW w:w="462" w:type="pct"/>
                  <w:tcBorders>
                    <w:tl2br w:val="nil"/>
                    <w:tr2bl w:val="nil"/>
                  </w:tcBorders>
                  <w:noWrap w:val="0"/>
                  <w:vAlign w:val="center"/>
                </w:tcPr>
                <w:p w14:paraId="7F09603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形态</w:t>
                  </w:r>
                </w:p>
              </w:tc>
              <w:tc>
                <w:tcPr>
                  <w:tcW w:w="1421" w:type="pct"/>
                  <w:tcBorders>
                    <w:tl2br w:val="nil"/>
                    <w:tr2bl w:val="nil"/>
                  </w:tcBorders>
                  <w:noWrap w:val="0"/>
                  <w:vAlign w:val="center"/>
                </w:tcPr>
                <w:p w14:paraId="78A83BD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来源</w:t>
                  </w:r>
                </w:p>
              </w:tc>
              <w:tc>
                <w:tcPr>
                  <w:tcW w:w="370" w:type="pct"/>
                  <w:tcBorders>
                    <w:tl2br w:val="nil"/>
                    <w:tr2bl w:val="nil"/>
                  </w:tcBorders>
                  <w:noWrap w:val="0"/>
                  <w:vAlign w:val="center"/>
                </w:tcPr>
                <w:p w14:paraId="48C26ADD">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运输</w:t>
                  </w:r>
                </w:p>
              </w:tc>
              <w:tc>
                <w:tcPr>
                  <w:tcW w:w="628" w:type="pct"/>
                  <w:tcBorders>
                    <w:tl2br w:val="nil"/>
                    <w:tr2bl w:val="nil"/>
                  </w:tcBorders>
                  <w:noWrap w:val="0"/>
                  <w:vAlign w:val="center"/>
                </w:tcPr>
                <w:p w14:paraId="55E7507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备注</w:t>
                  </w:r>
                </w:p>
              </w:tc>
            </w:tr>
            <w:tr w14:paraId="237847C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366" w:type="pct"/>
                  <w:tcBorders>
                    <w:tl2br w:val="nil"/>
                    <w:tr2bl w:val="nil"/>
                  </w:tcBorders>
                  <w:noWrap w:val="0"/>
                  <w:vAlign w:val="center"/>
                </w:tcPr>
                <w:p w14:paraId="2C8DD5B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1</w:t>
                  </w:r>
                </w:p>
              </w:tc>
              <w:tc>
                <w:tcPr>
                  <w:tcW w:w="740" w:type="pct"/>
                  <w:tcBorders>
                    <w:tl2br w:val="nil"/>
                    <w:tr2bl w:val="nil"/>
                  </w:tcBorders>
                  <w:noWrap w:val="0"/>
                  <w:vAlign w:val="center"/>
                </w:tcPr>
                <w:p w14:paraId="4D5F4F9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石灰石料（0.1—1.2mm）</w:t>
                  </w:r>
                </w:p>
              </w:tc>
              <w:tc>
                <w:tcPr>
                  <w:tcW w:w="413" w:type="pct"/>
                  <w:tcBorders>
                    <w:tl2br w:val="nil"/>
                    <w:tr2bl w:val="nil"/>
                  </w:tcBorders>
                  <w:shd w:val="clear" w:color="auto" w:fill="auto"/>
                  <w:noWrap w:val="0"/>
                  <w:vAlign w:val="center"/>
                </w:tcPr>
                <w:p w14:paraId="5139E7A1">
                  <w:pPr>
                    <w:adjustRightInd w:val="0"/>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t/a</w:t>
                  </w:r>
                </w:p>
              </w:tc>
              <w:tc>
                <w:tcPr>
                  <w:tcW w:w="596" w:type="pct"/>
                  <w:tcBorders>
                    <w:tl2br w:val="nil"/>
                    <w:tr2bl w:val="nil"/>
                  </w:tcBorders>
                  <w:noWrap w:val="0"/>
                  <w:vAlign w:val="center"/>
                </w:tcPr>
                <w:p w14:paraId="1AC2B47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lang w:val="en-US"/>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300150</w:t>
                  </w:r>
                </w:p>
              </w:tc>
              <w:tc>
                <w:tcPr>
                  <w:tcW w:w="462" w:type="pct"/>
                  <w:tcBorders>
                    <w:tl2br w:val="nil"/>
                    <w:tr2bl w:val="nil"/>
                  </w:tcBorders>
                  <w:noWrap w:val="0"/>
                  <w:vAlign w:val="center"/>
                </w:tcPr>
                <w:p w14:paraId="1E1288AC">
                  <w:pPr>
                    <w:widowControl/>
                    <w:adjustRightInd w:val="0"/>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固态</w:t>
                  </w:r>
                </w:p>
              </w:tc>
              <w:tc>
                <w:tcPr>
                  <w:tcW w:w="1421" w:type="pct"/>
                  <w:tcBorders>
                    <w:tl2br w:val="nil"/>
                    <w:tr2bl w:val="nil"/>
                  </w:tcBorders>
                  <w:noWrap w:val="0"/>
                  <w:vAlign w:val="center"/>
                </w:tcPr>
                <w:p w14:paraId="63DEC57C">
                  <w:pPr>
                    <w:widowControl/>
                    <w:adjustRightInd w:val="0"/>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外购正蓝旗上都华欣能源有限公司和克什克腾旗雪岩矿山有限责任公司，西乌珠穆沁旗众合矿业有限责任公司</w:t>
                  </w:r>
                </w:p>
              </w:tc>
              <w:tc>
                <w:tcPr>
                  <w:tcW w:w="370" w:type="pct"/>
                  <w:tcBorders>
                    <w:tl2br w:val="nil"/>
                    <w:tr2bl w:val="nil"/>
                  </w:tcBorders>
                  <w:noWrap w:val="0"/>
                  <w:vAlign w:val="center"/>
                </w:tcPr>
                <w:p w14:paraId="6E419B8A">
                  <w:pPr>
                    <w:widowControl/>
                    <w:adjustRightInd w:val="0"/>
                    <w:snapToGrid w:val="0"/>
                    <w:jc w:val="center"/>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汽运</w:t>
                  </w:r>
                </w:p>
              </w:tc>
              <w:tc>
                <w:tcPr>
                  <w:tcW w:w="628" w:type="pct"/>
                  <w:tcBorders>
                    <w:tl2br w:val="nil"/>
                    <w:tr2bl w:val="nil"/>
                  </w:tcBorders>
                  <w:noWrap w:val="0"/>
                  <w:vAlign w:val="center"/>
                </w:tcPr>
                <w:p w14:paraId="02CF7C8B">
                  <w:pPr>
                    <w:widowControl/>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按产品产率99.95计</w:t>
                  </w:r>
                </w:p>
              </w:tc>
            </w:tr>
          </w:tbl>
          <w:p w14:paraId="468AC24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both"/>
              <w:textAlignment w:val="auto"/>
              <w:rPr>
                <w:rFonts w:hint="default" w:ascii="Times New Roman" w:hAnsi="Times New Roman"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项目所用石灰石原料全部外购于</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正蓝旗上都华欣能源有限公司</w:t>
            </w:r>
            <w:r>
              <w:rPr>
                <w:rFonts w:hint="eastAsia" w:ascii="Times New Roman" w:hAnsi="Times New Roman" w:cs="宋体"/>
                <w:color w:val="000000" w:themeColor="text1"/>
                <w:sz w:val="24"/>
                <w:szCs w:val="24"/>
                <w:highlight w:val="none"/>
                <w:lang w:val="en-US" w:eastAsia="zh-CN"/>
                <w14:textFill>
                  <w14:solidFill>
                    <w14:schemeClr w14:val="tx1"/>
                  </w14:solidFill>
                </w14:textFill>
              </w:rPr>
              <w:t>（公司于2024年10月停产，停产前剩余已生产的原料）、克什克腾旗雪岩矿山有限责任公司及西乌珠穆沁旗众合矿业有限责任公司，都是</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合法合规的石灰石矿山企业，自采矿山原料来源稳定、合法，不涉及非法开采或生态破坏问题。</w:t>
            </w:r>
            <w:r>
              <w:rPr>
                <w:rFonts w:hint="eastAsia" w:ascii="Times New Roman" w:hAnsi="Times New Roman" w:cs="宋体"/>
                <w:color w:val="000000" w:themeColor="text1"/>
                <w:sz w:val="24"/>
                <w:szCs w:val="24"/>
                <w:highlight w:val="none"/>
                <w:lang w:val="en-US" w:eastAsia="zh-CN"/>
                <w14:textFill>
                  <w14:solidFill>
                    <w14:schemeClr w14:val="tx1"/>
                  </w14:solidFill>
                </w14:textFill>
              </w:rPr>
              <w:t>原料运输采用汽运方式，运输车辆100%苫盖，符合环保运输要求。</w:t>
            </w:r>
          </w:p>
          <w:p w14:paraId="05EE8F8E">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eastAsia="宋体" w:cs="宋体"/>
                <w:b/>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宋体"/>
                <w:b/>
                <w:bCs/>
                <w:color w:val="000000" w:themeColor="text1"/>
                <w:sz w:val="24"/>
                <w:szCs w:val="24"/>
                <w:highlight w:val="none"/>
                <w:lang w:eastAsia="zh-CN"/>
                <w14:textFill>
                  <w14:solidFill>
                    <w14:schemeClr w14:val="tx1"/>
                  </w14:solidFill>
                </w14:textFill>
              </w:rPr>
              <w:t>表</w:t>
            </w:r>
            <w:r>
              <w:rPr>
                <w:rFonts w:hint="eastAsia" w:ascii="Times New Roman" w:hAnsi="Times New Roman" w:cs="宋体"/>
                <w:b/>
                <w:bCs/>
                <w:color w:val="000000" w:themeColor="text1"/>
                <w:sz w:val="24"/>
                <w:szCs w:val="24"/>
                <w:highlight w:val="none"/>
                <w:lang w:val="en-US" w:eastAsia="zh-CN"/>
                <w14:textFill>
                  <w14:solidFill>
                    <w14:schemeClr w14:val="tx1"/>
                  </w14:solidFill>
                </w14:textFill>
              </w:rPr>
              <w:t>2-5</w:t>
            </w:r>
            <w:r>
              <w:rPr>
                <w:rFonts w:hint="eastAsia" w:ascii="Times New Roman" w:hAnsi="Times New Roman" w:eastAsia="宋体" w:cs="宋体"/>
                <w:b/>
                <w:bCs/>
                <w:color w:val="000000" w:themeColor="text1"/>
                <w:sz w:val="24"/>
                <w:szCs w:val="24"/>
                <w:highlight w:val="none"/>
                <w:lang w:val="en-US" w:eastAsia="zh-CN"/>
                <w14:textFill>
                  <w14:solidFill>
                    <w14:schemeClr w14:val="tx1"/>
                  </w14:solidFill>
                </w14:textFill>
              </w:rPr>
              <w:t xml:space="preserve"> </w:t>
            </w:r>
            <w:r>
              <w:rPr>
                <w:rFonts w:hint="eastAsia" w:ascii="Times New Roman" w:hAnsi="Times New Roman" w:cs="宋体"/>
                <w:b/>
                <w:bCs/>
                <w:color w:val="000000" w:themeColor="text1"/>
                <w:sz w:val="24"/>
                <w:szCs w:val="24"/>
                <w:highlight w:val="none"/>
                <w:lang w:val="en-US" w:eastAsia="zh-CN"/>
                <w14:textFill>
                  <w14:solidFill>
                    <w14:schemeClr w14:val="tx1"/>
                  </w14:solidFill>
                </w14:textFill>
              </w:rPr>
              <w:t xml:space="preserve"> </w:t>
            </w:r>
            <w:r>
              <w:rPr>
                <w:rFonts w:hint="eastAsia" w:ascii="Times New Roman" w:hAnsi="Times New Roman" w:eastAsia="宋体" w:cs="宋体"/>
                <w:b/>
                <w:bCs/>
                <w:color w:val="000000" w:themeColor="text1"/>
                <w:sz w:val="24"/>
                <w:szCs w:val="24"/>
                <w:highlight w:val="none"/>
                <w:lang w:val="en-US" w:eastAsia="zh-CN"/>
                <w14:textFill>
                  <w14:solidFill>
                    <w14:schemeClr w14:val="tx1"/>
                  </w14:solidFill>
                </w14:textFill>
              </w:rPr>
              <w:t>原辅材料</w:t>
            </w:r>
            <w:r>
              <w:rPr>
                <w:rFonts w:hint="eastAsia" w:ascii="Times New Roman" w:hAnsi="Times New Roman" w:cs="宋体"/>
                <w:b/>
                <w:bCs/>
                <w:color w:val="000000" w:themeColor="text1"/>
                <w:sz w:val="24"/>
                <w:szCs w:val="24"/>
                <w:highlight w:val="none"/>
                <w:lang w:val="en-US" w:eastAsia="zh-CN"/>
                <w14:textFill>
                  <w14:solidFill>
                    <w14:schemeClr w14:val="tx1"/>
                  </w14:solidFill>
                </w14:textFill>
              </w:rPr>
              <w:t>理化性质</w:t>
            </w:r>
            <w:r>
              <w:rPr>
                <w:rFonts w:hint="eastAsia" w:ascii="Times New Roman" w:hAnsi="Times New Roman" w:eastAsia="宋体" w:cs="宋体"/>
                <w:b/>
                <w:bCs/>
                <w:color w:val="000000" w:themeColor="text1"/>
                <w:sz w:val="24"/>
                <w:szCs w:val="24"/>
                <w:highlight w:val="none"/>
                <w:lang w:val="en-US" w:eastAsia="zh-CN"/>
                <w14:textFill>
                  <w14:solidFill>
                    <w14:schemeClr w14:val="tx1"/>
                  </w14:solidFill>
                </w14:textFill>
              </w:rPr>
              <w:t>一览表</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4"/>
              <w:gridCol w:w="6292"/>
            </w:tblGrid>
            <w:tr w14:paraId="094B0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844" w:type="dxa"/>
                  <w:tcBorders>
                    <w:top w:val="single" w:color="auto" w:sz="12" w:space="0"/>
                  </w:tcBorders>
                  <w:vAlign w:val="center"/>
                </w:tcPr>
                <w:p w14:paraId="61D1AC1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名称</w:t>
                  </w:r>
                </w:p>
              </w:tc>
              <w:tc>
                <w:tcPr>
                  <w:tcW w:w="6292" w:type="dxa"/>
                  <w:tcBorders>
                    <w:top w:val="single" w:color="auto" w:sz="12" w:space="0"/>
                  </w:tcBorders>
                  <w:vAlign w:val="center"/>
                </w:tcPr>
                <w:p w14:paraId="1202D99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理化性质</w:t>
                  </w:r>
                </w:p>
              </w:tc>
            </w:tr>
            <w:tr w14:paraId="1AB77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8" w:hRule="atLeast"/>
              </w:trPr>
              <w:tc>
                <w:tcPr>
                  <w:tcW w:w="1844" w:type="dxa"/>
                  <w:tcBorders>
                    <w:bottom w:val="single" w:color="auto" w:sz="12" w:space="0"/>
                  </w:tcBorders>
                  <w:vAlign w:val="center"/>
                </w:tcPr>
                <w:p w14:paraId="57CD463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石灰石</w:t>
                  </w:r>
                </w:p>
              </w:tc>
              <w:tc>
                <w:tcPr>
                  <w:tcW w:w="6292" w:type="dxa"/>
                  <w:tcBorders>
                    <w:bottom w:val="single" w:color="auto" w:sz="12" w:space="0"/>
                  </w:tcBorders>
                  <w:vAlign w:val="center"/>
                </w:tcPr>
                <w:p w14:paraId="31E9ED67">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别名氧化钙。物理性质是表面白色粉末，不纯者为灰白色，含有杂质时至淡黄色或灰色，具有吸湿性。溶于酸类、甘油和蔗糖溶液，几乎不溶于乙醇。有腐蚀性。相对密度3.32~3.35。熔点2572°C。沸点2850°C。折光率1.838.</w:t>
                  </w:r>
                </w:p>
              </w:tc>
            </w:tr>
          </w:tbl>
          <w:p w14:paraId="5A3DA688">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eastAsia" w:ascii="Times New Roman" w:hAnsi="Times New Roman" w:eastAsia="宋体" w:cs="宋体"/>
                <w:b/>
                <w:bCs/>
                <w:color w:val="000000" w:themeColor="text1"/>
                <w:sz w:val="24"/>
                <w:szCs w:val="24"/>
                <w:highlight w:val="none"/>
                <w14:textFill>
                  <w14:solidFill>
                    <w14:schemeClr w14:val="tx1"/>
                  </w14:solidFill>
                </w14:textFill>
              </w:rPr>
            </w:pPr>
            <w:r>
              <w:rPr>
                <w:rFonts w:hint="eastAsia" w:ascii="Times New Roman" w:hAnsi="Times New Roman" w:cs="宋体"/>
                <w:b/>
                <w:bCs/>
                <w:color w:val="000000" w:themeColor="text1"/>
                <w:sz w:val="24"/>
                <w:szCs w:val="24"/>
                <w:highlight w:val="none"/>
                <w:lang w:val="en-US" w:eastAsia="zh-CN"/>
                <w14:textFill>
                  <w14:solidFill>
                    <w14:schemeClr w14:val="tx1"/>
                  </w14:solidFill>
                </w14:textFill>
              </w:rPr>
              <w:t>4、</w:t>
            </w:r>
            <w:r>
              <w:rPr>
                <w:rFonts w:hint="eastAsia" w:ascii="Times New Roman" w:hAnsi="Times New Roman" w:eastAsia="宋体" w:cs="宋体"/>
                <w:b/>
                <w:bCs/>
                <w:color w:val="000000" w:themeColor="text1"/>
                <w:sz w:val="24"/>
                <w:szCs w:val="24"/>
                <w:highlight w:val="none"/>
                <w14:textFill>
                  <w14:solidFill>
                    <w14:schemeClr w14:val="tx1"/>
                  </w14:solidFill>
                </w14:textFill>
              </w:rPr>
              <w:t>公用工程</w:t>
            </w:r>
          </w:p>
          <w:p w14:paraId="7E8E398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14:textFill>
                  <w14:solidFill>
                    <w14:schemeClr w14:val="tx1"/>
                  </w14:solidFill>
                </w14:textFill>
              </w:rPr>
            </w:pPr>
            <w:r>
              <w:rPr>
                <w:rFonts w:hint="eastAsia" w:ascii="Times New Roman" w:hAnsi="Times New Roman" w:eastAsia="宋体" w:cs="宋体"/>
                <w:color w:val="000000" w:themeColor="text1"/>
                <w:sz w:val="24"/>
                <w:szCs w:val="24"/>
                <w:highlight w:val="none"/>
                <w14:textFill>
                  <w14:solidFill>
                    <w14:schemeClr w14:val="tx1"/>
                  </w14:solidFill>
                </w14:textFill>
              </w:rPr>
              <w:t>①供电</w:t>
            </w:r>
          </w:p>
          <w:p w14:paraId="28E997E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shd w:val="clear" w:fill="000000"/>
                <w14:textFill>
                  <w14:solidFill>
                    <w14:schemeClr w14:val="tx1"/>
                  </w14:solidFill>
                </w14:textFill>
              </w:rPr>
            </w:pP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本项目</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依托正蓝旗上都华欣能源有限责任公司</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供电系统供电</w:t>
            </w:r>
            <w:r>
              <w:rPr>
                <w:rFonts w:hint="eastAsia" w:ascii="Times New Roman" w:hAnsi="Times New Roman" w:eastAsia="宋体" w:cs="宋体"/>
                <w:color w:val="000000" w:themeColor="text1"/>
                <w:sz w:val="24"/>
                <w:szCs w:val="24"/>
                <w:highlight w:val="none"/>
                <w14:textFill>
                  <w14:solidFill>
                    <w14:schemeClr w14:val="tx1"/>
                  </w14:solidFill>
                </w14:textFill>
              </w:rPr>
              <w:t>，可满足</w:t>
            </w:r>
            <w:r>
              <w:rPr>
                <w:rFonts w:hint="eastAsia" w:ascii="Times New Roman" w:hAnsi="Times New Roman" w:cs="宋体"/>
                <w:color w:val="000000" w:themeColor="text1"/>
                <w:sz w:val="24"/>
                <w:szCs w:val="24"/>
                <w:highlight w:val="none"/>
                <w:lang w:val="en-US" w:eastAsia="zh-CN"/>
                <w14:textFill>
                  <w14:solidFill>
                    <w14:schemeClr w14:val="tx1"/>
                  </w14:solidFill>
                </w14:textFill>
              </w:rPr>
              <w:t>厂</w:t>
            </w:r>
            <w:r>
              <w:rPr>
                <w:rFonts w:hint="eastAsia" w:ascii="Times New Roman" w:hAnsi="Times New Roman" w:eastAsia="宋体" w:cs="宋体"/>
                <w:color w:val="000000" w:themeColor="text1"/>
                <w:sz w:val="24"/>
                <w:szCs w:val="24"/>
                <w:highlight w:val="none"/>
                <w14:textFill>
                  <w14:solidFill>
                    <w14:schemeClr w14:val="tx1"/>
                  </w14:solidFill>
                </w14:textFill>
              </w:rPr>
              <w:t>区内生产及生活用电，可满足用电负荷及对供电可靠性的要求。</w:t>
            </w:r>
          </w:p>
          <w:p w14:paraId="4B7CB6B2">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szCs w:val="24"/>
                <w:highlight w:val="none"/>
                <w14:textFill>
                  <w14:solidFill>
                    <w14:schemeClr w14:val="tx1"/>
                  </w14:solidFill>
                </w14:textFill>
              </w:rPr>
              <w:t>②</w:t>
            </w:r>
            <w:r>
              <w:rPr>
                <w:rFonts w:hint="eastAsia" w:ascii="Times New Roman" w:hAnsi="Times New Roman" w:cs="宋体"/>
                <w:color w:val="000000" w:themeColor="text1"/>
                <w:sz w:val="24"/>
                <w:szCs w:val="24"/>
                <w:highlight w:val="none"/>
                <w:lang w:val="en-US" w:eastAsia="zh-CN"/>
                <w14:textFill>
                  <w14:solidFill>
                    <w14:schemeClr w14:val="tx1"/>
                  </w14:solidFill>
                </w14:textFill>
              </w:rPr>
              <w:t>给水</w:t>
            </w:r>
          </w:p>
          <w:p w14:paraId="2FC6D1A2">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default" w:ascii="Times New Roman" w:hAnsi="Times New Roman"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cs="宋体"/>
                <w:color w:val="000000" w:themeColor="text1"/>
                <w:sz w:val="24"/>
                <w:szCs w:val="24"/>
                <w:highlight w:val="none"/>
                <w:lang w:val="en-US" w:eastAsia="zh-CN"/>
                <w14:textFill>
                  <w14:solidFill>
                    <w14:schemeClr w14:val="tx1"/>
                  </w14:solidFill>
                </w14:textFill>
              </w:rPr>
              <w:t>（1）生活用水</w:t>
            </w:r>
          </w:p>
          <w:p w14:paraId="70F019B1">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default" w:ascii="Times New Roman" w:hAnsi="Times New Roman"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本项目主要为生活用水，</w:t>
            </w:r>
            <w:r>
              <w:rPr>
                <w:rFonts w:hint="eastAsia" w:ascii="Times New Roman" w:hAnsi="Times New Roman" w:cs="宋体"/>
                <w:color w:val="000000" w:themeColor="text1"/>
                <w:sz w:val="24"/>
                <w:szCs w:val="24"/>
                <w:highlight w:val="none"/>
                <w:lang w:val="en-US" w:eastAsia="zh-CN"/>
                <w14:textFill>
                  <w14:solidFill>
                    <w14:schemeClr w14:val="tx1"/>
                  </w14:solidFill>
                </w14:textFill>
              </w:rPr>
              <w:t>职工</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生活用水为外购桶装水。</w:t>
            </w:r>
          </w:p>
          <w:p w14:paraId="7DB8382D">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default" w:ascii="Times New Roman" w:hAnsi="Times New Roman" w:eastAsia="宋体" w:cs="宋体"/>
                <w:color w:val="000000" w:themeColor="text1"/>
                <w:sz w:val="24"/>
                <w:szCs w:val="24"/>
                <w:highlight w:val="yellow"/>
                <w:lang w:val="en-US" w:eastAsia="zh-CN"/>
                <w14:textFill>
                  <w14:solidFill>
                    <w14:schemeClr w14:val="tx1"/>
                  </w14:solidFill>
                </w14:textFill>
              </w:rPr>
            </w:pP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根据《内蒙古自治区</w:t>
            </w:r>
            <w:r>
              <w:rPr>
                <w:rFonts w:hint="eastAsia" w:ascii="Times New Roman" w:hAnsi="Times New Roman" w:cs="宋体"/>
                <w:color w:val="000000" w:themeColor="text1"/>
                <w:sz w:val="24"/>
                <w:szCs w:val="24"/>
                <w:highlight w:val="none"/>
                <w:lang w:val="en-US" w:eastAsia="zh-CN"/>
                <w14:textFill>
                  <w14:solidFill>
                    <w14:schemeClr w14:val="tx1"/>
                  </w14:solidFill>
                </w14:textFill>
              </w:rPr>
              <w:t>地方标准</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行业用水定额》（DB15/T385-202</w:t>
            </w:r>
            <w:r>
              <w:rPr>
                <w:rFonts w:hint="eastAsia" w:ascii="Times New Roman" w:hAnsi="Times New Roman" w:cs="宋体"/>
                <w:color w:val="000000" w:themeColor="text1"/>
                <w:sz w:val="24"/>
                <w:szCs w:val="24"/>
                <w:highlight w:val="none"/>
                <w:lang w:val="en-US" w:eastAsia="zh-CN"/>
                <w14:textFill>
                  <w14:solidFill>
                    <w14:schemeClr w14:val="tx1"/>
                  </w14:solidFill>
                </w14:textFill>
              </w:rPr>
              <w:t>5</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），农村生活居民用水定额为60L/人·d，</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项目年生产</w:t>
            </w:r>
            <w:r>
              <w:rPr>
                <w:rFonts w:hint="eastAsia" w:ascii="Times New Roman" w:hAnsi="Times New Roman" w:cs="宋体"/>
                <w:color w:val="000000" w:themeColor="text1"/>
                <w:sz w:val="24"/>
                <w:szCs w:val="24"/>
                <w:highlight w:val="none"/>
                <w:lang w:val="en-US" w:eastAsia="zh-CN"/>
                <w14:textFill>
                  <w14:solidFill>
                    <w14:schemeClr w14:val="tx1"/>
                  </w14:solidFill>
                </w14:textFill>
              </w:rPr>
              <w:t>300</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天，</w:t>
            </w:r>
            <w:r>
              <w:rPr>
                <w:rFonts w:hint="eastAsia" w:ascii="Times New Roman" w:hAnsi="Times New Roman" w:eastAsia="宋体" w:cs="宋体"/>
                <w:color w:val="000000" w:themeColor="text1"/>
                <w:sz w:val="24"/>
                <w:szCs w:val="24"/>
                <w:highlight w:val="none"/>
                <w14:textFill>
                  <w14:solidFill>
                    <w14:schemeClr w14:val="tx1"/>
                  </w14:solidFill>
                </w14:textFill>
              </w:rPr>
              <w:t>职工人数</w:t>
            </w:r>
            <w:r>
              <w:rPr>
                <w:rFonts w:hint="eastAsia" w:ascii="Times New Roman" w:hAnsi="Times New Roman" w:cs="宋体"/>
                <w:color w:val="000000" w:themeColor="text1"/>
                <w:sz w:val="24"/>
                <w:szCs w:val="24"/>
                <w:highlight w:val="none"/>
                <w:lang w:val="en-US" w:eastAsia="zh-CN"/>
                <w14:textFill>
                  <w14:solidFill>
                    <w14:schemeClr w14:val="tx1"/>
                  </w14:solidFill>
                </w14:textFill>
              </w:rPr>
              <w:t>4</w:t>
            </w:r>
            <w:r>
              <w:rPr>
                <w:rFonts w:hint="eastAsia" w:ascii="Times New Roman" w:hAnsi="Times New Roman" w:eastAsia="宋体" w:cs="宋体"/>
                <w:color w:val="000000" w:themeColor="text1"/>
                <w:sz w:val="24"/>
                <w:szCs w:val="24"/>
                <w:highlight w:val="none"/>
                <w14:textFill>
                  <w14:solidFill>
                    <w14:schemeClr w14:val="tx1"/>
                  </w14:solidFill>
                </w14:textFill>
              </w:rPr>
              <w:t>人，经计算可知</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生活用水量</w:t>
            </w:r>
            <w:r>
              <w:rPr>
                <w:rFonts w:hint="eastAsia" w:ascii="Times New Roman" w:hAnsi="Times New Roman" w:eastAsia="宋体" w:cs="宋体"/>
                <w:color w:val="000000" w:themeColor="text1"/>
                <w:sz w:val="24"/>
                <w:szCs w:val="24"/>
                <w:highlight w:val="none"/>
                <w14:textFill>
                  <w14:solidFill>
                    <w14:schemeClr w14:val="tx1"/>
                  </w14:solidFill>
                </w14:textFill>
              </w:rPr>
              <w:t>为</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0.</w:t>
            </w:r>
            <w:r>
              <w:rPr>
                <w:rFonts w:hint="eastAsia" w:ascii="Times New Roman" w:hAnsi="Times New Roman" w:cs="宋体"/>
                <w:color w:val="000000" w:themeColor="text1"/>
                <w:sz w:val="24"/>
                <w:szCs w:val="24"/>
                <w:highlight w:val="none"/>
                <w:lang w:val="en-US" w:eastAsia="zh-CN"/>
                <w14:textFill>
                  <w14:solidFill>
                    <w14:schemeClr w14:val="tx1"/>
                  </w14:solidFill>
                </w14:textFill>
              </w:rPr>
              <w:t>24</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t/d，</w:t>
            </w:r>
            <w:r>
              <w:rPr>
                <w:rFonts w:hint="eastAsia" w:ascii="Times New Roman" w:hAnsi="Times New Roman" w:cs="宋体"/>
                <w:color w:val="000000" w:themeColor="text1"/>
                <w:sz w:val="24"/>
                <w:szCs w:val="24"/>
                <w:highlight w:val="none"/>
                <w:lang w:val="en-US" w:eastAsia="zh-CN"/>
                <w14:textFill>
                  <w14:solidFill>
                    <w14:schemeClr w14:val="tx1"/>
                  </w14:solidFill>
                </w14:textFill>
              </w:rPr>
              <w:t>72</w:t>
            </w:r>
            <w:r>
              <w:rPr>
                <w:rFonts w:hint="eastAsia" w:ascii="Times New Roman" w:hAnsi="Times New Roman" w:eastAsia="宋体" w:cs="宋体"/>
                <w:color w:val="000000" w:themeColor="text1"/>
                <w:sz w:val="24"/>
                <w:szCs w:val="24"/>
                <w:highlight w:val="none"/>
                <w14:textFill>
                  <w14:solidFill>
                    <w14:schemeClr w14:val="tx1"/>
                  </w14:solidFill>
                </w14:textFill>
              </w:rPr>
              <w:t>m</w:t>
            </w:r>
            <w:r>
              <w:rPr>
                <w:rFonts w:hint="eastAsia" w:ascii="Times New Roman" w:hAnsi="Times New Roman" w:eastAsia="宋体" w:cs="宋体"/>
                <w:color w:val="000000" w:themeColor="text1"/>
                <w:sz w:val="24"/>
                <w:szCs w:val="24"/>
                <w:highlight w:val="none"/>
                <w:vertAlign w:val="superscript"/>
                <w14:textFill>
                  <w14:solidFill>
                    <w14:schemeClr w14:val="tx1"/>
                  </w14:solidFill>
                </w14:textFill>
              </w:rPr>
              <w:t>3</w:t>
            </w:r>
            <w:r>
              <w:rPr>
                <w:rFonts w:hint="eastAsia" w:ascii="Times New Roman" w:hAnsi="Times New Roman" w:eastAsia="宋体" w:cs="宋体"/>
                <w:color w:val="000000" w:themeColor="text1"/>
                <w:sz w:val="24"/>
                <w:szCs w:val="24"/>
                <w:highlight w:val="none"/>
                <w14:textFill>
                  <w14:solidFill>
                    <w14:schemeClr w14:val="tx1"/>
                  </w14:solidFill>
                </w14:textFill>
              </w:rPr>
              <w:t>/a</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w:t>
            </w:r>
          </w:p>
          <w:p w14:paraId="5CCFB60A">
            <w:pPr>
              <w:keepNext w:val="0"/>
              <w:keepLines w:val="0"/>
              <w:pageBreakBefore w:val="0"/>
              <w:widowControl w:val="0"/>
              <w:numPr>
                <w:ilvl w:val="0"/>
                <w:numId w:val="0"/>
              </w:numPr>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宋体"/>
                <w:color w:val="000000" w:themeColor="text1"/>
                <w:sz w:val="24"/>
                <w:szCs w:val="24"/>
                <w:highlight w:val="none"/>
                <w:lang w:val="en-US" w:eastAsia="zh-CN"/>
                <w14:textFill>
                  <w14:solidFill>
                    <w14:schemeClr w14:val="tx1"/>
                  </w14:solidFill>
                </w14:textFill>
              </w:rPr>
            </w:pPr>
            <w:r>
              <w:rPr>
                <w:rFonts w:hint="eastAsia" w:ascii="Times New Roman" w:hAnsi="Times New Roman" w:cs="宋体"/>
                <w:color w:val="000000" w:themeColor="text1"/>
                <w:sz w:val="24"/>
                <w:szCs w:val="24"/>
                <w:highlight w:val="none"/>
                <w:lang w:eastAsia="zh-CN"/>
                <w14:textFill>
                  <w14:solidFill>
                    <w14:schemeClr w14:val="tx1"/>
                  </w14:solidFill>
                </w14:textFill>
              </w:rPr>
              <w:t>（</w:t>
            </w:r>
            <w:r>
              <w:rPr>
                <w:rFonts w:hint="eastAsia" w:ascii="Times New Roman" w:hAnsi="Times New Roman" w:cs="宋体"/>
                <w:color w:val="000000" w:themeColor="text1"/>
                <w:sz w:val="24"/>
                <w:szCs w:val="24"/>
                <w:highlight w:val="none"/>
                <w:lang w:val="en-US" w:eastAsia="zh-CN"/>
                <w14:textFill>
                  <w14:solidFill>
                    <w14:schemeClr w14:val="tx1"/>
                  </w14:solidFill>
                </w14:textFill>
              </w:rPr>
              <w:t>2</w:t>
            </w:r>
            <w:r>
              <w:rPr>
                <w:rFonts w:hint="eastAsia" w:ascii="Times New Roman" w:hAnsi="Times New Roman" w:cs="宋体"/>
                <w:color w:val="000000" w:themeColor="text1"/>
                <w:sz w:val="24"/>
                <w:szCs w:val="24"/>
                <w:highlight w:val="none"/>
                <w:lang w:eastAsia="zh-CN"/>
                <w14:textFill>
                  <w14:solidFill>
                    <w14:schemeClr w14:val="tx1"/>
                  </w14:solidFill>
                </w14:textFill>
              </w:rPr>
              <w:t>）</w:t>
            </w:r>
            <w:r>
              <w:rPr>
                <w:rFonts w:hint="eastAsia" w:ascii="Times New Roman" w:hAnsi="Times New Roman" w:cs="宋体"/>
                <w:color w:val="000000" w:themeColor="text1"/>
                <w:sz w:val="24"/>
                <w:szCs w:val="24"/>
                <w:highlight w:val="none"/>
                <w:lang w:val="en-US" w:eastAsia="zh-CN"/>
                <w14:textFill>
                  <w14:solidFill>
                    <w14:schemeClr w14:val="tx1"/>
                  </w14:solidFill>
                </w14:textFill>
              </w:rPr>
              <w:t>生产用水</w:t>
            </w:r>
          </w:p>
          <w:p w14:paraId="6465A612">
            <w:pPr>
              <w:keepNext w:val="0"/>
              <w:keepLines w:val="0"/>
              <w:pageBreakBefore w:val="0"/>
              <w:widowControl w:val="0"/>
              <w:numPr>
                <w:ilvl w:val="0"/>
                <w:numId w:val="0"/>
              </w:numPr>
              <w:kinsoku/>
              <w:wordWrap/>
              <w:overflowPunct/>
              <w:topLinePunct w:val="0"/>
              <w:autoSpaceDE/>
              <w:autoSpaceDN/>
              <w:bidi w:val="0"/>
              <w:adjustRightInd w:val="0"/>
              <w:snapToGrid w:val="0"/>
              <w:spacing w:beforeLines="0" w:line="360" w:lineRule="auto"/>
              <w:ind w:firstLine="480" w:firstLineChars="200"/>
              <w:textAlignment w:val="auto"/>
              <w:rPr>
                <w:rFonts w:hint="eastAsia" w:ascii="Times New Roman" w:hAnsi="Times New Roman" w:cs="宋体"/>
                <w:color w:val="000000" w:themeColor="text1"/>
                <w:sz w:val="24"/>
                <w:szCs w:val="24"/>
                <w:highlight w:val="none"/>
                <w:lang w:val="en-US" w:eastAsia="zh-CN"/>
                <w14:textFill>
                  <w14:solidFill>
                    <w14:schemeClr w14:val="tx1"/>
                  </w14:solidFill>
                </w14:textFill>
              </w:rPr>
            </w:pPr>
            <w:r>
              <w:rPr>
                <w:rFonts w:hint="eastAsia" w:ascii="Times New Roman" w:hAnsi="Times New Roman" w:cs="宋体"/>
                <w:color w:val="000000" w:themeColor="text1"/>
                <w:sz w:val="24"/>
                <w:szCs w:val="24"/>
                <w:highlight w:val="none"/>
                <w:lang w:val="en-US" w:eastAsia="zh-CN"/>
                <w14:textFill>
                  <w14:solidFill>
                    <w14:schemeClr w14:val="tx1"/>
                  </w14:solidFill>
                </w14:textFill>
              </w:rPr>
              <w:t>生产用水主要是厂区洒水抑尘及原料装卸过程洒水抑尘等，生产用水外购污水处理厂中水。</w:t>
            </w:r>
          </w:p>
          <w:p w14:paraId="4B3FD852">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宋体"/>
                <w:color w:val="000000" w:themeColor="text1"/>
                <w:sz w:val="24"/>
                <w:szCs w:val="24"/>
                <w:highlight w:val="none"/>
                <w:lang w:val="en-US" w:eastAsia="zh-CN"/>
                <w14:textFill>
                  <w14:solidFill>
                    <w14:schemeClr w14:val="tx1"/>
                  </w14:solidFill>
                </w14:textFill>
              </w:rPr>
            </w:pPr>
            <w:r>
              <w:rPr>
                <w:rFonts w:hint="eastAsia" w:ascii="Times New Roman" w:hAnsi="Times New Roman" w:cs="宋体"/>
                <w:color w:val="000000" w:themeColor="text1"/>
                <w:sz w:val="24"/>
                <w:szCs w:val="24"/>
                <w:highlight w:val="none"/>
                <w:lang w:val="en-US" w:eastAsia="zh-CN"/>
                <w14:textFill>
                  <w14:solidFill>
                    <w14:schemeClr w14:val="tx1"/>
                  </w14:solidFill>
                </w14:textFill>
              </w:rPr>
              <w:t>原料装卸过程</w:t>
            </w:r>
            <w:r>
              <w:rPr>
                <w:rFonts w:hint="eastAsia" w:ascii="Times New Roman" w:hAnsi="Times New Roman" w:eastAsia="宋体" w:cs="宋体"/>
                <w:color w:val="000000" w:themeColor="text1"/>
                <w:sz w:val="24"/>
                <w:szCs w:val="24"/>
                <w:highlight w:val="none"/>
                <w14:textFill>
                  <w14:solidFill>
                    <w14:schemeClr w14:val="tx1"/>
                  </w14:solidFill>
                </w14:textFill>
              </w:rPr>
              <w:t>抑尘用水</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根据建设单位提供设计资料，石灰石上料抑尘用水量为</w:t>
            </w:r>
            <w:r>
              <w:rPr>
                <w:rFonts w:hint="eastAsia" w:ascii="Times New Roman" w:hAnsi="Times New Roman" w:cs="宋体"/>
                <w:color w:val="000000" w:themeColor="text1"/>
                <w:sz w:val="24"/>
                <w:szCs w:val="24"/>
                <w:highlight w:val="none"/>
                <w:lang w:val="en-US" w:eastAsia="zh-CN"/>
                <w14:textFill>
                  <w14:solidFill>
                    <w14:schemeClr w14:val="tx1"/>
                  </w14:solidFill>
                </w14:textFill>
              </w:rPr>
              <w:t>1</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m</w:t>
            </w:r>
            <w:r>
              <w:rPr>
                <w:rFonts w:hint="eastAsia" w:ascii="Times New Roman" w:hAnsi="Times New Roman" w:eastAsia="宋体" w:cs="宋体"/>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/d、</w:t>
            </w:r>
            <w:r>
              <w:rPr>
                <w:rFonts w:hint="eastAsia" w:ascii="Times New Roman" w:hAnsi="Times New Roman" w:cs="宋体"/>
                <w:color w:val="000000" w:themeColor="text1"/>
                <w:sz w:val="24"/>
                <w:szCs w:val="24"/>
                <w:highlight w:val="none"/>
                <w:lang w:val="en-US" w:eastAsia="zh-CN"/>
                <w14:textFill>
                  <w14:solidFill>
                    <w14:schemeClr w14:val="tx1"/>
                  </w14:solidFill>
                </w14:textFill>
              </w:rPr>
              <w:t>30</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0m</w:t>
            </w:r>
            <w:r>
              <w:rPr>
                <w:rFonts w:hint="eastAsia" w:ascii="Times New Roman" w:hAnsi="Times New Roman" w:eastAsia="宋体" w:cs="宋体"/>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/a，石灰石上料抑尘用水全部蒸发损耗，无废水产生。</w:t>
            </w:r>
          </w:p>
          <w:p w14:paraId="39A14E13">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14:textFill>
                  <w14:solidFill>
                    <w14:schemeClr w14:val="tx1"/>
                  </w14:solidFill>
                </w14:textFill>
              </w:rPr>
            </w:pPr>
            <w:r>
              <w:rPr>
                <w:rFonts w:hint="eastAsia" w:ascii="Times New Roman" w:hAnsi="Times New Roman" w:eastAsia="宋体" w:cs="宋体"/>
                <w:color w:val="000000" w:themeColor="text1"/>
                <w:sz w:val="24"/>
                <w:szCs w:val="24"/>
                <w:highlight w:val="none"/>
                <w14:textFill>
                  <w14:solidFill>
                    <w14:schemeClr w14:val="tx1"/>
                  </w14:solidFill>
                </w14:textFill>
              </w:rPr>
              <w:t>厂区</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洒水</w:t>
            </w:r>
            <w:r>
              <w:rPr>
                <w:rFonts w:hint="eastAsia" w:ascii="Times New Roman" w:hAnsi="Times New Roman" w:eastAsia="宋体" w:cs="宋体"/>
                <w:color w:val="000000" w:themeColor="text1"/>
                <w:sz w:val="24"/>
                <w:szCs w:val="24"/>
                <w:highlight w:val="none"/>
                <w14:textFill>
                  <w14:solidFill>
                    <w14:schemeClr w14:val="tx1"/>
                  </w14:solidFill>
                </w14:textFill>
              </w:rPr>
              <w:t>抑尘用水</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s="宋体"/>
                <w:color w:val="000000" w:themeColor="text1"/>
                <w:sz w:val="24"/>
                <w:szCs w:val="24"/>
                <w:highlight w:val="none"/>
                <w14:textFill>
                  <w14:solidFill>
                    <w14:schemeClr w14:val="tx1"/>
                  </w14:solidFill>
                </w14:textFill>
              </w:rPr>
              <w:t>厂区硬化路面定期洒水抑尘，根据</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《内蒙古自治区地方标准行业用水定额》（DB15/T385-2025），</w:t>
            </w:r>
            <w:r>
              <w:rPr>
                <w:rFonts w:hint="eastAsia" w:ascii="Times New Roman" w:hAnsi="Times New Roman" w:eastAsia="宋体" w:cs="宋体"/>
                <w:color w:val="000000" w:themeColor="text1"/>
                <w:sz w:val="24"/>
                <w:szCs w:val="24"/>
                <w:highlight w:val="none"/>
                <w14:textFill>
                  <w14:solidFill>
                    <w14:schemeClr w14:val="tx1"/>
                  </w14:solidFill>
                </w14:textFill>
              </w:rPr>
              <w:t>场地、道路喷洒用水量为1.5L/(m</w:t>
            </w:r>
            <w:r>
              <w:rPr>
                <w:rFonts w:hint="eastAsia" w:ascii="Times New Roman" w:hAnsi="Times New Roman" w:eastAsia="宋体" w:cs="宋体"/>
                <w:color w:val="000000" w:themeColor="text1"/>
                <w:sz w:val="24"/>
                <w:szCs w:val="24"/>
                <w:highlight w:val="none"/>
                <w:vertAlign w:val="superscript"/>
                <w14:textFill>
                  <w14:solidFill>
                    <w14:schemeClr w14:val="tx1"/>
                  </w14:solidFill>
                </w14:textFill>
              </w:rPr>
              <w:t>2</w:t>
            </w:r>
            <w:r>
              <w:rPr>
                <w:rFonts w:hint="eastAsia" w:ascii="Times New Roman" w:hAnsi="Times New Roman" w:eastAsia="宋体" w:cs="宋体"/>
                <w:color w:val="000000" w:themeColor="text1"/>
                <w:sz w:val="24"/>
                <w:szCs w:val="24"/>
                <w:highlight w:val="none"/>
                <w14:textFill>
                  <w14:solidFill>
                    <w14:schemeClr w14:val="tx1"/>
                  </w14:solidFill>
                </w14:textFill>
              </w:rPr>
              <w:t>·d</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s="宋体"/>
                <w:color w:val="000000" w:themeColor="text1"/>
                <w:sz w:val="24"/>
                <w:szCs w:val="24"/>
                <w:highlight w:val="none"/>
                <w14:textFill>
                  <w14:solidFill>
                    <w14:schemeClr w14:val="tx1"/>
                  </w14:solidFill>
                </w14:textFill>
              </w:rPr>
              <w:t>，厂区硬化面积约1</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5</w:t>
            </w:r>
            <w:r>
              <w:rPr>
                <w:rFonts w:hint="eastAsia" w:ascii="Times New Roman" w:hAnsi="Times New Roman" w:eastAsia="宋体" w:cs="宋体"/>
                <w:color w:val="000000" w:themeColor="text1"/>
                <w:sz w:val="24"/>
                <w:szCs w:val="24"/>
                <w:highlight w:val="none"/>
                <w14:textFill>
                  <w14:solidFill>
                    <w14:schemeClr w14:val="tx1"/>
                  </w14:solidFill>
                </w14:textFill>
              </w:rPr>
              <w:t>00m</w:t>
            </w:r>
            <w:r>
              <w:rPr>
                <w:rFonts w:hint="eastAsia" w:ascii="Times New Roman" w:hAnsi="Times New Roman" w:eastAsia="宋体" w:cs="宋体"/>
                <w:color w:val="000000" w:themeColor="text1"/>
                <w:sz w:val="24"/>
                <w:szCs w:val="24"/>
                <w:highlight w:val="none"/>
                <w:vertAlign w:val="superscript"/>
                <w14:textFill>
                  <w14:solidFill>
                    <w14:schemeClr w14:val="tx1"/>
                  </w14:solidFill>
                </w14:textFill>
              </w:rPr>
              <w:t>2</w:t>
            </w:r>
            <w:r>
              <w:rPr>
                <w:rFonts w:hint="eastAsia" w:ascii="Times New Roman" w:hAnsi="Times New Roman" w:eastAsia="宋体" w:cs="宋体"/>
                <w:color w:val="000000" w:themeColor="text1"/>
                <w:sz w:val="24"/>
                <w:szCs w:val="24"/>
                <w:highlight w:val="none"/>
                <w14:textFill>
                  <w14:solidFill>
                    <w14:schemeClr w14:val="tx1"/>
                  </w14:solidFill>
                </w14:textFill>
              </w:rPr>
              <w:t>，则路面洒水抑尘用水量为</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2.25</w:t>
            </w:r>
            <w:r>
              <w:rPr>
                <w:rFonts w:hint="eastAsia" w:ascii="Times New Roman" w:hAnsi="Times New Roman" w:eastAsia="宋体" w:cs="宋体"/>
                <w:color w:val="000000" w:themeColor="text1"/>
                <w:sz w:val="24"/>
                <w:szCs w:val="24"/>
                <w:highlight w:val="none"/>
                <w14:textFill>
                  <w14:solidFill>
                    <w14:schemeClr w14:val="tx1"/>
                  </w14:solidFill>
                </w14:textFill>
              </w:rPr>
              <w:t>m</w:t>
            </w:r>
            <w:r>
              <w:rPr>
                <w:rFonts w:hint="eastAsia" w:ascii="Times New Roman" w:hAnsi="Times New Roman" w:eastAsia="宋体" w:cs="宋体"/>
                <w:color w:val="000000" w:themeColor="text1"/>
                <w:sz w:val="24"/>
                <w:szCs w:val="24"/>
                <w:highlight w:val="none"/>
                <w:vertAlign w:val="superscript"/>
                <w14:textFill>
                  <w14:solidFill>
                    <w14:schemeClr w14:val="tx1"/>
                  </w14:solidFill>
                </w14:textFill>
              </w:rPr>
              <w:t>3</w:t>
            </w:r>
            <w:r>
              <w:rPr>
                <w:rFonts w:hint="eastAsia" w:ascii="Times New Roman" w:hAnsi="Times New Roman" w:eastAsia="宋体" w:cs="宋体"/>
                <w:color w:val="000000" w:themeColor="text1"/>
                <w:sz w:val="24"/>
                <w:szCs w:val="24"/>
                <w:highlight w:val="none"/>
                <w14:textFill>
                  <w14:solidFill>
                    <w14:schemeClr w14:val="tx1"/>
                  </w14:solidFill>
                </w14:textFill>
              </w:rPr>
              <w:t>/d(</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675m</w:t>
            </w:r>
            <w:r>
              <w:rPr>
                <w:rFonts w:hint="eastAsia" w:ascii="Times New Roman" w:hAnsi="Times New Roman" w:eastAsia="宋体" w:cs="宋体"/>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eastAsia="宋体" w:cs="宋体"/>
                <w:color w:val="000000" w:themeColor="text1"/>
                <w:sz w:val="24"/>
                <w:szCs w:val="24"/>
                <w:highlight w:val="none"/>
                <w14:textFill>
                  <w14:solidFill>
                    <w14:schemeClr w14:val="tx1"/>
                  </w14:solidFill>
                </w14:textFill>
              </w:rPr>
              <w:t>/a</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s="宋体"/>
                <w:color w:val="000000" w:themeColor="text1"/>
                <w:sz w:val="24"/>
                <w:szCs w:val="24"/>
                <w:highlight w:val="none"/>
                <w14:textFill>
                  <w14:solidFill>
                    <w14:schemeClr w14:val="tx1"/>
                  </w14:solidFill>
                </w14:textFill>
              </w:rPr>
              <w:t>，该部分用水蒸发消耗，无废水产生。</w:t>
            </w:r>
          </w:p>
          <w:p w14:paraId="785E7AA2">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14:textFill>
                  <w14:solidFill>
                    <w14:schemeClr w14:val="tx1"/>
                  </w14:solidFill>
                </w14:textFill>
              </w:rPr>
            </w:pPr>
            <w:r>
              <w:rPr>
                <w:rFonts w:hint="eastAsia" w:ascii="Times New Roman" w:hAnsi="Times New Roman" w:eastAsia="宋体" w:cs="宋体"/>
                <w:color w:val="000000" w:themeColor="text1"/>
                <w:sz w:val="24"/>
                <w:szCs w:val="24"/>
                <w:highlight w:val="none"/>
                <w14:textFill>
                  <w14:solidFill>
                    <w14:schemeClr w14:val="tx1"/>
                  </w14:solidFill>
                </w14:textFill>
              </w:rPr>
              <w:t>③排水</w:t>
            </w:r>
          </w:p>
          <w:p w14:paraId="6185B5C2">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default" w:ascii="Times New Roman" w:hAnsi="Times New Roman"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生活污水产生量按生活用水量80%计，则生活污水排放量为，0.</w:t>
            </w:r>
            <w:r>
              <w:rPr>
                <w:rFonts w:hint="eastAsia" w:ascii="Times New Roman" w:hAnsi="Times New Roman" w:cs="宋体"/>
                <w:color w:val="000000" w:themeColor="text1"/>
                <w:sz w:val="24"/>
                <w:szCs w:val="24"/>
                <w:highlight w:val="none"/>
                <w:lang w:val="en-US" w:eastAsia="zh-CN"/>
                <w14:textFill>
                  <w14:solidFill>
                    <w14:schemeClr w14:val="tx1"/>
                  </w14:solidFill>
                </w14:textFill>
              </w:rPr>
              <w:t>192</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t/</w:t>
            </w:r>
            <w:r>
              <w:rPr>
                <w:rFonts w:hint="eastAsia" w:ascii="Times New Roman" w:hAnsi="Times New Roman" w:cs="宋体"/>
                <w:color w:val="000000" w:themeColor="text1"/>
                <w:sz w:val="24"/>
                <w:szCs w:val="24"/>
                <w:highlight w:val="none"/>
                <w:lang w:val="en-US" w:eastAsia="zh-CN"/>
                <w14:textFill>
                  <w14:solidFill>
                    <w14:schemeClr w14:val="tx1"/>
                  </w14:solidFill>
                </w14:textFill>
              </w:rPr>
              <w:t>d</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w:t>
            </w:r>
            <w:r>
              <w:rPr>
                <w:rFonts w:hint="eastAsia" w:ascii="Times New Roman" w:hAnsi="Times New Roman" w:cs="宋体"/>
                <w:color w:val="000000" w:themeColor="text1"/>
                <w:sz w:val="24"/>
                <w:szCs w:val="24"/>
                <w:highlight w:val="none"/>
                <w:lang w:val="en-US" w:eastAsia="zh-CN"/>
                <w14:textFill>
                  <w14:solidFill>
                    <w14:schemeClr w14:val="tx1"/>
                  </w14:solidFill>
                </w14:textFill>
              </w:rPr>
              <w:t>57.6</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m</w:t>
            </w:r>
            <w:r>
              <w:rPr>
                <w:rFonts w:hint="eastAsia" w:ascii="Times New Roman" w:hAnsi="Times New Roman" w:eastAsia="宋体" w:cs="宋体"/>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/a，员工生活污水经化粪池处理满足《污水综合排放标准》（GB8978-1996）三级标准后，送上都镇生活污水处理厂进行进一步处理</w:t>
            </w:r>
            <w:r>
              <w:rPr>
                <w:rFonts w:hint="eastAsia" w:ascii="Times New Roman" w:hAnsi="Times New Roman" w:cs="宋体"/>
                <w:color w:val="000000" w:themeColor="text1"/>
                <w:sz w:val="24"/>
                <w:szCs w:val="24"/>
                <w:highlight w:val="none"/>
                <w:lang w:val="en-US" w:eastAsia="zh-CN"/>
                <w14:textFill>
                  <w14:solidFill>
                    <w14:schemeClr w14:val="tx1"/>
                  </w14:solidFill>
                </w14:textFill>
              </w:rPr>
              <w:t>。</w:t>
            </w:r>
          </w:p>
          <w:p w14:paraId="35833E45">
            <w:pPr>
              <w:keepNext w:val="0"/>
              <w:keepLines w:val="0"/>
              <w:pageBreakBefore w:val="0"/>
              <w:widowControl w:val="0"/>
              <w:kinsoku/>
              <w:wordWrap/>
              <w:overflowPunct/>
              <w:topLinePunct w:val="0"/>
              <w:autoSpaceDE/>
              <w:autoSpaceDN/>
              <w:bidi w:val="0"/>
              <w:adjustRightInd w:val="0"/>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14:textFill>
                  <w14:solidFill>
                    <w14:schemeClr w14:val="tx1"/>
                  </w14:solidFill>
                </w14:textFill>
              </w:rPr>
            </w:pPr>
            <w:r>
              <w:rPr>
                <w:rFonts w:hint="eastAsia" w:ascii="Times New Roman" w:hAnsi="Times New Roman" w:eastAsia="宋体" w:cs="宋体"/>
                <w:color w:val="000000" w:themeColor="text1"/>
                <w:sz w:val="24"/>
                <w:szCs w:val="24"/>
                <w:highlight w:val="none"/>
                <w14:textFill>
                  <w14:solidFill>
                    <w14:schemeClr w14:val="tx1"/>
                  </w14:solidFill>
                </w14:textFill>
              </w:rPr>
              <w:t>石灰石上料用水、</w:t>
            </w:r>
            <w:r>
              <w:rPr>
                <w:rFonts w:hint="eastAsia" w:ascii="Times New Roman" w:hAnsi="Times New Roman" w:cs="宋体"/>
                <w:color w:val="000000" w:themeColor="text1"/>
                <w:sz w:val="24"/>
                <w:szCs w:val="24"/>
                <w:highlight w:val="none"/>
                <w:lang w:val="en-US" w:eastAsia="zh-CN"/>
                <w14:textFill>
                  <w14:solidFill>
                    <w14:schemeClr w14:val="tx1"/>
                  </w14:solidFill>
                </w14:textFill>
              </w:rPr>
              <w:t>石灰石</w:t>
            </w:r>
            <w:r>
              <w:rPr>
                <w:rFonts w:hint="eastAsia" w:ascii="Times New Roman" w:hAnsi="Times New Roman" w:eastAsia="宋体" w:cs="宋体"/>
                <w:color w:val="000000" w:themeColor="text1"/>
                <w:sz w:val="24"/>
                <w:szCs w:val="24"/>
                <w:highlight w:val="none"/>
                <w14:textFill>
                  <w14:solidFill>
                    <w14:schemeClr w14:val="tx1"/>
                  </w14:solidFill>
                </w14:textFill>
              </w:rPr>
              <w:t>厂区洒水抑尘水</w:t>
            </w:r>
            <w:r>
              <w:rPr>
                <w:rFonts w:hint="eastAsia" w:ascii="Times New Roman" w:hAnsi="Times New Roman" w:cs="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s="宋体"/>
                <w:color w:val="000000" w:themeColor="text1"/>
                <w:sz w:val="24"/>
                <w:szCs w:val="24"/>
                <w:highlight w:val="none"/>
                <w14:textFill>
                  <w14:solidFill>
                    <w14:schemeClr w14:val="tx1"/>
                  </w14:solidFill>
                </w14:textFill>
              </w:rPr>
              <w:t>该部分用水全部蒸发消耗，无废水产生。</w:t>
            </w:r>
          </w:p>
          <w:p w14:paraId="2E4D4BA8">
            <w:pPr>
              <w:keepNext w:val="0"/>
              <w:keepLines w:val="0"/>
              <w:pageBreakBefore w:val="0"/>
              <w:widowControl w:val="0"/>
              <w:kinsoku/>
              <w:wordWrap/>
              <w:overflowPunct/>
              <w:topLinePunct w:val="0"/>
              <w:autoSpaceDE/>
              <w:autoSpaceDN/>
              <w:bidi w:val="0"/>
              <w:adjustRightInd w:val="0"/>
              <w:snapToGrid w:val="0"/>
              <w:spacing w:beforeLines="0" w:line="360" w:lineRule="auto"/>
              <w:jc w:val="center"/>
              <w:textAlignment w:val="auto"/>
              <w:rPr>
                <w:rFonts w:hint="eastAsia" w:ascii="Times New Roman" w:hAnsi="Times New Roman" w:eastAsia="宋体" w:cs="宋体"/>
                <w:color w:val="000000" w:themeColor="text1"/>
                <w:sz w:val="24"/>
                <w:szCs w:val="24"/>
                <w:highlight w:val="none"/>
                <w:lang w:eastAsia="zh-CN"/>
                <w14:textFill>
                  <w14:solidFill>
                    <w14:schemeClr w14:val="tx1"/>
                  </w14:solidFill>
                </w14:textFill>
              </w:rPr>
            </w:pPr>
            <w:r>
              <w:rPr>
                <w:color w:val="000000" w:themeColor="text1"/>
                <w14:textFill>
                  <w14:solidFill>
                    <w14:schemeClr w14:val="tx1"/>
                  </w14:solidFill>
                </w14:textFill>
              </w:rPr>
              <w:drawing>
                <wp:inline distT="0" distB="0" distL="114300" distR="114300">
                  <wp:extent cx="5144770" cy="1624965"/>
                  <wp:effectExtent l="0" t="0" r="17780" b="13335"/>
                  <wp:docPr id="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
                          <pic:cNvPicPr>
                            <a:picLocks noChangeAspect="1"/>
                          </pic:cNvPicPr>
                        </pic:nvPicPr>
                        <pic:blipFill>
                          <a:blip r:embed="rId15"/>
                          <a:stretch>
                            <a:fillRect/>
                          </a:stretch>
                        </pic:blipFill>
                        <pic:spPr>
                          <a:xfrm>
                            <a:off x="0" y="0"/>
                            <a:ext cx="5144770" cy="1624965"/>
                          </a:xfrm>
                          <a:prstGeom prst="rect">
                            <a:avLst/>
                          </a:prstGeom>
                          <a:noFill/>
                          <a:ln>
                            <a:noFill/>
                          </a:ln>
                        </pic:spPr>
                      </pic:pic>
                    </a:graphicData>
                  </a:graphic>
                </wp:inline>
              </w:drawing>
            </w:r>
          </w:p>
          <w:p w14:paraId="6472027F">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eastAsia="宋体" w:cs="宋体"/>
                <w:color w:val="000000" w:themeColor="text1"/>
                <w:sz w:val="24"/>
                <w:szCs w:val="24"/>
                <w:highlight w:val="none"/>
                <w14:textFill>
                  <w14:solidFill>
                    <w14:schemeClr w14:val="tx1"/>
                  </w14:solidFill>
                </w14:textFill>
              </w:rPr>
            </w:pPr>
            <w:r>
              <w:rPr>
                <w:rFonts w:hint="eastAsia" w:ascii="Times New Roman" w:hAnsi="Times New Roman" w:eastAsia="宋体" w:cs="宋体"/>
                <w:b/>
                <w:color w:val="000000" w:themeColor="text1"/>
                <w:sz w:val="24"/>
                <w:highlight w:val="none"/>
                <w14:textFill>
                  <w14:solidFill>
                    <w14:schemeClr w14:val="tx1"/>
                  </w14:solidFill>
                </w14:textFill>
              </w:rPr>
              <w:t>图</w:t>
            </w:r>
            <w:r>
              <w:rPr>
                <w:rFonts w:hint="eastAsia" w:ascii="Times New Roman" w:hAnsi="Times New Roman" w:eastAsia="宋体" w:cs="宋体"/>
                <w:b/>
                <w:color w:val="000000" w:themeColor="text1"/>
                <w:sz w:val="24"/>
                <w:highlight w:val="none"/>
                <w:lang w:val="en-US" w:eastAsia="zh-CN"/>
                <w14:textFill>
                  <w14:solidFill>
                    <w14:schemeClr w14:val="tx1"/>
                  </w14:solidFill>
                </w14:textFill>
              </w:rPr>
              <w:t>2</w:t>
            </w:r>
            <w:r>
              <w:rPr>
                <w:rFonts w:hint="eastAsia" w:ascii="Times New Roman" w:hAnsi="Times New Roman" w:cs="宋体"/>
                <w:b/>
                <w:color w:val="000000" w:themeColor="text1"/>
                <w:sz w:val="24"/>
                <w:highlight w:val="none"/>
                <w:lang w:val="en-US" w:eastAsia="zh-CN"/>
                <w14:textFill>
                  <w14:solidFill>
                    <w14:schemeClr w14:val="tx1"/>
                  </w14:solidFill>
                </w14:textFill>
              </w:rPr>
              <w:t>-1</w:t>
            </w:r>
            <w:r>
              <w:rPr>
                <w:rFonts w:hint="eastAsia" w:ascii="Times New Roman" w:hAnsi="Times New Roman" w:eastAsia="宋体" w:cs="宋体"/>
                <w:b/>
                <w:color w:val="000000" w:themeColor="text1"/>
                <w:sz w:val="24"/>
                <w:highlight w:val="none"/>
                <w14:textFill>
                  <w14:solidFill>
                    <w14:schemeClr w14:val="tx1"/>
                  </w14:solidFill>
                </w14:textFill>
              </w:rPr>
              <w:t xml:space="preserve">  </w:t>
            </w:r>
            <w:r>
              <w:rPr>
                <w:rFonts w:hint="eastAsia" w:ascii="Times New Roman" w:hAnsi="Times New Roman" w:cs="宋体"/>
                <w:b/>
                <w:color w:val="000000" w:themeColor="text1"/>
                <w:sz w:val="24"/>
                <w:highlight w:val="none"/>
                <w:lang w:val="en-US" w:eastAsia="zh-CN"/>
                <w14:textFill>
                  <w14:solidFill>
                    <w14:schemeClr w14:val="tx1"/>
                  </w14:solidFill>
                </w14:textFill>
              </w:rPr>
              <w:t>水平衡</w:t>
            </w:r>
            <w:r>
              <w:rPr>
                <w:rFonts w:hint="eastAsia" w:ascii="Times New Roman" w:hAnsi="Times New Roman" w:eastAsia="宋体" w:cs="宋体"/>
                <w:b/>
                <w:color w:val="000000" w:themeColor="text1"/>
                <w:sz w:val="24"/>
                <w:highlight w:val="none"/>
                <w14:textFill>
                  <w14:solidFill>
                    <w14:schemeClr w14:val="tx1"/>
                  </w14:solidFill>
                </w14:textFill>
              </w:rPr>
              <w:t>图</w:t>
            </w:r>
          </w:p>
          <w:p w14:paraId="29BB71DE">
            <w:pPr>
              <w:keepNext w:val="0"/>
              <w:keepLines w:val="0"/>
              <w:pageBreakBefore w:val="0"/>
              <w:widowControl w:val="0"/>
              <w:kinsoku/>
              <w:wordWrap/>
              <w:overflowPunct/>
              <w:topLinePunct w:val="0"/>
              <w:autoSpaceDE/>
              <w:autoSpaceDN/>
              <w:bidi w:val="0"/>
              <w:adjustRightInd w:val="0"/>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s="宋体"/>
                <w:color w:val="000000" w:themeColor="text1"/>
                <w:sz w:val="24"/>
                <w:szCs w:val="24"/>
                <w:highlight w:val="none"/>
                <w14:textFill>
                  <w14:solidFill>
                    <w14:schemeClr w14:val="tx1"/>
                  </w14:solidFill>
                </w14:textFill>
              </w:rPr>
              <w:t>④</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供热</w:t>
            </w:r>
          </w:p>
          <w:p w14:paraId="2B89502B">
            <w:pPr>
              <w:keepNext w:val="0"/>
              <w:keepLines w:val="0"/>
              <w:pageBreakBefore w:val="0"/>
              <w:widowControl w:val="0"/>
              <w:kinsoku/>
              <w:wordWrap/>
              <w:overflowPunct/>
              <w:topLinePunct w:val="0"/>
              <w:autoSpaceDE/>
              <w:autoSpaceDN/>
              <w:bidi w:val="0"/>
              <w:adjustRightInd w:val="0"/>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项目采用电取暖。</w:t>
            </w:r>
          </w:p>
          <w:p w14:paraId="547AB7F3">
            <w:pPr>
              <w:keepNext w:val="0"/>
              <w:keepLines w:val="0"/>
              <w:pageBreakBefore w:val="0"/>
              <w:widowControl w:val="0"/>
              <w:kinsoku/>
              <w:wordWrap/>
              <w:overflowPunct/>
              <w:topLinePunct w:val="0"/>
              <w:autoSpaceDE/>
              <w:autoSpaceDN/>
              <w:bidi w:val="0"/>
              <w:adjustRightInd w:val="0"/>
              <w:snapToGrid w:val="0"/>
              <w:spacing w:beforeLines="0" w:line="360" w:lineRule="auto"/>
              <w:ind w:firstLine="482" w:firstLineChars="200"/>
              <w:textAlignment w:val="auto"/>
              <w:rPr>
                <w:rFonts w:hint="eastAsia" w:ascii="Times New Roman" w:hAnsi="Times New Roman" w:eastAsia="宋体" w:cs="宋体"/>
                <w:b/>
                <w:bCs/>
                <w:color w:val="000000" w:themeColor="text1"/>
                <w:sz w:val="24"/>
                <w:szCs w:val="24"/>
                <w:highlight w:val="none"/>
                <w14:textFill>
                  <w14:solidFill>
                    <w14:schemeClr w14:val="tx1"/>
                  </w14:solidFill>
                </w14:textFill>
              </w:rPr>
            </w:pPr>
            <w:r>
              <w:rPr>
                <w:rFonts w:hint="eastAsia" w:ascii="Times New Roman" w:hAnsi="Times New Roman" w:cs="宋体"/>
                <w:b/>
                <w:bCs/>
                <w:color w:val="000000" w:themeColor="text1"/>
                <w:sz w:val="24"/>
                <w:szCs w:val="24"/>
                <w:highlight w:val="none"/>
                <w:lang w:val="en-US" w:eastAsia="zh-CN"/>
                <w14:textFill>
                  <w14:solidFill>
                    <w14:schemeClr w14:val="tx1"/>
                  </w14:solidFill>
                </w14:textFill>
              </w:rPr>
              <w:t>5、</w:t>
            </w:r>
            <w:r>
              <w:rPr>
                <w:rFonts w:hint="eastAsia" w:ascii="Times New Roman" w:hAnsi="Times New Roman" w:eastAsia="宋体" w:cs="宋体"/>
                <w:b/>
                <w:bCs/>
                <w:color w:val="000000" w:themeColor="text1"/>
                <w:sz w:val="24"/>
                <w:szCs w:val="24"/>
                <w:highlight w:val="none"/>
                <w14:textFill>
                  <w14:solidFill>
                    <w14:schemeClr w14:val="tx1"/>
                  </w14:solidFill>
                </w14:textFill>
              </w:rPr>
              <w:t>劳动定员及</w:t>
            </w:r>
            <w:r>
              <w:rPr>
                <w:rFonts w:hint="eastAsia" w:ascii="Times New Roman" w:hAnsi="Times New Roman" w:cs="宋体"/>
                <w:b/>
                <w:bCs/>
                <w:color w:val="000000" w:themeColor="text1"/>
                <w:sz w:val="24"/>
                <w:szCs w:val="24"/>
                <w:highlight w:val="none"/>
                <w:lang w:eastAsia="zh-CN"/>
                <w14:textFill>
                  <w14:solidFill>
                    <w14:schemeClr w14:val="tx1"/>
                  </w14:solidFill>
                </w14:textFill>
              </w:rPr>
              <w:t>工作制度</w:t>
            </w:r>
          </w:p>
          <w:p w14:paraId="1AC22C33">
            <w:pPr>
              <w:keepNext w:val="0"/>
              <w:keepLines w:val="0"/>
              <w:pageBreakBefore w:val="0"/>
              <w:widowControl w:val="0"/>
              <w:kinsoku/>
              <w:wordWrap/>
              <w:overflowPunct/>
              <w:topLinePunct w:val="0"/>
              <w:autoSpaceDE/>
              <w:autoSpaceDN/>
              <w:bidi w:val="0"/>
              <w:adjustRightInd w:val="0"/>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全厂劳动定员共</w:t>
            </w:r>
            <w:r>
              <w:rPr>
                <w:rFonts w:hint="eastAsia" w:ascii="Times New Roman" w:hAnsi="Times New Roman" w:cs="宋体"/>
                <w:color w:val="000000" w:themeColor="text1"/>
                <w:sz w:val="24"/>
                <w:szCs w:val="24"/>
                <w:highlight w:val="none"/>
                <w:lang w:val="en-US" w:eastAsia="zh-CN"/>
                <w14:textFill>
                  <w14:solidFill>
                    <w14:schemeClr w14:val="tx1"/>
                  </w14:solidFill>
                </w14:textFill>
              </w:rPr>
              <w:t>4</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人</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，年工作</w:t>
            </w:r>
            <w:r>
              <w:rPr>
                <w:rFonts w:hint="eastAsia" w:ascii="Times New Roman" w:hAnsi="Times New Roman" w:cs="宋体"/>
                <w:color w:val="000000" w:themeColor="text1"/>
                <w:sz w:val="24"/>
                <w:szCs w:val="24"/>
                <w:highlight w:val="none"/>
                <w:lang w:val="en-US" w:eastAsia="zh-CN"/>
                <w14:textFill>
                  <w14:solidFill>
                    <w14:schemeClr w14:val="tx1"/>
                  </w14:solidFill>
                </w14:textFill>
              </w:rPr>
              <w:t>300</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天，每日</w:t>
            </w:r>
            <w:r>
              <w:rPr>
                <w:rFonts w:hint="eastAsia" w:ascii="Times New Roman" w:hAnsi="Times New Roman" w:cs="宋体"/>
                <w:color w:val="000000" w:themeColor="text1"/>
                <w:sz w:val="24"/>
                <w:szCs w:val="24"/>
                <w:highlight w:val="none"/>
                <w:lang w:val="en-US" w:eastAsia="zh-CN"/>
                <w14:textFill>
                  <w14:solidFill>
                    <w14:schemeClr w14:val="tx1"/>
                  </w14:solidFill>
                </w14:textFill>
              </w:rPr>
              <w:t>8</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小时。</w:t>
            </w:r>
          </w:p>
          <w:p w14:paraId="5B16E658">
            <w:pPr>
              <w:keepNext w:val="0"/>
              <w:keepLines w:val="0"/>
              <w:pageBreakBefore w:val="0"/>
              <w:widowControl w:val="0"/>
              <w:kinsoku/>
              <w:wordWrap/>
              <w:overflowPunct/>
              <w:topLinePunct w:val="0"/>
              <w:autoSpaceDE/>
              <w:autoSpaceDN/>
              <w:bidi w:val="0"/>
              <w:adjustRightInd w:val="0"/>
              <w:snapToGrid w:val="0"/>
              <w:spacing w:beforeLines="0" w:line="360" w:lineRule="auto"/>
              <w:ind w:firstLine="482" w:firstLineChars="200"/>
              <w:textAlignment w:val="auto"/>
              <w:rPr>
                <w:rFonts w:hint="eastAsia" w:ascii="Times New Roman" w:hAnsi="Times New Roman" w:eastAsia="宋体" w:cs="宋体"/>
                <w:b/>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宋体"/>
                <w:b/>
                <w:bCs/>
                <w:color w:val="000000" w:themeColor="text1"/>
                <w:sz w:val="24"/>
                <w:szCs w:val="24"/>
                <w:highlight w:val="none"/>
                <w:lang w:val="en-US" w:eastAsia="zh-CN"/>
                <w14:textFill>
                  <w14:solidFill>
                    <w14:schemeClr w14:val="tx1"/>
                  </w14:solidFill>
                </w14:textFill>
              </w:rPr>
              <w:t>6、平面布置</w:t>
            </w:r>
          </w:p>
          <w:p w14:paraId="470D8FA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（1）平面布置</w:t>
            </w:r>
          </w:p>
          <w:p w14:paraId="4E74B63B">
            <w:pPr>
              <w:keepNext w:val="0"/>
              <w:keepLines w:val="0"/>
              <w:pageBreakBefore w:val="0"/>
              <w:widowControl w:val="0"/>
              <w:kinsoku/>
              <w:wordWrap/>
              <w:overflowPunct/>
              <w:topLinePunct w:val="0"/>
              <w:bidi w:val="0"/>
              <w:adjustRightInd w:val="0"/>
              <w:snapToGrid w:val="0"/>
              <w:spacing w:beforeLines="0" w:afterLines="0" w:line="360" w:lineRule="auto"/>
              <w:ind w:firstLine="480" w:firstLineChars="200"/>
              <w:textAlignment w:val="auto"/>
              <w:rPr>
                <w:rFonts w:hint="eastAsia" w:ascii="Times New Roman" w:hAnsi="Times New Roman" w:eastAsia="宋体" w:cs="Times New Roman"/>
                <w:color w:val="000000" w:themeColor="text1"/>
                <w:sz w:val="24"/>
                <w:szCs w:val="24"/>
                <w:highlight w:val="none"/>
                <w:u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u w:val="none"/>
                <w:lang w:val="en-US" w:eastAsia="zh-CN"/>
                <w14:textFill>
                  <w14:solidFill>
                    <w14:schemeClr w14:val="tx1"/>
                  </w14:solidFill>
                </w14:textFill>
              </w:rPr>
              <w:t>本项目位于</w:t>
            </w:r>
            <w:r>
              <w:rPr>
                <w:rFonts w:hint="default" w:ascii="Times New Roman" w:hAnsi="Times New Roman" w:eastAsia="宋体" w:cs="Times New Roman"/>
                <w:color w:val="000000" w:themeColor="text1"/>
                <w:sz w:val="24"/>
                <w:szCs w:val="24"/>
                <w:highlight w:val="none"/>
                <w:u w:val="none"/>
                <w:lang w:val="en-US" w:eastAsia="zh-CN"/>
                <w14:textFill>
                  <w14:solidFill>
                    <w14:schemeClr w14:val="tx1"/>
                  </w14:solidFill>
                </w14:textFill>
              </w:rPr>
              <w:t>内蒙古锡林郭勒盟正蓝旗上都镇巴彦高勒嘎查</w:t>
            </w:r>
            <w:r>
              <w:rPr>
                <w:rFonts w:hint="eastAsia" w:ascii="Times New Roman" w:hAnsi="Times New Roman" w:eastAsia="宋体" w:cs="Times New Roman"/>
                <w:color w:val="000000" w:themeColor="text1"/>
                <w:sz w:val="24"/>
                <w:szCs w:val="24"/>
                <w:highlight w:val="none"/>
                <w:u w:val="none"/>
                <w:lang w:val="en-US" w:eastAsia="zh-CN"/>
                <w14:textFill>
                  <w14:solidFill>
                    <w14:schemeClr w14:val="tx1"/>
                  </w14:solidFill>
                </w14:textFill>
              </w:rPr>
              <w:t>，</w:t>
            </w:r>
            <w:r>
              <w:rPr>
                <w:rFonts w:hint="eastAsia" w:ascii="Times New Roman" w:hAnsi="Times New Roman" w:cs="Times New Roman"/>
                <w:color w:val="000000" w:themeColor="text1"/>
                <w:sz w:val="24"/>
                <w:szCs w:val="24"/>
                <w:highlight w:val="none"/>
                <w:u w:val="none"/>
                <w:lang w:val="en-US" w:eastAsia="zh-CN"/>
                <w14:textFill>
                  <w14:solidFill>
                    <w14:schemeClr w14:val="tx1"/>
                  </w14:solidFill>
                </w14:textFill>
              </w:rPr>
              <w:t>本项目南侧有2个厂区出入口，成品库位于厂区西侧，生产车间北侧，变压器位于南侧，原料库位于东侧，</w:t>
            </w:r>
            <w:r>
              <w:rPr>
                <w:rFonts w:hint="eastAsia" w:ascii="Times New Roman" w:hAnsi="Times New Roman" w:eastAsia="宋体" w:cs="Times New Roman"/>
                <w:color w:val="000000" w:themeColor="text1"/>
                <w:sz w:val="24"/>
                <w:szCs w:val="24"/>
                <w:highlight w:val="none"/>
                <w:u w:val="none"/>
                <w:lang w:val="en-US" w:eastAsia="zh-CN"/>
                <w14:textFill>
                  <w14:solidFill>
                    <w14:schemeClr w14:val="tx1"/>
                  </w14:solidFill>
                </w14:textFill>
              </w:rPr>
              <w:t>布设有利于生产时原料的输送，车间内各设备按照工艺流程进行布置，使生产过程更加顺畅，节约时间，提高效率，办公室</w:t>
            </w:r>
            <w:r>
              <w:rPr>
                <w:rFonts w:hint="eastAsia" w:ascii="Times New Roman" w:hAnsi="Times New Roman" w:cs="Times New Roman"/>
                <w:color w:val="000000" w:themeColor="text1"/>
                <w:sz w:val="24"/>
                <w:szCs w:val="24"/>
                <w:highlight w:val="none"/>
                <w:u w:val="none"/>
                <w:lang w:val="en-US" w:eastAsia="zh-CN"/>
                <w14:textFill>
                  <w14:solidFill>
                    <w14:schemeClr w14:val="tx1"/>
                  </w14:solidFill>
                </w14:textFill>
              </w:rPr>
              <w:t>位于厂区外西侧</w:t>
            </w:r>
            <w:r>
              <w:rPr>
                <w:rFonts w:hint="eastAsia" w:ascii="Times New Roman" w:hAnsi="Times New Roman" w:eastAsia="宋体" w:cs="Times New Roman"/>
                <w:color w:val="000000" w:themeColor="text1"/>
                <w:sz w:val="24"/>
                <w:szCs w:val="24"/>
                <w:highlight w:val="none"/>
                <w:u w:val="none"/>
                <w:lang w:val="en-US" w:eastAsia="zh-CN"/>
                <w14:textFill>
                  <w14:solidFill>
                    <w14:schemeClr w14:val="tx1"/>
                  </w14:solidFill>
                </w14:textFill>
              </w:rPr>
              <w:t>。项目平面布置见附图3。</w:t>
            </w:r>
          </w:p>
          <w:p w14:paraId="1A47DCA2">
            <w:pPr>
              <w:keepNext w:val="0"/>
              <w:keepLines w:val="0"/>
              <w:pageBreakBefore w:val="0"/>
              <w:widowControl w:val="0"/>
              <w:kinsoku/>
              <w:wordWrap/>
              <w:overflowPunct/>
              <w:topLinePunct w:val="0"/>
              <w:bidi w:val="0"/>
              <w:adjustRightInd w:val="0"/>
              <w:snapToGrid w:val="0"/>
              <w:spacing w:beforeLines="0" w:afterLines="0" w:line="360" w:lineRule="auto"/>
              <w:ind w:firstLine="480" w:firstLineChars="200"/>
              <w:textAlignment w:val="auto"/>
              <w:rPr>
                <w:rFonts w:hint="default"/>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项目平面是根据工艺流程、生产特点、卫生防护及消防安全等要求进行总体布置，整个厂区布置功能分区明确，工艺流程合理，布局紧凑，达到了总体布局的合理性和完整性。</w:t>
            </w:r>
          </w:p>
          <w:p w14:paraId="20BC789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000000" w:themeColor="text1"/>
                <w:sz w:val="24"/>
                <w:highlight w:val="none"/>
                <w14:textFill>
                  <w14:solidFill>
                    <w14:schemeClr w14:val="tx1"/>
                  </w14:solidFill>
                </w14:textFill>
              </w:rPr>
            </w:pPr>
            <w:r>
              <w:rPr>
                <w:rFonts w:hint="default" w:ascii="Times New Roman" w:hAnsi="Times New Roman" w:eastAsia="宋体" w:cs="Times New Roman"/>
                <w:bCs/>
                <w:color w:val="000000" w:themeColor="text1"/>
                <w:sz w:val="24"/>
                <w:highlight w:val="none"/>
                <w14:textFill>
                  <w14:solidFill>
                    <w14:schemeClr w14:val="tx1"/>
                  </w14:solidFill>
                </w14:textFill>
              </w:rPr>
              <w:t>综上，项目平面布置基本合理。</w:t>
            </w:r>
          </w:p>
          <w:p w14:paraId="66CFFEF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（2）周边情况</w:t>
            </w:r>
          </w:p>
          <w:p w14:paraId="418F78AD">
            <w:pPr>
              <w:keepNext w:val="0"/>
              <w:keepLines w:val="0"/>
              <w:pageBreakBefore w:val="0"/>
              <w:widowControl w:val="0"/>
              <w:kinsoku/>
              <w:wordWrap/>
              <w:overflowPunct/>
              <w:topLinePunct w:val="0"/>
              <w:bidi w:val="0"/>
              <w:adjustRightInd w:val="0"/>
              <w:snapToGrid w:val="0"/>
              <w:spacing w:beforeLines="0" w:afterLines="0" w:line="360" w:lineRule="auto"/>
              <w:ind w:firstLine="480" w:firstLineChars="200"/>
              <w:textAlignment w:val="auto"/>
              <w:rPr>
                <w:rFonts w:hint="default"/>
                <w:color w:val="000000" w:themeColor="text1"/>
                <w:highlight w:val="none"/>
                <w:lang w:eastAsia="zh-CN"/>
                <w14:textFill>
                  <w14:solidFill>
                    <w14:schemeClr w14:val="tx1"/>
                  </w14:solidFill>
                </w14:textFill>
              </w:rPr>
            </w:pPr>
            <w:r>
              <w:rPr>
                <w:rFonts w:hint="default" w:ascii="Times New Roman" w:hAnsi="Times New Roman" w:cs="Times New Roman"/>
                <w:bCs/>
                <w:color w:val="000000" w:themeColor="text1"/>
                <w:sz w:val="24"/>
                <w:highlight w:val="none"/>
                <w14:textFill>
                  <w14:solidFill>
                    <w14:schemeClr w14:val="tx1"/>
                  </w14:solidFill>
                </w14:textFill>
              </w:rPr>
              <w:t>项目</w:t>
            </w:r>
            <w:r>
              <w:rPr>
                <w:rFonts w:hint="eastAsia" w:ascii="Times New Roman" w:hAnsi="Times New Roman" w:cs="Times New Roman"/>
                <w:bCs/>
                <w:color w:val="000000" w:themeColor="text1"/>
                <w:sz w:val="24"/>
                <w:highlight w:val="none"/>
                <w:lang w:val="en-US" w:eastAsia="zh-CN"/>
                <w14:textFill>
                  <w14:solidFill>
                    <w14:schemeClr w14:val="tx1"/>
                  </w14:solidFill>
                </w14:textFill>
              </w:rPr>
              <w:t>北侧和东侧为正蓝旗上都华欣能源有限责任公司的厂房，西侧和南侧紧邻院墙，院墙外是空地。厂区北侧和西侧均为空地，西南侧280米为其志麦拉家，东侧450米为特古斯家。</w:t>
            </w:r>
            <w:r>
              <w:rPr>
                <w:rFonts w:hint="default" w:ascii="Times New Roman" w:hAnsi="Times New Roman" w:cs="Times New Roman"/>
                <w:bCs/>
                <w:color w:val="000000" w:themeColor="text1"/>
                <w:sz w:val="24"/>
                <w:highlight w:val="none"/>
                <w14:textFill>
                  <w14:solidFill>
                    <w14:schemeClr w14:val="tx1"/>
                  </w14:solidFill>
                </w14:textFill>
              </w:rPr>
              <w:t>项目具体周边关系图见附图</w:t>
            </w:r>
            <w:r>
              <w:rPr>
                <w:rFonts w:hint="eastAsia" w:ascii="Times New Roman" w:hAnsi="Times New Roman" w:cs="Times New Roman"/>
                <w:bCs/>
                <w:color w:val="000000" w:themeColor="text1"/>
                <w:sz w:val="24"/>
                <w:highlight w:val="none"/>
                <w:lang w:val="en-US" w:eastAsia="zh-CN"/>
                <w14:textFill>
                  <w14:solidFill>
                    <w14:schemeClr w14:val="tx1"/>
                  </w14:solidFill>
                </w14:textFill>
              </w:rPr>
              <w:t>4。</w:t>
            </w:r>
          </w:p>
        </w:tc>
      </w:tr>
      <w:tr w14:paraId="64FF7B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35" w:type="dxa"/>
            <w:tcBorders>
              <w:top w:val="single" w:color="auto" w:sz="4" w:space="0"/>
              <w:left w:val="single" w:color="auto" w:sz="8" w:space="0"/>
              <w:bottom w:val="single" w:color="auto" w:sz="4" w:space="0"/>
              <w:right w:val="single" w:color="auto" w:sz="4" w:space="0"/>
              <w:tl2br w:val="nil"/>
              <w:tr2bl w:val="nil"/>
            </w:tcBorders>
            <w:noWrap w:val="0"/>
            <w:vAlign w:val="center"/>
          </w:tcPr>
          <w:p w14:paraId="2477B026">
            <w:pPr>
              <w:pStyle w:val="20"/>
              <w:adjustRightInd w:val="0"/>
              <w:snapToGrid w:val="0"/>
              <w:spacing w:before="0" w:beforeLines="0" w:beforeAutospacing="0" w:after="0" w:afterLines="0" w:afterAutospacing="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工艺流程和产排污环节</w:t>
            </w:r>
          </w:p>
        </w:tc>
        <w:tc>
          <w:tcPr>
            <w:tcW w:w="8325" w:type="dxa"/>
            <w:tcBorders>
              <w:top w:val="single" w:color="auto" w:sz="4" w:space="0"/>
              <w:left w:val="single" w:color="auto" w:sz="4" w:space="0"/>
              <w:bottom w:val="single" w:color="auto" w:sz="4" w:space="0"/>
              <w:right w:val="single" w:color="auto" w:sz="8" w:space="0"/>
              <w:tl2br w:val="nil"/>
              <w:tr2bl w:val="nil"/>
            </w:tcBorders>
            <w:noWrap w:val="0"/>
            <w:vAlign w:val="top"/>
          </w:tcPr>
          <w:p w14:paraId="6E9EAC82">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cs="Times New Roman"/>
                <w:b/>
                <w:bCs/>
                <w:color w:val="000000" w:themeColor="text1"/>
                <w:highlight w:val="none"/>
                <w:lang w:val="en-US" w:eastAsia="zh-CN"/>
                <w14:textFill>
                  <w14:solidFill>
                    <w14:schemeClr w14:val="tx1"/>
                  </w14:solidFill>
                </w14:textFill>
              </w:rPr>
            </w:pPr>
            <w:r>
              <w:rPr>
                <w:rFonts w:hint="default" w:ascii="Times New Roman" w:hAnsi="Times New Roman" w:cs="Times New Roman"/>
                <w:b/>
                <w:bCs/>
                <w:color w:val="000000" w:themeColor="text1"/>
                <w:highlight w:val="none"/>
                <w:lang w:val="en-US" w:eastAsia="zh-CN"/>
                <w14:textFill>
                  <w14:solidFill>
                    <w14:schemeClr w14:val="tx1"/>
                  </w14:solidFill>
                </w14:textFill>
              </w:rPr>
              <w:t>一、</w:t>
            </w:r>
            <w:r>
              <w:rPr>
                <w:rFonts w:hint="eastAsia" w:ascii="Times New Roman" w:hAnsi="Times New Roman" w:cs="Times New Roman"/>
                <w:b/>
                <w:bCs/>
                <w:color w:val="000000" w:themeColor="text1"/>
                <w:highlight w:val="none"/>
                <w:lang w:val="en-US" w:eastAsia="zh-CN"/>
                <w14:textFill>
                  <w14:solidFill>
                    <w14:schemeClr w14:val="tx1"/>
                  </w14:solidFill>
                </w14:textFill>
              </w:rPr>
              <w:t>施工期主要污染工序</w:t>
            </w:r>
          </w:p>
          <w:p w14:paraId="120299C1">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1.</w:t>
            </w: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施工期</w:t>
            </w: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工艺流程</w:t>
            </w:r>
          </w:p>
          <w:p w14:paraId="2B39391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both"/>
              <w:textAlignment w:val="auto"/>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本项目施工期工艺流程及产污情况见</w:t>
            </w:r>
            <w:r>
              <w:rPr>
                <w:rFonts w:hint="eastAsia" w:ascii="Times New Roman" w:hAnsi="Times New Roman" w:cs="Times New Roman"/>
                <w:color w:val="000000" w:themeColor="text1"/>
                <w:highlight w:val="none"/>
                <w:lang w:val="en-US" w:eastAsia="zh-CN"/>
                <w14:textFill>
                  <w14:solidFill>
                    <w14:schemeClr w14:val="tx1"/>
                  </w14:solidFill>
                </w14:textFill>
              </w:rPr>
              <w:t>下图</w:t>
            </w:r>
            <w:r>
              <w:rPr>
                <w:rFonts w:hint="default" w:ascii="Times New Roman" w:hAnsi="Times New Roman" w:cs="Times New Roman"/>
                <w:color w:val="000000" w:themeColor="text1"/>
                <w:highlight w:val="none"/>
                <w:lang w:eastAsia="zh-CN"/>
                <w14:textFill>
                  <w14:solidFill>
                    <w14:schemeClr w14:val="tx1"/>
                  </w14:solidFill>
                </w14:textFill>
              </w:rPr>
              <w:t>。</w:t>
            </w:r>
          </w:p>
          <w:p w14:paraId="641FA1A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000000" w:themeColor="text1"/>
                <w:highlight w:val="none"/>
                <w:lang w:val="en-US" w:eastAsia="zh-CN"/>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5043805" cy="2449195"/>
                  <wp:effectExtent l="0" t="0" r="4445" b="825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6"/>
                          <a:stretch>
                            <a:fillRect/>
                          </a:stretch>
                        </pic:blipFill>
                        <pic:spPr>
                          <a:xfrm>
                            <a:off x="0" y="0"/>
                            <a:ext cx="5043805" cy="2449195"/>
                          </a:xfrm>
                          <a:prstGeom prst="rect">
                            <a:avLst/>
                          </a:prstGeom>
                          <a:noFill/>
                          <a:ln>
                            <a:noFill/>
                          </a:ln>
                        </pic:spPr>
                      </pic:pic>
                    </a:graphicData>
                  </a:graphic>
                </wp:inline>
              </w:drawing>
            </w:r>
          </w:p>
          <w:p w14:paraId="753D65AC">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color w:val="000000" w:themeColor="text1"/>
                <w:highlight w:val="none"/>
                <w:lang w:val="en-US" w:eastAsia="zh-CN"/>
                <w14:textFill>
                  <w14:solidFill>
                    <w14:schemeClr w14:val="tx1"/>
                  </w14:solidFill>
                </w14:textFill>
              </w:rPr>
            </w:pPr>
            <w:r>
              <w:rPr>
                <w:rFonts w:hint="eastAsia" w:ascii="Times New Roman" w:hAnsi="Times New Roman" w:eastAsia="宋体" w:cs="宋体"/>
                <w:b/>
                <w:color w:val="000000" w:themeColor="text1"/>
                <w:sz w:val="24"/>
                <w:highlight w:val="none"/>
                <w14:textFill>
                  <w14:solidFill>
                    <w14:schemeClr w14:val="tx1"/>
                  </w14:solidFill>
                </w14:textFill>
              </w:rPr>
              <w:t>图</w:t>
            </w:r>
            <w:r>
              <w:rPr>
                <w:rFonts w:hint="eastAsia" w:ascii="Times New Roman" w:hAnsi="Times New Roman" w:eastAsia="宋体" w:cs="宋体"/>
                <w:b/>
                <w:color w:val="000000" w:themeColor="text1"/>
                <w:sz w:val="24"/>
                <w:highlight w:val="none"/>
                <w:lang w:val="en-US" w:eastAsia="zh-CN"/>
                <w14:textFill>
                  <w14:solidFill>
                    <w14:schemeClr w14:val="tx1"/>
                  </w14:solidFill>
                </w14:textFill>
              </w:rPr>
              <w:t>2</w:t>
            </w:r>
            <w:r>
              <w:rPr>
                <w:rFonts w:hint="eastAsia" w:ascii="Times New Roman" w:hAnsi="Times New Roman" w:cs="宋体"/>
                <w:b/>
                <w:color w:val="000000" w:themeColor="text1"/>
                <w:sz w:val="24"/>
                <w:highlight w:val="none"/>
                <w:lang w:val="en-US" w:eastAsia="zh-CN"/>
                <w14:textFill>
                  <w14:solidFill>
                    <w14:schemeClr w14:val="tx1"/>
                  </w14:solidFill>
                </w14:textFill>
              </w:rPr>
              <w:t>-2</w:t>
            </w:r>
            <w:r>
              <w:rPr>
                <w:rFonts w:hint="eastAsia" w:ascii="Times New Roman" w:hAnsi="Times New Roman" w:eastAsia="宋体" w:cs="宋体"/>
                <w:b/>
                <w:color w:val="000000" w:themeColor="text1"/>
                <w:sz w:val="24"/>
                <w:highlight w:val="none"/>
                <w14:textFill>
                  <w14:solidFill>
                    <w14:schemeClr w14:val="tx1"/>
                  </w14:solidFill>
                </w14:textFill>
              </w:rPr>
              <w:t xml:space="preserve">  施工期工艺流程及产污节点图</w:t>
            </w:r>
          </w:p>
          <w:p w14:paraId="45F04595">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2.施工期</w:t>
            </w: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主要污染工序</w:t>
            </w:r>
          </w:p>
          <w:p w14:paraId="217A7884">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施工过程中产生的污染都是暂时的，随着施工过程的结束，影响也将在短期内消失。施工期污染工序主要从废气产生环节、废水产生环节、噪声产生环节、固体废物产生环节以及生态环境影响环节</w:t>
            </w:r>
            <w:r>
              <w:rPr>
                <w:rFonts w:hint="eastAsia" w:ascii="Times New Roman" w:hAnsi="Times New Roman" w:cs="Times New Roman"/>
                <w:color w:val="000000" w:themeColor="text1"/>
                <w:sz w:val="24"/>
                <w:highlight w:val="none"/>
                <w:lang w:eastAsia="zh-CN"/>
                <w14:textFill>
                  <w14:solidFill>
                    <w14:schemeClr w14:val="tx1"/>
                  </w14:solidFill>
                </w14:textFill>
              </w:rPr>
              <w:t>五个</w:t>
            </w:r>
            <w:r>
              <w:rPr>
                <w:rFonts w:hint="default" w:ascii="Times New Roman" w:hAnsi="Times New Roman" w:eastAsia="宋体" w:cs="Times New Roman"/>
                <w:color w:val="000000" w:themeColor="text1"/>
                <w:sz w:val="24"/>
                <w:highlight w:val="none"/>
                <w14:textFill>
                  <w14:solidFill>
                    <w14:schemeClr w14:val="tx1"/>
                  </w14:solidFill>
                </w14:textFill>
              </w:rPr>
              <w:t>方面分析。</w:t>
            </w:r>
          </w:p>
          <w:p w14:paraId="43872A4C">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（1）大气污染物产生环节</w:t>
            </w:r>
          </w:p>
          <w:p w14:paraId="24B8B1E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①场地平整、地基开挖过程中产生的粉尘；</w:t>
            </w:r>
          </w:p>
          <w:p w14:paraId="72419F71">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②工程建设时，运输车辆的运输过程中产生的粉尘、汽车尾气；</w:t>
            </w:r>
          </w:p>
          <w:p w14:paraId="4ABA0E2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③施工过程中建筑材料运输、装卸、堆存过程中产生的扬尘。</w:t>
            </w:r>
          </w:p>
          <w:p w14:paraId="6992C851">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项目施工过程中所产生的主要大气污染物为扬尘。施工期扬尘多属于无组织排放，扩散浓度受其他因素影响较多，在时间和空间上均较为零散。施工期扬尘的影响范围和施工现场面积、施工管理水平、施工机械化、施工季节、建设区土质以及天气等诸多因素有关，因影响条件不同而差异较大。</w:t>
            </w:r>
          </w:p>
          <w:p w14:paraId="58EFCA3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施工期对环境空气的影响主要表现为场地平整、土方挖掘、基础建设等一系列施工作业所产生的扬尘和车辆、施工机械往来造成的道路扬尘。</w:t>
            </w:r>
          </w:p>
          <w:p w14:paraId="50CC0B4D">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由于施工的需要，表层土壤需开挖、堆放，在气候干燥又有风的情况下，会产生扬尘。其扬尘可按堆场起尘的经验公式计算：</w:t>
            </w:r>
          </w:p>
          <w:p w14:paraId="45CED95F">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Q=2.1(V</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50</w:t>
            </w:r>
            <w:r>
              <w:rPr>
                <w:rFonts w:hint="default" w:ascii="Times New Roman" w:hAnsi="Times New Roman" w:eastAsia="宋体" w:cs="Times New Roman"/>
                <w:color w:val="000000" w:themeColor="text1"/>
                <w:sz w:val="24"/>
                <w:highlight w:val="none"/>
                <w14:textFill>
                  <w14:solidFill>
                    <w14:schemeClr w14:val="tx1"/>
                  </w14:solidFill>
                </w14:textFill>
              </w:rPr>
              <w:t>-V</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0</w:t>
            </w:r>
            <w:r>
              <w:rPr>
                <w:rFonts w:hint="default" w:ascii="Times New Roman" w:hAnsi="Times New Roman" w:eastAsia="宋体" w:cs="Times New Roman"/>
                <w:color w:val="000000" w:themeColor="text1"/>
                <w:sz w:val="24"/>
                <w:highlight w:val="none"/>
                <w14:textFill>
                  <w14:solidFill>
                    <w14:schemeClr w14:val="tx1"/>
                  </w14:solidFill>
                </w14:textFill>
              </w:rPr>
              <w:t>)</w:t>
            </w:r>
            <w:r>
              <w:rPr>
                <w:rFonts w:hint="default" w:ascii="Times New Roman" w:hAnsi="Times New Roman" w:eastAsia="宋体" w:cs="Times New Roman"/>
                <w:color w:val="000000" w:themeColor="text1"/>
                <w:sz w:val="24"/>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z w:val="24"/>
                <w:highlight w:val="none"/>
                <w14:textFill>
                  <w14:solidFill>
                    <w14:schemeClr w14:val="tx1"/>
                  </w14:solidFill>
                </w14:textFill>
              </w:rPr>
              <w:t>e</w:t>
            </w:r>
            <w:r>
              <w:rPr>
                <w:rFonts w:hint="default" w:ascii="Times New Roman" w:hAnsi="Times New Roman" w:eastAsia="宋体" w:cs="Times New Roman"/>
                <w:color w:val="000000" w:themeColor="text1"/>
                <w:sz w:val="24"/>
                <w:highlight w:val="none"/>
                <w:vertAlign w:val="superscript"/>
                <w14:textFill>
                  <w14:solidFill>
                    <w14:schemeClr w14:val="tx1"/>
                  </w14:solidFill>
                </w14:textFill>
              </w:rPr>
              <w:t>-1.023W</w:t>
            </w:r>
          </w:p>
          <w:p w14:paraId="7142DB1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式中：Q——起尘量，kg/t·年；</w:t>
            </w:r>
          </w:p>
          <w:p w14:paraId="5EA50BC7">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V</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50</w:t>
            </w:r>
            <w:r>
              <w:rPr>
                <w:rFonts w:hint="default" w:ascii="Times New Roman" w:hAnsi="Times New Roman" w:eastAsia="宋体" w:cs="Times New Roman"/>
                <w:color w:val="000000" w:themeColor="text1"/>
                <w:sz w:val="24"/>
                <w:highlight w:val="none"/>
                <w14:textFill>
                  <w14:solidFill>
                    <w14:schemeClr w14:val="tx1"/>
                  </w14:solidFill>
                </w14:textFill>
              </w:rPr>
              <w:t>——距地面50m处风速，m/s；</w:t>
            </w:r>
          </w:p>
          <w:p w14:paraId="17BFCACA">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V</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0</w:t>
            </w:r>
            <w:r>
              <w:rPr>
                <w:rFonts w:hint="default" w:ascii="Times New Roman" w:hAnsi="Times New Roman" w:eastAsia="宋体" w:cs="Times New Roman"/>
                <w:color w:val="000000" w:themeColor="text1"/>
                <w:sz w:val="24"/>
                <w:highlight w:val="none"/>
                <w14:textFill>
                  <w14:solidFill>
                    <w14:schemeClr w14:val="tx1"/>
                  </w14:solidFill>
                </w14:textFill>
              </w:rPr>
              <w:t>——起尘风速，m/s；</w:t>
            </w:r>
          </w:p>
          <w:p w14:paraId="381C6CD2">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W——尘粒的含水率，%。</w:t>
            </w:r>
          </w:p>
          <w:p w14:paraId="4F8ACA28">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V</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0</w:t>
            </w:r>
            <w:r>
              <w:rPr>
                <w:rFonts w:hint="default" w:ascii="Times New Roman" w:hAnsi="Times New Roman" w:eastAsia="宋体" w:cs="Times New Roman"/>
                <w:color w:val="000000" w:themeColor="text1"/>
                <w:sz w:val="24"/>
                <w:highlight w:val="none"/>
                <w14:textFill>
                  <w14:solidFill>
                    <w14:schemeClr w14:val="tx1"/>
                  </w14:solidFill>
                </w14:textFill>
              </w:rPr>
              <w:t>与粒径和含水率有关，因此减少露天堆放和保证一定的含水率及减少裸露地面是控制风力起尘的有效手段。</w:t>
            </w:r>
          </w:p>
          <w:p w14:paraId="7E4B6015">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尘粒在空气中的传播扩散情况与风速等气象条件有关，也与尘粒本身的沉降速度有关。以沙尘为例，不同粒径的尘粒的沉降速度列于表中。</w:t>
            </w:r>
          </w:p>
          <w:p w14:paraId="00047197">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b/>
                <w:color w:val="000000" w:themeColor="text1"/>
                <w:sz w:val="24"/>
                <w:highlight w:val="none"/>
                <w14:textFill>
                  <w14:solidFill>
                    <w14:schemeClr w14:val="tx1"/>
                  </w14:solidFill>
                </w14:textFill>
              </w:rPr>
            </w:pPr>
            <w:r>
              <w:rPr>
                <w:rFonts w:hint="default" w:ascii="Times New Roman" w:hAnsi="Times New Roman" w:eastAsia="宋体" w:cs="Times New Roman"/>
                <w:b/>
                <w:color w:val="000000" w:themeColor="text1"/>
                <w:sz w:val="24"/>
                <w:highlight w:val="none"/>
                <w14:textFill>
                  <w14:solidFill>
                    <w14:schemeClr w14:val="tx1"/>
                  </w14:solidFill>
                </w14:textFill>
              </w:rPr>
              <w:t>表</w:t>
            </w:r>
            <w:r>
              <w:rPr>
                <w:rFonts w:hint="eastAsia" w:ascii="Times New Roman" w:hAnsi="Times New Roman" w:cs="Times New Roman"/>
                <w:b/>
                <w:color w:val="000000" w:themeColor="text1"/>
                <w:sz w:val="24"/>
                <w:highlight w:val="none"/>
                <w:lang w:val="en-US" w:eastAsia="zh-CN"/>
                <w14:textFill>
                  <w14:solidFill>
                    <w14:schemeClr w14:val="tx1"/>
                  </w14:solidFill>
                </w14:textFill>
              </w:rPr>
              <w:t>2-6</w:t>
            </w:r>
            <w:r>
              <w:rPr>
                <w:rFonts w:hint="default" w:ascii="Times New Roman" w:hAnsi="Times New Roman" w:eastAsia="宋体" w:cs="Times New Roman"/>
                <w:b/>
                <w:color w:val="000000" w:themeColor="text1"/>
                <w:sz w:val="24"/>
                <w:highlight w:val="none"/>
                <w14:textFill>
                  <w14:solidFill>
                    <w14:schemeClr w14:val="tx1"/>
                  </w14:solidFill>
                </w14:textFill>
              </w:rPr>
              <w:t xml:space="preserve">  不同粒径的尘粒的沉降速度</w:t>
            </w:r>
          </w:p>
          <w:tbl>
            <w:tblPr>
              <w:tblStyle w:val="24"/>
              <w:tblW w:w="8079" w:type="dxa"/>
              <w:jc w:val="center"/>
              <w:tblBorders>
                <w:top w:val="single" w:color="auto" w:sz="12" w:space="0"/>
                <w:left w:val="single" w:color="auto" w:sz="6" w:space="0"/>
                <w:bottom w:val="single" w:color="auto" w:sz="12"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405"/>
              <w:gridCol w:w="954"/>
              <w:gridCol w:w="954"/>
              <w:gridCol w:w="954"/>
              <w:gridCol w:w="953"/>
              <w:gridCol w:w="953"/>
              <w:gridCol w:w="953"/>
              <w:gridCol w:w="953"/>
            </w:tblGrid>
            <w:tr w14:paraId="1275E31D">
              <w:tblPrEx>
                <w:tblBorders>
                  <w:top w:val="single" w:color="auto" w:sz="12" w:space="0"/>
                  <w:left w:val="single" w:color="auto" w:sz="6" w:space="0"/>
                  <w:bottom w:val="single" w:color="auto" w:sz="12"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405" w:type="dxa"/>
                  <w:noWrap w:val="0"/>
                  <w:vAlign w:val="center"/>
                </w:tcPr>
                <w:p w14:paraId="693E891A">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粒径，mm</w:t>
                  </w:r>
                </w:p>
              </w:tc>
              <w:tc>
                <w:tcPr>
                  <w:tcW w:w="954" w:type="dxa"/>
                  <w:noWrap w:val="0"/>
                  <w:vAlign w:val="center"/>
                </w:tcPr>
                <w:p w14:paraId="2EAA700C">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0.010</w:t>
                  </w:r>
                </w:p>
              </w:tc>
              <w:tc>
                <w:tcPr>
                  <w:tcW w:w="954" w:type="dxa"/>
                  <w:noWrap w:val="0"/>
                  <w:vAlign w:val="center"/>
                </w:tcPr>
                <w:p w14:paraId="35390C1F">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0.020</w:t>
                  </w:r>
                </w:p>
              </w:tc>
              <w:tc>
                <w:tcPr>
                  <w:tcW w:w="954" w:type="dxa"/>
                  <w:noWrap w:val="0"/>
                  <w:vAlign w:val="center"/>
                </w:tcPr>
                <w:p w14:paraId="44E186BF">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0.030</w:t>
                  </w:r>
                </w:p>
              </w:tc>
              <w:tc>
                <w:tcPr>
                  <w:tcW w:w="953" w:type="dxa"/>
                  <w:noWrap w:val="0"/>
                  <w:vAlign w:val="center"/>
                </w:tcPr>
                <w:p w14:paraId="66D62F35">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0.040</w:t>
                  </w:r>
                </w:p>
              </w:tc>
              <w:tc>
                <w:tcPr>
                  <w:tcW w:w="953" w:type="dxa"/>
                  <w:noWrap w:val="0"/>
                  <w:vAlign w:val="center"/>
                </w:tcPr>
                <w:p w14:paraId="29948099">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0.050</w:t>
                  </w:r>
                </w:p>
              </w:tc>
              <w:tc>
                <w:tcPr>
                  <w:tcW w:w="953" w:type="dxa"/>
                  <w:noWrap w:val="0"/>
                  <w:vAlign w:val="center"/>
                </w:tcPr>
                <w:p w14:paraId="7997B737">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0.060</w:t>
                  </w:r>
                </w:p>
              </w:tc>
              <w:tc>
                <w:tcPr>
                  <w:tcW w:w="953" w:type="dxa"/>
                  <w:noWrap w:val="0"/>
                  <w:vAlign w:val="center"/>
                </w:tcPr>
                <w:p w14:paraId="7F22DC4F">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0.070</w:t>
                  </w:r>
                </w:p>
              </w:tc>
            </w:tr>
            <w:tr w14:paraId="3FE54F13">
              <w:tblPrEx>
                <w:tblBorders>
                  <w:top w:val="single" w:color="auto" w:sz="12" w:space="0"/>
                  <w:left w:val="single" w:color="auto" w:sz="6" w:space="0"/>
                  <w:bottom w:val="single" w:color="auto" w:sz="12"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405" w:type="dxa"/>
                  <w:noWrap w:val="0"/>
                  <w:vAlign w:val="center"/>
                </w:tcPr>
                <w:p w14:paraId="7B68EB93">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沉降速度，m/s</w:t>
                  </w:r>
                </w:p>
              </w:tc>
              <w:tc>
                <w:tcPr>
                  <w:tcW w:w="954" w:type="dxa"/>
                  <w:noWrap w:val="0"/>
                  <w:vAlign w:val="center"/>
                </w:tcPr>
                <w:p w14:paraId="0B66D71B">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0.003</w:t>
                  </w:r>
                </w:p>
              </w:tc>
              <w:tc>
                <w:tcPr>
                  <w:tcW w:w="954" w:type="dxa"/>
                  <w:noWrap w:val="0"/>
                  <w:vAlign w:val="center"/>
                </w:tcPr>
                <w:p w14:paraId="6CD8A4C2">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0.012</w:t>
                  </w:r>
                </w:p>
              </w:tc>
              <w:tc>
                <w:tcPr>
                  <w:tcW w:w="954" w:type="dxa"/>
                  <w:noWrap w:val="0"/>
                  <w:vAlign w:val="center"/>
                </w:tcPr>
                <w:p w14:paraId="3FA0109D">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0.027</w:t>
                  </w:r>
                </w:p>
              </w:tc>
              <w:tc>
                <w:tcPr>
                  <w:tcW w:w="953" w:type="dxa"/>
                  <w:noWrap w:val="0"/>
                  <w:vAlign w:val="center"/>
                </w:tcPr>
                <w:p w14:paraId="5AFD4958">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0.048</w:t>
                  </w:r>
                </w:p>
              </w:tc>
              <w:tc>
                <w:tcPr>
                  <w:tcW w:w="953" w:type="dxa"/>
                  <w:noWrap w:val="0"/>
                  <w:vAlign w:val="center"/>
                </w:tcPr>
                <w:p w14:paraId="01C4426A">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0.075</w:t>
                  </w:r>
                </w:p>
              </w:tc>
              <w:tc>
                <w:tcPr>
                  <w:tcW w:w="953" w:type="dxa"/>
                  <w:noWrap w:val="0"/>
                  <w:vAlign w:val="center"/>
                </w:tcPr>
                <w:p w14:paraId="4FA2C879">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0.108</w:t>
                  </w:r>
                </w:p>
              </w:tc>
              <w:tc>
                <w:tcPr>
                  <w:tcW w:w="953" w:type="dxa"/>
                  <w:noWrap w:val="0"/>
                  <w:vAlign w:val="center"/>
                </w:tcPr>
                <w:p w14:paraId="35BA3E42">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0.147</w:t>
                  </w:r>
                </w:p>
              </w:tc>
            </w:tr>
            <w:tr w14:paraId="16670210">
              <w:tblPrEx>
                <w:tblBorders>
                  <w:top w:val="single" w:color="auto" w:sz="12" w:space="0"/>
                  <w:left w:val="single" w:color="auto" w:sz="6" w:space="0"/>
                  <w:bottom w:val="single" w:color="auto" w:sz="12"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405" w:type="dxa"/>
                  <w:noWrap w:val="0"/>
                  <w:vAlign w:val="center"/>
                </w:tcPr>
                <w:p w14:paraId="63CBFAAC">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粒径，mm</w:t>
                  </w:r>
                </w:p>
              </w:tc>
              <w:tc>
                <w:tcPr>
                  <w:tcW w:w="954" w:type="dxa"/>
                  <w:noWrap w:val="0"/>
                  <w:vAlign w:val="center"/>
                </w:tcPr>
                <w:p w14:paraId="50CA52C0">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0.080</w:t>
                  </w:r>
                </w:p>
              </w:tc>
              <w:tc>
                <w:tcPr>
                  <w:tcW w:w="954" w:type="dxa"/>
                  <w:noWrap w:val="0"/>
                  <w:vAlign w:val="center"/>
                </w:tcPr>
                <w:p w14:paraId="64A27CE5">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0.090</w:t>
                  </w:r>
                </w:p>
              </w:tc>
              <w:tc>
                <w:tcPr>
                  <w:tcW w:w="954" w:type="dxa"/>
                  <w:noWrap w:val="0"/>
                  <w:vAlign w:val="center"/>
                </w:tcPr>
                <w:p w14:paraId="3ACBE2C7">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0.100</w:t>
                  </w:r>
                </w:p>
              </w:tc>
              <w:tc>
                <w:tcPr>
                  <w:tcW w:w="953" w:type="dxa"/>
                  <w:noWrap w:val="0"/>
                  <w:vAlign w:val="center"/>
                </w:tcPr>
                <w:p w14:paraId="7FE87766">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0.150</w:t>
                  </w:r>
                </w:p>
              </w:tc>
              <w:tc>
                <w:tcPr>
                  <w:tcW w:w="953" w:type="dxa"/>
                  <w:noWrap w:val="0"/>
                  <w:vAlign w:val="center"/>
                </w:tcPr>
                <w:p w14:paraId="0D69AD7D">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0.200</w:t>
                  </w:r>
                </w:p>
              </w:tc>
              <w:tc>
                <w:tcPr>
                  <w:tcW w:w="953" w:type="dxa"/>
                  <w:noWrap w:val="0"/>
                  <w:vAlign w:val="center"/>
                </w:tcPr>
                <w:p w14:paraId="5B0F63F0">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0.250</w:t>
                  </w:r>
                </w:p>
              </w:tc>
              <w:tc>
                <w:tcPr>
                  <w:tcW w:w="953" w:type="dxa"/>
                  <w:noWrap w:val="0"/>
                  <w:vAlign w:val="center"/>
                </w:tcPr>
                <w:p w14:paraId="62CDF6EB">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0.350</w:t>
                  </w:r>
                </w:p>
              </w:tc>
            </w:tr>
            <w:tr w14:paraId="4142D445">
              <w:tblPrEx>
                <w:tblBorders>
                  <w:top w:val="single" w:color="auto" w:sz="12" w:space="0"/>
                  <w:left w:val="single" w:color="auto" w:sz="6" w:space="0"/>
                  <w:bottom w:val="single" w:color="auto" w:sz="12"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405" w:type="dxa"/>
                  <w:noWrap w:val="0"/>
                  <w:vAlign w:val="center"/>
                </w:tcPr>
                <w:p w14:paraId="4BCC262C">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沉降速度，m/s</w:t>
                  </w:r>
                </w:p>
              </w:tc>
              <w:tc>
                <w:tcPr>
                  <w:tcW w:w="954" w:type="dxa"/>
                  <w:noWrap w:val="0"/>
                  <w:vAlign w:val="center"/>
                </w:tcPr>
                <w:p w14:paraId="74F1EE48">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0.158</w:t>
                  </w:r>
                </w:p>
              </w:tc>
              <w:tc>
                <w:tcPr>
                  <w:tcW w:w="954" w:type="dxa"/>
                  <w:noWrap w:val="0"/>
                  <w:vAlign w:val="center"/>
                </w:tcPr>
                <w:p w14:paraId="683EAC8F">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0.170</w:t>
                  </w:r>
                </w:p>
              </w:tc>
              <w:tc>
                <w:tcPr>
                  <w:tcW w:w="954" w:type="dxa"/>
                  <w:noWrap w:val="0"/>
                  <w:vAlign w:val="center"/>
                </w:tcPr>
                <w:p w14:paraId="21B965B6">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0.182</w:t>
                  </w:r>
                </w:p>
              </w:tc>
              <w:tc>
                <w:tcPr>
                  <w:tcW w:w="953" w:type="dxa"/>
                  <w:noWrap w:val="0"/>
                  <w:vAlign w:val="center"/>
                </w:tcPr>
                <w:p w14:paraId="6DE6C8AD">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0.239</w:t>
                  </w:r>
                </w:p>
              </w:tc>
              <w:tc>
                <w:tcPr>
                  <w:tcW w:w="953" w:type="dxa"/>
                  <w:noWrap w:val="0"/>
                  <w:vAlign w:val="center"/>
                </w:tcPr>
                <w:p w14:paraId="56D9BFDC">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0.804</w:t>
                  </w:r>
                </w:p>
              </w:tc>
              <w:tc>
                <w:tcPr>
                  <w:tcW w:w="953" w:type="dxa"/>
                  <w:noWrap w:val="0"/>
                  <w:vAlign w:val="center"/>
                </w:tcPr>
                <w:p w14:paraId="15E6FE49">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1.005</w:t>
                  </w:r>
                </w:p>
              </w:tc>
              <w:tc>
                <w:tcPr>
                  <w:tcW w:w="953" w:type="dxa"/>
                  <w:noWrap w:val="0"/>
                  <w:vAlign w:val="center"/>
                </w:tcPr>
                <w:p w14:paraId="086673FD">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1.829</w:t>
                  </w:r>
                </w:p>
              </w:tc>
            </w:tr>
            <w:tr w14:paraId="18CBDD3F">
              <w:tblPrEx>
                <w:tblBorders>
                  <w:top w:val="single" w:color="auto" w:sz="12" w:space="0"/>
                  <w:left w:val="single" w:color="auto" w:sz="6" w:space="0"/>
                  <w:bottom w:val="single" w:color="auto" w:sz="12"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405" w:type="dxa"/>
                  <w:noWrap w:val="0"/>
                  <w:vAlign w:val="center"/>
                </w:tcPr>
                <w:p w14:paraId="73C008C1">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粒径，mm</w:t>
                  </w:r>
                </w:p>
              </w:tc>
              <w:tc>
                <w:tcPr>
                  <w:tcW w:w="954" w:type="dxa"/>
                  <w:noWrap w:val="0"/>
                  <w:vAlign w:val="center"/>
                </w:tcPr>
                <w:p w14:paraId="4E9DEB50">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0.450</w:t>
                  </w:r>
                </w:p>
              </w:tc>
              <w:tc>
                <w:tcPr>
                  <w:tcW w:w="954" w:type="dxa"/>
                  <w:noWrap w:val="0"/>
                  <w:vAlign w:val="center"/>
                </w:tcPr>
                <w:p w14:paraId="294283FD">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0.550</w:t>
                  </w:r>
                </w:p>
              </w:tc>
              <w:tc>
                <w:tcPr>
                  <w:tcW w:w="954" w:type="dxa"/>
                  <w:noWrap w:val="0"/>
                  <w:vAlign w:val="center"/>
                </w:tcPr>
                <w:p w14:paraId="0C50A15B">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0.650</w:t>
                  </w:r>
                </w:p>
              </w:tc>
              <w:tc>
                <w:tcPr>
                  <w:tcW w:w="953" w:type="dxa"/>
                  <w:noWrap w:val="0"/>
                  <w:vAlign w:val="center"/>
                </w:tcPr>
                <w:p w14:paraId="313D501D">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0.750</w:t>
                  </w:r>
                </w:p>
              </w:tc>
              <w:tc>
                <w:tcPr>
                  <w:tcW w:w="953" w:type="dxa"/>
                  <w:noWrap w:val="0"/>
                  <w:vAlign w:val="center"/>
                </w:tcPr>
                <w:p w14:paraId="0AD05530">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0.850</w:t>
                  </w:r>
                </w:p>
              </w:tc>
              <w:tc>
                <w:tcPr>
                  <w:tcW w:w="953" w:type="dxa"/>
                  <w:noWrap w:val="0"/>
                  <w:vAlign w:val="center"/>
                </w:tcPr>
                <w:p w14:paraId="24245856">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0.950</w:t>
                  </w:r>
                </w:p>
              </w:tc>
              <w:tc>
                <w:tcPr>
                  <w:tcW w:w="953" w:type="dxa"/>
                  <w:noWrap w:val="0"/>
                  <w:vAlign w:val="center"/>
                </w:tcPr>
                <w:p w14:paraId="26CBD8B3">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1.050</w:t>
                  </w:r>
                </w:p>
              </w:tc>
            </w:tr>
            <w:tr w14:paraId="0765A48B">
              <w:tblPrEx>
                <w:tblBorders>
                  <w:top w:val="single" w:color="auto" w:sz="12" w:space="0"/>
                  <w:left w:val="single" w:color="auto" w:sz="6" w:space="0"/>
                  <w:bottom w:val="single" w:color="auto" w:sz="12"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405" w:type="dxa"/>
                  <w:noWrap w:val="0"/>
                  <w:vAlign w:val="center"/>
                </w:tcPr>
                <w:p w14:paraId="12363356">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沉降速度，m/s</w:t>
                  </w:r>
                </w:p>
              </w:tc>
              <w:tc>
                <w:tcPr>
                  <w:tcW w:w="954" w:type="dxa"/>
                  <w:noWrap w:val="0"/>
                  <w:vAlign w:val="center"/>
                </w:tcPr>
                <w:p w14:paraId="11217B20">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2.211</w:t>
                  </w:r>
                </w:p>
              </w:tc>
              <w:tc>
                <w:tcPr>
                  <w:tcW w:w="954" w:type="dxa"/>
                  <w:noWrap w:val="0"/>
                  <w:vAlign w:val="center"/>
                </w:tcPr>
                <w:p w14:paraId="2400DCA9">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2.614</w:t>
                  </w:r>
                </w:p>
              </w:tc>
              <w:tc>
                <w:tcPr>
                  <w:tcW w:w="954" w:type="dxa"/>
                  <w:noWrap w:val="0"/>
                  <w:vAlign w:val="center"/>
                </w:tcPr>
                <w:p w14:paraId="3AC7E15B">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3.016</w:t>
                  </w:r>
                </w:p>
              </w:tc>
              <w:tc>
                <w:tcPr>
                  <w:tcW w:w="953" w:type="dxa"/>
                  <w:noWrap w:val="0"/>
                  <w:vAlign w:val="center"/>
                </w:tcPr>
                <w:p w14:paraId="496DB734">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3.418</w:t>
                  </w:r>
                </w:p>
              </w:tc>
              <w:tc>
                <w:tcPr>
                  <w:tcW w:w="953" w:type="dxa"/>
                  <w:noWrap w:val="0"/>
                  <w:vAlign w:val="center"/>
                </w:tcPr>
                <w:p w14:paraId="5F4B0678">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3.820</w:t>
                  </w:r>
                </w:p>
              </w:tc>
              <w:tc>
                <w:tcPr>
                  <w:tcW w:w="953" w:type="dxa"/>
                  <w:noWrap w:val="0"/>
                  <w:vAlign w:val="center"/>
                </w:tcPr>
                <w:p w14:paraId="57A043EB">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4.222</w:t>
                  </w:r>
                </w:p>
              </w:tc>
              <w:tc>
                <w:tcPr>
                  <w:tcW w:w="953" w:type="dxa"/>
                  <w:noWrap w:val="0"/>
                  <w:vAlign w:val="center"/>
                </w:tcPr>
                <w:p w14:paraId="283FD818">
                  <w:pPr>
                    <w:spacing w:line="400" w:lineRule="exac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4.624</w:t>
                  </w:r>
                </w:p>
              </w:tc>
            </w:tr>
          </w:tbl>
          <w:p w14:paraId="39734383">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由表可知，尘粒的沉降速度随粒径的增大而迅速增大。当粒径为0.25mm时，沉降速度为1.005m/s，因此可以认为当尘粒大于0.25mm时，主要影响范围在扬尘点下风向近距离范围内，而真正对外环境产生影响的是一些微小尘粒。现场的气候情况不同，其影响范围也有所不同。</w:t>
            </w:r>
          </w:p>
          <w:p w14:paraId="061B243C">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施工</w:t>
            </w:r>
            <w:r>
              <w:rPr>
                <w:rFonts w:hint="eastAsia" w:ascii="Times New Roman" w:hAnsi="Times New Roman" w:cs="Times New Roman"/>
                <w:color w:val="000000" w:themeColor="text1"/>
                <w:sz w:val="24"/>
                <w:highlight w:val="none"/>
                <w:lang w:eastAsia="zh-CN"/>
                <w14:textFill>
                  <w14:solidFill>
                    <w14:schemeClr w14:val="tx1"/>
                  </w14:solidFill>
                </w14:textFill>
              </w:rPr>
              <w:t>期间</w:t>
            </w:r>
            <w:r>
              <w:rPr>
                <w:rFonts w:hint="default" w:ascii="Times New Roman" w:hAnsi="Times New Roman" w:eastAsia="宋体" w:cs="Times New Roman"/>
                <w:color w:val="000000" w:themeColor="text1"/>
                <w:sz w:val="24"/>
                <w:highlight w:val="none"/>
                <w14:textFill>
                  <w14:solidFill>
                    <w14:schemeClr w14:val="tx1"/>
                  </w14:solidFill>
                </w14:textFill>
              </w:rPr>
              <w:t>产生扬尘的另一方面便是道路运输扬尘，其起尘量的大小主要与路面清洁程度及行驶速度有关。在同样路面清洁程度条件下，车速越快，扬尘量越大；而在同样车速情况下，路面越脏，则扬尘量越大。因此限速行驶和保持路面清洁是减少汽车扬尘的有效手段。施工机械和汽车运输时所排放的尾气，主要对作业点周围和运输路线两侧局部范围产生一定影响。由于用车量少、排放量不大，所以不会对当地环境空气质量造成不良影响。</w:t>
            </w:r>
          </w:p>
          <w:p w14:paraId="110D269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（2）废水产生环节</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及影响分析</w:t>
            </w:r>
          </w:p>
          <w:p w14:paraId="595FCBA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施工期废水来源主要为施工场地少量的设备冲洗废水。设备冲洗废水中</w:t>
            </w:r>
            <w:r>
              <w:rPr>
                <w:rFonts w:hint="eastAsia" w:ascii="Times New Roman" w:hAnsi="Times New Roman" w:cs="Times New Roman"/>
                <w:color w:val="000000" w:themeColor="text1"/>
                <w:sz w:val="24"/>
                <w:highlight w:val="none"/>
                <w:lang w:eastAsia="zh-CN"/>
                <w14:textFill>
                  <w14:solidFill>
                    <w14:schemeClr w14:val="tx1"/>
                  </w14:solidFill>
                </w14:textFill>
              </w:rPr>
              <w:t>主要</w:t>
            </w:r>
            <w:r>
              <w:rPr>
                <w:rFonts w:hint="default" w:ascii="Times New Roman" w:hAnsi="Times New Roman" w:eastAsia="宋体" w:cs="Times New Roman"/>
                <w:color w:val="000000" w:themeColor="text1"/>
                <w:sz w:val="24"/>
                <w:highlight w:val="none"/>
                <w14:textFill>
                  <w14:solidFill>
                    <w14:schemeClr w14:val="tx1"/>
                  </w14:solidFill>
                </w14:textFill>
              </w:rPr>
              <w:t>含有一些由水泥碎粒、砂土构成的悬浮物。另外，雨季作业时，场地的地面径流水中也会含有一定量的泥土和悬浮物。</w:t>
            </w:r>
          </w:p>
          <w:p w14:paraId="6E511D98">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（3）噪声产生环节及影响分析</w:t>
            </w:r>
          </w:p>
          <w:p w14:paraId="744B1DA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施工期噪声主要指建筑工地施工和交通噪声两类。前者为持续性噪声，后者为间歇性噪声。对于每一个施工阶段采用的施工机械不同，对外界环境造成的施工噪声污染水平也不同。据同类机械调查，施工期噪声源主要是施工机械设备产生的噪声，一些施工机械的噪声强度可达75~95dB(A</w:t>
            </w:r>
            <w:r>
              <w:rPr>
                <w:rFonts w:hint="eastAsia" w:ascii="Times New Roman" w:hAnsi="Times New Roman" w:cs="Times New Roman"/>
                <w:color w:val="000000" w:themeColor="text1"/>
                <w:sz w:val="24"/>
                <w:highlight w:val="none"/>
                <w:lang w:eastAsia="zh-CN"/>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，由此而产生的噪声对周围区域环境有一定的影响。施工期主要噪声源有挖掘机、开掘机、运输车辆等施工机械设备。</w:t>
            </w:r>
          </w:p>
          <w:p w14:paraId="264F5F47">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由于本工程施工机械产生的噪声主要属于低频噪声，因此在预测其影响时可只考虑其扩散衰减，预测模型可选用：</w:t>
            </w:r>
          </w:p>
          <w:p w14:paraId="15EA5640">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L</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=L</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1</w:t>
            </w:r>
            <w:r>
              <w:rPr>
                <w:rFonts w:hint="default" w:ascii="Times New Roman" w:hAnsi="Times New Roman" w:eastAsia="宋体" w:cs="Times New Roman"/>
                <w:color w:val="000000" w:themeColor="text1"/>
                <w:sz w:val="24"/>
                <w:highlight w:val="none"/>
                <w14:textFill>
                  <w14:solidFill>
                    <w14:schemeClr w14:val="tx1"/>
                  </w14:solidFill>
                </w14:textFill>
              </w:rPr>
              <w:t>－20lgr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1</w:t>
            </w:r>
            <w:r>
              <w:rPr>
                <w:rFonts w:hint="default" w:ascii="Times New Roman" w:hAnsi="Times New Roman" w:eastAsia="宋体" w:cs="Times New Roman"/>
                <w:color w:val="000000" w:themeColor="text1"/>
                <w:sz w:val="24"/>
                <w:highlight w:val="none"/>
                <w14:textFill>
                  <w14:solidFill>
                    <w14:schemeClr w14:val="tx1"/>
                  </w14:solidFill>
                </w14:textFill>
              </w:rPr>
              <w:t xml:space="preserve">  （r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&gt;r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1</w:t>
            </w:r>
            <w:r>
              <w:rPr>
                <w:rFonts w:hint="default" w:ascii="Times New Roman" w:hAnsi="Times New Roman" w:eastAsia="宋体" w:cs="Times New Roman"/>
                <w:color w:val="000000" w:themeColor="text1"/>
                <w:sz w:val="24"/>
                <w:highlight w:val="none"/>
                <w14:textFill>
                  <w14:solidFill>
                    <w14:schemeClr w14:val="tx1"/>
                  </w14:solidFill>
                </w14:textFill>
              </w:rPr>
              <w:t>）</w:t>
            </w:r>
          </w:p>
          <w:p w14:paraId="01B082D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式中：L</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1</w:t>
            </w:r>
            <w:r>
              <w:rPr>
                <w:rFonts w:hint="default" w:ascii="Times New Roman" w:hAnsi="Times New Roman" w:eastAsia="宋体" w:cs="Times New Roman"/>
                <w:color w:val="000000" w:themeColor="text1"/>
                <w:sz w:val="24"/>
                <w:highlight w:val="none"/>
                <w14:textFill>
                  <w14:solidFill>
                    <w14:schemeClr w14:val="tx1"/>
                  </w14:solidFill>
                </w14:textFill>
              </w:rPr>
              <w:t>、L</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——距声源r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1</w:t>
            </w:r>
            <w:r>
              <w:rPr>
                <w:rFonts w:hint="default" w:ascii="Times New Roman" w:hAnsi="Times New Roman" w:eastAsia="宋体" w:cs="Times New Roman"/>
                <w:color w:val="000000" w:themeColor="text1"/>
                <w:sz w:val="24"/>
                <w:highlight w:val="none"/>
                <w14:textFill>
                  <w14:solidFill>
                    <w14:schemeClr w14:val="tx1"/>
                  </w14:solidFill>
                </w14:textFill>
              </w:rPr>
              <w:t>、r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处的等效A声级（dB（A））；</w:t>
            </w:r>
          </w:p>
          <w:p w14:paraId="36639D4C">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 xml:space="preserve">      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1</w:t>
            </w:r>
            <w:r>
              <w:rPr>
                <w:rFonts w:hint="default" w:ascii="Times New Roman" w:hAnsi="Times New Roman" w:eastAsia="宋体" w:cs="Times New Roman"/>
                <w:color w:val="000000" w:themeColor="text1"/>
                <w:sz w:val="24"/>
                <w:highlight w:val="none"/>
                <w14:textFill>
                  <w14:solidFill>
                    <w14:schemeClr w14:val="tx1"/>
                  </w14:solidFill>
                </w14:textFill>
              </w:rPr>
              <w:t>、r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w:t>
            </w:r>
            <w:r>
              <w:rPr>
                <w:rFonts w:hint="eastAsia" w:ascii="Times New Roman" w:hAnsi="Times New Roman" w:cs="Times New Roman"/>
                <w:color w:val="000000" w:themeColor="text1"/>
                <w:sz w:val="24"/>
                <w:highlight w:val="none"/>
                <w:lang w:eastAsia="zh-CN"/>
                <w14:textFill>
                  <w14:solidFill>
                    <w14:schemeClr w14:val="tx1"/>
                  </w14:solidFill>
                </w14:textFill>
              </w:rPr>
              <w:t>接收点</w:t>
            </w:r>
            <w:r>
              <w:rPr>
                <w:rFonts w:hint="default" w:ascii="Times New Roman" w:hAnsi="Times New Roman" w:eastAsia="宋体" w:cs="Times New Roman"/>
                <w:color w:val="000000" w:themeColor="text1"/>
                <w:sz w:val="24"/>
                <w:highlight w:val="none"/>
                <w14:textFill>
                  <w14:solidFill>
                    <w14:schemeClr w14:val="tx1"/>
                  </w14:solidFill>
                </w14:textFill>
              </w:rPr>
              <w:t>距声源的距离（m）。</w:t>
            </w:r>
          </w:p>
          <w:p w14:paraId="7B523712">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由上式可推出噪声随距离增加而衰减的量ΔL：</w:t>
            </w:r>
          </w:p>
          <w:p w14:paraId="645EE461">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ΔL= L</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1</w:t>
            </w:r>
            <w:r>
              <w:rPr>
                <w:rFonts w:hint="default" w:ascii="Times New Roman" w:hAnsi="Times New Roman" w:eastAsia="宋体" w:cs="Times New Roman"/>
                <w:color w:val="000000" w:themeColor="text1"/>
                <w:sz w:val="24"/>
                <w:highlight w:val="none"/>
                <w14:textFill>
                  <w14:solidFill>
                    <w14:schemeClr w14:val="tx1"/>
                  </w14:solidFill>
                </w14:textFill>
              </w:rPr>
              <w:t>－L</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=20lgr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/r</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1</w:t>
            </w:r>
          </w:p>
          <w:p w14:paraId="1AE325E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由此式可计算出噪声值随距离衰减的情况，结果</w:t>
            </w:r>
            <w:r>
              <w:rPr>
                <w:rFonts w:hint="eastAsia" w:ascii="Times New Roman" w:hAnsi="Times New Roman" w:cs="Times New Roman"/>
                <w:color w:val="000000" w:themeColor="text1"/>
                <w:sz w:val="24"/>
                <w:highlight w:val="none"/>
                <w:lang w:eastAsia="zh-CN"/>
                <w14:textFill>
                  <w14:solidFill>
                    <w14:schemeClr w14:val="tx1"/>
                  </w14:solidFill>
                </w14:textFill>
              </w:rPr>
              <w:t>见下</w:t>
            </w:r>
            <w:r>
              <w:rPr>
                <w:rFonts w:hint="default" w:ascii="Times New Roman" w:hAnsi="Times New Roman" w:eastAsia="宋体" w:cs="Times New Roman"/>
                <w:color w:val="000000" w:themeColor="text1"/>
                <w:sz w:val="24"/>
                <w:highlight w:val="none"/>
                <w14:textFill>
                  <w14:solidFill>
                    <w14:schemeClr w14:val="tx1"/>
                  </w14:solidFill>
                </w14:textFill>
              </w:rPr>
              <w:t>表。</w:t>
            </w:r>
          </w:p>
          <w:p w14:paraId="50B95324">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表</w:t>
            </w:r>
            <w:r>
              <w:rPr>
                <w:rFonts w:hint="eastAsia" w:ascii="Times New Roman" w:hAnsi="Times New Roman" w:cs="Times New Roman"/>
                <w:b/>
                <w:bCs/>
                <w:color w:val="000000" w:themeColor="text1"/>
                <w:sz w:val="24"/>
                <w:highlight w:val="none"/>
                <w:lang w:val="en-US" w:eastAsia="zh-CN"/>
                <w14:textFill>
                  <w14:solidFill>
                    <w14:schemeClr w14:val="tx1"/>
                  </w14:solidFill>
                </w14:textFill>
              </w:rPr>
              <w:t>2-7</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 xml:space="preserve">  </w:t>
            </w:r>
            <w:r>
              <w:rPr>
                <w:rFonts w:hint="default" w:ascii="Times New Roman" w:hAnsi="Times New Roman" w:eastAsia="宋体" w:cs="Times New Roman"/>
                <w:b/>
                <w:bCs/>
                <w:color w:val="000000" w:themeColor="text1"/>
                <w:sz w:val="24"/>
                <w:highlight w:val="none"/>
                <w14:textFill>
                  <w14:solidFill>
                    <w14:schemeClr w14:val="tx1"/>
                  </w14:solidFill>
                </w14:textFill>
              </w:rPr>
              <w:t>噪声值随距离的衰减关系</w:t>
            </w:r>
          </w:p>
          <w:tbl>
            <w:tblPr>
              <w:tblStyle w:val="24"/>
              <w:tblW w:w="8036" w:type="dxa"/>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4"/>
              <w:gridCol w:w="524"/>
              <w:gridCol w:w="627"/>
              <w:gridCol w:w="738"/>
              <w:gridCol w:w="786"/>
              <w:gridCol w:w="800"/>
              <w:gridCol w:w="881"/>
              <w:gridCol w:w="936"/>
              <w:gridCol w:w="934"/>
              <w:gridCol w:w="746"/>
            </w:tblGrid>
            <w:tr w14:paraId="7B6C00B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064" w:type="dxa"/>
                  <w:noWrap w:val="0"/>
                  <w:vAlign w:val="center"/>
                </w:tcPr>
                <w:p w14:paraId="5C903DC0">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距离</w:t>
                  </w:r>
                  <w:r>
                    <w:rPr>
                      <w:rFonts w:hint="eastAsia" w:ascii="Times New Roman" w:hAnsi="Times New Roman"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eastAsia" w:ascii="Times New Roman" w:hAnsi="Times New Roman" w:cs="Times New Roman"/>
                      <w:color w:val="000000" w:themeColor="text1"/>
                      <w:sz w:val="21"/>
                      <w:szCs w:val="21"/>
                      <w:highlight w:val="none"/>
                      <w:lang w:eastAsia="zh-CN"/>
                      <w14:textFill>
                        <w14:solidFill>
                          <w14:schemeClr w14:val="tx1"/>
                        </w14:solidFill>
                      </w14:textFill>
                    </w:rPr>
                    <w:t>）</w:t>
                  </w:r>
                </w:p>
              </w:tc>
              <w:tc>
                <w:tcPr>
                  <w:tcW w:w="524" w:type="dxa"/>
                  <w:noWrap w:val="0"/>
                  <w:vAlign w:val="center"/>
                </w:tcPr>
                <w:p w14:paraId="0359FCBE">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w:t>
                  </w:r>
                </w:p>
              </w:tc>
              <w:tc>
                <w:tcPr>
                  <w:tcW w:w="627" w:type="dxa"/>
                  <w:noWrap w:val="0"/>
                  <w:vAlign w:val="center"/>
                </w:tcPr>
                <w:p w14:paraId="362D8C57">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10</w:t>
                  </w:r>
                </w:p>
              </w:tc>
              <w:tc>
                <w:tcPr>
                  <w:tcW w:w="738" w:type="dxa"/>
                  <w:noWrap w:val="0"/>
                  <w:vAlign w:val="center"/>
                </w:tcPr>
                <w:p w14:paraId="47EC9C36">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50</w:t>
                  </w:r>
                </w:p>
              </w:tc>
              <w:tc>
                <w:tcPr>
                  <w:tcW w:w="786" w:type="dxa"/>
                  <w:noWrap w:val="0"/>
                  <w:vAlign w:val="center"/>
                </w:tcPr>
                <w:p w14:paraId="583E59E8">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100</w:t>
                  </w:r>
                </w:p>
              </w:tc>
              <w:tc>
                <w:tcPr>
                  <w:tcW w:w="800" w:type="dxa"/>
                  <w:noWrap w:val="0"/>
                  <w:vAlign w:val="center"/>
                </w:tcPr>
                <w:p w14:paraId="75CADC81">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150</w:t>
                  </w:r>
                </w:p>
              </w:tc>
              <w:tc>
                <w:tcPr>
                  <w:tcW w:w="881" w:type="dxa"/>
                  <w:noWrap w:val="0"/>
                  <w:vAlign w:val="center"/>
                </w:tcPr>
                <w:p w14:paraId="5C2729F1">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200</w:t>
                  </w:r>
                </w:p>
              </w:tc>
              <w:tc>
                <w:tcPr>
                  <w:tcW w:w="936" w:type="dxa"/>
                  <w:noWrap w:val="0"/>
                  <w:vAlign w:val="center"/>
                </w:tcPr>
                <w:p w14:paraId="30BC28CF">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250</w:t>
                  </w:r>
                </w:p>
              </w:tc>
              <w:tc>
                <w:tcPr>
                  <w:tcW w:w="934" w:type="dxa"/>
                  <w:noWrap w:val="0"/>
                  <w:vAlign w:val="center"/>
                </w:tcPr>
                <w:p w14:paraId="57E43883">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400</w:t>
                  </w:r>
                </w:p>
              </w:tc>
              <w:tc>
                <w:tcPr>
                  <w:tcW w:w="746" w:type="dxa"/>
                  <w:noWrap w:val="0"/>
                  <w:vAlign w:val="center"/>
                </w:tcPr>
                <w:p w14:paraId="556609D2">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600</w:t>
                  </w:r>
                </w:p>
              </w:tc>
            </w:tr>
            <w:tr w14:paraId="7621132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1064" w:type="dxa"/>
                  <w:noWrap w:val="0"/>
                  <w:vAlign w:val="center"/>
                </w:tcPr>
                <w:p w14:paraId="4BF6D925">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ΔLdB(A)</w:t>
                  </w:r>
                </w:p>
              </w:tc>
              <w:tc>
                <w:tcPr>
                  <w:tcW w:w="524" w:type="dxa"/>
                  <w:noWrap w:val="0"/>
                  <w:vAlign w:val="center"/>
                </w:tcPr>
                <w:p w14:paraId="4C0A4793">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0</w:t>
                  </w:r>
                </w:p>
              </w:tc>
              <w:tc>
                <w:tcPr>
                  <w:tcW w:w="627" w:type="dxa"/>
                  <w:noWrap w:val="0"/>
                  <w:vAlign w:val="center"/>
                </w:tcPr>
                <w:p w14:paraId="42445308">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20</w:t>
                  </w:r>
                </w:p>
              </w:tc>
              <w:tc>
                <w:tcPr>
                  <w:tcW w:w="738" w:type="dxa"/>
                  <w:noWrap w:val="0"/>
                  <w:vAlign w:val="center"/>
                </w:tcPr>
                <w:p w14:paraId="48823596">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34</w:t>
                  </w:r>
                </w:p>
              </w:tc>
              <w:tc>
                <w:tcPr>
                  <w:tcW w:w="786" w:type="dxa"/>
                  <w:noWrap w:val="0"/>
                  <w:vAlign w:val="center"/>
                </w:tcPr>
                <w:p w14:paraId="162842DF">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40</w:t>
                  </w:r>
                </w:p>
              </w:tc>
              <w:tc>
                <w:tcPr>
                  <w:tcW w:w="800" w:type="dxa"/>
                  <w:noWrap w:val="0"/>
                  <w:vAlign w:val="center"/>
                </w:tcPr>
                <w:p w14:paraId="0797D482">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43</w:t>
                  </w:r>
                </w:p>
              </w:tc>
              <w:tc>
                <w:tcPr>
                  <w:tcW w:w="881" w:type="dxa"/>
                  <w:noWrap w:val="0"/>
                  <w:vAlign w:val="center"/>
                </w:tcPr>
                <w:p w14:paraId="7D7879FC">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46</w:t>
                  </w:r>
                </w:p>
              </w:tc>
              <w:tc>
                <w:tcPr>
                  <w:tcW w:w="936" w:type="dxa"/>
                  <w:noWrap w:val="0"/>
                  <w:vAlign w:val="center"/>
                </w:tcPr>
                <w:p w14:paraId="63B4F4C4">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48</w:t>
                  </w:r>
                </w:p>
              </w:tc>
              <w:tc>
                <w:tcPr>
                  <w:tcW w:w="934" w:type="dxa"/>
                  <w:noWrap w:val="0"/>
                  <w:vAlign w:val="center"/>
                </w:tcPr>
                <w:p w14:paraId="57672CF2">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52</w:t>
                  </w:r>
                </w:p>
              </w:tc>
              <w:tc>
                <w:tcPr>
                  <w:tcW w:w="746" w:type="dxa"/>
                  <w:noWrap w:val="0"/>
                  <w:vAlign w:val="center"/>
                </w:tcPr>
                <w:p w14:paraId="0F444CEC">
                  <w:pPr>
                    <w:spacing w:before="156" w:line="240" w:lineRule="atLeast"/>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57</w:t>
                  </w:r>
                </w:p>
              </w:tc>
            </w:tr>
          </w:tbl>
          <w:p w14:paraId="12FA684B">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若按噪声最高的重型卡车计算，施工噪声随距离衰减后的情况</w:t>
            </w:r>
            <w:r>
              <w:rPr>
                <w:rFonts w:hint="eastAsia" w:ascii="Times New Roman" w:hAnsi="Times New Roman" w:cs="Times New Roman"/>
                <w:color w:val="000000" w:themeColor="text1"/>
                <w:sz w:val="24"/>
                <w:highlight w:val="none"/>
                <w:lang w:eastAsia="zh-CN"/>
                <w14:textFill>
                  <w14:solidFill>
                    <w14:schemeClr w14:val="tx1"/>
                  </w14:solidFill>
                </w14:textFill>
              </w:rPr>
              <w:t>如下</w:t>
            </w:r>
            <w:r>
              <w:rPr>
                <w:rFonts w:hint="default" w:ascii="Times New Roman" w:hAnsi="Times New Roman" w:eastAsia="宋体" w:cs="Times New Roman"/>
                <w:color w:val="000000" w:themeColor="text1"/>
                <w:sz w:val="24"/>
                <w:highlight w:val="none"/>
                <w14:textFill>
                  <w14:solidFill>
                    <w14:schemeClr w14:val="tx1"/>
                  </w14:solidFill>
                </w14:textFill>
              </w:rPr>
              <w:t>表所示。</w:t>
            </w:r>
          </w:p>
          <w:p w14:paraId="5239CE83">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表</w:t>
            </w:r>
            <w:r>
              <w:rPr>
                <w:rFonts w:hint="eastAsia" w:ascii="Times New Roman" w:hAnsi="Times New Roman" w:cs="Times New Roman"/>
                <w:b/>
                <w:bCs/>
                <w:color w:val="000000" w:themeColor="text1"/>
                <w:sz w:val="24"/>
                <w:highlight w:val="none"/>
                <w:lang w:val="en-US" w:eastAsia="zh-CN"/>
                <w14:textFill>
                  <w14:solidFill>
                    <w14:schemeClr w14:val="tx1"/>
                  </w14:solidFill>
                </w14:textFill>
              </w:rPr>
              <w:t>2-8</w:t>
            </w:r>
            <w:r>
              <w:rPr>
                <w:rFonts w:hint="default" w:ascii="Times New Roman" w:hAnsi="Times New Roman" w:eastAsia="宋体" w:cs="Times New Roman"/>
                <w:b/>
                <w:bCs/>
                <w:color w:val="000000" w:themeColor="text1"/>
                <w:sz w:val="24"/>
                <w:highlight w:val="none"/>
                <w14:textFill>
                  <w14:solidFill>
                    <w14:schemeClr w14:val="tx1"/>
                  </w14:solidFill>
                </w14:textFill>
              </w:rPr>
              <w:t xml:space="preserve">  施工噪声随距离的衰减值</w:t>
            </w:r>
          </w:p>
          <w:tbl>
            <w:tblPr>
              <w:tblStyle w:val="24"/>
              <w:tblW w:w="4993"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530"/>
              <w:gridCol w:w="714"/>
              <w:gridCol w:w="714"/>
              <w:gridCol w:w="714"/>
              <w:gridCol w:w="714"/>
              <w:gridCol w:w="714"/>
              <w:gridCol w:w="714"/>
              <w:gridCol w:w="713"/>
              <w:gridCol w:w="714"/>
              <w:gridCol w:w="714"/>
            </w:tblGrid>
            <w:tr w14:paraId="163F42B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700" w:type="pct"/>
                  <w:noWrap w:val="0"/>
                  <w:vAlign w:val="center"/>
                </w:tcPr>
                <w:p w14:paraId="4E47A346">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距离</w:t>
                  </w:r>
                  <w:r>
                    <w:rPr>
                      <w:rFonts w:hint="eastAsia" w:ascii="Times New Roman" w:hAnsi="Times New Roman" w:cs="Times New Roman"/>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m</w:t>
                  </w:r>
                  <w:r>
                    <w:rPr>
                      <w:rFonts w:hint="eastAsia" w:ascii="Times New Roman" w:hAnsi="Times New Roman" w:cs="Times New Roman"/>
                      <w:color w:val="000000" w:themeColor="text1"/>
                      <w:sz w:val="21"/>
                      <w:szCs w:val="21"/>
                      <w:highlight w:val="none"/>
                      <w:lang w:eastAsia="zh-CN"/>
                      <w14:textFill>
                        <w14:solidFill>
                          <w14:schemeClr w14:val="tx1"/>
                        </w14:solidFill>
                      </w14:textFill>
                    </w:rPr>
                    <w:t>）</w:t>
                  </w:r>
                </w:p>
              </w:tc>
              <w:tc>
                <w:tcPr>
                  <w:tcW w:w="327" w:type="pct"/>
                  <w:noWrap w:val="0"/>
                  <w:vAlign w:val="center"/>
                </w:tcPr>
                <w:p w14:paraId="1CA215D0">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10</w:t>
                  </w:r>
                </w:p>
              </w:tc>
              <w:tc>
                <w:tcPr>
                  <w:tcW w:w="441" w:type="pct"/>
                  <w:noWrap w:val="0"/>
                  <w:vAlign w:val="center"/>
                </w:tcPr>
                <w:p w14:paraId="4C99427F">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50</w:t>
                  </w:r>
                </w:p>
              </w:tc>
              <w:tc>
                <w:tcPr>
                  <w:tcW w:w="441" w:type="pct"/>
                  <w:noWrap w:val="0"/>
                  <w:vAlign w:val="center"/>
                </w:tcPr>
                <w:p w14:paraId="4B439853">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100</w:t>
                  </w:r>
                </w:p>
              </w:tc>
              <w:tc>
                <w:tcPr>
                  <w:tcW w:w="441" w:type="pct"/>
                  <w:noWrap w:val="0"/>
                  <w:vAlign w:val="center"/>
                </w:tcPr>
                <w:p w14:paraId="41BA7B95">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150</w:t>
                  </w:r>
                </w:p>
              </w:tc>
              <w:tc>
                <w:tcPr>
                  <w:tcW w:w="441" w:type="pct"/>
                  <w:noWrap w:val="0"/>
                  <w:vAlign w:val="center"/>
                </w:tcPr>
                <w:p w14:paraId="60FEFEBA">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200</w:t>
                  </w:r>
                </w:p>
              </w:tc>
              <w:tc>
                <w:tcPr>
                  <w:tcW w:w="441" w:type="pct"/>
                  <w:noWrap w:val="0"/>
                  <w:vAlign w:val="center"/>
                </w:tcPr>
                <w:p w14:paraId="14D90215">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250</w:t>
                  </w:r>
                </w:p>
              </w:tc>
              <w:tc>
                <w:tcPr>
                  <w:tcW w:w="441" w:type="pct"/>
                  <w:noWrap w:val="0"/>
                  <w:vAlign w:val="center"/>
                </w:tcPr>
                <w:p w14:paraId="076071B7">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300</w:t>
                  </w:r>
                </w:p>
              </w:tc>
              <w:tc>
                <w:tcPr>
                  <w:tcW w:w="440" w:type="pct"/>
                  <w:noWrap w:val="0"/>
                  <w:vAlign w:val="center"/>
                </w:tcPr>
                <w:p w14:paraId="39780970">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400</w:t>
                  </w:r>
                </w:p>
              </w:tc>
              <w:tc>
                <w:tcPr>
                  <w:tcW w:w="441" w:type="pct"/>
                  <w:noWrap w:val="0"/>
                  <w:vAlign w:val="center"/>
                </w:tcPr>
                <w:p w14:paraId="46FFA3B6">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500</w:t>
                  </w:r>
                </w:p>
              </w:tc>
              <w:tc>
                <w:tcPr>
                  <w:tcW w:w="441" w:type="pct"/>
                  <w:noWrap w:val="0"/>
                  <w:vAlign w:val="center"/>
                </w:tcPr>
                <w:p w14:paraId="4FE5B1CE">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600</w:t>
                  </w:r>
                </w:p>
              </w:tc>
            </w:tr>
            <w:tr w14:paraId="577E641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700" w:type="pct"/>
                  <w:noWrap w:val="0"/>
                  <w:vAlign w:val="center"/>
                </w:tcPr>
                <w:p w14:paraId="1F8D580B">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重型卡车</w:t>
                  </w:r>
                </w:p>
              </w:tc>
              <w:tc>
                <w:tcPr>
                  <w:tcW w:w="327" w:type="pct"/>
                  <w:noWrap w:val="0"/>
                  <w:vAlign w:val="center"/>
                </w:tcPr>
                <w:p w14:paraId="05A56AF8">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82</w:t>
                  </w:r>
                </w:p>
              </w:tc>
              <w:tc>
                <w:tcPr>
                  <w:tcW w:w="441" w:type="pct"/>
                  <w:noWrap w:val="0"/>
                  <w:vAlign w:val="center"/>
                </w:tcPr>
                <w:p w14:paraId="6C99B857">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68</w:t>
                  </w:r>
                </w:p>
              </w:tc>
              <w:tc>
                <w:tcPr>
                  <w:tcW w:w="441" w:type="pct"/>
                  <w:noWrap w:val="0"/>
                  <w:vAlign w:val="center"/>
                </w:tcPr>
                <w:p w14:paraId="7825A8C2">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62</w:t>
                  </w:r>
                </w:p>
              </w:tc>
              <w:tc>
                <w:tcPr>
                  <w:tcW w:w="441" w:type="pct"/>
                  <w:noWrap w:val="0"/>
                  <w:vAlign w:val="center"/>
                </w:tcPr>
                <w:p w14:paraId="19D4DDC7">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59</w:t>
                  </w:r>
                </w:p>
              </w:tc>
              <w:tc>
                <w:tcPr>
                  <w:tcW w:w="441" w:type="pct"/>
                  <w:noWrap w:val="0"/>
                  <w:vAlign w:val="center"/>
                </w:tcPr>
                <w:p w14:paraId="4898B3C3">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56</w:t>
                  </w:r>
                </w:p>
              </w:tc>
              <w:tc>
                <w:tcPr>
                  <w:tcW w:w="441" w:type="pct"/>
                  <w:noWrap w:val="0"/>
                  <w:vAlign w:val="center"/>
                </w:tcPr>
                <w:p w14:paraId="065F30D2">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54</w:t>
                  </w:r>
                </w:p>
              </w:tc>
              <w:tc>
                <w:tcPr>
                  <w:tcW w:w="441" w:type="pct"/>
                  <w:noWrap w:val="0"/>
                  <w:vAlign w:val="center"/>
                </w:tcPr>
                <w:p w14:paraId="64750FF2">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53</w:t>
                  </w:r>
                </w:p>
              </w:tc>
              <w:tc>
                <w:tcPr>
                  <w:tcW w:w="440" w:type="pct"/>
                  <w:noWrap w:val="0"/>
                  <w:vAlign w:val="center"/>
                </w:tcPr>
                <w:p w14:paraId="2E9A2CBE">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50</w:t>
                  </w:r>
                </w:p>
              </w:tc>
              <w:tc>
                <w:tcPr>
                  <w:tcW w:w="441" w:type="pct"/>
                  <w:noWrap w:val="0"/>
                  <w:vAlign w:val="center"/>
                </w:tcPr>
                <w:p w14:paraId="63C9E031">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47</w:t>
                  </w:r>
                </w:p>
              </w:tc>
              <w:tc>
                <w:tcPr>
                  <w:tcW w:w="441" w:type="pct"/>
                  <w:noWrap w:val="0"/>
                  <w:vAlign w:val="center"/>
                </w:tcPr>
                <w:p w14:paraId="2E10F42E">
                  <w:pPr>
                    <w:spacing w:before="156" w:line="240" w:lineRule="atLeast"/>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45</w:t>
                  </w:r>
                </w:p>
              </w:tc>
            </w:tr>
          </w:tbl>
          <w:p w14:paraId="0BA0DF3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由表计算结果可知，白天施工机械噪声值超标在100米范围内，对100米外的声环境影响较小，所以施工噪声会对项目拟建地周围100米范围内的施工人员产生一定程度的污染影响。</w:t>
            </w:r>
          </w:p>
          <w:p w14:paraId="1F2AF84C">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（4）固体废物产生环节</w:t>
            </w:r>
          </w:p>
          <w:p w14:paraId="649A07B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①施工过程中产生的建筑垃圾，主要成分为碎石、泥土、混凝土、</w:t>
            </w:r>
            <w:r>
              <w:rPr>
                <w:rFonts w:hint="eastAsia" w:ascii="Times New Roman" w:hAnsi="Times New Roman" w:cs="Times New Roman"/>
                <w:color w:val="000000" w:themeColor="text1"/>
                <w:sz w:val="24"/>
                <w:highlight w:val="none"/>
                <w:lang w:eastAsia="zh-CN"/>
                <w14:textFill>
                  <w14:solidFill>
                    <w14:schemeClr w14:val="tx1"/>
                  </w14:solidFill>
                </w14:textFill>
              </w:rPr>
              <w:t>灰渣</w:t>
            </w:r>
            <w:r>
              <w:rPr>
                <w:rFonts w:hint="default" w:ascii="Times New Roman" w:hAnsi="Times New Roman" w:eastAsia="宋体" w:cs="Times New Roman"/>
                <w:color w:val="000000" w:themeColor="text1"/>
                <w:sz w:val="24"/>
                <w:highlight w:val="none"/>
                <w14:textFill>
                  <w14:solidFill>
                    <w14:schemeClr w14:val="tx1"/>
                  </w14:solidFill>
                </w14:textFill>
              </w:rPr>
              <w:t>、钢筋头、破砖、包装箱等，</w:t>
            </w:r>
            <w:r>
              <w:rPr>
                <w:rFonts w:hint="eastAsia" w:ascii="Times New Roman" w:hAnsi="Times New Roman" w:cs="Times New Roman"/>
                <w:color w:val="000000" w:themeColor="text1"/>
                <w:sz w:val="24"/>
                <w:highlight w:val="none"/>
                <w:lang w:eastAsia="zh-CN"/>
                <w14:textFill>
                  <w14:solidFill>
                    <w14:schemeClr w14:val="tx1"/>
                  </w14:solidFill>
                </w14:textFill>
              </w:rPr>
              <w:t>来自</w:t>
            </w:r>
            <w:r>
              <w:rPr>
                <w:rFonts w:hint="default" w:ascii="Times New Roman" w:hAnsi="Times New Roman" w:eastAsia="宋体" w:cs="Times New Roman"/>
                <w:color w:val="000000" w:themeColor="text1"/>
                <w:sz w:val="24"/>
                <w:highlight w:val="none"/>
                <w14:textFill>
                  <w14:solidFill>
                    <w14:schemeClr w14:val="tx1"/>
                  </w14:solidFill>
                </w14:textFill>
              </w:rPr>
              <w:t>地基开挖、主体施工和后期安装等阶段；</w:t>
            </w:r>
          </w:p>
          <w:p w14:paraId="20F71B98">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lang w:eastAsia="zh-CN"/>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②施工人员产生的生活垃圾</w:t>
            </w:r>
            <w:r>
              <w:rPr>
                <w:rFonts w:hint="default" w:ascii="Times New Roman" w:hAnsi="Times New Roman" w:cs="Times New Roman"/>
                <w:color w:val="000000" w:themeColor="text1"/>
                <w:sz w:val="24"/>
                <w:highlight w:val="none"/>
                <w:lang w:eastAsia="zh-CN"/>
                <w14:textFill>
                  <w14:solidFill>
                    <w14:schemeClr w14:val="tx1"/>
                  </w14:solidFill>
                </w14:textFill>
              </w:rPr>
              <w:t>。</w:t>
            </w:r>
          </w:p>
          <w:p w14:paraId="181931D3">
            <w:pPr>
              <w:pStyle w:val="23"/>
              <w:keepNext w:val="0"/>
              <w:keepLines w:val="0"/>
              <w:pageBreakBefore w:val="0"/>
              <w:widowControl w:val="0"/>
              <w:kinsoku/>
              <w:wordWrap/>
              <w:overflowPunct/>
              <w:topLinePunct w:val="0"/>
              <w:autoSpaceDE/>
              <w:autoSpaceDN/>
              <w:bidi w:val="0"/>
              <w:adjustRightInd/>
              <w:snapToGrid w:val="0"/>
              <w:spacing w:after="0" w:line="360" w:lineRule="auto"/>
              <w:ind w:left="0" w:leftChars="0" w:firstLine="482"/>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b/>
                <w:bCs/>
                <w:color w:val="000000" w:themeColor="text1"/>
                <w:highlight w:val="none"/>
                <w14:textFill>
                  <w14:solidFill>
                    <w14:schemeClr w14:val="tx1"/>
                  </w14:solidFill>
                </w14:textFill>
              </w:rPr>
              <w:t>二、运营期主要污染工序</w:t>
            </w:r>
          </w:p>
          <w:p w14:paraId="16D92E4E">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eastAsia"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1.</w:t>
            </w:r>
            <w:r>
              <w:rPr>
                <w:rFonts w:hint="default" w:ascii="Times New Roman" w:hAnsi="Times New Roman" w:cs="Times New Roman"/>
                <w:b/>
                <w:bCs/>
                <w:color w:val="000000" w:themeColor="text1"/>
                <w:highlight w:val="none"/>
                <w:lang w:val="en-US" w:eastAsia="zh-CN"/>
                <w14:textFill>
                  <w14:solidFill>
                    <w14:schemeClr w14:val="tx1"/>
                  </w14:solidFill>
                </w14:textFill>
              </w:rPr>
              <w:t>运营期</w:t>
            </w:r>
            <w:r>
              <w:rPr>
                <w:rFonts w:hint="eastAsia" w:ascii="Times New Roman" w:hAnsi="Times New Roman" w:cs="Times New Roman"/>
                <w:b/>
                <w:bCs/>
                <w:color w:val="000000" w:themeColor="text1"/>
                <w:highlight w:val="none"/>
                <w:lang w:val="en-US" w:eastAsia="zh-CN"/>
                <w14:textFill>
                  <w14:solidFill>
                    <w14:schemeClr w14:val="tx1"/>
                  </w14:solidFill>
                </w14:textFill>
              </w:rPr>
              <w:t>工艺流程</w:t>
            </w:r>
          </w:p>
          <w:p w14:paraId="2DD5CA89">
            <w:pPr>
              <w:spacing w:line="360" w:lineRule="auto"/>
              <w:jc w:val="center"/>
              <w:rPr>
                <w:rFonts w:hint="default"/>
                <w:color w:val="000000" w:themeColor="text1"/>
                <w:highlight w:val="none"/>
                <w14:textFill>
                  <w14:solidFill>
                    <w14:schemeClr w14:val="tx1"/>
                  </w14:solidFill>
                </w14:textFill>
              </w:rPr>
            </w:pPr>
            <w:r>
              <w:drawing>
                <wp:inline distT="0" distB="0" distL="114300" distR="114300">
                  <wp:extent cx="5148580" cy="2404110"/>
                  <wp:effectExtent l="0" t="0" r="13970" b="15240"/>
                  <wp:docPr id="9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1"/>
                          <pic:cNvPicPr>
                            <a:picLocks noChangeAspect="1"/>
                          </pic:cNvPicPr>
                        </pic:nvPicPr>
                        <pic:blipFill>
                          <a:blip r:embed="rId17"/>
                          <a:stretch>
                            <a:fillRect/>
                          </a:stretch>
                        </pic:blipFill>
                        <pic:spPr>
                          <a:xfrm>
                            <a:off x="0" y="0"/>
                            <a:ext cx="5148580" cy="2404110"/>
                          </a:xfrm>
                          <a:prstGeom prst="rect">
                            <a:avLst/>
                          </a:prstGeom>
                          <a:noFill/>
                          <a:ln>
                            <a:noFill/>
                          </a:ln>
                        </pic:spPr>
                      </pic:pic>
                    </a:graphicData>
                  </a:graphic>
                </wp:inline>
              </w:drawing>
            </w:r>
          </w:p>
          <w:p w14:paraId="55B6836F">
            <w:pPr>
              <w:keepNext w:val="0"/>
              <w:keepLines w:val="0"/>
              <w:pageBreakBefore w:val="0"/>
              <w:widowControl w:val="0"/>
              <w:kinsoku/>
              <w:wordWrap/>
              <w:overflowPunct/>
              <w:topLinePunct w:val="0"/>
              <w:autoSpaceDE/>
              <w:autoSpaceDN/>
              <w:bidi w:val="0"/>
              <w:adjustRightInd/>
              <w:snapToGrid w:val="0"/>
              <w:spacing w:beforeLines="0" w:line="360" w:lineRule="auto"/>
              <w:ind w:left="0" w:leftChars="0" w:right="0" w:rightChars="0" w:firstLine="0" w:firstLineChars="0"/>
              <w:jc w:val="center"/>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图</w:t>
            </w:r>
            <w:r>
              <w:rPr>
                <w:rFonts w:hint="eastAsia" w:ascii="Times New Roman" w:hAnsi="Times New Roman" w:cs="Times New Roman"/>
                <w:b/>
                <w:bCs/>
                <w:color w:val="auto"/>
                <w:highlight w:val="none"/>
                <w:lang w:val="en-US" w:eastAsia="zh-CN"/>
              </w:rPr>
              <w:t>2-3</w:t>
            </w:r>
            <w:r>
              <w:rPr>
                <w:rFonts w:hint="default" w:ascii="Times New Roman" w:hAnsi="Times New Roman" w:cs="Times New Roman"/>
                <w:b/>
                <w:bCs/>
                <w:color w:val="auto"/>
                <w:highlight w:val="none"/>
              </w:rPr>
              <w:t xml:space="preserve">  </w:t>
            </w:r>
            <w:r>
              <w:rPr>
                <w:rFonts w:hint="eastAsia" w:ascii="Times New Roman" w:hAnsi="Times New Roman" w:cs="Times New Roman"/>
                <w:b/>
                <w:bCs/>
                <w:color w:val="auto"/>
                <w:sz w:val="24"/>
                <w:szCs w:val="24"/>
                <w:highlight w:val="none"/>
                <w:lang w:val="en-US" w:eastAsia="zh-CN"/>
              </w:rPr>
              <w:t>运营期</w:t>
            </w:r>
            <w:r>
              <w:rPr>
                <w:rFonts w:hint="default" w:ascii="Times New Roman" w:hAnsi="Times New Roman" w:eastAsia="宋体" w:cs="Times New Roman"/>
                <w:b/>
                <w:bCs/>
                <w:color w:val="auto"/>
                <w:sz w:val="24"/>
                <w:szCs w:val="24"/>
                <w:highlight w:val="none"/>
                <w:lang w:val="en-US" w:eastAsia="zh-CN"/>
              </w:rPr>
              <w:t>生产工艺及产污环节图</w:t>
            </w:r>
          </w:p>
          <w:p w14:paraId="19CF1757">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left"/>
              <w:textAlignment w:val="auto"/>
              <w:rPr>
                <w:rFonts w:hint="eastAsia" w:ascii="Times New Roman" w:hAnsi="Times New Roman" w:eastAsia="宋体" w:cs="Times New Roman"/>
                <w:b/>
                <w:bCs w:val="0"/>
                <w:color w:val="000000" w:themeColor="text1"/>
                <w:sz w:val="24"/>
                <w:highlight w:val="none"/>
                <w:lang w:val="en-US" w:eastAsia="zh-CN"/>
                <w14:textFill>
                  <w14:solidFill>
                    <w14:schemeClr w14:val="tx1"/>
                  </w14:solidFill>
                </w14:textFill>
              </w:rPr>
            </w:pPr>
            <w:r>
              <w:rPr>
                <w:rFonts w:hint="eastAsia" w:ascii="Times New Roman" w:hAnsi="Times New Roman" w:cs="Times New Roman"/>
                <w:b/>
                <w:bCs w:val="0"/>
                <w:color w:val="000000" w:themeColor="text1"/>
                <w:sz w:val="24"/>
                <w:highlight w:val="none"/>
                <w:lang w:val="en-US" w:eastAsia="zh-CN"/>
                <w14:textFill>
                  <w14:solidFill>
                    <w14:schemeClr w14:val="tx1"/>
                  </w14:solidFill>
                </w14:textFill>
              </w:rPr>
              <w:t>生产工艺简述：</w:t>
            </w:r>
          </w:p>
          <w:p w14:paraId="5B4C1689">
            <w:pPr>
              <w:keepNext w:val="0"/>
              <w:keepLines w:val="0"/>
              <w:pageBreakBefore w:val="0"/>
              <w:widowControl w:val="0"/>
              <w:numPr>
                <w:ilvl w:val="0"/>
                <w:numId w:val="1"/>
              </w:numPr>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原料卸料</w:t>
            </w:r>
          </w:p>
          <w:p w14:paraId="0C64887B">
            <w:pPr>
              <w:keepNext w:val="0"/>
              <w:keepLines w:val="0"/>
              <w:pageBreakBefore w:val="0"/>
              <w:widowControl w:val="0"/>
              <w:numPr>
                <w:ilvl w:val="0"/>
                <w:numId w:val="0"/>
              </w:numPr>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企业外购的</w:t>
            </w:r>
            <w:r>
              <w:rPr>
                <w:rFonts w:hint="eastAsia" w:ascii="Times New Roman" w:hAnsi="Times New Roman" w:cs="Times New Roman"/>
                <w:color w:val="000000" w:themeColor="text1"/>
                <w:sz w:val="24"/>
                <w:highlight w:val="none"/>
                <w:lang w:val="en-US" w:eastAsia="zh-CN"/>
                <w14:textFill>
                  <w14:solidFill>
                    <w14:schemeClr w14:val="tx1"/>
                  </w14:solidFill>
                </w14:textFill>
              </w:rPr>
              <w:t>0.1—1.2m</w:t>
            </w:r>
            <w:r>
              <w:rPr>
                <w:rFonts w:hint="default" w:ascii="Times New Roman" w:hAnsi="Times New Roman" w:eastAsia="宋体" w:cs="Times New Roman"/>
                <w:color w:val="000000" w:themeColor="text1"/>
                <w:sz w:val="24"/>
                <w:highlight w:val="none"/>
                <w14:textFill>
                  <w14:solidFill>
                    <w14:schemeClr w14:val="tx1"/>
                  </w14:solidFill>
                </w14:textFill>
              </w:rPr>
              <w:t>m的石灰石料，通过汽车运输至厂内，卸料在</w:t>
            </w:r>
            <w:r>
              <w:rPr>
                <w:rFonts w:hint="eastAsia" w:ascii="Times New Roman" w:hAnsi="Times New Roman" w:cs="Times New Roman"/>
                <w:color w:val="000000" w:themeColor="text1"/>
                <w:sz w:val="24"/>
                <w:highlight w:val="none"/>
                <w:lang w:val="en-US" w:eastAsia="zh-CN"/>
                <w14:textFill>
                  <w14:solidFill>
                    <w14:schemeClr w14:val="tx1"/>
                  </w14:solidFill>
                </w14:textFill>
              </w:rPr>
              <w:t>封闭式原料库</w:t>
            </w:r>
            <w:r>
              <w:rPr>
                <w:rFonts w:hint="default" w:ascii="Times New Roman" w:hAnsi="Times New Roman" w:eastAsia="宋体" w:cs="Times New Roman"/>
                <w:color w:val="000000" w:themeColor="text1"/>
                <w:sz w:val="24"/>
                <w:highlight w:val="none"/>
                <w14:textFill>
                  <w14:solidFill>
                    <w14:schemeClr w14:val="tx1"/>
                  </w14:solidFill>
                </w14:textFill>
              </w:rPr>
              <w:t>内进行</w:t>
            </w:r>
            <w:r>
              <w:rPr>
                <w:rFonts w:hint="eastAsia" w:ascii="Times New Roman" w:hAnsi="Times New Roman" w:cs="Times New Roman"/>
                <w:color w:val="000000" w:themeColor="text1"/>
                <w:sz w:val="24"/>
                <w:highlight w:val="none"/>
                <w:lang w:eastAsia="zh-CN"/>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能够对无组织粉尘的排放起到</w:t>
            </w:r>
            <w:r>
              <w:rPr>
                <w:rFonts w:hint="eastAsia" w:ascii="Times New Roman" w:hAnsi="Times New Roman" w:cs="Times New Roman"/>
                <w:color w:val="000000" w:themeColor="text1"/>
                <w:sz w:val="24"/>
                <w:highlight w:val="none"/>
                <w:lang w:val="en-US" w:eastAsia="zh-CN"/>
                <w14:textFill>
                  <w14:solidFill>
                    <w14:schemeClr w14:val="tx1"/>
                  </w14:solidFill>
                </w14:textFill>
              </w:rPr>
              <w:t>明显</w:t>
            </w:r>
            <w:r>
              <w:rPr>
                <w:rFonts w:hint="default" w:ascii="Times New Roman" w:hAnsi="Times New Roman" w:eastAsia="宋体" w:cs="Times New Roman"/>
                <w:color w:val="000000" w:themeColor="text1"/>
                <w:sz w:val="24"/>
                <w:highlight w:val="none"/>
                <w14:textFill>
                  <w14:solidFill>
                    <w14:schemeClr w14:val="tx1"/>
                  </w14:solidFill>
                </w14:textFill>
              </w:rPr>
              <w:t>的抑制作用。</w:t>
            </w:r>
          </w:p>
          <w:p w14:paraId="2DA8415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本工序噪声污染源主要为自卸槽车，自卸槽车卸料过程在生产厂房内进行，可利用厂房隔声降噪。</w:t>
            </w:r>
          </w:p>
          <w:p w14:paraId="5470DFB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cs="Times New Roman"/>
                <w:color w:val="000000" w:themeColor="text1"/>
                <w:sz w:val="24"/>
                <w:highlight w:val="none"/>
                <w:lang w:eastAsia="zh-CN"/>
                <w14:textFill>
                  <w14:solidFill>
                    <w14:schemeClr w14:val="tx1"/>
                  </w14:solidFill>
                </w14:textFill>
              </w:rPr>
              <w:t>（</w:t>
            </w:r>
            <w:r>
              <w:rPr>
                <w:rFonts w:hint="eastAsia" w:ascii="Times New Roman" w:hAnsi="Times New Roman" w:cs="Times New Roman"/>
                <w:color w:val="000000" w:themeColor="text1"/>
                <w:sz w:val="24"/>
                <w:highlight w:val="none"/>
                <w:lang w:val="en-US" w:eastAsia="zh-CN"/>
                <w14:textFill>
                  <w14:solidFill>
                    <w14:schemeClr w14:val="tx1"/>
                  </w14:solidFill>
                </w14:textFill>
              </w:rPr>
              <w:t>2</w:t>
            </w:r>
            <w:r>
              <w:rPr>
                <w:rFonts w:hint="eastAsia" w:ascii="Times New Roman" w:hAnsi="Times New Roman" w:cs="Times New Roman"/>
                <w:color w:val="000000" w:themeColor="text1"/>
                <w:sz w:val="24"/>
                <w:highlight w:val="none"/>
                <w:lang w:eastAsia="zh-CN"/>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磨粉工序</w:t>
            </w:r>
          </w:p>
          <w:p w14:paraId="448EEA8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石灰石原料储存于原料</w:t>
            </w:r>
            <w:r>
              <w:rPr>
                <w:rFonts w:hint="eastAsia" w:ascii="Times New Roman" w:hAnsi="Times New Roman" w:cs="Times New Roman"/>
                <w:color w:val="000000" w:themeColor="text1"/>
                <w:sz w:val="24"/>
                <w:highlight w:val="none"/>
                <w:lang w:val="en-US" w:eastAsia="zh-CN"/>
                <w14:textFill>
                  <w14:solidFill>
                    <w14:schemeClr w14:val="tx1"/>
                  </w14:solidFill>
                </w14:textFill>
              </w:rPr>
              <w:t>堆库</w:t>
            </w:r>
            <w:r>
              <w:rPr>
                <w:rFonts w:hint="default" w:ascii="Times New Roman" w:hAnsi="Times New Roman" w:eastAsia="宋体" w:cs="Times New Roman"/>
                <w:color w:val="000000" w:themeColor="text1"/>
                <w:sz w:val="24"/>
                <w:highlight w:val="none"/>
                <w14:textFill>
                  <w14:solidFill>
                    <w14:schemeClr w14:val="tx1"/>
                  </w14:solidFill>
                </w14:textFill>
              </w:rPr>
              <w:t>内，</w:t>
            </w:r>
            <w:r>
              <w:rPr>
                <w:rFonts w:hint="eastAsia" w:ascii="Times New Roman" w:hAnsi="Times New Roman" w:cs="Times New Roman"/>
                <w:color w:val="000000" w:themeColor="text1"/>
                <w:sz w:val="24"/>
                <w:highlight w:val="none"/>
                <w:lang w:eastAsia="zh-CN"/>
                <w14:textFill>
                  <w14:solidFill>
                    <w14:schemeClr w14:val="tx1"/>
                  </w14:solidFill>
                </w14:textFill>
              </w:rPr>
              <w:t>由</w:t>
            </w:r>
            <w:r>
              <w:rPr>
                <w:rFonts w:hint="default" w:ascii="Times New Roman" w:hAnsi="Times New Roman" w:eastAsia="宋体" w:cs="Times New Roman"/>
                <w:color w:val="000000" w:themeColor="text1"/>
                <w:sz w:val="24"/>
                <w:highlight w:val="none"/>
                <w14:textFill>
                  <w14:solidFill>
                    <w14:schemeClr w14:val="tx1"/>
                  </w14:solidFill>
                </w14:textFill>
              </w:rPr>
              <w:t>装载机送至上料斗，再由皮带机输送到磨粉机内，</w:t>
            </w:r>
            <w:r>
              <w:rPr>
                <w:rFonts w:hint="eastAsia" w:ascii="Times New Roman" w:hAnsi="Times New Roman" w:cs="Times New Roman"/>
                <w:color w:val="000000" w:themeColor="text1"/>
                <w:sz w:val="24"/>
                <w:highlight w:val="none"/>
                <w:lang w:val="en-US" w:eastAsia="zh-CN"/>
                <w14:textFill>
                  <w14:solidFill>
                    <w14:schemeClr w14:val="tx1"/>
                  </w14:solidFill>
                </w14:textFill>
              </w:rPr>
              <w:t>物料通过磨辊与磨环的碾压、冲击及研磨作用，被加工成微细粉末。粉磨过程中产生的含尘气体，由上部负压收集+脉冲布袋除尘器处理后经15m高排气筒达标排放</w:t>
            </w:r>
            <w:r>
              <w:rPr>
                <w:rFonts w:hint="default" w:ascii="Times New Roman" w:hAnsi="Times New Roman" w:eastAsia="宋体" w:cs="Times New Roman"/>
                <w:color w:val="000000" w:themeColor="text1"/>
                <w:sz w:val="24"/>
                <w:highlight w:val="none"/>
                <w14:textFill>
                  <w14:solidFill>
                    <w14:schemeClr w14:val="tx1"/>
                  </w14:solidFill>
                </w14:textFill>
              </w:rPr>
              <w:t>。该过程会有粉尘、噪声产生。</w:t>
            </w:r>
          </w:p>
          <w:p w14:paraId="35D5F567">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Times New Roman"/>
                <w:color w:val="000000" w:themeColor="text1"/>
                <w:sz w:val="24"/>
                <w:highlight w:val="none"/>
                <w:lang w:eastAsia="zh-CN"/>
                <w14:textFill>
                  <w14:solidFill>
                    <w14:schemeClr w14:val="tx1"/>
                  </w14:solidFill>
                </w14:textFill>
              </w:rPr>
            </w:pPr>
            <w:r>
              <w:rPr>
                <w:rFonts w:hint="eastAsia" w:ascii="Times New Roman" w:hAnsi="Times New Roman" w:cs="Times New Roman"/>
                <w:color w:val="000000" w:themeColor="text1"/>
                <w:sz w:val="24"/>
                <w:highlight w:val="none"/>
                <w:lang w:eastAsia="zh-CN"/>
                <w14:textFill>
                  <w14:solidFill>
                    <w14:schemeClr w14:val="tx1"/>
                  </w14:solidFill>
                </w14:textFill>
              </w:rPr>
              <w:t>（</w:t>
            </w:r>
            <w:r>
              <w:rPr>
                <w:rFonts w:hint="eastAsia" w:ascii="Times New Roman" w:hAnsi="Times New Roman" w:cs="Times New Roman"/>
                <w:color w:val="000000" w:themeColor="text1"/>
                <w:sz w:val="24"/>
                <w:highlight w:val="none"/>
                <w:lang w:val="en-US" w:eastAsia="zh-CN"/>
                <w14:textFill>
                  <w14:solidFill>
                    <w14:schemeClr w14:val="tx1"/>
                  </w14:solidFill>
                </w14:textFill>
              </w:rPr>
              <w:t>3</w:t>
            </w:r>
            <w:r>
              <w:rPr>
                <w:rFonts w:hint="eastAsia" w:ascii="Times New Roman" w:hAnsi="Times New Roman" w:cs="Times New Roman"/>
                <w:color w:val="000000" w:themeColor="text1"/>
                <w:sz w:val="24"/>
                <w:highlight w:val="none"/>
                <w:lang w:eastAsia="zh-CN"/>
                <w14:textFill>
                  <w14:solidFill>
                    <w14:schemeClr w14:val="tx1"/>
                  </w14:solidFill>
                </w14:textFill>
              </w:rPr>
              <w:t>）</w:t>
            </w:r>
            <w:r>
              <w:rPr>
                <w:rFonts w:hint="eastAsia" w:ascii="Times New Roman" w:hAnsi="Times New Roman" w:cs="Times New Roman"/>
                <w:color w:val="000000" w:themeColor="text1"/>
                <w:sz w:val="24"/>
                <w:highlight w:val="none"/>
                <w:lang w:val="en-US" w:eastAsia="zh-CN"/>
                <w14:textFill>
                  <w14:solidFill>
                    <w14:schemeClr w14:val="tx1"/>
                  </w14:solidFill>
                </w14:textFill>
              </w:rPr>
              <w:t>成品储存</w:t>
            </w:r>
          </w:p>
          <w:p w14:paraId="6A67214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eastAsia" w:ascii="Times New Roman" w:hAnsi="Times New Roman" w:cs="Times New Roman"/>
                <w:color w:val="000000" w:themeColor="text1"/>
                <w:sz w:val="24"/>
                <w:highlight w:val="none"/>
                <w:lang w:val="en-US" w:eastAsia="zh-CN"/>
                <w14:textFill>
                  <w14:solidFill>
                    <w14:schemeClr w14:val="tx1"/>
                  </w14:solidFill>
                </w14:textFill>
              </w:rPr>
              <w:t>经提升机输送至顶部的成品，落入成品区储料罐中贮存，出售。</w:t>
            </w:r>
          </w:p>
          <w:p w14:paraId="21B55AEB">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eastAsia"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2.运营期主要污染工序</w:t>
            </w:r>
          </w:p>
          <w:p w14:paraId="110B42A5">
            <w:pPr>
              <w:keepNext w:val="0"/>
              <w:keepLines w:val="0"/>
              <w:pageBreakBefore w:val="0"/>
              <w:widowControl w:val="0"/>
              <w:kinsoku/>
              <w:wordWrap/>
              <w:overflowPunct/>
              <w:topLinePunct w:val="0"/>
              <w:autoSpaceDE/>
              <w:autoSpaceDN/>
              <w:bidi w:val="0"/>
              <w:adjustRightInd/>
              <w:snapToGrid w:val="0"/>
              <w:spacing w:beforeLines="0" w:line="360" w:lineRule="auto"/>
              <w:ind w:left="0" w:leftChars="0" w:right="0" w:rightChars="0" w:firstLine="0" w:firstLineChars="0"/>
              <w:jc w:val="center"/>
              <w:textAlignment w:val="auto"/>
              <w:rPr>
                <w:rFonts w:hint="eastAsia" w:ascii="Times New Roman" w:hAnsi="Times New Roman" w:eastAsia="宋体" w:cs="Times New Roman"/>
                <w:b/>
                <w:bCs/>
                <w:color w:val="000000" w:themeColor="text1"/>
                <w:highlight w:val="none"/>
                <w14:textFill>
                  <w14:solidFill>
                    <w14:schemeClr w14:val="tx1"/>
                  </w14:solidFill>
                </w14:textFill>
              </w:rPr>
            </w:pPr>
            <w:r>
              <w:rPr>
                <w:rFonts w:hint="eastAsia" w:ascii="Times New Roman" w:hAnsi="Times New Roman" w:eastAsia="宋体" w:cs="Times New Roman"/>
                <w:b/>
                <w:bCs/>
                <w:color w:val="000000" w:themeColor="text1"/>
                <w:highlight w:val="none"/>
                <w14:textFill>
                  <w14:solidFill>
                    <w14:schemeClr w14:val="tx1"/>
                  </w14:solidFill>
                </w14:textFill>
              </w:rPr>
              <w:t>表2-</w:t>
            </w:r>
            <w:r>
              <w:rPr>
                <w:rFonts w:hint="eastAsia" w:ascii="Times New Roman" w:hAnsi="Times New Roman" w:cs="Times New Roman"/>
                <w:b/>
                <w:bCs/>
                <w:color w:val="000000" w:themeColor="text1"/>
                <w:highlight w:val="none"/>
                <w:lang w:val="en-US" w:eastAsia="zh-CN"/>
                <w14:textFill>
                  <w14:solidFill>
                    <w14:schemeClr w14:val="tx1"/>
                  </w14:solidFill>
                </w14:textFill>
              </w:rPr>
              <w:t>9</w:t>
            </w:r>
            <w:r>
              <w:rPr>
                <w:rFonts w:hint="eastAsia" w:ascii="Times New Roman" w:hAnsi="Times New Roman" w:eastAsia="宋体" w:cs="Times New Roman"/>
                <w:b/>
                <w:bCs/>
                <w:color w:val="000000" w:themeColor="text1"/>
                <w:highlight w:val="none"/>
                <w14:textFill>
                  <w14:solidFill>
                    <w14:schemeClr w14:val="tx1"/>
                  </w14:solidFill>
                </w14:textFill>
              </w:rPr>
              <w:t xml:space="preserve">  </w:t>
            </w:r>
            <w:r>
              <w:rPr>
                <w:rFonts w:hint="eastAsia" w:ascii="Times New Roman" w:hAnsi="Times New Roman" w:cs="Times New Roman"/>
                <w:b/>
                <w:bCs/>
                <w:color w:val="000000" w:themeColor="text1"/>
                <w:highlight w:val="none"/>
                <w:lang w:val="en-US" w:eastAsia="zh-CN"/>
                <w14:textFill>
                  <w14:solidFill>
                    <w14:schemeClr w14:val="tx1"/>
                  </w14:solidFill>
                </w14:textFill>
              </w:rPr>
              <w:t>运营期</w:t>
            </w:r>
            <w:r>
              <w:rPr>
                <w:rFonts w:hint="eastAsia" w:ascii="Times New Roman" w:hAnsi="Times New Roman" w:eastAsia="宋体" w:cs="Times New Roman"/>
                <w:b/>
                <w:bCs/>
                <w:color w:val="000000" w:themeColor="text1"/>
                <w:highlight w:val="none"/>
                <w14:textFill>
                  <w14:solidFill>
                    <w14:schemeClr w14:val="tx1"/>
                  </w14:solidFill>
                </w14:textFill>
              </w:rPr>
              <w:t>产污环节表</w:t>
            </w:r>
          </w:p>
          <w:tbl>
            <w:tblPr>
              <w:tblStyle w:val="24"/>
              <w:tblW w:w="4998" w:type="pct"/>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6"/>
              <w:gridCol w:w="1165"/>
              <w:gridCol w:w="1633"/>
              <w:gridCol w:w="1614"/>
              <w:gridCol w:w="2508"/>
            </w:tblGrid>
            <w:tr w14:paraId="0D50977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726" w:type="pct"/>
                  <w:tcBorders>
                    <w:tl2br w:val="nil"/>
                    <w:tr2bl w:val="nil"/>
                  </w:tcBorders>
                  <w:noWrap w:val="0"/>
                  <w:vAlign w:val="center"/>
                </w:tcPr>
                <w:p w14:paraId="482A75F1">
                  <w:pPr>
                    <w:pStyle w:val="41"/>
                    <w:spacing w:before="24" w:beforeLines="0" w:after="24" w:afterLines="0" w:line="240" w:lineRule="auto"/>
                    <w:ind w:left="-120" w:leftChars="-50" w:right="-120" w:rightChars="-50" w:firstLine="0"/>
                    <w:rPr>
                      <w:rFonts w:hint="eastAsia" w:ascii="Times New Roman" w:eastAsia="宋体"/>
                      <w:b/>
                      <w:bCs/>
                      <w:color w:val="000000" w:themeColor="text1"/>
                      <w:szCs w:val="21"/>
                      <w:highlight w:val="none"/>
                      <w14:textFill>
                        <w14:solidFill>
                          <w14:schemeClr w14:val="tx1"/>
                        </w14:solidFill>
                      </w14:textFill>
                    </w:rPr>
                  </w:pPr>
                  <w:r>
                    <w:rPr>
                      <w:rFonts w:hint="eastAsia" w:ascii="Times New Roman" w:eastAsia="宋体"/>
                      <w:b/>
                      <w:bCs/>
                      <w:color w:val="000000" w:themeColor="text1"/>
                      <w:szCs w:val="21"/>
                      <w:highlight w:val="none"/>
                      <w14:textFill>
                        <w14:solidFill>
                          <w14:schemeClr w14:val="tx1"/>
                        </w14:solidFill>
                      </w14:textFill>
                    </w:rPr>
                    <w:t>废物类别</w:t>
                  </w:r>
                </w:p>
              </w:tc>
              <w:tc>
                <w:tcPr>
                  <w:tcW w:w="719" w:type="pct"/>
                  <w:tcBorders>
                    <w:tl2br w:val="nil"/>
                    <w:tr2bl w:val="nil"/>
                  </w:tcBorders>
                  <w:noWrap w:val="0"/>
                  <w:vAlign w:val="center"/>
                </w:tcPr>
                <w:p w14:paraId="69D1001D">
                  <w:pPr>
                    <w:pStyle w:val="41"/>
                    <w:spacing w:before="24" w:beforeLines="0" w:after="24" w:afterLines="0" w:line="240" w:lineRule="auto"/>
                    <w:ind w:left="-120" w:leftChars="-50" w:right="-120" w:rightChars="-50" w:firstLine="0"/>
                    <w:rPr>
                      <w:rFonts w:hint="eastAsia" w:ascii="Times New Roman" w:eastAsia="宋体"/>
                      <w:b/>
                      <w:bCs/>
                      <w:color w:val="000000" w:themeColor="text1"/>
                      <w:szCs w:val="21"/>
                      <w:highlight w:val="none"/>
                      <w14:textFill>
                        <w14:solidFill>
                          <w14:schemeClr w14:val="tx1"/>
                        </w14:solidFill>
                      </w14:textFill>
                    </w:rPr>
                  </w:pPr>
                  <w:r>
                    <w:rPr>
                      <w:rFonts w:hint="eastAsia" w:ascii="Times New Roman" w:eastAsia="宋体"/>
                      <w:b/>
                      <w:bCs/>
                      <w:color w:val="000000" w:themeColor="text1"/>
                      <w:szCs w:val="21"/>
                      <w:highlight w:val="none"/>
                      <w14:textFill>
                        <w14:solidFill>
                          <w14:schemeClr w14:val="tx1"/>
                        </w14:solidFill>
                      </w14:textFill>
                    </w:rPr>
                    <w:t>产生工序</w:t>
                  </w:r>
                </w:p>
              </w:tc>
              <w:tc>
                <w:tcPr>
                  <w:tcW w:w="1008" w:type="pct"/>
                  <w:tcBorders>
                    <w:tl2br w:val="nil"/>
                    <w:tr2bl w:val="nil"/>
                  </w:tcBorders>
                  <w:noWrap w:val="0"/>
                  <w:vAlign w:val="center"/>
                </w:tcPr>
                <w:p w14:paraId="47482AA7">
                  <w:pPr>
                    <w:pStyle w:val="41"/>
                    <w:spacing w:before="24" w:beforeLines="0" w:after="24" w:afterLines="0" w:line="240" w:lineRule="auto"/>
                    <w:ind w:left="-120" w:leftChars="-50" w:right="-120" w:rightChars="-50" w:firstLine="0"/>
                    <w:rPr>
                      <w:rFonts w:hint="eastAsia" w:ascii="Times New Roman" w:eastAsia="宋体"/>
                      <w:b/>
                      <w:bCs/>
                      <w:color w:val="000000" w:themeColor="text1"/>
                      <w:szCs w:val="21"/>
                      <w:highlight w:val="none"/>
                      <w14:textFill>
                        <w14:solidFill>
                          <w14:schemeClr w14:val="tx1"/>
                        </w14:solidFill>
                      </w14:textFill>
                    </w:rPr>
                  </w:pPr>
                  <w:r>
                    <w:rPr>
                      <w:rFonts w:hint="eastAsia" w:ascii="Times New Roman" w:eastAsia="宋体"/>
                      <w:b/>
                      <w:bCs/>
                      <w:color w:val="000000" w:themeColor="text1"/>
                      <w:szCs w:val="21"/>
                      <w:highlight w:val="none"/>
                      <w14:textFill>
                        <w14:solidFill>
                          <w14:schemeClr w14:val="tx1"/>
                        </w14:solidFill>
                      </w14:textFill>
                    </w:rPr>
                    <w:t>污染物名称</w:t>
                  </w:r>
                </w:p>
              </w:tc>
              <w:tc>
                <w:tcPr>
                  <w:tcW w:w="996" w:type="pct"/>
                  <w:tcBorders>
                    <w:tl2br w:val="nil"/>
                    <w:tr2bl w:val="nil"/>
                  </w:tcBorders>
                  <w:noWrap w:val="0"/>
                  <w:vAlign w:val="center"/>
                </w:tcPr>
                <w:p w14:paraId="2FB15D79">
                  <w:pPr>
                    <w:pStyle w:val="41"/>
                    <w:spacing w:before="24" w:beforeLines="0" w:after="24" w:afterLines="0" w:line="240" w:lineRule="auto"/>
                    <w:ind w:left="-120" w:leftChars="-50" w:right="-120" w:rightChars="-50" w:firstLine="0"/>
                    <w:rPr>
                      <w:rFonts w:hint="eastAsia" w:ascii="Times New Roman" w:eastAsia="宋体"/>
                      <w:b/>
                      <w:bCs/>
                      <w:color w:val="000000" w:themeColor="text1"/>
                      <w:szCs w:val="21"/>
                      <w:highlight w:val="none"/>
                      <w14:textFill>
                        <w14:solidFill>
                          <w14:schemeClr w14:val="tx1"/>
                        </w14:solidFill>
                      </w14:textFill>
                    </w:rPr>
                  </w:pPr>
                  <w:r>
                    <w:rPr>
                      <w:rFonts w:hint="eastAsia" w:ascii="Times New Roman" w:eastAsia="宋体"/>
                      <w:b/>
                      <w:bCs/>
                      <w:color w:val="000000" w:themeColor="text1"/>
                      <w:szCs w:val="21"/>
                      <w:highlight w:val="none"/>
                      <w14:textFill>
                        <w14:solidFill>
                          <w14:schemeClr w14:val="tx1"/>
                        </w14:solidFill>
                      </w14:textFill>
                    </w:rPr>
                    <w:t>主要污染物</w:t>
                  </w:r>
                </w:p>
              </w:tc>
              <w:tc>
                <w:tcPr>
                  <w:tcW w:w="1548" w:type="pct"/>
                  <w:tcBorders>
                    <w:tl2br w:val="nil"/>
                    <w:tr2bl w:val="nil"/>
                  </w:tcBorders>
                  <w:noWrap w:val="0"/>
                  <w:vAlign w:val="center"/>
                </w:tcPr>
                <w:p w14:paraId="4A52FE6A">
                  <w:pPr>
                    <w:pStyle w:val="41"/>
                    <w:spacing w:before="24" w:beforeLines="0" w:after="24" w:afterLines="0" w:line="240" w:lineRule="auto"/>
                    <w:ind w:left="-120" w:leftChars="-50" w:right="-120" w:rightChars="-50" w:firstLine="0"/>
                    <w:rPr>
                      <w:rFonts w:hint="eastAsia" w:ascii="Times New Roman" w:eastAsia="宋体"/>
                      <w:b/>
                      <w:bCs/>
                      <w:color w:val="000000" w:themeColor="text1"/>
                      <w:szCs w:val="21"/>
                      <w:highlight w:val="none"/>
                      <w14:textFill>
                        <w14:solidFill>
                          <w14:schemeClr w14:val="tx1"/>
                        </w14:solidFill>
                      </w14:textFill>
                    </w:rPr>
                  </w:pPr>
                  <w:r>
                    <w:rPr>
                      <w:rFonts w:hint="eastAsia" w:ascii="Times New Roman" w:eastAsia="宋体"/>
                      <w:b/>
                      <w:bCs/>
                      <w:color w:val="000000" w:themeColor="text1"/>
                      <w:szCs w:val="21"/>
                      <w:highlight w:val="none"/>
                      <w14:textFill>
                        <w14:solidFill>
                          <w14:schemeClr w14:val="tx1"/>
                        </w14:solidFill>
                      </w14:textFill>
                    </w:rPr>
                    <w:t>处理方式</w:t>
                  </w:r>
                </w:p>
              </w:tc>
            </w:tr>
            <w:tr w14:paraId="2FC07B9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26" w:type="pct"/>
                  <w:tcBorders>
                    <w:tl2br w:val="nil"/>
                    <w:tr2bl w:val="nil"/>
                  </w:tcBorders>
                  <w:noWrap w:val="0"/>
                  <w:vAlign w:val="center"/>
                </w:tcPr>
                <w:p w14:paraId="33A75716">
                  <w:pPr>
                    <w:pStyle w:val="41"/>
                    <w:spacing w:before="24" w:beforeLines="0" w:after="24" w:afterLines="0" w:line="240" w:lineRule="auto"/>
                    <w:ind w:left="-120" w:leftChars="-50" w:right="-120" w:rightChars="-50" w:firstLine="0"/>
                    <w:rPr>
                      <w:rFonts w:hint="eastAsia" w:ascii="Times New Roman" w:eastAsia="宋体"/>
                      <w:color w:val="000000" w:themeColor="text1"/>
                      <w:szCs w:val="21"/>
                      <w:highlight w:val="none"/>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废气</w:t>
                  </w:r>
                </w:p>
              </w:tc>
              <w:tc>
                <w:tcPr>
                  <w:tcW w:w="719" w:type="pct"/>
                  <w:tcBorders>
                    <w:tl2br w:val="nil"/>
                    <w:tr2bl w:val="nil"/>
                  </w:tcBorders>
                  <w:noWrap w:val="0"/>
                  <w:vAlign w:val="center"/>
                </w:tcPr>
                <w:p w14:paraId="08119007">
                  <w:pPr>
                    <w:pStyle w:val="41"/>
                    <w:spacing w:before="24" w:beforeLines="0" w:after="24" w:afterLines="0" w:line="240" w:lineRule="auto"/>
                    <w:ind w:left="-120" w:leftChars="-50" w:right="-120" w:rightChars="-50" w:firstLine="0"/>
                    <w:rPr>
                      <w:rFonts w:hint="eastAsia" w:ascii="Times New Roman" w:eastAsia="宋体"/>
                      <w:color w:val="000000" w:themeColor="text1"/>
                      <w:szCs w:val="21"/>
                      <w:highlight w:val="none"/>
                      <w:lang w:val="en-US" w:eastAsia="zh-CN"/>
                      <w14:textFill>
                        <w14:solidFill>
                          <w14:schemeClr w14:val="tx1"/>
                        </w14:solidFill>
                      </w14:textFill>
                    </w:rPr>
                  </w:pPr>
                  <w:r>
                    <w:rPr>
                      <w:rFonts w:hint="eastAsia" w:ascii="Times New Roman"/>
                      <w:color w:val="000000" w:themeColor="text1"/>
                      <w:szCs w:val="21"/>
                      <w:highlight w:val="none"/>
                      <w:lang w:val="en-US" w:eastAsia="zh-CN"/>
                      <w14:textFill>
                        <w14:solidFill>
                          <w14:schemeClr w14:val="tx1"/>
                        </w14:solidFill>
                      </w14:textFill>
                    </w:rPr>
                    <w:t>研磨</w:t>
                  </w:r>
                </w:p>
              </w:tc>
              <w:tc>
                <w:tcPr>
                  <w:tcW w:w="1008" w:type="pct"/>
                  <w:tcBorders>
                    <w:tl2br w:val="nil"/>
                    <w:tr2bl w:val="nil"/>
                  </w:tcBorders>
                  <w:noWrap w:val="0"/>
                  <w:vAlign w:val="center"/>
                </w:tcPr>
                <w:p w14:paraId="7BE93127">
                  <w:pPr>
                    <w:pStyle w:val="41"/>
                    <w:spacing w:before="24" w:beforeLines="0" w:after="24" w:afterLines="0" w:line="240" w:lineRule="auto"/>
                    <w:ind w:left="-120" w:leftChars="-50" w:right="-120" w:rightChars="-50" w:firstLine="0"/>
                    <w:rPr>
                      <w:rFonts w:hint="default" w:ascii="Times New Roman" w:eastAsia="宋体"/>
                      <w:color w:val="000000" w:themeColor="text1"/>
                      <w:szCs w:val="21"/>
                      <w:highlight w:val="none"/>
                      <w:lang w:val="en-US" w:eastAsia="zh-CN"/>
                      <w14:textFill>
                        <w14:solidFill>
                          <w14:schemeClr w14:val="tx1"/>
                        </w14:solidFill>
                      </w14:textFill>
                    </w:rPr>
                  </w:pPr>
                  <w:r>
                    <w:rPr>
                      <w:rFonts w:hint="eastAsia" w:ascii="Times New Roman"/>
                      <w:color w:val="000000" w:themeColor="text1"/>
                      <w:szCs w:val="21"/>
                      <w:highlight w:val="none"/>
                      <w:lang w:val="en-US" w:eastAsia="zh-CN"/>
                      <w14:textFill>
                        <w14:solidFill>
                          <w14:schemeClr w14:val="tx1"/>
                        </w14:solidFill>
                      </w14:textFill>
                    </w:rPr>
                    <w:t>磨粉机</w:t>
                  </w:r>
                </w:p>
              </w:tc>
              <w:tc>
                <w:tcPr>
                  <w:tcW w:w="996" w:type="pct"/>
                  <w:tcBorders>
                    <w:tl2br w:val="nil"/>
                    <w:tr2bl w:val="nil"/>
                  </w:tcBorders>
                  <w:noWrap w:val="0"/>
                  <w:vAlign w:val="center"/>
                </w:tcPr>
                <w:p w14:paraId="5414717F">
                  <w:pPr>
                    <w:pStyle w:val="41"/>
                    <w:spacing w:before="24" w:beforeLines="0" w:after="24" w:afterLines="0" w:line="240" w:lineRule="auto"/>
                    <w:ind w:left="-120" w:leftChars="-50" w:right="-120" w:rightChars="-50" w:firstLine="0"/>
                    <w:rPr>
                      <w:rFonts w:hint="eastAsia" w:ascii="Times New Roman" w:eastAsia="宋体"/>
                      <w:color w:val="000000" w:themeColor="text1"/>
                      <w:szCs w:val="21"/>
                      <w:highlight w:val="none"/>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颗粒物</w:t>
                  </w:r>
                </w:p>
              </w:tc>
              <w:tc>
                <w:tcPr>
                  <w:tcW w:w="1548" w:type="pct"/>
                  <w:tcBorders>
                    <w:tl2br w:val="nil"/>
                    <w:tr2bl w:val="nil"/>
                  </w:tcBorders>
                  <w:noWrap w:val="0"/>
                  <w:vAlign w:val="center"/>
                </w:tcPr>
                <w:p w14:paraId="2D681743">
                  <w:pPr>
                    <w:pStyle w:val="41"/>
                    <w:spacing w:before="24" w:beforeLines="0" w:after="24" w:afterLines="0" w:line="240" w:lineRule="auto"/>
                    <w:ind w:left="-120" w:leftChars="-50" w:right="-120" w:rightChars="-50" w:firstLine="0"/>
                    <w:rPr>
                      <w:rFonts w:hint="eastAsia" w:ascii="Times New Roman" w:eastAsia="宋体"/>
                      <w:color w:val="000000" w:themeColor="text1"/>
                      <w:szCs w:val="21"/>
                      <w:highlight w:val="none"/>
                      <w:lang w:eastAsia="zh-CN"/>
                      <w14:textFill>
                        <w14:solidFill>
                          <w14:schemeClr w14:val="tx1"/>
                        </w14:solidFill>
                      </w14:textFill>
                    </w:rPr>
                  </w:pPr>
                  <w:r>
                    <w:rPr>
                      <w:rFonts w:hint="eastAsia" w:ascii="Times New Roman"/>
                      <w:color w:val="000000" w:themeColor="text1"/>
                      <w:szCs w:val="21"/>
                      <w:highlight w:val="none"/>
                      <w:lang w:val="en-US" w:eastAsia="zh-CN"/>
                      <w14:textFill>
                        <w14:solidFill>
                          <w14:schemeClr w14:val="tx1"/>
                        </w14:solidFill>
                      </w14:textFill>
                    </w:rPr>
                    <w:t>负压收集+脉冲</w:t>
                  </w:r>
                  <w:r>
                    <w:rPr>
                      <w:rFonts w:hint="eastAsia" w:ascii="Times New Roman" w:eastAsia="宋体"/>
                      <w:color w:val="000000" w:themeColor="text1"/>
                      <w:szCs w:val="21"/>
                      <w:highlight w:val="none"/>
                      <w14:textFill>
                        <w14:solidFill>
                          <w14:schemeClr w14:val="tx1"/>
                        </w14:solidFill>
                      </w14:textFill>
                    </w:rPr>
                    <w:t>布袋除尘器</w:t>
                  </w:r>
                </w:p>
              </w:tc>
            </w:tr>
            <w:tr w14:paraId="5FA32C3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6" w:type="pct"/>
                  <w:tcBorders>
                    <w:tl2br w:val="nil"/>
                    <w:tr2bl w:val="nil"/>
                  </w:tcBorders>
                  <w:noWrap w:val="0"/>
                  <w:vAlign w:val="center"/>
                </w:tcPr>
                <w:p w14:paraId="31205C18">
                  <w:pPr>
                    <w:pStyle w:val="41"/>
                    <w:spacing w:before="24" w:beforeLines="0" w:after="24" w:afterLines="0" w:line="240" w:lineRule="auto"/>
                    <w:ind w:left="-120" w:leftChars="-50" w:right="-120" w:rightChars="-50" w:firstLine="0"/>
                    <w:rPr>
                      <w:rFonts w:hint="eastAsia" w:ascii="Times New Roman" w:eastAsia="宋体"/>
                      <w:color w:val="000000" w:themeColor="text1"/>
                      <w:szCs w:val="21"/>
                      <w:highlight w:val="none"/>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废水</w:t>
                  </w:r>
                </w:p>
              </w:tc>
              <w:tc>
                <w:tcPr>
                  <w:tcW w:w="719" w:type="pct"/>
                  <w:tcBorders>
                    <w:tl2br w:val="nil"/>
                    <w:tr2bl w:val="nil"/>
                  </w:tcBorders>
                  <w:shd w:val="clear" w:color="auto" w:fill="auto"/>
                  <w:noWrap w:val="0"/>
                  <w:vAlign w:val="center"/>
                </w:tcPr>
                <w:p w14:paraId="58BDC91B">
                  <w:pPr>
                    <w:pStyle w:val="41"/>
                    <w:spacing w:before="24" w:beforeLines="0" w:after="24" w:afterLines="0" w:line="240" w:lineRule="auto"/>
                    <w:ind w:left="-120" w:leftChars="-50" w:right="-120" w:rightChars="-50" w:firstLine="0" w:firstLineChars="0"/>
                    <w:rPr>
                      <w:rFonts w:hint="eastAsia" w:ascii="Times New Roman" w:hAnsi="Times New Roman" w:eastAsia="宋体" w:cstheme="minorBidi"/>
                      <w:color w:val="000000" w:themeColor="text1"/>
                      <w:kern w:val="0"/>
                      <w:sz w:val="21"/>
                      <w:szCs w:val="21"/>
                      <w:highlight w:val="none"/>
                      <w:lang w:val="en-US" w:eastAsia="zh-CN" w:bidi="ar-SA"/>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员工生活</w:t>
                  </w:r>
                </w:p>
              </w:tc>
              <w:tc>
                <w:tcPr>
                  <w:tcW w:w="1008" w:type="pct"/>
                  <w:tcBorders>
                    <w:tl2br w:val="nil"/>
                    <w:tr2bl w:val="nil"/>
                  </w:tcBorders>
                  <w:shd w:val="clear" w:color="auto" w:fill="auto"/>
                  <w:noWrap w:val="0"/>
                  <w:vAlign w:val="center"/>
                </w:tcPr>
                <w:p w14:paraId="3FD3D889">
                  <w:pPr>
                    <w:pStyle w:val="41"/>
                    <w:spacing w:before="24" w:beforeLines="0" w:after="24" w:afterLines="0" w:line="240" w:lineRule="auto"/>
                    <w:ind w:left="-120" w:leftChars="-50" w:right="-120" w:rightChars="-50" w:firstLine="0" w:firstLineChars="0"/>
                    <w:rPr>
                      <w:rFonts w:hint="eastAsia" w:ascii="Times New Roman" w:hAnsi="Times New Roman" w:eastAsia="宋体" w:cstheme="minorBidi"/>
                      <w:color w:val="000000" w:themeColor="text1"/>
                      <w:kern w:val="0"/>
                      <w:sz w:val="21"/>
                      <w:szCs w:val="21"/>
                      <w:highlight w:val="none"/>
                      <w:lang w:val="en-US" w:eastAsia="zh-CN" w:bidi="ar-SA"/>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生活污水</w:t>
                  </w:r>
                </w:p>
              </w:tc>
              <w:tc>
                <w:tcPr>
                  <w:tcW w:w="996" w:type="pct"/>
                  <w:tcBorders>
                    <w:tl2br w:val="nil"/>
                    <w:tr2bl w:val="nil"/>
                  </w:tcBorders>
                  <w:shd w:val="clear" w:color="auto" w:fill="auto"/>
                  <w:noWrap w:val="0"/>
                  <w:vAlign w:val="center"/>
                </w:tcPr>
                <w:p w14:paraId="57A2D73F">
                  <w:pPr>
                    <w:pStyle w:val="41"/>
                    <w:keepNext w:val="0"/>
                    <w:keepLines w:val="0"/>
                    <w:pageBreakBefore w:val="0"/>
                    <w:widowControl w:val="0"/>
                    <w:kinsoku/>
                    <w:wordWrap/>
                    <w:overflowPunct/>
                    <w:topLinePunct w:val="0"/>
                    <w:autoSpaceDE/>
                    <w:autoSpaceDN/>
                    <w:bidi w:val="0"/>
                    <w:adjustRightInd w:val="0"/>
                    <w:snapToGrid w:val="0"/>
                    <w:spacing w:beforeLines="0" w:afterLines="0" w:line="240" w:lineRule="auto"/>
                    <w:ind w:left="0" w:leftChars="0" w:right="0" w:rightChars="0" w:firstLine="0" w:firstLineChars="0"/>
                    <w:textAlignment w:val="auto"/>
                    <w:rPr>
                      <w:rFonts w:hint="eastAsia" w:ascii="Times New Roman" w:hAnsi="Times New Roman" w:eastAsia="宋体" w:cstheme="minorBidi"/>
                      <w:color w:val="000000" w:themeColor="text1"/>
                      <w:kern w:val="0"/>
                      <w:sz w:val="21"/>
                      <w:szCs w:val="21"/>
                      <w:highlight w:val="none"/>
                      <w:lang w:val="en-US" w:eastAsia="zh-CN" w:bidi="ar-SA"/>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COD、BOD</w:t>
                  </w:r>
                  <w:r>
                    <w:rPr>
                      <w:rFonts w:hint="eastAsia" w:ascii="Times New Roman" w:eastAsia="宋体"/>
                      <w:color w:val="000000" w:themeColor="text1"/>
                      <w:szCs w:val="21"/>
                      <w:highlight w:val="none"/>
                      <w:vertAlign w:val="subscript"/>
                      <w14:textFill>
                        <w14:solidFill>
                          <w14:schemeClr w14:val="tx1"/>
                        </w14:solidFill>
                      </w14:textFill>
                    </w:rPr>
                    <w:t>5</w:t>
                  </w:r>
                  <w:r>
                    <w:rPr>
                      <w:rFonts w:hint="eastAsia" w:ascii="Times New Roman" w:eastAsia="宋体"/>
                      <w:color w:val="000000" w:themeColor="text1"/>
                      <w:szCs w:val="21"/>
                      <w:highlight w:val="none"/>
                      <w14:textFill>
                        <w14:solidFill>
                          <w14:schemeClr w14:val="tx1"/>
                        </w14:solidFill>
                      </w14:textFill>
                    </w:rPr>
                    <w:t>、SS、NH</w:t>
                  </w:r>
                  <w:r>
                    <w:rPr>
                      <w:rFonts w:hint="eastAsia" w:ascii="Times New Roman" w:eastAsia="宋体"/>
                      <w:color w:val="000000" w:themeColor="text1"/>
                      <w:szCs w:val="21"/>
                      <w:highlight w:val="none"/>
                      <w:vertAlign w:val="subscript"/>
                      <w14:textFill>
                        <w14:solidFill>
                          <w14:schemeClr w14:val="tx1"/>
                        </w14:solidFill>
                      </w14:textFill>
                    </w:rPr>
                    <w:t>3</w:t>
                  </w:r>
                  <w:r>
                    <w:rPr>
                      <w:rFonts w:hint="eastAsia" w:ascii="Times New Roman" w:eastAsia="宋体"/>
                      <w:color w:val="000000" w:themeColor="text1"/>
                      <w:szCs w:val="21"/>
                      <w:highlight w:val="none"/>
                      <w14:textFill>
                        <w14:solidFill>
                          <w14:schemeClr w14:val="tx1"/>
                        </w14:solidFill>
                      </w14:textFill>
                    </w:rPr>
                    <w:t>-N、TP、TN、动植物油</w:t>
                  </w:r>
                </w:p>
              </w:tc>
              <w:tc>
                <w:tcPr>
                  <w:tcW w:w="1548" w:type="pct"/>
                  <w:tcBorders>
                    <w:tl2br w:val="nil"/>
                    <w:tr2bl w:val="nil"/>
                  </w:tcBorders>
                  <w:shd w:val="clear" w:color="auto" w:fill="auto"/>
                  <w:noWrap w:val="0"/>
                  <w:vAlign w:val="center"/>
                </w:tcPr>
                <w:p w14:paraId="55ABEA56">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员工生活污水经化粪池处理满足《污水综合排放标准》（GB8978-1996）三级标准后，送上都镇生活污水处理厂进行进一步处理</w:t>
                  </w:r>
                </w:p>
              </w:tc>
            </w:tr>
            <w:tr w14:paraId="5ECCD63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6" w:type="pct"/>
                  <w:vMerge w:val="restart"/>
                  <w:tcBorders>
                    <w:tl2br w:val="nil"/>
                    <w:tr2bl w:val="nil"/>
                  </w:tcBorders>
                  <w:noWrap w:val="0"/>
                  <w:vAlign w:val="center"/>
                </w:tcPr>
                <w:p w14:paraId="55381B1E">
                  <w:pPr>
                    <w:pStyle w:val="41"/>
                    <w:spacing w:before="24" w:beforeLines="0" w:after="24" w:afterLines="0" w:line="240" w:lineRule="auto"/>
                    <w:ind w:left="-120" w:leftChars="-50" w:right="-120" w:rightChars="-50" w:firstLine="0"/>
                    <w:rPr>
                      <w:rFonts w:hint="eastAsia" w:ascii="Times New Roman" w:eastAsia="宋体"/>
                      <w:color w:val="000000" w:themeColor="text1"/>
                      <w:szCs w:val="21"/>
                      <w:highlight w:val="none"/>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固废</w:t>
                  </w:r>
                </w:p>
              </w:tc>
              <w:tc>
                <w:tcPr>
                  <w:tcW w:w="719" w:type="pct"/>
                  <w:tcBorders>
                    <w:tl2br w:val="nil"/>
                    <w:tr2bl w:val="nil"/>
                  </w:tcBorders>
                  <w:shd w:val="clear" w:color="auto" w:fill="auto"/>
                  <w:noWrap w:val="0"/>
                  <w:vAlign w:val="center"/>
                </w:tcPr>
                <w:p w14:paraId="01E0B684">
                  <w:pPr>
                    <w:pStyle w:val="41"/>
                    <w:spacing w:before="24" w:beforeLines="0" w:after="24" w:afterLines="0" w:line="240" w:lineRule="auto"/>
                    <w:ind w:left="-120" w:leftChars="-50" w:right="-120" w:rightChars="-50" w:firstLine="0" w:firstLineChars="0"/>
                    <w:rPr>
                      <w:rFonts w:hint="eastAsia" w:ascii="Times New Roman" w:hAnsi="Times New Roman" w:eastAsia="宋体" w:cstheme="minorBidi"/>
                      <w:color w:val="000000" w:themeColor="text1"/>
                      <w:kern w:val="0"/>
                      <w:sz w:val="21"/>
                      <w:szCs w:val="21"/>
                      <w:highlight w:val="none"/>
                      <w:lang w:val="en-US" w:eastAsia="zh-CN" w:bidi="ar-SA"/>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员工生活</w:t>
                  </w:r>
                </w:p>
              </w:tc>
              <w:tc>
                <w:tcPr>
                  <w:tcW w:w="1008" w:type="pct"/>
                  <w:tcBorders>
                    <w:tl2br w:val="nil"/>
                    <w:tr2bl w:val="nil"/>
                  </w:tcBorders>
                  <w:shd w:val="clear" w:color="auto" w:fill="auto"/>
                  <w:noWrap w:val="0"/>
                  <w:vAlign w:val="center"/>
                </w:tcPr>
                <w:p w14:paraId="2B5B0863">
                  <w:pPr>
                    <w:pStyle w:val="41"/>
                    <w:spacing w:before="24" w:beforeLines="0" w:after="24" w:afterLines="0" w:line="240" w:lineRule="auto"/>
                    <w:ind w:left="-120" w:leftChars="-50" w:right="-120" w:rightChars="-50" w:firstLine="0" w:firstLineChars="0"/>
                    <w:rPr>
                      <w:rFonts w:hint="eastAsia" w:ascii="Times New Roman" w:hAnsi="Times New Roman" w:eastAsia="宋体" w:cstheme="minorBidi"/>
                      <w:color w:val="000000" w:themeColor="text1"/>
                      <w:kern w:val="0"/>
                      <w:sz w:val="21"/>
                      <w:szCs w:val="21"/>
                      <w:highlight w:val="none"/>
                      <w:lang w:val="en-US" w:eastAsia="zh-CN" w:bidi="ar-SA"/>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生活垃圾</w:t>
                  </w:r>
                </w:p>
              </w:tc>
              <w:tc>
                <w:tcPr>
                  <w:tcW w:w="996" w:type="pct"/>
                  <w:tcBorders>
                    <w:tl2br w:val="nil"/>
                    <w:tr2bl w:val="nil"/>
                  </w:tcBorders>
                  <w:shd w:val="clear" w:color="auto" w:fill="auto"/>
                  <w:noWrap w:val="0"/>
                  <w:vAlign w:val="center"/>
                </w:tcPr>
                <w:p w14:paraId="44054C27">
                  <w:pPr>
                    <w:pStyle w:val="41"/>
                    <w:spacing w:before="24" w:beforeLines="0" w:after="24" w:afterLines="0" w:line="240" w:lineRule="auto"/>
                    <w:ind w:left="-120" w:leftChars="-50" w:right="-120" w:rightChars="-50" w:firstLine="0" w:firstLineChars="0"/>
                    <w:rPr>
                      <w:rFonts w:hint="eastAsia" w:ascii="Times New Roman" w:hAnsi="Times New Roman" w:eastAsia="宋体" w:cstheme="minorBidi"/>
                      <w:color w:val="000000" w:themeColor="text1"/>
                      <w:kern w:val="0"/>
                      <w:sz w:val="21"/>
                      <w:szCs w:val="21"/>
                      <w:highlight w:val="none"/>
                      <w:lang w:val="en-US" w:eastAsia="zh-CN" w:bidi="ar-SA"/>
                      <w14:textFill>
                        <w14:solidFill>
                          <w14:schemeClr w14:val="tx1"/>
                        </w14:solidFill>
                      </w14:textFill>
                    </w:rPr>
                  </w:pPr>
                  <w:r>
                    <w:rPr>
                      <w:rFonts w:hint="eastAsia" w:ascii="Times New Roman" w:eastAsia="宋体"/>
                      <w:color w:val="000000" w:themeColor="text1"/>
                      <w:szCs w:val="21"/>
                      <w:highlight w:val="none"/>
                      <w14:textFill>
                        <w14:solidFill>
                          <w14:schemeClr w14:val="tx1"/>
                        </w14:solidFill>
                      </w14:textFill>
                    </w:rPr>
                    <w:t>/</w:t>
                  </w:r>
                </w:p>
              </w:tc>
              <w:tc>
                <w:tcPr>
                  <w:tcW w:w="1548" w:type="pct"/>
                  <w:tcBorders>
                    <w:tl2br w:val="nil"/>
                    <w:tr2bl w:val="nil"/>
                  </w:tcBorders>
                  <w:shd w:val="clear" w:color="auto" w:fill="auto"/>
                  <w:noWrap w:val="0"/>
                  <w:vAlign w:val="center"/>
                </w:tcPr>
                <w:p w14:paraId="63B97E8D">
                  <w:pPr>
                    <w:autoSpaceDE w:val="0"/>
                    <w:autoSpaceDN w:val="0"/>
                    <w:adjustRightInd w:val="0"/>
                    <w:spacing w:line="240" w:lineRule="auto"/>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生活垃圾</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定期运往正蓝旗</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生活垃圾填埋场填埋</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处置</w:t>
                  </w:r>
                </w:p>
              </w:tc>
            </w:tr>
            <w:tr w14:paraId="4EF8571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6" w:type="pct"/>
                  <w:vMerge w:val="continue"/>
                  <w:tcBorders>
                    <w:tl2br w:val="nil"/>
                    <w:tr2bl w:val="nil"/>
                  </w:tcBorders>
                  <w:noWrap w:val="0"/>
                  <w:vAlign w:val="center"/>
                </w:tcPr>
                <w:p w14:paraId="312BE114">
                  <w:pPr>
                    <w:pStyle w:val="41"/>
                    <w:spacing w:before="24" w:beforeLines="0" w:after="24" w:afterLines="0" w:line="240" w:lineRule="auto"/>
                    <w:ind w:left="-120" w:leftChars="-50" w:right="-120" w:rightChars="-50" w:firstLine="0"/>
                    <w:rPr>
                      <w:rFonts w:hint="eastAsia" w:ascii="Times New Roman" w:eastAsia="宋体"/>
                      <w:color w:val="000000" w:themeColor="text1"/>
                      <w:szCs w:val="21"/>
                      <w:highlight w:val="none"/>
                      <w14:textFill>
                        <w14:solidFill>
                          <w14:schemeClr w14:val="tx1"/>
                        </w14:solidFill>
                      </w14:textFill>
                    </w:rPr>
                  </w:pPr>
                </w:p>
              </w:tc>
              <w:tc>
                <w:tcPr>
                  <w:tcW w:w="719" w:type="pct"/>
                  <w:tcBorders>
                    <w:tl2br w:val="nil"/>
                    <w:tr2bl w:val="nil"/>
                  </w:tcBorders>
                  <w:shd w:val="clear" w:color="auto" w:fill="auto"/>
                  <w:noWrap w:val="0"/>
                  <w:vAlign w:val="center"/>
                </w:tcPr>
                <w:p w14:paraId="181A7919">
                  <w:pPr>
                    <w:pStyle w:val="41"/>
                    <w:spacing w:before="24" w:beforeLines="0" w:after="24" w:afterLines="0" w:line="240" w:lineRule="auto"/>
                    <w:ind w:left="-120" w:leftChars="-50" w:right="-120" w:rightChars="-50" w:firstLine="0" w:firstLineChars="0"/>
                    <w:rPr>
                      <w:rFonts w:hint="eastAsia" w:ascii="Times New Roman" w:eastAsia="宋体"/>
                      <w:color w:val="000000" w:themeColor="text1"/>
                      <w:szCs w:val="21"/>
                      <w:highlight w:val="none"/>
                      <w:lang w:val="en-US" w:eastAsia="zh-CN"/>
                      <w14:textFill>
                        <w14:solidFill>
                          <w14:schemeClr w14:val="tx1"/>
                        </w14:solidFill>
                      </w14:textFill>
                    </w:rPr>
                  </w:pPr>
                  <w:r>
                    <w:rPr>
                      <w:rFonts w:hint="eastAsia" w:ascii="Times New Roman"/>
                      <w:color w:val="000000" w:themeColor="text1"/>
                      <w:szCs w:val="21"/>
                      <w:highlight w:val="none"/>
                      <w:lang w:val="en-US" w:eastAsia="zh-CN"/>
                      <w14:textFill>
                        <w14:solidFill>
                          <w14:schemeClr w14:val="tx1"/>
                        </w14:solidFill>
                      </w14:textFill>
                    </w:rPr>
                    <w:t>更换</w:t>
                  </w:r>
                </w:p>
              </w:tc>
              <w:tc>
                <w:tcPr>
                  <w:tcW w:w="1008" w:type="pct"/>
                  <w:tcBorders>
                    <w:tl2br w:val="nil"/>
                    <w:tr2bl w:val="nil"/>
                  </w:tcBorders>
                  <w:shd w:val="clear" w:color="auto" w:fill="auto"/>
                  <w:noWrap w:val="0"/>
                  <w:vAlign w:val="center"/>
                </w:tcPr>
                <w:p w14:paraId="1EDC7019">
                  <w:pPr>
                    <w:pStyle w:val="41"/>
                    <w:spacing w:before="24" w:beforeLines="0" w:after="24" w:afterLines="0" w:line="240" w:lineRule="auto"/>
                    <w:ind w:left="-120" w:leftChars="-50" w:right="-120" w:rightChars="-50" w:firstLine="0" w:firstLineChars="0"/>
                    <w:rPr>
                      <w:rFonts w:hint="eastAsia" w:ascii="Times New Roman" w:eastAsia="宋体"/>
                      <w:color w:val="000000" w:themeColor="text1"/>
                      <w:szCs w:val="21"/>
                      <w:highlight w:val="none"/>
                      <w:lang w:val="en-US" w:eastAsia="zh-CN"/>
                      <w14:textFill>
                        <w14:solidFill>
                          <w14:schemeClr w14:val="tx1"/>
                        </w14:solidFill>
                      </w14:textFill>
                    </w:rPr>
                  </w:pPr>
                  <w:r>
                    <w:rPr>
                      <w:rFonts w:hint="eastAsia" w:ascii="Times New Roman"/>
                      <w:color w:val="000000" w:themeColor="text1"/>
                      <w:szCs w:val="21"/>
                      <w:highlight w:val="none"/>
                      <w:lang w:val="en-US" w:eastAsia="zh-CN"/>
                      <w14:textFill>
                        <w14:solidFill>
                          <w14:schemeClr w14:val="tx1"/>
                        </w14:solidFill>
                      </w14:textFill>
                    </w:rPr>
                    <w:t>废布袋</w:t>
                  </w:r>
                </w:p>
              </w:tc>
              <w:tc>
                <w:tcPr>
                  <w:tcW w:w="996" w:type="pct"/>
                  <w:tcBorders>
                    <w:tl2br w:val="nil"/>
                    <w:tr2bl w:val="nil"/>
                  </w:tcBorders>
                  <w:shd w:val="clear" w:color="auto" w:fill="auto"/>
                  <w:noWrap w:val="0"/>
                  <w:vAlign w:val="center"/>
                </w:tcPr>
                <w:p w14:paraId="11BEC3CD">
                  <w:pPr>
                    <w:pStyle w:val="41"/>
                    <w:spacing w:before="24" w:beforeLines="0" w:after="24" w:afterLines="0" w:line="240" w:lineRule="auto"/>
                    <w:ind w:left="-120" w:leftChars="-50" w:right="-120" w:rightChars="-50" w:firstLine="0" w:firstLineChars="0"/>
                    <w:rPr>
                      <w:rFonts w:hint="eastAsia" w:ascii="Times New Roman" w:eastAsia="宋体"/>
                      <w:color w:val="000000" w:themeColor="text1"/>
                      <w:szCs w:val="21"/>
                      <w:highlight w:val="none"/>
                      <w:lang w:val="en-US" w:eastAsia="zh-CN"/>
                      <w14:textFill>
                        <w14:solidFill>
                          <w14:schemeClr w14:val="tx1"/>
                        </w14:solidFill>
                      </w14:textFill>
                    </w:rPr>
                  </w:pPr>
                  <w:r>
                    <w:rPr>
                      <w:rFonts w:hint="eastAsia" w:ascii="Times New Roman"/>
                      <w:color w:val="000000" w:themeColor="text1"/>
                      <w:szCs w:val="21"/>
                      <w:highlight w:val="none"/>
                      <w:lang w:val="en-US" w:eastAsia="zh-CN"/>
                      <w14:textFill>
                        <w14:solidFill>
                          <w14:schemeClr w14:val="tx1"/>
                        </w14:solidFill>
                      </w14:textFill>
                    </w:rPr>
                    <w:t>/</w:t>
                  </w:r>
                </w:p>
              </w:tc>
              <w:tc>
                <w:tcPr>
                  <w:tcW w:w="1548" w:type="pct"/>
                  <w:tcBorders>
                    <w:tl2br w:val="nil"/>
                    <w:tr2bl w:val="nil"/>
                  </w:tcBorders>
                  <w:shd w:val="clear" w:color="auto" w:fill="auto"/>
                  <w:noWrap w:val="0"/>
                  <w:vAlign w:val="center"/>
                </w:tcPr>
                <w:p w14:paraId="05F638AE">
                  <w:pPr>
                    <w:autoSpaceDE w:val="0"/>
                    <w:autoSpaceDN w:val="0"/>
                    <w:adjustRightInd w:val="0"/>
                    <w:spacing w:line="240" w:lineRule="auto"/>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收集后交由废品回收站处置</w:t>
                  </w:r>
                </w:p>
              </w:tc>
            </w:tr>
            <w:tr w14:paraId="2113BB7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6" w:type="pct"/>
                  <w:vMerge w:val="continue"/>
                  <w:tcBorders>
                    <w:tl2br w:val="nil"/>
                    <w:tr2bl w:val="nil"/>
                  </w:tcBorders>
                  <w:noWrap w:val="0"/>
                  <w:vAlign w:val="center"/>
                </w:tcPr>
                <w:p w14:paraId="1A157661">
                  <w:pPr>
                    <w:pStyle w:val="41"/>
                    <w:spacing w:before="24" w:beforeLines="0" w:after="24" w:afterLines="0" w:line="240" w:lineRule="auto"/>
                    <w:ind w:left="-120" w:leftChars="-50" w:right="-120" w:rightChars="-50" w:firstLine="0"/>
                    <w:rPr>
                      <w:rFonts w:hint="eastAsia" w:ascii="Times New Roman" w:eastAsia="宋体"/>
                      <w:color w:val="000000" w:themeColor="text1"/>
                      <w:szCs w:val="21"/>
                      <w:highlight w:val="none"/>
                      <w14:textFill>
                        <w14:solidFill>
                          <w14:schemeClr w14:val="tx1"/>
                        </w14:solidFill>
                      </w14:textFill>
                    </w:rPr>
                  </w:pPr>
                </w:p>
              </w:tc>
              <w:tc>
                <w:tcPr>
                  <w:tcW w:w="719" w:type="pct"/>
                  <w:tcBorders>
                    <w:tl2br w:val="nil"/>
                    <w:tr2bl w:val="nil"/>
                  </w:tcBorders>
                  <w:shd w:val="clear" w:color="auto" w:fill="auto"/>
                  <w:noWrap w:val="0"/>
                  <w:vAlign w:val="center"/>
                </w:tcPr>
                <w:p w14:paraId="7107F5B9">
                  <w:pPr>
                    <w:pStyle w:val="41"/>
                    <w:spacing w:before="24" w:beforeLines="0" w:after="24" w:afterLines="0" w:line="240" w:lineRule="auto"/>
                    <w:ind w:left="-120" w:leftChars="-50" w:right="-120" w:rightChars="-50" w:firstLine="0" w:firstLineChars="0"/>
                    <w:rPr>
                      <w:rFonts w:hint="default" w:ascii="Times New Roman" w:eastAsia="宋体"/>
                      <w:color w:val="000000" w:themeColor="text1"/>
                      <w:szCs w:val="21"/>
                      <w:highlight w:val="none"/>
                      <w:lang w:val="en-US" w:eastAsia="zh-CN"/>
                      <w14:textFill>
                        <w14:solidFill>
                          <w14:schemeClr w14:val="tx1"/>
                        </w14:solidFill>
                      </w14:textFill>
                    </w:rPr>
                  </w:pPr>
                  <w:r>
                    <w:rPr>
                      <w:rFonts w:hint="eastAsia" w:ascii="Times New Roman"/>
                      <w:color w:val="000000" w:themeColor="text1"/>
                      <w:szCs w:val="21"/>
                      <w:highlight w:val="none"/>
                      <w:lang w:val="en-US" w:eastAsia="zh-CN"/>
                      <w14:textFill>
                        <w14:solidFill>
                          <w14:schemeClr w14:val="tx1"/>
                        </w14:solidFill>
                      </w14:textFill>
                    </w:rPr>
                    <w:t>生产加工</w:t>
                  </w:r>
                </w:p>
              </w:tc>
              <w:tc>
                <w:tcPr>
                  <w:tcW w:w="1008" w:type="pct"/>
                  <w:tcBorders>
                    <w:tl2br w:val="nil"/>
                    <w:tr2bl w:val="nil"/>
                  </w:tcBorders>
                  <w:shd w:val="clear" w:color="auto" w:fill="auto"/>
                  <w:noWrap w:val="0"/>
                  <w:vAlign w:val="center"/>
                </w:tcPr>
                <w:p w14:paraId="63AB4AA1">
                  <w:pPr>
                    <w:pStyle w:val="41"/>
                    <w:spacing w:before="24" w:beforeLines="0" w:after="24" w:afterLines="0" w:line="240" w:lineRule="auto"/>
                    <w:ind w:left="-120" w:leftChars="-50" w:right="-120" w:rightChars="-50" w:firstLine="0" w:firstLineChars="0"/>
                    <w:rPr>
                      <w:rFonts w:hint="default" w:ascii="Times New Roman" w:eastAsia="宋体"/>
                      <w:color w:val="000000" w:themeColor="text1"/>
                      <w:szCs w:val="21"/>
                      <w:highlight w:val="none"/>
                      <w:lang w:val="en-US"/>
                      <w14:textFill>
                        <w14:solidFill>
                          <w14:schemeClr w14:val="tx1"/>
                        </w14:solidFill>
                      </w14:textFill>
                    </w:rPr>
                  </w:pPr>
                  <w:r>
                    <w:rPr>
                      <w:rFonts w:hint="eastAsia" w:ascii="Times New Roman"/>
                      <w:color w:val="000000" w:themeColor="text1"/>
                      <w:szCs w:val="21"/>
                      <w:highlight w:val="none"/>
                      <w:lang w:val="en-US" w:eastAsia="zh-CN"/>
                      <w14:textFill>
                        <w14:solidFill>
                          <w14:schemeClr w14:val="tx1"/>
                        </w14:solidFill>
                      </w14:textFill>
                    </w:rPr>
                    <w:t>布袋除尘器收集的粉尘</w:t>
                  </w:r>
                </w:p>
              </w:tc>
              <w:tc>
                <w:tcPr>
                  <w:tcW w:w="996" w:type="pct"/>
                  <w:tcBorders>
                    <w:tl2br w:val="nil"/>
                    <w:tr2bl w:val="nil"/>
                  </w:tcBorders>
                  <w:shd w:val="clear" w:color="auto" w:fill="auto"/>
                  <w:noWrap w:val="0"/>
                  <w:vAlign w:val="center"/>
                </w:tcPr>
                <w:p w14:paraId="26094196">
                  <w:pPr>
                    <w:pStyle w:val="41"/>
                    <w:spacing w:before="24" w:beforeLines="0" w:after="24" w:afterLines="0" w:line="240" w:lineRule="auto"/>
                    <w:ind w:left="-120" w:leftChars="-50" w:right="-120" w:rightChars="-50" w:firstLine="0" w:firstLineChars="0"/>
                    <w:rPr>
                      <w:rFonts w:hint="eastAsia" w:ascii="Times New Roman" w:eastAsia="宋体"/>
                      <w:color w:val="000000" w:themeColor="text1"/>
                      <w:szCs w:val="21"/>
                      <w:highlight w:val="none"/>
                      <w:lang w:val="en-US" w:eastAsia="zh-CN"/>
                      <w14:textFill>
                        <w14:solidFill>
                          <w14:schemeClr w14:val="tx1"/>
                        </w14:solidFill>
                      </w14:textFill>
                    </w:rPr>
                  </w:pPr>
                  <w:r>
                    <w:rPr>
                      <w:rFonts w:hint="eastAsia" w:ascii="Times New Roman"/>
                      <w:color w:val="000000" w:themeColor="text1"/>
                      <w:szCs w:val="21"/>
                      <w:highlight w:val="none"/>
                      <w:lang w:val="en-US" w:eastAsia="zh-CN"/>
                      <w14:textFill>
                        <w14:solidFill>
                          <w14:schemeClr w14:val="tx1"/>
                        </w14:solidFill>
                      </w14:textFill>
                    </w:rPr>
                    <w:t>粉尘</w:t>
                  </w:r>
                </w:p>
              </w:tc>
              <w:tc>
                <w:tcPr>
                  <w:tcW w:w="1548" w:type="pct"/>
                  <w:tcBorders>
                    <w:tl2br w:val="nil"/>
                    <w:tr2bl w:val="nil"/>
                  </w:tcBorders>
                  <w:shd w:val="clear" w:color="auto" w:fill="auto"/>
                  <w:noWrap w:val="0"/>
                  <w:vAlign w:val="center"/>
                </w:tcPr>
                <w:p w14:paraId="2C5950D3">
                  <w:pPr>
                    <w:autoSpaceDE w:val="0"/>
                    <w:autoSpaceDN w:val="0"/>
                    <w:adjustRightInd w:val="0"/>
                    <w:spacing w:line="240" w:lineRule="auto"/>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布袋除尘器收集的粉尘均</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直接作为产品出售</w:t>
                  </w:r>
                </w:p>
              </w:tc>
            </w:tr>
          </w:tbl>
          <w:p w14:paraId="39317587">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color w:val="000000" w:themeColor="text1"/>
                <w:highlight w:val="none"/>
                <w14:textFill>
                  <w14:solidFill>
                    <w14:schemeClr w14:val="tx1"/>
                  </w14:solidFill>
                </w14:textFill>
              </w:rPr>
            </w:pPr>
          </w:p>
        </w:tc>
      </w:tr>
      <w:tr w14:paraId="3B327C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735" w:type="dxa"/>
            <w:tcBorders>
              <w:top w:val="single" w:color="auto" w:sz="4" w:space="0"/>
              <w:left w:val="single" w:color="auto" w:sz="8" w:space="0"/>
              <w:bottom w:val="single" w:color="auto" w:sz="8" w:space="0"/>
              <w:right w:val="single" w:color="auto" w:sz="4" w:space="0"/>
              <w:tl2br w:val="nil"/>
              <w:tr2bl w:val="nil"/>
            </w:tcBorders>
            <w:noWrap w:val="0"/>
            <w:vAlign w:val="center"/>
          </w:tcPr>
          <w:p w14:paraId="7419F87F">
            <w:pPr>
              <w:pStyle w:val="20"/>
              <w:adjustRightInd w:val="0"/>
              <w:snapToGrid w:val="0"/>
              <w:spacing w:before="0" w:beforeLines="0" w:beforeAutospacing="0" w:after="0" w:afterLines="0" w:afterAutospacing="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1"/>
                <w:highlight w:val="none"/>
                <w14:textFill>
                  <w14:solidFill>
                    <w14:schemeClr w14:val="tx1"/>
                  </w14:solidFill>
                </w14:textFill>
              </w:rPr>
              <w:t>与项目有关的原有环境污染问题</w:t>
            </w:r>
          </w:p>
        </w:tc>
        <w:tc>
          <w:tcPr>
            <w:tcW w:w="8325" w:type="dxa"/>
            <w:tcBorders>
              <w:top w:val="single" w:color="auto" w:sz="4" w:space="0"/>
              <w:left w:val="single" w:color="auto" w:sz="4" w:space="0"/>
              <w:bottom w:val="single" w:color="auto" w:sz="8" w:space="0"/>
              <w:right w:val="single" w:color="auto" w:sz="8" w:space="0"/>
              <w:tl2br w:val="nil"/>
              <w:tr2bl w:val="nil"/>
            </w:tcBorders>
            <w:noWrap w:val="0"/>
            <w:vAlign w:val="center"/>
          </w:tcPr>
          <w:p w14:paraId="02827C81">
            <w:pPr>
              <w:keepNext w:val="0"/>
              <w:keepLines w:val="0"/>
              <w:pageBreakBefore w:val="0"/>
              <w:widowControl w:val="0"/>
              <w:kinsoku/>
              <w:wordWrap/>
              <w:overflowPunct/>
              <w:topLinePunct w:val="0"/>
              <w:autoSpaceDE/>
              <w:autoSpaceDN/>
              <w:bidi w:val="0"/>
              <w:adjustRightInd/>
              <w:snapToGrid w:val="0"/>
              <w:spacing w:line="360" w:lineRule="auto"/>
              <w:ind w:firstLine="482" w:firstLineChars="200"/>
              <w:jc w:val="both"/>
              <w:textAlignment w:val="auto"/>
              <w:rPr>
                <w:rFonts w:hint="eastAsia"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1.矿山项目基本情况</w:t>
            </w:r>
          </w:p>
          <w:p w14:paraId="66611A7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both"/>
              <w:textAlignment w:val="auto"/>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2013年3月29日委托北京中安质环技术评价中心有限公司编制完成《上都华欣有限责任公司石灰石开发利用项目环境影响报告表》，同年4月19日取得</w:t>
            </w:r>
            <w:r>
              <w:rPr>
                <w:rFonts w:hint="default" w:ascii="Times New Roman" w:hAnsi="Times New Roman" w:cs="Times New Roman"/>
                <w:color w:val="000000" w:themeColor="text1"/>
                <w:highlight w:val="none"/>
                <w:lang w:val="en-US" w:eastAsia="zh-CN"/>
                <w14:textFill>
                  <w14:solidFill>
                    <w14:schemeClr w14:val="tx1"/>
                  </w14:solidFill>
                </w14:textFill>
              </w:rPr>
              <w:t>原内蒙古锡林郭勒盟环境保护局以锡署环审表[201</w:t>
            </w:r>
            <w:r>
              <w:rPr>
                <w:rFonts w:hint="eastAsia" w:ascii="Times New Roman" w:hAnsi="Times New Roman" w:cs="Times New Roman"/>
                <w:color w:val="000000" w:themeColor="text1"/>
                <w:highlight w:val="none"/>
                <w:lang w:val="en-US" w:eastAsia="zh-CN"/>
                <w14:textFill>
                  <w14:solidFill>
                    <w14:schemeClr w14:val="tx1"/>
                  </w14:solidFill>
                </w14:textFill>
              </w:rPr>
              <w:t>3</w:t>
            </w:r>
            <w:r>
              <w:rPr>
                <w:rFonts w:hint="default" w:ascii="Times New Roman" w:hAnsi="Times New Roman" w:cs="Times New Roman"/>
                <w:color w:val="000000" w:themeColor="text1"/>
                <w:highlight w:val="none"/>
                <w:lang w:val="en-US" w:eastAsia="zh-CN"/>
                <w14:textFill>
                  <w14:solidFill>
                    <w14:schemeClr w14:val="tx1"/>
                  </w14:solidFill>
                </w14:textFill>
              </w:rPr>
              <w:t>]</w:t>
            </w:r>
            <w:r>
              <w:rPr>
                <w:rFonts w:hint="eastAsia" w:ascii="Times New Roman" w:hAnsi="Times New Roman" w:cs="Times New Roman"/>
                <w:color w:val="000000" w:themeColor="text1"/>
                <w:highlight w:val="none"/>
                <w:lang w:val="en-US" w:eastAsia="zh-CN"/>
                <w14:textFill>
                  <w14:solidFill>
                    <w14:schemeClr w14:val="tx1"/>
                  </w14:solidFill>
                </w14:textFill>
              </w:rPr>
              <w:t>9</w:t>
            </w:r>
            <w:r>
              <w:rPr>
                <w:rFonts w:hint="default" w:ascii="Times New Roman" w:hAnsi="Times New Roman" w:cs="Times New Roman"/>
                <w:color w:val="000000" w:themeColor="text1"/>
                <w:highlight w:val="none"/>
                <w:lang w:val="en-US" w:eastAsia="zh-CN"/>
                <w14:textFill>
                  <w14:solidFill>
                    <w14:schemeClr w14:val="tx1"/>
                  </w14:solidFill>
                </w14:textFill>
              </w:rPr>
              <w:t>8号文对该项目环评予以批复。</w:t>
            </w:r>
            <w:r>
              <w:rPr>
                <w:rFonts w:hint="eastAsia" w:ascii="Times New Roman" w:hAnsi="Times New Roman" w:cs="Times New Roman"/>
                <w:color w:val="000000" w:themeColor="text1"/>
                <w:highlight w:val="none"/>
                <w:lang w:val="en-US" w:eastAsia="zh-CN"/>
                <w14:textFill>
                  <w14:solidFill>
                    <w14:schemeClr w14:val="tx1"/>
                  </w14:solidFill>
                </w14:textFill>
              </w:rPr>
              <w:t>2016年9月19日，取得正蓝旗环境保护局《正蓝旗环境保护局关于上都华欣有限责任公司石灰石开发利用项目竣工环境保护验收的意见》，蓝环字[2016]77号。</w:t>
            </w:r>
          </w:p>
          <w:p w14:paraId="17DF3C9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both"/>
              <w:textAlignment w:val="auto"/>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2025年4月17日取得固定污染源排污登记回执，登记编号:91152530764478477J001X，有效期：2025年04月17日至2030年04月16日。</w:t>
            </w:r>
          </w:p>
          <w:p w14:paraId="2A1967D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2" w:firstLineChars="200"/>
              <w:jc w:val="left"/>
              <w:textAlignment w:val="auto"/>
              <w:rPr>
                <w:rFonts w:hint="default" w:ascii="Times New Roman" w:hAnsi="Times New Roman" w:cs="Times New Roman"/>
                <w:b/>
                <w:bCs/>
                <w:color w:val="000000" w:themeColor="text1"/>
                <w:highlight w:val="none"/>
                <w:lang w:val="en-US" w:eastAsia="zh-CN"/>
                <w14:textFill>
                  <w14:solidFill>
                    <w14:schemeClr w14:val="tx1"/>
                  </w14:solidFill>
                </w14:textFill>
              </w:rPr>
            </w:pPr>
            <w:r>
              <w:rPr>
                <w:rFonts w:hint="default" w:ascii="Times New Roman" w:hAnsi="Times New Roman" w:cs="Times New Roman"/>
                <w:b/>
                <w:bCs/>
                <w:color w:val="000000" w:themeColor="text1"/>
                <w:highlight w:val="none"/>
                <w:lang w:val="en-US" w:eastAsia="zh-CN"/>
                <w14:textFill>
                  <w14:solidFill>
                    <w14:schemeClr w14:val="tx1"/>
                  </w14:solidFill>
                </w14:textFill>
              </w:rPr>
              <w:t>2</w:t>
            </w:r>
            <w:r>
              <w:rPr>
                <w:rFonts w:hint="eastAsia" w:ascii="Times New Roman" w:hAnsi="Times New Roman" w:cs="Times New Roman"/>
                <w:b/>
                <w:bCs/>
                <w:color w:val="000000" w:themeColor="text1"/>
                <w:highlight w:val="none"/>
                <w:lang w:val="en-US" w:eastAsia="zh-CN"/>
                <w14:textFill>
                  <w14:solidFill>
                    <w14:schemeClr w14:val="tx1"/>
                  </w14:solidFill>
                </w14:textFill>
              </w:rPr>
              <w:t>.矿山</w:t>
            </w:r>
            <w:r>
              <w:rPr>
                <w:rFonts w:hint="default" w:ascii="Times New Roman" w:hAnsi="Times New Roman" w:cs="Times New Roman"/>
                <w:b/>
                <w:bCs/>
                <w:color w:val="000000" w:themeColor="text1"/>
                <w:highlight w:val="none"/>
                <w:lang w:val="en-US" w:eastAsia="zh-CN"/>
                <w14:textFill>
                  <w14:solidFill>
                    <w14:schemeClr w14:val="tx1"/>
                  </w14:solidFill>
                </w14:textFill>
              </w:rPr>
              <w:t>项目污染物排放情况</w:t>
            </w:r>
          </w:p>
          <w:p w14:paraId="55EF28C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jc w:val="left"/>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①</w:t>
            </w:r>
            <w:r>
              <w:rPr>
                <w:rFonts w:hint="default" w:ascii="Times New Roman" w:hAnsi="Times New Roman" w:cs="Times New Roman"/>
                <w:color w:val="000000" w:themeColor="text1"/>
                <w:highlight w:val="none"/>
                <w:lang w:val="en-US" w:eastAsia="zh-CN"/>
                <w14:textFill>
                  <w14:solidFill>
                    <w14:schemeClr w14:val="tx1"/>
                  </w14:solidFill>
                </w14:textFill>
              </w:rPr>
              <w:t>废气</w:t>
            </w:r>
          </w:p>
          <w:p w14:paraId="40FDCAE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jc w:val="left"/>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根据2024年</w:t>
            </w:r>
            <w:r>
              <w:rPr>
                <w:rFonts w:hint="eastAsia" w:ascii="Times New Roman" w:hAnsi="Times New Roman" w:cs="Times New Roman"/>
                <w:color w:val="000000" w:themeColor="text1"/>
                <w:highlight w:val="none"/>
                <w:lang w:val="en-US" w:eastAsia="zh-CN"/>
                <w14:textFill>
                  <w14:solidFill>
                    <w14:schemeClr w14:val="tx1"/>
                  </w14:solidFill>
                </w14:textFill>
              </w:rPr>
              <w:t>7</w:t>
            </w:r>
            <w:r>
              <w:rPr>
                <w:rFonts w:hint="default" w:ascii="Times New Roman" w:hAnsi="Times New Roman" w:cs="Times New Roman"/>
                <w:color w:val="000000" w:themeColor="text1"/>
                <w:highlight w:val="none"/>
                <w:lang w:val="en-US" w:eastAsia="zh-CN"/>
                <w14:textFill>
                  <w14:solidFill>
                    <w14:schemeClr w14:val="tx1"/>
                  </w14:solidFill>
                </w14:textFill>
              </w:rPr>
              <w:t>月锡林郭勒盟永创环保科技有限公司出具的《正蓝旗上都华欣能源有限责任公司委托环境检测》可知：</w:t>
            </w:r>
          </w:p>
          <w:p w14:paraId="0A77CC4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jc w:val="left"/>
              <w:textAlignment w:val="auto"/>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无组织废气：正蓝旗上都华欣能源有限责任公司</w:t>
            </w:r>
            <w:r>
              <w:rPr>
                <w:rFonts w:hint="eastAsia" w:ascii="Times New Roman" w:hAnsi="Times New Roman" w:cs="Times New Roman"/>
                <w:color w:val="000000" w:themeColor="text1"/>
                <w:highlight w:val="none"/>
                <w:lang w:val="en-US" w:eastAsia="zh-CN"/>
                <w14:textFill>
                  <w14:solidFill>
                    <w14:schemeClr w14:val="tx1"/>
                  </w14:solidFill>
                </w14:textFill>
              </w:rPr>
              <w:t>总悬浮颗粒物，浓度差值0.202</w:t>
            </w:r>
            <w:r>
              <w:rPr>
                <w:rFonts w:hint="default" w:ascii="Times New Roman" w:hAnsi="Times New Roman" w:cs="Times New Roman"/>
                <w:color w:val="000000" w:themeColor="text1"/>
                <w:highlight w:val="none"/>
                <w:lang w:val="en-US" w:eastAsia="zh-CN"/>
                <w14:textFill>
                  <w14:solidFill>
                    <w14:schemeClr w14:val="tx1"/>
                  </w14:solidFill>
                </w14:textFill>
              </w:rPr>
              <w:t>mg/m</w:t>
            </w:r>
            <w:r>
              <w:rPr>
                <w:rFonts w:hint="default"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；总悬浮颗粒物满足《水泥工业大气污染物排放标准》（GB4915-2013）表3大气污染物无组织排放限值（监控点与参照点总悬浮颗粒物（TSP）1小时浓度值的差值）</w:t>
            </w:r>
            <w:r>
              <w:rPr>
                <w:rFonts w:hint="default" w:ascii="Times New Roman" w:hAnsi="Times New Roman" w:eastAsia="宋体" w:cs="Times New Roman"/>
                <w:color w:val="000000" w:themeColor="text1"/>
                <w:highlight w:val="none"/>
                <w:lang w:val="en-US" w:eastAsia="zh-CN"/>
                <w14:textFill>
                  <w14:solidFill>
                    <w14:schemeClr w14:val="tx1"/>
                  </w14:solidFill>
                </w14:textFill>
              </w:rPr>
              <w:t>。</w:t>
            </w:r>
          </w:p>
          <w:p w14:paraId="3F02EEA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jc w:val="left"/>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有组织废气：</w:t>
            </w:r>
            <w:r>
              <w:rPr>
                <w:rFonts w:hint="default" w:ascii="Times New Roman" w:hAnsi="Times New Roman" w:cs="Times New Roman"/>
                <w:color w:val="000000" w:themeColor="text1"/>
                <w:highlight w:val="none"/>
                <w:lang w:val="en-US" w:eastAsia="zh-CN"/>
                <w14:textFill>
                  <w14:solidFill>
                    <w14:schemeClr w14:val="tx1"/>
                  </w14:solidFill>
                </w14:textFill>
              </w:rPr>
              <w:t>正蓝旗上都华欣能源有限责任公司</w:t>
            </w:r>
            <w:r>
              <w:rPr>
                <w:rFonts w:hint="eastAsia" w:ascii="Times New Roman" w:hAnsi="Times New Roman" w:cs="Times New Roman"/>
                <w:color w:val="000000" w:themeColor="text1"/>
                <w:highlight w:val="none"/>
                <w:lang w:val="en-US" w:eastAsia="zh-CN"/>
                <w14:textFill>
                  <w14:solidFill>
                    <w14:schemeClr w14:val="tx1"/>
                  </w14:solidFill>
                </w14:textFill>
              </w:rPr>
              <w:t>颗粒物浓度17.97</w:t>
            </w:r>
            <w:r>
              <w:rPr>
                <w:rFonts w:hint="default" w:ascii="Times New Roman" w:hAnsi="Times New Roman" w:cs="Times New Roman"/>
                <w:color w:val="000000" w:themeColor="text1"/>
                <w:highlight w:val="none"/>
                <w:lang w:val="en-US" w:eastAsia="zh-CN"/>
                <w14:textFill>
                  <w14:solidFill>
                    <w14:schemeClr w14:val="tx1"/>
                  </w14:solidFill>
                </w14:textFill>
              </w:rPr>
              <w:t>mg/m</w:t>
            </w:r>
            <w:r>
              <w:rPr>
                <w:rFonts w:hint="default"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，颗粒物满足《水泥工业大气污染物排放标准》（GB4915-2013）表1现有与新建企业大气污染物排放限值中水泥制造（破碎机、磨机、包装机及其他通风生产设备）。</w:t>
            </w:r>
          </w:p>
          <w:p w14:paraId="3CFEB77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jc w:val="left"/>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本项目环评阶段石灰石加工行业专属大气污染物排放标准未发布，现阶段《石灰、电石工业大气污染物排放标准》（GB 41618-2022）已实施，本次评</w:t>
            </w:r>
            <w:r>
              <w:rPr>
                <w:rFonts w:hint="eastAsia" w:ascii="Times New Roman" w:hAnsi="Times New Roman" w:cs="Times New Roman"/>
                <w:color w:val="000000" w:themeColor="text1"/>
                <w:highlight w:val="none"/>
                <w:lang w:val="en-US" w:eastAsia="zh-CN"/>
                <w14:textFill>
                  <w14:solidFill>
                    <w14:schemeClr w14:val="tx1"/>
                  </w14:solidFill>
                </w14:textFill>
              </w:rPr>
              <w:t>价以</w:t>
            </w:r>
            <w:r>
              <w:rPr>
                <w:rFonts w:hint="default" w:ascii="Times New Roman" w:hAnsi="Times New Roman" w:cs="Times New Roman"/>
                <w:color w:val="000000" w:themeColor="text1"/>
                <w:highlight w:val="none"/>
                <w:lang w:val="en-US" w:eastAsia="zh-CN"/>
                <w14:textFill>
                  <w14:solidFill>
                    <w14:schemeClr w14:val="tx1"/>
                  </w14:solidFill>
                </w14:textFill>
              </w:rPr>
              <w:t>该标准为执行依据，正蓝旗上都华欣能源有限责任公司有组织及无组织废气排放均符合本标准规定。</w:t>
            </w:r>
          </w:p>
          <w:p w14:paraId="2EE9529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jc w:val="left"/>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③噪声</w:t>
            </w:r>
          </w:p>
          <w:p w14:paraId="10C38981">
            <w:pPr>
              <w:keepNext w:val="0"/>
              <w:keepLines w:val="0"/>
              <w:pageBreakBefore w:val="0"/>
              <w:widowControl w:val="0"/>
              <w:kinsoku/>
              <w:wordWrap/>
              <w:overflowPunct/>
              <w:topLinePunct w:val="0"/>
              <w:autoSpaceDE/>
              <w:autoSpaceDN/>
              <w:bidi w:val="0"/>
              <w:adjustRightInd/>
              <w:snapToGrid w:val="0"/>
              <w:spacing w:beforeLines="0" w:line="360" w:lineRule="auto"/>
              <w:ind w:left="0"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根据2024年</w:t>
            </w:r>
            <w:r>
              <w:rPr>
                <w:rFonts w:hint="eastAsia" w:ascii="Times New Roman" w:hAnsi="Times New Roman" w:cs="Times New Roman"/>
                <w:color w:val="000000" w:themeColor="text1"/>
                <w:highlight w:val="none"/>
                <w:lang w:val="en-US" w:eastAsia="zh-CN"/>
                <w14:textFill>
                  <w14:solidFill>
                    <w14:schemeClr w14:val="tx1"/>
                  </w14:solidFill>
                </w14:textFill>
              </w:rPr>
              <w:t>7</w:t>
            </w:r>
            <w:r>
              <w:rPr>
                <w:rFonts w:hint="default" w:ascii="Times New Roman" w:hAnsi="Times New Roman" w:cs="Times New Roman"/>
                <w:color w:val="000000" w:themeColor="text1"/>
                <w:highlight w:val="none"/>
                <w:lang w:val="en-US" w:eastAsia="zh-CN"/>
                <w14:textFill>
                  <w14:solidFill>
                    <w14:schemeClr w14:val="tx1"/>
                  </w14:solidFill>
                </w14:textFill>
              </w:rPr>
              <w:t>月锡林郭勒盟永创环保科技有限公司出具的《正蓝旗上都华欣能源有限责任公司委托环境检测》可知：</w:t>
            </w:r>
          </w:p>
          <w:p w14:paraId="1D0EDED9">
            <w:pPr>
              <w:keepNext w:val="0"/>
              <w:keepLines w:val="0"/>
              <w:pageBreakBefore w:val="0"/>
              <w:widowControl w:val="0"/>
              <w:kinsoku/>
              <w:wordWrap/>
              <w:overflowPunct/>
              <w:topLinePunct w:val="0"/>
              <w:autoSpaceDE/>
              <w:autoSpaceDN/>
              <w:bidi w:val="0"/>
              <w:adjustRightInd/>
              <w:snapToGrid w:val="0"/>
              <w:spacing w:beforeLines="0" w:line="360" w:lineRule="auto"/>
              <w:ind w:left="0"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锡林郭勒盟永创环保科技有限公司厂界噪声昼间为5</w:t>
            </w:r>
            <w:r>
              <w:rPr>
                <w:rFonts w:hint="eastAsia" w:ascii="Times New Roman" w:hAnsi="Times New Roman" w:cs="Times New Roman"/>
                <w:color w:val="000000" w:themeColor="text1"/>
                <w:highlight w:val="none"/>
                <w:lang w:val="en-US" w:eastAsia="zh-CN"/>
                <w14:textFill>
                  <w14:solidFill>
                    <w14:schemeClr w14:val="tx1"/>
                  </w14:solidFill>
                </w14:textFill>
              </w:rPr>
              <w:t>0.2</w:t>
            </w:r>
            <w:r>
              <w:rPr>
                <w:rFonts w:hint="default" w:ascii="Times New Roman" w:hAnsi="Times New Roman" w:cs="Times New Roman"/>
                <w:color w:val="000000" w:themeColor="text1"/>
                <w:highlight w:val="none"/>
                <w:lang w:val="en-US" w:eastAsia="zh-CN"/>
                <w14:textFill>
                  <w14:solidFill>
                    <w14:schemeClr w14:val="tx1"/>
                  </w14:solidFill>
                </w14:textFill>
              </w:rPr>
              <w:t>~5</w:t>
            </w:r>
            <w:r>
              <w:rPr>
                <w:rFonts w:hint="eastAsia" w:ascii="Times New Roman" w:hAnsi="Times New Roman" w:cs="Times New Roman"/>
                <w:color w:val="000000" w:themeColor="text1"/>
                <w:highlight w:val="none"/>
                <w:lang w:val="en-US" w:eastAsia="zh-CN"/>
                <w14:textFill>
                  <w14:solidFill>
                    <w14:schemeClr w14:val="tx1"/>
                  </w14:solidFill>
                </w14:textFill>
              </w:rPr>
              <w:t>2.8</w:t>
            </w:r>
            <w:r>
              <w:rPr>
                <w:rFonts w:hint="default" w:ascii="Times New Roman" w:hAnsi="Times New Roman" w:cs="Times New Roman"/>
                <w:color w:val="000000" w:themeColor="text1"/>
                <w:highlight w:val="none"/>
                <w:lang w:val="en-US" w:eastAsia="zh-CN"/>
                <w14:textFill>
                  <w14:solidFill>
                    <w14:schemeClr w14:val="tx1"/>
                  </w14:solidFill>
                </w14:textFill>
              </w:rPr>
              <w:t>dB(A)，夜间为</w:t>
            </w:r>
            <w:r>
              <w:rPr>
                <w:rFonts w:hint="eastAsia" w:ascii="Times New Roman" w:hAnsi="Times New Roman" w:cs="Times New Roman"/>
                <w:color w:val="000000" w:themeColor="text1"/>
                <w:highlight w:val="none"/>
                <w:lang w:val="en-US" w:eastAsia="zh-CN"/>
                <w14:textFill>
                  <w14:solidFill>
                    <w14:schemeClr w14:val="tx1"/>
                  </w14:solidFill>
                </w14:textFill>
              </w:rPr>
              <w:t>44.2</w:t>
            </w:r>
            <w:r>
              <w:rPr>
                <w:rFonts w:hint="default" w:ascii="Times New Roman" w:hAnsi="Times New Roman" w:cs="Times New Roman"/>
                <w:color w:val="000000" w:themeColor="text1"/>
                <w:highlight w:val="none"/>
                <w:lang w:val="en-US" w:eastAsia="zh-CN"/>
                <w14:textFill>
                  <w14:solidFill>
                    <w14:schemeClr w14:val="tx1"/>
                  </w14:solidFill>
                </w14:textFill>
              </w:rPr>
              <w:t>~4</w:t>
            </w:r>
            <w:r>
              <w:rPr>
                <w:rFonts w:hint="eastAsia" w:ascii="Times New Roman" w:hAnsi="Times New Roman" w:cs="Times New Roman"/>
                <w:color w:val="000000" w:themeColor="text1"/>
                <w:highlight w:val="none"/>
                <w:lang w:val="en-US" w:eastAsia="zh-CN"/>
                <w14:textFill>
                  <w14:solidFill>
                    <w14:schemeClr w14:val="tx1"/>
                  </w14:solidFill>
                </w14:textFill>
              </w:rPr>
              <w:t>7.8</w:t>
            </w:r>
            <w:r>
              <w:rPr>
                <w:rFonts w:hint="default" w:ascii="Times New Roman" w:hAnsi="Times New Roman" w:cs="Times New Roman"/>
                <w:color w:val="000000" w:themeColor="text1"/>
                <w:highlight w:val="none"/>
                <w:lang w:val="en-US" w:eastAsia="zh-CN"/>
                <w14:textFill>
                  <w14:solidFill>
                    <w14:schemeClr w14:val="tx1"/>
                  </w14:solidFill>
                </w14:textFill>
              </w:rPr>
              <w:t>dB(A)，能够满足《工业企业厂界环境噪声排放标准》（GB12348-2008）表1中2类标准限值要求。</w:t>
            </w:r>
          </w:p>
          <w:p w14:paraId="5EA3033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2" w:firstLineChars="200"/>
              <w:jc w:val="left"/>
              <w:textAlignment w:val="auto"/>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3.本项目与租用场地内原有项目的关系</w:t>
            </w:r>
          </w:p>
          <w:p w14:paraId="57B6537A">
            <w:pPr>
              <w:keepNext w:val="0"/>
              <w:keepLines w:val="0"/>
              <w:pageBreakBefore w:val="0"/>
              <w:widowControl w:val="0"/>
              <w:kinsoku/>
              <w:wordWrap/>
              <w:overflowPunct/>
              <w:topLinePunct w:val="0"/>
              <w:autoSpaceDE/>
              <w:autoSpaceDN/>
              <w:bidi w:val="0"/>
              <w:adjustRightInd/>
              <w:snapToGrid w:val="0"/>
              <w:spacing w:beforeLines="0" w:line="360" w:lineRule="auto"/>
              <w:ind w:left="0" w:firstLine="480" w:firstLineChars="200"/>
              <w:textAlignment w:val="auto"/>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本项目为独立新建项目，建设单位为锡林浩特市宁蒙商贸有限公司。项目租用正蓝旗上都华欣能源有限责任公司部分闲置工业场地进行建设。虽然共用同一厂区，但本项目的生产设施、环保设施、管理体系均独立设置，与正蓝旗上都华欣能源有限责任公司的“上都华欣有限责任公司石灰石开发利用项目”（以下简称“原有矿山项目”）不存在生产工序上的上下游依存关系或污染治理设施的共用关系。</w:t>
            </w:r>
          </w:p>
          <w:p w14:paraId="5FEF6FD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2" w:firstLineChars="200"/>
              <w:jc w:val="left"/>
              <w:textAlignment w:val="auto"/>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4.原有矿山项目现状及复产可能性说明</w:t>
            </w:r>
          </w:p>
          <w:p w14:paraId="41507584">
            <w:pPr>
              <w:keepNext w:val="0"/>
              <w:keepLines w:val="0"/>
              <w:pageBreakBefore w:val="0"/>
              <w:widowControl w:val="0"/>
              <w:kinsoku/>
              <w:wordWrap/>
              <w:overflowPunct/>
              <w:topLinePunct w:val="0"/>
              <w:autoSpaceDE/>
              <w:autoSpaceDN/>
              <w:bidi w:val="0"/>
              <w:adjustRightInd/>
              <w:snapToGrid w:val="0"/>
              <w:spacing w:beforeLines="0" w:line="360" w:lineRule="auto"/>
              <w:ind w:left="0" w:firstLine="480" w:firstLineChars="200"/>
              <w:textAlignment w:val="auto"/>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根据现场踏勘及建设单位提供资料，原有矿山项目已于2024年10月全面停产。其主要生产设备已停运，部分厂房处于闲置状态。本项目租赁其部分区域进行建设。</w:t>
            </w:r>
          </w:p>
          <w:p w14:paraId="22B99894">
            <w:pPr>
              <w:keepNext w:val="0"/>
              <w:keepLines w:val="0"/>
              <w:pageBreakBefore w:val="0"/>
              <w:widowControl w:val="0"/>
              <w:kinsoku/>
              <w:wordWrap/>
              <w:overflowPunct/>
              <w:topLinePunct w:val="0"/>
              <w:autoSpaceDE/>
              <w:autoSpaceDN/>
              <w:bidi w:val="0"/>
              <w:adjustRightInd/>
              <w:snapToGrid w:val="0"/>
              <w:spacing w:beforeLines="0" w:line="360" w:lineRule="auto"/>
              <w:ind w:left="0" w:firstLine="480" w:firstLineChars="200"/>
              <w:textAlignment w:val="auto"/>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bCs/>
                <w:color w:val="000000" w:themeColor="text1"/>
                <w:sz w:val="24"/>
                <w:szCs w:val="24"/>
                <w:highlight w:val="none"/>
                <w:lang w:val="en-US" w:eastAsia="zh-CN"/>
                <w14:textFill>
                  <w14:solidFill>
                    <w14:schemeClr w14:val="tx1"/>
                  </w14:solidFill>
                </w14:textFill>
              </w:rPr>
              <w:t>经向正蓝旗上都华欣能源有限责任公司核实，该公司目前暂无复工复产原有矿山项目的明确计划。即便未来该公司计划复产，由于其属于独立法人，需另行开展环境影响评价及排污许可等环保手续。届时，本项目和复产后的原有项目应作为同一厂区内的不同污染源，共同承担厂界及外环境的污染达标责任。本次评价已按全厂污染源叠加的背景考虑，预测结果表明，在现有环保措施下，叠加影响仍在环境可接受范围内。本报告要求，若原有矿山项目未来决定复产，其建设单位应确保其污染物排放符合相关标准，并与本项目建设单位共同履行厂区环境管理责任。</w:t>
            </w:r>
          </w:p>
          <w:p w14:paraId="6AB6EDB3">
            <w:pPr>
              <w:keepNext w:val="0"/>
              <w:keepLines w:val="0"/>
              <w:pageBreakBefore w:val="0"/>
              <w:widowControl w:val="0"/>
              <w:kinsoku/>
              <w:wordWrap/>
              <w:overflowPunct/>
              <w:topLinePunct w:val="0"/>
              <w:autoSpaceDE/>
              <w:autoSpaceDN/>
              <w:bidi w:val="0"/>
              <w:adjustRightInd/>
              <w:snapToGrid w:val="0"/>
              <w:spacing w:beforeLines="0" w:line="360" w:lineRule="auto"/>
              <w:ind w:left="0" w:firstLine="480" w:firstLineChars="200"/>
              <w:textAlignment w:val="auto"/>
              <w:rPr>
                <w:rFonts w:hint="default"/>
                <w:color w:val="000000" w:themeColor="text1"/>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不存在与项目有关的原有环境污染和生态破坏问题。</w:t>
            </w:r>
          </w:p>
        </w:tc>
      </w:tr>
    </w:tbl>
    <w:p w14:paraId="3A37F763">
      <w:pPr>
        <w:pStyle w:val="20"/>
        <w:adjustRightInd w:val="0"/>
        <w:snapToGrid w:val="0"/>
        <w:spacing w:before="0" w:beforeLines="0" w:beforeAutospacing="0" w:after="0" w:afterLines="0" w:afterAutospacing="0" w:line="14" w:lineRule="auto"/>
        <w:jc w:val="center"/>
        <w:outlineLvl w:val="0"/>
        <w:rPr>
          <w:rFonts w:hint="default" w:ascii="Times New Roman" w:hAnsi="Times New Roman" w:eastAsia="黑体" w:cs="Times New Roman"/>
          <w:snapToGrid w:val="0"/>
          <w:sz w:val="30"/>
          <w:szCs w:val="24"/>
          <w:highlight w:val="yellow"/>
        </w:rPr>
      </w:pPr>
    </w:p>
    <w:p w14:paraId="54D62209">
      <w:pPr>
        <w:pStyle w:val="20"/>
        <w:spacing w:beforeLines="0" w:afterLines="0"/>
        <w:jc w:val="center"/>
        <w:outlineLvl w:val="0"/>
        <w:rPr>
          <w:rFonts w:hint="default" w:ascii="Times New Roman" w:hAnsi="Times New Roman" w:eastAsia="黑体" w:cs="Times New Roman"/>
          <w:snapToGrid w:val="0"/>
          <w:sz w:val="30"/>
          <w:szCs w:val="24"/>
          <w:highlight w:val="yellow"/>
        </w:rPr>
        <w:sectPr>
          <w:footerReference r:id="rId5" w:type="default"/>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start="1"/>
          <w:cols w:space="720" w:num="1"/>
          <w:docGrid w:type="lines" w:linePitch="312" w:charSpace="0"/>
        </w:sectPr>
      </w:pPr>
    </w:p>
    <w:p w14:paraId="0C9D8C77">
      <w:pPr>
        <w:pStyle w:val="20"/>
        <w:spacing w:beforeLines="0" w:afterLines="0"/>
        <w:jc w:val="center"/>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三、区域环境质量现状、环境保护目标及评价标准</w:t>
      </w:r>
    </w:p>
    <w:tbl>
      <w:tblPr>
        <w:tblStyle w:val="2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73"/>
        <w:gridCol w:w="8287"/>
      </w:tblGrid>
      <w:tr w14:paraId="3C0915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73" w:type="dxa"/>
            <w:tcBorders>
              <w:top w:val="single" w:color="auto" w:sz="8" w:space="0"/>
              <w:left w:val="single" w:color="auto" w:sz="8" w:space="0"/>
              <w:bottom w:val="single" w:color="auto" w:sz="4" w:space="0"/>
              <w:right w:val="single" w:color="auto" w:sz="4" w:space="0"/>
              <w:tl2br w:val="nil"/>
              <w:tr2bl w:val="nil"/>
            </w:tcBorders>
            <w:noWrap w:val="0"/>
            <w:vAlign w:val="center"/>
          </w:tcPr>
          <w:p w14:paraId="478DC6E5">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区域</w:t>
            </w:r>
          </w:p>
          <w:p w14:paraId="7CB86F50">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环境</w:t>
            </w:r>
          </w:p>
          <w:p w14:paraId="46F48391">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质量</w:t>
            </w:r>
          </w:p>
          <w:p w14:paraId="42D1DF15">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现状</w:t>
            </w:r>
          </w:p>
        </w:tc>
        <w:tc>
          <w:tcPr>
            <w:tcW w:w="8287" w:type="dxa"/>
            <w:tcBorders>
              <w:top w:val="single" w:color="auto" w:sz="8" w:space="0"/>
              <w:left w:val="single" w:color="auto" w:sz="4" w:space="0"/>
              <w:bottom w:val="single" w:color="auto" w:sz="4" w:space="0"/>
              <w:right w:val="single" w:color="auto" w:sz="8" w:space="0"/>
              <w:tl2br w:val="nil"/>
              <w:tr2bl w:val="nil"/>
            </w:tcBorders>
            <w:noWrap w:val="0"/>
            <w:vAlign w:val="center"/>
          </w:tcPr>
          <w:p w14:paraId="1F331819">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cs="Times New Roman"/>
                <w:b/>
                <w:bCs/>
                <w:color w:val="000000" w:themeColor="text1"/>
                <w:highlight w:val="none"/>
                <w:lang w:val="en-US" w:eastAsia="zh-CN"/>
                <w14:textFill>
                  <w14:solidFill>
                    <w14:schemeClr w14:val="tx1"/>
                  </w14:solidFill>
                </w14:textFill>
              </w:rPr>
            </w:pPr>
            <w:r>
              <w:rPr>
                <w:rFonts w:hint="default" w:ascii="Times New Roman" w:hAnsi="Times New Roman" w:cs="Times New Roman"/>
                <w:b/>
                <w:bCs/>
                <w:color w:val="000000" w:themeColor="text1"/>
                <w:highlight w:val="none"/>
                <w:lang w:val="en-US" w:eastAsia="zh-CN"/>
                <w14:textFill>
                  <w14:solidFill>
                    <w14:schemeClr w14:val="tx1"/>
                  </w14:solidFill>
                </w14:textFill>
              </w:rPr>
              <w:t>建设项目所在地区域环境质量现状及主要环境问题（环境空气、地表水、地下水、声环境、生态环境等）</w:t>
            </w:r>
          </w:p>
          <w:p w14:paraId="7DB9753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default" w:ascii="Times New Roman" w:hAnsi="Times New Roman" w:eastAsia="黑体" w:cs="Times New Roman"/>
                <w:color w:val="000000" w:themeColor="text1"/>
                <w:highlight w:val="none"/>
                <w:lang w:val="en-US" w:eastAsia="zh-CN"/>
                <w14:textFill>
                  <w14:solidFill>
                    <w14:schemeClr w14:val="tx1"/>
                  </w14:solidFill>
                </w14:textFill>
              </w:rPr>
              <w:t>1、环境空气质量现状</w:t>
            </w:r>
          </w:p>
          <w:p w14:paraId="01E76AD0">
            <w:pPr>
              <w:keepNext w:val="0"/>
              <w:keepLines w:val="0"/>
              <w:pageBreakBefore w:val="0"/>
              <w:widowControl w:val="0"/>
              <w:kinsoku/>
              <w:wordWrap/>
              <w:overflowPunct/>
              <w:topLinePunct w:val="0"/>
              <w:autoSpaceDE/>
              <w:autoSpaceDN/>
              <w:bidi w:val="0"/>
              <w:adjustRightInd w:val="0"/>
              <w:snapToGrid w:val="0"/>
              <w:spacing w:beforeLines="0" w:line="360" w:lineRule="auto"/>
              <w:ind w:firstLine="480" w:firstLineChars="200"/>
              <w:textAlignment w:val="auto"/>
              <w:outlineLvl w:val="9"/>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本项目所在地环境空气质量为二类功能区，因此该地区环境空气质量执行《环境空气质量标准》</w:t>
            </w:r>
            <w:r>
              <w:rPr>
                <w:rFonts w:hint="eastAsia" w:ascii="Times New Roman" w:hAnsi="Times New Roman" w:cs="Times New Roman"/>
                <w:b w:val="0"/>
                <w:bCs w:val="0"/>
                <w:color w:val="000000" w:themeColor="text1"/>
                <w:sz w:val="24"/>
                <w:szCs w:val="24"/>
                <w:highlight w:val="none"/>
                <w:lang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GB3095-20</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26</w:t>
            </w:r>
            <w:r>
              <w:rPr>
                <w:rFonts w:hint="eastAsia" w:ascii="Times New Roman" w:hAnsi="Times New Roman" w:cs="Times New Roman"/>
                <w:b w:val="0"/>
                <w:bCs w:val="0"/>
                <w:color w:val="000000" w:themeColor="text1"/>
                <w:sz w:val="24"/>
                <w:szCs w:val="24"/>
                <w:highlight w:val="none"/>
                <w:lang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中的</w:t>
            </w:r>
            <w:r>
              <w:rPr>
                <w:rFonts w:hint="eastAsia" w:ascii="Times New Roman" w:hAnsi="Times New Roman" w:cs="Times New Roman"/>
                <w:b w:val="0"/>
                <w:bCs w:val="0"/>
                <w:color w:val="000000" w:themeColor="text1"/>
                <w:sz w:val="24"/>
                <w:szCs w:val="24"/>
                <w:highlight w:val="none"/>
                <w:lang w:eastAsia="zh-CN"/>
                <w14:textFill>
                  <w14:solidFill>
                    <w14:schemeClr w14:val="tx1"/>
                  </w14:solidFill>
                </w14:textFill>
              </w:rPr>
              <w:t>过渡阶段</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限值</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w:t>
            </w:r>
          </w:p>
          <w:p w14:paraId="627D8DC3">
            <w:pPr>
              <w:pStyle w:val="7"/>
              <w:keepNext w:val="0"/>
              <w:keepLines w:val="0"/>
              <w:pageBreakBefore w:val="0"/>
              <w:widowControl w:val="0"/>
              <w:tabs>
                <w:tab w:val="left" w:pos="4205"/>
              </w:tabs>
              <w:kinsoku/>
              <w:wordWrap/>
              <w:overflowPunct/>
              <w:topLinePunct w:val="0"/>
              <w:autoSpaceDE/>
              <w:autoSpaceDN/>
              <w:bidi w:val="0"/>
              <w:adjustRightInd/>
              <w:snapToGrid w:val="0"/>
              <w:spacing w:beforeLines="0" w:after="0" w:line="360" w:lineRule="auto"/>
              <w:ind w:firstLine="480" w:firstLineChars="200"/>
              <w:jc w:val="both"/>
              <w:textAlignment w:val="auto"/>
              <w:outlineLvl w:val="4"/>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根据内蒙古自治区环境保护厅20</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2</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年</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5</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月</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29</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日发布的</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202</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4</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年度内蒙古自治区生态环境状况公报，采用国控自动监测站点的监测数据，环境空气评价因子为SO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、NO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、PM</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10</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、PM</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2.5</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、CO、O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等。</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内蒙古自治区</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PM</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2.5</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年平均浓度为</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23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μg/m</w:t>
            </w:r>
            <w:r>
              <w:rPr>
                <w:rFonts w:hint="default" w:ascii="Times New Roman" w:hAnsi="Times New Roman" w:eastAsia="宋体" w:cs="Times New Roman"/>
                <w:b w:val="0"/>
                <w:bCs w:val="0"/>
                <w:color w:val="000000" w:themeColor="text1"/>
                <w:sz w:val="24"/>
                <w:szCs w:val="24"/>
                <w:highlight w:val="none"/>
                <w:vertAlign w:val="superscript"/>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，PM</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10</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年平均浓度为</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49</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μg/m</w:t>
            </w:r>
            <w:r>
              <w:rPr>
                <w:rFonts w:hint="default" w:ascii="Times New Roman" w:hAnsi="Times New Roman" w:eastAsia="宋体" w:cs="Times New Roman"/>
                <w:b w:val="0"/>
                <w:bCs w:val="0"/>
                <w:color w:val="000000" w:themeColor="text1"/>
                <w:sz w:val="24"/>
                <w:szCs w:val="24"/>
                <w:highlight w:val="none"/>
                <w:vertAlign w:val="superscript"/>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，SO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年平均浓度为</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1</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0</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μg/m</w:t>
            </w:r>
            <w:r>
              <w:rPr>
                <w:rFonts w:hint="default" w:ascii="Times New Roman" w:hAnsi="Times New Roman" w:eastAsia="宋体" w:cs="Times New Roman"/>
                <w:b w:val="0"/>
                <w:bCs w:val="0"/>
                <w:color w:val="000000" w:themeColor="text1"/>
                <w:sz w:val="24"/>
                <w:szCs w:val="24"/>
                <w:highlight w:val="none"/>
                <w:vertAlign w:val="superscript"/>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，NO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年平均浓度为</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2</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0</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μg/m</w:t>
            </w:r>
            <w:r>
              <w:rPr>
                <w:rFonts w:hint="default" w:ascii="Times New Roman" w:hAnsi="Times New Roman" w:eastAsia="宋体" w:cs="Times New Roman"/>
                <w:b w:val="0"/>
                <w:bCs w:val="0"/>
                <w:color w:val="000000" w:themeColor="text1"/>
                <w:sz w:val="24"/>
                <w:szCs w:val="24"/>
                <w:highlight w:val="none"/>
                <w:vertAlign w:val="superscript"/>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，CO24小时平均百分位浓度为0.</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9</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mg/m</w:t>
            </w:r>
            <w:r>
              <w:rPr>
                <w:rFonts w:hint="default" w:ascii="Times New Roman" w:hAnsi="Times New Roman" w:eastAsia="宋体" w:cs="Times New Roman"/>
                <w:b w:val="0"/>
                <w:bCs w:val="0"/>
                <w:color w:val="000000" w:themeColor="text1"/>
                <w:sz w:val="24"/>
                <w:szCs w:val="24"/>
                <w:highlight w:val="none"/>
                <w:vertAlign w:val="superscript"/>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日最大8小时平均百分位浓度为1</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3</w:t>
            </w:r>
            <w:r>
              <w:rPr>
                <w:rFonts w:hint="eastAsia" w:ascii="Times New Roman" w:hAnsi="Times New Roman" w:cs="Times New Roman"/>
                <w:b w:val="0"/>
                <w:bCs w:val="0"/>
                <w:color w:val="000000" w:themeColor="text1"/>
                <w:sz w:val="24"/>
                <w:szCs w:val="24"/>
                <w:highlight w:val="none"/>
                <w:lang w:val="en-US" w:eastAsia="zh-CN"/>
                <w14:textFill>
                  <w14:solidFill>
                    <w14:schemeClr w14:val="tx1"/>
                  </w14:solidFill>
                </w14:textFill>
              </w:rPr>
              <w:t>8</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μg/m</w:t>
            </w:r>
            <w:r>
              <w:rPr>
                <w:rFonts w:hint="default" w:ascii="Times New Roman" w:hAnsi="Times New Roman" w:eastAsia="宋体" w:cs="Times New Roman"/>
                <w:b w:val="0"/>
                <w:bCs w:val="0"/>
                <w:color w:val="000000" w:themeColor="text1"/>
                <w:sz w:val="24"/>
                <w:szCs w:val="24"/>
                <w:highlight w:val="none"/>
                <w:vertAlign w:val="superscript"/>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，其中SO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、NO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、PM</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10</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、PM</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2.5</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年均值浓度低于《环境空气质量标准》（GB3095-20</w:t>
            </w:r>
            <w:r>
              <w:rPr>
                <w:rFonts w:hint="eastAsia" w:cs="Times New Roman"/>
                <w:b w:val="0"/>
                <w:bCs w:val="0"/>
                <w:color w:val="000000" w:themeColor="text1"/>
                <w:sz w:val="24"/>
                <w:szCs w:val="24"/>
                <w:highlight w:val="none"/>
                <w:lang w:val="en-US" w:eastAsia="zh-CN"/>
                <w14:textFill>
                  <w14:solidFill>
                    <w14:schemeClr w14:val="tx1"/>
                  </w14:solidFill>
                </w14:textFill>
              </w:rPr>
              <w:t>26</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w:t>
            </w:r>
            <w:r>
              <w:rPr>
                <w:rFonts w:hint="eastAsia" w:cs="Times New Roman"/>
                <w:b w:val="0"/>
                <w:bCs w:val="0"/>
                <w:color w:val="000000" w:themeColor="text1"/>
                <w:sz w:val="24"/>
                <w:szCs w:val="24"/>
                <w:highlight w:val="none"/>
                <w:lang w:val="en-US" w:eastAsia="zh-CN"/>
                <w14:textFill>
                  <w14:solidFill>
                    <w14:schemeClr w14:val="tx1"/>
                  </w14:solidFill>
                </w14:textFill>
              </w:rPr>
              <w:t>中过渡阶段</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限值，CO24小时均值浓度限值和O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日最大8小时平均浓度低于《环境空气质量标准》（GB3095-20</w:t>
            </w:r>
            <w:r>
              <w:rPr>
                <w:rFonts w:hint="eastAsia" w:cs="Times New Roman"/>
                <w:b w:val="0"/>
                <w:bCs w:val="0"/>
                <w:color w:val="000000" w:themeColor="text1"/>
                <w:sz w:val="24"/>
                <w:szCs w:val="24"/>
                <w:highlight w:val="none"/>
                <w:lang w:val="en-US" w:eastAsia="zh-CN"/>
                <w14:textFill>
                  <w14:solidFill>
                    <w14:schemeClr w14:val="tx1"/>
                  </w14:solidFill>
                </w14:textFill>
              </w:rPr>
              <w:t>26</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w:t>
            </w:r>
            <w:r>
              <w:rPr>
                <w:rFonts w:hint="eastAsia" w:cs="Times New Roman"/>
                <w:b w:val="0"/>
                <w:bCs w:val="0"/>
                <w:color w:val="000000" w:themeColor="text1"/>
                <w:sz w:val="24"/>
                <w:szCs w:val="24"/>
                <w:highlight w:val="none"/>
                <w:lang w:val="en-US" w:eastAsia="zh-CN"/>
                <w14:textFill>
                  <w14:solidFill>
                    <w14:schemeClr w14:val="tx1"/>
                  </w14:solidFill>
                </w14:textFill>
              </w:rPr>
              <w:t>中过渡阶段</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限值，区域环境质量达标。锡林郭勒盟环境空气质量较好，SO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、NO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、PM</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10</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、PM</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2.5</w:t>
            </w: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、CO、O</w:t>
            </w:r>
            <w:r>
              <w:rPr>
                <w:rFonts w:hint="default" w:ascii="Times New Roman" w:hAnsi="Times New Roman" w:eastAsia="宋体" w:cs="Times New Roman"/>
                <w:b w:val="0"/>
                <w:bCs w:val="0"/>
                <w:color w:val="000000" w:themeColor="text1"/>
                <w:sz w:val="24"/>
                <w:szCs w:val="24"/>
                <w:highlight w:val="none"/>
                <w:vertAlign w:val="subscript"/>
                <w14:textFill>
                  <w14:solidFill>
                    <w14:schemeClr w14:val="tx1"/>
                  </w14:solidFill>
                </w14:textFill>
              </w:rPr>
              <w:t>3</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均低于全区平均值。</w:t>
            </w:r>
          </w:p>
          <w:p w14:paraId="57E864FA">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表3-1  环境空气质量</w:t>
            </w:r>
          </w:p>
          <w:tbl>
            <w:tblPr>
              <w:tblStyle w:val="25"/>
              <w:tblW w:w="4996" w:type="pct"/>
              <w:tblInd w:w="0" w:type="dxa"/>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Layout w:type="fixed"/>
              <w:tblCellMar>
                <w:top w:w="0" w:type="dxa"/>
                <w:left w:w="108" w:type="dxa"/>
                <w:bottom w:w="0" w:type="dxa"/>
                <w:right w:w="108" w:type="dxa"/>
              </w:tblCellMar>
            </w:tblPr>
            <w:tblGrid>
              <w:gridCol w:w="446"/>
              <w:gridCol w:w="2236"/>
              <w:gridCol w:w="1961"/>
              <w:gridCol w:w="957"/>
              <w:gridCol w:w="1108"/>
              <w:gridCol w:w="1342"/>
            </w:tblGrid>
            <w:tr w14:paraId="19EC639D">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restart"/>
                  <w:tcBorders>
                    <w:tl2br w:val="nil"/>
                    <w:tr2bl w:val="nil"/>
                  </w:tcBorders>
                  <w:noWrap w:val="0"/>
                  <w:vAlign w:val="center"/>
                </w:tcPr>
                <w:p w14:paraId="7CFD6B53">
                  <w:pPr>
                    <w:pStyle w:val="42"/>
                    <w:spacing w:line="240" w:lineRule="auto"/>
                    <w:ind w:left="0" w:leftChars="0" w:firstLine="0" w:firstLineChars="0"/>
                    <w:jc w:val="both"/>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序号</w:t>
                  </w:r>
                </w:p>
              </w:tc>
              <w:tc>
                <w:tcPr>
                  <w:tcW w:w="1388" w:type="pct"/>
                  <w:vMerge w:val="restart"/>
                  <w:tcBorders>
                    <w:tl2br w:val="nil"/>
                    <w:tr2bl w:val="nil"/>
                  </w:tcBorders>
                  <w:noWrap w:val="0"/>
                  <w:vAlign w:val="center"/>
                </w:tcPr>
                <w:p w14:paraId="4BEC9153">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污染物名称</w:t>
                  </w:r>
                </w:p>
              </w:tc>
              <w:tc>
                <w:tcPr>
                  <w:tcW w:w="1217" w:type="pct"/>
                  <w:vMerge w:val="restart"/>
                  <w:tcBorders>
                    <w:tl2br w:val="nil"/>
                    <w:tr2bl w:val="nil"/>
                  </w:tcBorders>
                  <w:noWrap w:val="0"/>
                  <w:vAlign w:val="center"/>
                </w:tcPr>
                <w:p w14:paraId="2DE1A4CD">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取值时间</w:t>
                  </w:r>
                </w:p>
              </w:tc>
              <w:tc>
                <w:tcPr>
                  <w:tcW w:w="1282" w:type="pct"/>
                  <w:gridSpan w:val="2"/>
                  <w:tcBorders>
                    <w:tl2br w:val="nil"/>
                    <w:tr2bl w:val="nil"/>
                  </w:tcBorders>
                  <w:noWrap w:val="0"/>
                  <w:vAlign w:val="center"/>
                </w:tcPr>
                <w:p w14:paraId="3F3258A5">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过渡阶段浓度限值</w:t>
                  </w:r>
                </w:p>
              </w:tc>
              <w:tc>
                <w:tcPr>
                  <w:tcW w:w="833" w:type="pct"/>
                  <w:vMerge w:val="restart"/>
                  <w:tcBorders>
                    <w:tl2br w:val="nil"/>
                    <w:tr2bl w:val="nil"/>
                  </w:tcBorders>
                  <w:noWrap w:val="0"/>
                  <w:vAlign w:val="center"/>
                </w:tcPr>
                <w:p w14:paraId="1A2EA053">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单位</w:t>
                  </w:r>
                </w:p>
              </w:tc>
            </w:tr>
            <w:tr w14:paraId="25A3F583">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continue"/>
                  <w:tcBorders>
                    <w:tl2br w:val="nil"/>
                    <w:tr2bl w:val="nil"/>
                  </w:tcBorders>
                  <w:noWrap w:val="0"/>
                  <w:vAlign w:val="center"/>
                </w:tcPr>
                <w:p w14:paraId="1BB0283F">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88" w:type="pct"/>
                  <w:vMerge w:val="continue"/>
                  <w:tcBorders>
                    <w:tl2br w:val="nil"/>
                    <w:tr2bl w:val="nil"/>
                  </w:tcBorders>
                  <w:noWrap w:val="0"/>
                  <w:vAlign w:val="center"/>
                </w:tcPr>
                <w:p w14:paraId="424D3349">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vMerge w:val="continue"/>
                  <w:tcBorders>
                    <w:tl2br w:val="nil"/>
                    <w:tr2bl w:val="nil"/>
                  </w:tcBorders>
                  <w:noWrap w:val="0"/>
                  <w:vAlign w:val="center"/>
                </w:tcPr>
                <w:p w14:paraId="378EC61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594" w:type="pct"/>
                  <w:tcBorders>
                    <w:tl2br w:val="nil"/>
                    <w:tr2bl w:val="nil"/>
                  </w:tcBorders>
                  <w:noWrap w:val="0"/>
                  <w:vAlign w:val="center"/>
                </w:tcPr>
                <w:p w14:paraId="472A462A">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一级</w:t>
                  </w:r>
                </w:p>
              </w:tc>
              <w:tc>
                <w:tcPr>
                  <w:tcW w:w="688" w:type="pct"/>
                  <w:tcBorders>
                    <w:tl2br w:val="nil"/>
                    <w:tr2bl w:val="nil"/>
                  </w:tcBorders>
                  <w:noWrap w:val="0"/>
                  <w:vAlign w:val="center"/>
                </w:tcPr>
                <w:p w14:paraId="02DE51B0">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二级</w:t>
                  </w:r>
                </w:p>
              </w:tc>
              <w:tc>
                <w:tcPr>
                  <w:tcW w:w="833" w:type="pct"/>
                  <w:vMerge w:val="continue"/>
                  <w:tcBorders>
                    <w:tl2br w:val="nil"/>
                    <w:tr2bl w:val="nil"/>
                  </w:tcBorders>
                  <w:noWrap w:val="0"/>
                  <w:vAlign w:val="center"/>
                </w:tcPr>
                <w:p w14:paraId="100E64E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1740E238">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restart"/>
                  <w:tcBorders>
                    <w:tl2br w:val="nil"/>
                    <w:tr2bl w:val="nil"/>
                  </w:tcBorders>
                  <w:noWrap w:val="0"/>
                  <w:vAlign w:val="center"/>
                </w:tcPr>
                <w:p w14:paraId="55C2D5EC">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w:t>
                  </w:r>
                </w:p>
              </w:tc>
              <w:tc>
                <w:tcPr>
                  <w:tcW w:w="1388" w:type="pct"/>
                  <w:vMerge w:val="restart"/>
                  <w:tcBorders>
                    <w:tl2br w:val="nil"/>
                    <w:tr2bl w:val="nil"/>
                  </w:tcBorders>
                  <w:noWrap w:val="0"/>
                  <w:vAlign w:val="center"/>
                </w:tcPr>
                <w:p w14:paraId="2EB92552">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二氧化硫（</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SO</w:t>
                  </w:r>
                  <w:r>
                    <w:rPr>
                      <w:rFonts w:hint="default" w:ascii="Times New Roman" w:hAnsi="Times New Roman"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w:t>
                  </w:r>
                </w:p>
              </w:tc>
              <w:tc>
                <w:tcPr>
                  <w:tcW w:w="1217" w:type="pct"/>
                  <w:tcBorders>
                    <w:tl2br w:val="nil"/>
                    <w:tr2bl w:val="nil"/>
                  </w:tcBorders>
                  <w:noWrap w:val="0"/>
                  <w:vAlign w:val="center"/>
                </w:tcPr>
                <w:p w14:paraId="4A257C6B">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年平均</w:t>
                  </w:r>
                </w:p>
              </w:tc>
              <w:tc>
                <w:tcPr>
                  <w:tcW w:w="594" w:type="pct"/>
                  <w:tcBorders>
                    <w:tl2br w:val="nil"/>
                    <w:tr2bl w:val="nil"/>
                  </w:tcBorders>
                  <w:noWrap w:val="0"/>
                  <w:vAlign w:val="center"/>
                </w:tcPr>
                <w:p w14:paraId="20751024">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20</w:t>
                  </w:r>
                </w:p>
              </w:tc>
              <w:tc>
                <w:tcPr>
                  <w:tcW w:w="688" w:type="pct"/>
                  <w:tcBorders>
                    <w:tl2br w:val="nil"/>
                    <w:tr2bl w:val="nil"/>
                  </w:tcBorders>
                  <w:noWrap w:val="0"/>
                  <w:vAlign w:val="center"/>
                </w:tcPr>
                <w:p w14:paraId="0CB4B9E2">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60</w:t>
                  </w:r>
                </w:p>
              </w:tc>
              <w:tc>
                <w:tcPr>
                  <w:tcW w:w="833" w:type="pct"/>
                  <w:vMerge w:val="restart"/>
                  <w:tcBorders>
                    <w:tl2br w:val="nil"/>
                    <w:tr2bl w:val="nil"/>
                  </w:tcBorders>
                  <w:noWrap w:val="0"/>
                  <w:vAlign w:val="center"/>
                </w:tcPr>
                <w:p w14:paraId="2401908E">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14:textFill>
                        <w14:solidFill>
                          <w14:schemeClr w14:val="tx1"/>
                        </w14:solidFill>
                      </w14:textFill>
                    </w:rPr>
                    <w:t>µg/m</w:t>
                  </w:r>
                  <w:r>
                    <w:rPr>
                      <w:rFonts w:hint="default" w:ascii="Times New Roman" w:hAnsi="Times New Roman" w:cs="Times New Roman"/>
                      <w:color w:val="000000" w:themeColor="text1"/>
                      <w:sz w:val="21"/>
                      <w:szCs w:val="21"/>
                      <w:highlight w:val="none"/>
                      <w:vertAlign w:val="superscript"/>
                      <w:lang w:val="en-US" w:eastAsia="zh-CN"/>
                      <w14:textFill>
                        <w14:solidFill>
                          <w14:schemeClr w14:val="tx1"/>
                        </w14:solidFill>
                      </w14:textFill>
                    </w:rPr>
                    <w:t>3</w:t>
                  </w:r>
                </w:p>
              </w:tc>
            </w:tr>
            <w:tr w14:paraId="2AC8C9DD">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continue"/>
                  <w:tcBorders>
                    <w:tl2br w:val="nil"/>
                    <w:tr2bl w:val="nil"/>
                  </w:tcBorders>
                  <w:noWrap w:val="0"/>
                  <w:vAlign w:val="center"/>
                </w:tcPr>
                <w:p w14:paraId="5DEF5E76">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88" w:type="pct"/>
                  <w:vMerge w:val="continue"/>
                  <w:tcBorders>
                    <w:tl2br w:val="nil"/>
                    <w:tr2bl w:val="nil"/>
                  </w:tcBorders>
                  <w:noWrap w:val="0"/>
                  <w:vAlign w:val="center"/>
                </w:tcPr>
                <w:p w14:paraId="74F087F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1CEDB4FA">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272BD37D">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50</w:t>
                  </w:r>
                </w:p>
              </w:tc>
              <w:tc>
                <w:tcPr>
                  <w:tcW w:w="688" w:type="pct"/>
                  <w:tcBorders>
                    <w:tl2br w:val="nil"/>
                    <w:tr2bl w:val="nil"/>
                  </w:tcBorders>
                  <w:noWrap w:val="0"/>
                  <w:vAlign w:val="center"/>
                </w:tcPr>
                <w:p w14:paraId="3CF8B58C">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150</w:t>
                  </w:r>
                </w:p>
              </w:tc>
              <w:tc>
                <w:tcPr>
                  <w:tcW w:w="833" w:type="pct"/>
                  <w:vMerge w:val="continue"/>
                  <w:tcBorders>
                    <w:tl2br w:val="nil"/>
                    <w:tr2bl w:val="nil"/>
                  </w:tcBorders>
                  <w:noWrap w:val="0"/>
                  <w:vAlign w:val="center"/>
                </w:tcPr>
                <w:p w14:paraId="76BED80B">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36A0FDBC">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continue"/>
                  <w:tcBorders>
                    <w:tl2br w:val="nil"/>
                    <w:tr2bl w:val="nil"/>
                  </w:tcBorders>
                  <w:noWrap w:val="0"/>
                  <w:vAlign w:val="center"/>
                </w:tcPr>
                <w:p w14:paraId="633CDCC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88" w:type="pct"/>
                  <w:vMerge w:val="continue"/>
                  <w:tcBorders>
                    <w:tl2br w:val="nil"/>
                    <w:tr2bl w:val="nil"/>
                  </w:tcBorders>
                  <w:noWrap w:val="0"/>
                  <w:vAlign w:val="center"/>
                </w:tcPr>
                <w:p w14:paraId="45972A9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27BFDCF3">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1小时平均</w:t>
                  </w:r>
                </w:p>
              </w:tc>
              <w:tc>
                <w:tcPr>
                  <w:tcW w:w="594" w:type="pct"/>
                  <w:tcBorders>
                    <w:tl2br w:val="nil"/>
                    <w:tr2bl w:val="nil"/>
                  </w:tcBorders>
                  <w:noWrap w:val="0"/>
                  <w:vAlign w:val="center"/>
                </w:tcPr>
                <w:p w14:paraId="447AC452">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150</w:t>
                  </w:r>
                </w:p>
              </w:tc>
              <w:tc>
                <w:tcPr>
                  <w:tcW w:w="688" w:type="pct"/>
                  <w:tcBorders>
                    <w:tl2br w:val="nil"/>
                    <w:tr2bl w:val="nil"/>
                  </w:tcBorders>
                  <w:noWrap w:val="0"/>
                  <w:vAlign w:val="center"/>
                </w:tcPr>
                <w:p w14:paraId="6D724632">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500</w:t>
                  </w:r>
                </w:p>
              </w:tc>
              <w:tc>
                <w:tcPr>
                  <w:tcW w:w="833" w:type="pct"/>
                  <w:vMerge w:val="continue"/>
                  <w:tcBorders>
                    <w:tl2br w:val="nil"/>
                    <w:tr2bl w:val="nil"/>
                  </w:tcBorders>
                  <w:noWrap w:val="0"/>
                  <w:vAlign w:val="center"/>
                </w:tcPr>
                <w:p w14:paraId="5ADA759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14AF7DDE">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restart"/>
                  <w:tcBorders>
                    <w:tl2br w:val="nil"/>
                    <w:tr2bl w:val="nil"/>
                  </w:tcBorders>
                  <w:noWrap w:val="0"/>
                  <w:vAlign w:val="center"/>
                </w:tcPr>
                <w:p w14:paraId="4744CF2A">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w:t>
                  </w:r>
                </w:p>
              </w:tc>
              <w:tc>
                <w:tcPr>
                  <w:tcW w:w="1388" w:type="pct"/>
                  <w:vMerge w:val="restart"/>
                  <w:tcBorders>
                    <w:tl2br w:val="nil"/>
                    <w:tr2bl w:val="nil"/>
                  </w:tcBorders>
                  <w:noWrap w:val="0"/>
                  <w:vAlign w:val="center"/>
                </w:tcPr>
                <w:p w14:paraId="005FB2C2">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二氧化氮（</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NO</w:t>
                  </w:r>
                  <w:r>
                    <w:rPr>
                      <w:rFonts w:hint="default" w:ascii="Times New Roman" w:hAnsi="Times New Roman"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w:t>
                  </w:r>
                </w:p>
              </w:tc>
              <w:tc>
                <w:tcPr>
                  <w:tcW w:w="1217" w:type="pct"/>
                  <w:tcBorders>
                    <w:tl2br w:val="nil"/>
                    <w:tr2bl w:val="nil"/>
                  </w:tcBorders>
                  <w:noWrap w:val="0"/>
                  <w:vAlign w:val="center"/>
                </w:tcPr>
                <w:p w14:paraId="05D80F32">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年平均</w:t>
                  </w:r>
                </w:p>
              </w:tc>
              <w:tc>
                <w:tcPr>
                  <w:tcW w:w="594" w:type="pct"/>
                  <w:tcBorders>
                    <w:tl2br w:val="nil"/>
                    <w:tr2bl w:val="nil"/>
                  </w:tcBorders>
                  <w:noWrap w:val="0"/>
                  <w:vAlign w:val="center"/>
                </w:tcPr>
                <w:p w14:paraId="3A20ACF0">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40</w:t>
                  </w:r>
                </w:p>
              </w:tc>
              <w:tc>
                <w:tcPr>
                  <w:tcW w:w="688" w:type="pct"/>
                  <w:tcBorders>
                    <w:tl2br w:val="nil"/>
                    <w:tr2bl w:val="nil"/>
                  </w:tcBorders>
                  <w:noWrap w:val="0"/>
                  <w:vAlign w:val="center"/>
                </w:tcPr>
                <w:p w14:paraId="0685737A">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40</w:t>
                  </w:r>
                </w:p>
              </w:tc>
              <w:tc>
                <w:tcPr>
                  <w:tcW w:w="833" w:type="pct"/>
                  <w:vMerge w:val="continue"/>
                  <w:tcBorders>
                    <w:tl2br w:val="nil"/>
                    <w:tr2bl w:val="nil"/>
                  </w:tcBorders>
                  <w:noWrap w:val="0"/>
                  <w:vAlign w:val="center"/>
                </w:tcPr>
                <w:p w14:paraId="05206EA2">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68DBF7EB">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continue"/>
                  <w:tcBorders>
                    <w:tl2br w:val="nil"/>
                    <w:tr2bl w:val="nil"/>
                  </w:tcBorders>
                  <w:noWrap w:val="0"/>
                  <w:vAlign w:val="center"/>
                </w:tcPr>
                <w:p w14:paraId="0D2247C3">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88" w:type="pct"/>
                  <w:vMerge w:val="continue"/>
                  <w:tcBorders>
                    <w:tl2br w:val="nil"/>
                    <w:tr2bl w:val="nil"/>
                  </w:tcBorders>
                  <w:noWrap w:val="0"/>
                  <w:vAlign w:val="center"/>
                </w:tcPr>
                <w:p w14:paraId="6A674492">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5F646F9D">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35600D79">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80</w:t>
                  </w:r>
                </w:p>
              </w:tc>
              <w:tc>
                <w:tcPr>
                  <w:tcW w:w="688" w:type="pct"/>
                  <w:tcBorders>
                    <w:tl2br w:val="nil"/>
                    <w:tr2bl w:val="nil"/>
                  </w:tcBorders>
                  <w:noWrap w:val="0"/>
                  <w:vAlign w:val="center"/>
                </w:tcPr>
                <w:p w14:paraId="105A1B1A">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80</w:t>
                  </w:r>
                </w:p>
              </w:tc>
              <w:tc>
                <w:tcPr>
                  <w:tcW w:w="833" w:type="pct"/>
                  <w:vMerge w:val="continue"/>
                  <w:tcBorders>
                    <w:tl2br w:val="nil"/>
                    <w:tr2bl w:val="nil"/>
                  </w:tcBorders>
                  <w:noWrap w:val="0"/>
                  <w:vAlign w:val="center"/>
                </w:tcPr>
                <w:p w14:paraId="13C5F6A3">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56F875AF">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continue"/>
                  <w:tcBorders>
                    <w:tl2br w:val="nil"/>
                    <w:tr2bl w:val="nil"/>
                  </w:tcBorders>
                  <w:noWrap w:val="0"/>
                  <w:vAlign w:val="center"/>
                </w:tcPr>
                <w:p w14:paraId="1728F1B5">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88" w:type="pct"/>
                  <w:vMerge w:val="continue"/>
                  <w:tcBorders>
                    <w:tl2br w:val="nil"/>
                    <w:tr2bl w:val="nil"/>
                  </w:tcBorders>
                  <w:noWrap w:val="0"/>
                  <w:vAlign w:val="center"/>
                </w:tcPr>
                <w:p w14:paraId="7409FDA3">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114BC743">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1小时平均</w:t>
                  </w:r>
                </w:p>
              </w:tc>
              <w:tc>
                <w:tcPr>
                  <w:tcW w:w="594" w:type="pct"/>
                  <w:tcBorders>
                    <w:tl2br w:val="nil"/>
                    <w:tr2bl w:val="nil"/>
                  </w:tcBorders>
                  <w:noWrap w:val="0"/>
                  <w:vAlign w:val="center"/>
                </w:tcPr>
                <w:p w14:paraId="320C62C4">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200</w:t>
                  </w:r>
                </w:p>
              </w:tc>
              <w:tc>
                <w:tcPr>
                  <w:tcW w:w="688" w:type="pct"/>
                  <w:tcBorders>
                    <w:tl2br w:val="nil"/>
                    <w:tr2bl w:val="nil"/>
                  </w:tcBorders>
                  <w:noWrap w:val="0"/>
                  <w:vAlign w:val="center"/>
                </w:tcPr>
                <w:p w14:paraId="78B0FF58">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200</w:t>
                  </w:r>
                </w:p>
              </w:tc>
              <w:tc>
                <w:tcPr>
                  <w:tcW w:w="833" w:type="pct"/>
                  <w:vMerge w:val="continue"/>
                  <w:tcBorders>
                    <w:tl2br w:val="nil"/>
                    <w:tr2bl w:val="nil"/>
                  </w:tcBorders>
                  <w:noWrap w:val="0"/>
                  <w:vAlign w:val="center"/>
                </w:tcPr>
                <w:p w14:paraId="3E959222">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4B59FD4E">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restart"/>
                  <w:tcBorders>
                    <w:tl2br w:val="nil"/>
                    <w:tr2bl w:val="nil"/>
                  </w:tcBorders>
                  <w:noWrap w:val="0"/>
                  <w:vAlign w:val="center"/>
                </w:tcPr>
                <w:p w14:paraId="4C7609BD">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3</w:t>
                  </w:r>
                </w:p>
              </w:tc>
              <w:tc>
                <w:tcPr>
                  <w:tcW w:w="1388" w:type="pct"/>
                  <w:vMerge w:val="restart"/>
                  <w:tcBorders>
                    <w:tl2br w:val="nil"/>
                    <w:tr2bl w:val="nil"/>
                  </w:tcBorders>
                  <w:noWrap w:val="0"/>
                  <w:vAlign w:val="center"/>
                </w:tcPr>
                <w:p w14:paraId="5F42EFF1">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一氧化碳（</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CO</w:t>
                  </w: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w:t>
                  </w:r>
                </w:p>
              </w:tc>
              <w:tc>
                <w:tcPr>
                  <w:tcW w:w="1217" w:type="pct"/>
                  <w:tcBorders>
                    <w:tl2br w:val="nil"/>
                    <w:tr2bl w:val="nil"/>
                  </w:tcBorders>
                  <w:noWrap w:val="0"/>
                  <w:vAlign w:val="center"/>
                </w:tcPr>
                <w:p w14:paraId="19E656F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0EE7F87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w:t>
                  </w:r>
                </w:p>
              </w:tc>
              <w:tc>
                <w:tcPr>
                  <w:tcW w:w="688" w:type="pct"/>
                  <w:tcBorders>
                    <w:tl2br w:val="nil"/>
                    <w:tr2bl w:val="nil"/>
                  </w:tcBorders>
                  <w:noWrap w:val="0"/>
                  <w:vAlign w:val="center"/>
                </w:tcPr>
                <w:p w14:paraId="47C2F9C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w:t>
                  </w:r>
                </w:p>
              </w:tc>
              <w:tc>
                <w:tcPr>
                  <w:tcW w:w="833" w:type="pct"/>
                  <w:vMerge w:val="restart"/>
                  <w:tcBorders>
                    <w:tl2br w:val="nil"/>
                    <w:tr2bl w:val="nil"/>
                  </w:tcBorders>
                  <w:noWrap w:val="0"/>
                  <w:vAlign w:val="center"/>
                </w:tcPr>
                <w:p w14:paraId="27B77734">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mg/m</w:t>
                  </w:r>
                  <w:r>
                    <w:rPr>
                      <w:rFonts w:hint="default" w:ascii="Times New Roman" w:hAnsi="Times New Roman" w:cs="Times New Roman"/>
                      <w:color w:val="000000" w:themeColor="text1"/>
                      <w:sz w:val="21"/>
                      <w:szCs w:val="21"/>
                      <w:highlight w:val="none"/>
                      <w:vertAlign w:val="superscript"/>
                      <w:lang w:val="en-US" w:eastAsia="zh-CN"/>
                      <w14:textFill>
                        <w14:solidFill>
                          <w14:schemeClr w14:val="tx1"/>
                        </w14:solidFill>
                      </w14:textFill>
                    </w:rPr>
                    <w:t>3</w:t>
                  </w:r>
                </w:p>
              </w:tc>
            </w:tr>
            <w:tr w14:paraId="33BA6F33">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continue"/>
                  <w:tcBorders>
                    <w:tl2br w:val="nil"/>
                    <w:tr2bl w:val="nil"/>
                  </w:tcBorders>
                  <w:noWrap w:val="0"/>
                  <w:vAlign w:val="center"/>
                </w:tcPr>
                <w:p w14:paraId="0BE62EE0">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88" w:type="pct"/>
                  <w:vMerge w:val="continue"/>
                  <w:tcBorders>
                    <w:tl2br w:val="nil"/>
                    <w:tr2bl w:val="nil"/>
                  </w:tcBorders>
                  <w:noWrap w:val="0"/>
                  <w:vAlign w:val="center"/>
                </w:tcPr>
                <w:p w14:paraId="4D6C42E3">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449CD6DB">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1小时平均</w:t>
                  </w:r>
                </w:p>
              </w:tc>
              <w:tc>
                <w:tcPr>
                  <w:tcW w:w="594" w:type="pct"/>
                  <w:tcBorders>
                    <w:tl2br w:val="nil"/>
                    <w:tr2bl w:val="nil"/>
                  </w:tcBorders>
                  <w:noWrap w:val="0"/>
                  <w:vAlign w:val="center"/>
                </w:tcPr>
                <w:p w14:paraId="746693FF">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10</w:t>
                  </w:r>
                </w:p>
              </w:tc>
              <w:tc>
                <w:tcPr>
                  <w:tcW w:w="688" w:type="pct"/>
                  <w:tcBorders>
                    <w:tl2br w:val="nil"/>
                    <w:tr2bl w:val="nil"/>
                  </w:tcBorders>
                  <w:noWrap w:val="0"/>
                  <w:vAlign w:val="center"/>
                </w:tcPr>
                <w:p w14:paraId="1852A0FF">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10</w:t>
                  </w:r>
                </w:p>
              </w:tc>
              <w:tc>
                <w:tcPr>
                  <w:tcW w:w="833" w:type="pct"/>
                  <w:vMerge w:val="continue"/>
                  <w:tcBorders>
                    <w:tl2br w:val="nil"/>
                    <w:tr2bl w:val="nil"/>
                  </w:tcBorders>
                  <w:noWrap w:val="0"/>
                  <w:vAlign w:val="center"/>
                </w:tcPr>
                <w:p w14:paraId="59BAA173">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631296B0">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restart"/>
                  <w:tcBorders>
                    <w:tl2br w:val="nil"/>
                    <w:tr2bl w:val="nil"/>
                  </w:tcBorders>
                  <w:noWrap w:val="0"/>
                  <w:vAlign w:val="center"/>
                </w:tcPr>
                <w:p w14:paraId="0509C5BB">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w:t>
                  </w:r>
                </w:p>
              </w:tc>
              <w:tc>
                <w:tcPr>
                  <w:tcW w:w="1388" w:type="pct"/>
                  <w:vMerge w:val="restart"/>
                  <w:tcBorders>
                    <w:tl2br w:val="nil"/>
                    <w:tr2bl w:val="nil"/>
                  </w:tcBorders>
                  <w:noWrap w:val="0"/>
                  <w:vAlign w:val="center"/>
                </w:tcPr>
                <w:p w14:paraId="6A5CE775">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臭氧</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O</w:t>
                  </w:r>
                  <w:r>
                    <w:rPr>
                      <w:rFonts w:hint="default" w:ascii="Times New Roman" w:hAnsi="Times New Roman" w:cs="Times New Roman"/>
                      <w:color w:val="000000" w:themeColor="text1"/>
                      <w:sz w:val="21"/>
                      <w:szCs w:val="21"/>
                      <w:highlight w:val="none"/>
                      <w:vertAlign w:val="subscript"/>
                      <w:lang w:val="en-US" w:eastAsia="zh-CN"/>
                      <w14:textFill>
                        <w14:solidFill>
                          <w14:schemeClr w14:val="tx1"/>
                        </w14:solidFill>
                      </w14:textFill>
                    </w:rPr>
                    <w:t>3</w:t>
                  </w:r>
                </w:p>
              </w:tc>
              <w:tc>
                <w:tcPr>
                  <w:tcW w:w="1217" w:type="pct"/>
                  <w:tcBorders>
                    <w:tl2br w:val="nil"/>
                    <w:tr2bl w:val="nil"/>
                  </w:tcBorders>
                  <w:noWrap w:val="0"/>
                  <w:vAlign w:val="center"/>
                </w:tcPr>
                <w:p w14:paraId="4E08D2BF">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日最大8小时平均</w:t>
                  </w:r>
                </w:p>
              </w:tc>
              <w:tc>
                <w:tcPr>
                  <w:tcW w:w="594" w:type="pct"/>
                  <w:tcBorders>
                    <w:tl2br w:val="nil"/>
                    <w:tr2bl w:val="nil"/>
                  </w:tcBorders>
                  <w:noWrap w:val="0"/>
                  <w:vAlign w:val="center"/>
                </w:tcPr>
                <w:p w14:paraId="0FFC8750">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100</w:t>
                  </w:r>
                </w:p>
              </w:tc>
              <w:tc>
                <w:tcPr>
                  <w:tcW w:w="688" w:type="pct"/>
                  <w:tcBorders>
                    <w:tl2br w:val="nil"/>
                    <w:tr2bl w:val="nil"/>
                  </w:tcBorders>
                  <w:noWrap w:val="0"/>
                  <w:vAlign w:val="center"/>
                </w:tcPr>
                <w:p w14:paraId="6360F6CD">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160</w:t>
                  </w:r>
                </w:p>
              </w:tc>
              <w:tc>
                <w:tcPr>
                  <w:tcW w:w="833" w:type="pct"/>
                  <w:vMerge w:val="restart"/>
                  <w:tcBorders>
                    <w:tl2br w:val="nil"/>
                    <w:tr2bl w:val="nil"/>
                  </w:tcBorders>
                  <w:noWrap w:val="0"/>
                  <w:vAlign w:val="center"/>
                </w:tcPr>
                <w:p w14:paraId="61E34E78">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14:textFill>
                        <w14:solidFill>
                          <w14:schemeClr w14:val="tx1"/>
                        </w14:solidFill>
                      </w14:textFill>
                    </w:rPr>
                    <w:t>µg/m</w:t>
                  </w:r>
                  <w:r>
                    <w:rPr>
                      <w:rFonts w:hint="default" w:ascii="Times New Roman" w:hAnsi="Times New Roman" w:cs="Times New Roman"/>
                      <w:color w:val="000000" w:themeColor="text1"/>
                      <w:sz w:val="21"/>
                      <w:szCs w:val="21"/>
                      <w:highlight w:val="none"/>
                      <w:vertAlign w:val="superscript"/>
                      <w:lang w:val="en-US" w:eastAsia="zh-CN"/>
                      <w14:textFill>
                        <w14:solidFill>
                          <w14:schemeClr w14:val="tx1"/>
                        </w14:solidFill>
                      </w14:textFill>
                    </w:rPr>
                    <w:t>3</w:t>
                  </w:r>
                </w:p>
              </w:tc>
            </w:tr>
            <w:tr w14:paraId="00A47032">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continue"/>
                  <w:tcBorders>
                    <w:tl2br w:val="nil"/>
                    <w:tr2bl w:val="nil"/>
                  </w:tcBorders>
                  <w:noWrap w:val="0"/>
                  <w:vAlign w:val="center"/>
                </w:tcPr>
                <w:p w14:paraId="03DD3BF6">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88" w:type="pct"/>
                  <w:vMerge w:val="continue"/>
                  <w:tcBorders>
                    <w:tl2br w:val="nil"/>
                    <w:tr2bl w:val="nil"/>
                  </w:tcBorders>
                  <w:noWrap w:val="0"/>
                  <w:vAlign w:val="center"/>
                </w:tcPr>
                <w:p w14:paraId="059AB29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538407A2">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1小时平均</w:t>
                  </w:r>
                </w:p>
              </w:tc>
              <w:tc>
                <w:tcPr>
                  <w:tcW w:w="594" w:type="pct"/>
                  <w:tcBorders>
                    <w:tl2br w:val="nil"/>
                    <w:tr2bl w:val="nil"/>
                  </w:tcBorders>
                  <w:noWrap w:val="0"/>
                  <w:vAlign w:val="center"/>
                </w:tcPr>
                <w:p w14:paraId="07981611">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160</w:t>
                  </w:r>
                </w:p>
              </w:tc>
              <w:tc>
                <w:tcPr>
                  <w:tcW w:w="688" w:type="pct"/>
                  <w:tcBorders>
                    <w:tl2br w:val="nil"/>
                    <w:tr2bl w:val="nil"/>
                  </w:tcBorders>
                  <w:noWrap w:val="0"/>
                  <w:vAlign w:val="center"/>
                </w:tcPr>
                <w:p w14:paraId="60A46EC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200</w:t>
                  </w:r>
                </w:p>
              </w:tc>
              <w:tc>
                <w:tcPr>
                  <w:tcW w:w="833" w:type="pct"/>
                  <w:vMerge w:val="continue"/>
                  <w:tcBorders>
                    <w:tl2br w:val="nil"/>
                    <w:tr2bl w:val="nil"/>
                  </w:tcBorders>
                  <w:noWrap w:val="0"/>
                  <w:vAlign w:val="center"/>
                </w:tcPr>
                <w:p w14:paraId="06B7F39F">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7AD07BF8">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restart"/>
                  <w:tcBorders>
                    <w:tl2br w:val="nil"/>
                    <w:tr2bl w:val="nil"/>
                  </w:tcBorders>
                  <w:noWrap w:val="0"/>
                  <w:vAlign w:val="center"/>
                </w:tcPr>
                <w:p w14:paraId="52BB63AC">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5</w:t>
                  </w:r>
                </w:p>
              </w:tc>
              <w:tc>
                <w:tcPr>
                  <w:tcW w:w="1388" w:type="pct"/>
                  <w:vMerge w:val="restart"/>
                  <w:tcBorders>
                    <w:tl2br w:val="nil"/>
                    <w:tr2bl w:val="nil"/>
                  </w:tcBorders>
                  <w:noWrap w:val="0"/>
                  <w:vAlign w:val="center"/>
                </w:tcPr>
                <w:p w14:paraId="5E04EF69">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颗粒物（粒径小于等于10µm）</w:t>
                  </w:r>
                </w:p>
              </w:tc>
              <w:tc>
                <w:tcPr>
                  <w:tcW w:w="1217" w:type="pct"/>
                  <w:tcBorders>
                    <w:tl2br w:val="nil"/>
                    <w:tr2bl w:val="nil"/>
                  </w:tcBorders>
                  <w:noWrap w:val="0"/>
                  <w:vAlign w:val="center"/>
                </w:tcPr>
                <w:p w14:paraId="23F19885">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年平均</w:t>
                  </w:r>
                </w:p>
              </w:tc>
              <w:tc>
                <w:tcPr>
                  <w:tcW w:w="594" w:type="pct"/>
                  <w:tcBorders>
                    <w:tl2br w:val="nil"/>
                    <w:tr2bl w:val="nil"/>
                  </w:tcBorders>
                  <w:noWrap w:val="0"/>
                  <w:vAlign w:val="center"/>
                </w:tcPr>
                <w:p w14:paraId="10F7898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40</w:t>
                  </w:r>
                </w:p>
              </w:tc>
              <w:tc>
                <w:tcPr>
                  <w:tcW w:w="688" w:type="pct"/>
                  <w:tcBorders>
                    <w:tl2br w:val="nil"/>
                    <w:tr2bl w:val="nil"/>
                  </w:tcBorders>
                  <w:noWrap w:val="0"/>
                  <w:vAlign w:val="center"/>
                </w:tcPr>
                <w:p w14:paraId="1D7DDCB2">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70</w:t>
                  </w:r>
                </w:p>
              </w:tc>
              <w:tc>
                <w:tcPr>
                  <w:tcW w:w="833" w:type="pct"/>
                  <w:vMerge w:val="continue"/>
                  <w:tcBorders>
                    <w:tl2br w:val="nil"/>
                    <w:tr2bl w:val="nil"/>
                  </w:tcBorders>
                  <w:noWrap w:val="0"/>
                  <w:vAlign w:val="center"/>
                </w:tcPr>
                <w:p w14:paraId="7E45BEE5">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171A23BA">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continue"/>
                  <w:tcBorders>
                    <w:tl2br w:val="nil"/>
                    <w:tr2bl w:val="nil"/>
                  </w:tcBorders>
                  <w:noWrap w:val="0"/>
                  <w:vAlign w:val="center"/>
                </w:tcPr>
                <w:p w14:paraId="27F9748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88" w:type="pct"/>
                  <w:vMerge w:val="continue"/>
                  <w:tcBorders>
                    <w:tl2br w:val="nil"/>
                    <w:tr2bl w:val="nil"/>
                  </w:tcBorders>
                  <w:noWrap w:val="0"/>
                  <w:vAlign w:val="center"/>
                </w:tcPr>
                <w:p w14:paraId="67DBDF71">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25EBB2C6">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6E83231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50</w:t>
                  </w:r>
                </w:p>
              </w:tc>
              <w:tc>
                <w:tcPr>
                  <w:tcW w:w="688" w:type="pct"/>
                  <w:tcBorders>
                    <w:tl2br w:val="nil"/>
                    <w:tr2bl w:val="nil"/>
                  </w:tcBorders>
                  <w:noWrap w:val="0"/>
                  <w:vAlign w:val="center"/>
                </w:tcPr>
                <w:p w14:paraId="02B4F69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150</w:t>
                  </w:r>
                </w:p>
              </w:tc>
              <w:tc>
                <w:tcPr>
                  <w:tcW w:w="833" w:type="pct"/>
                  <w:vMerge w:val="continue"/>
                  <w:tcBorders>
                    <w:tl2br w:val="nil"/>
                    <w:tr2bl w:val="nil"/>
                  </w:tcBorders>
                  <w:noWrap w:val="0"/>
                  <w:vAlign w:val="center"/>
                </w:tcPr>
                <w:p w14:paraId="58AC0C66">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2D43398F">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restart"/>
                  <w:tcBorders>
                    <w:tl2br w:val="nil"/>
                    <w:tr2bl w:val="nil"/>
                  </w:tcBorders>
                  <w:noWrap w:val="0"/>
                  <w:vAlign w:val="center"/>
                </w:tcPr>
                <w:p w14:paraId="3A79F67C">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6</w:t>
                  </w:r>
                </w:p>
              </w:tc>
              <w:tc>
                <w:tcPr>
                  <w:tcW w:w="1388" w:type="pct"/>
                  <w:vMerge w:val="restart"/>
                  <w:tcBorders>
                    <w:tl2br w:val="nil"/>
                    <w:tr2bl w:val="nil"/>
                  </w:tcBorders>
                  <w:noWrap w:val="0"/>
                  <w:vAlign w:val="center"/>
                </w:tcPr>
                <w:p w14:paraId="457D1CD5">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14:textFill>
                        <w14:solidFill>
                          <w14:schemeClr w14:val="tx1"/>
                        </w14:solidFill>
                      </w14:textFill>
                    </w:rPr>
                    <w:t>颗粒物（粒径小于等于2.5µm）</w:t>
                  </w:r>
                </w:p>
              </w:tc>
              <w:tc>
                <w:tcPr>
                  <w:tcW w:w="1217" w:type="pct"/>
                  <w:tcBorders>
                    <w:tl2br w:val="nil"/>
                    <w:tr2bl w:val="nil"/>
                  </w:tcBorders>
                  <w:noWrap w:val="0"/>
                  <w:vAlign w:val="center"/>
                </w:tcPr>
                <w:p w14:paraId="57567F2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年平均</w:t>
                  </w:r>
                </w:p>
              </w:tc>
              <w:tc>
                <w:tcPr>
                  <w:tcW w:w="594" w:type="pct"/>
                  <w:tcBorders>
                    <w:tl2br w:val="nil"/>
                    <w:tr2bl w:val="nil"/>
                  </w:tcBorders>
                  <w:noWrap w:val="0"/>
                  <w:vAlign w:val="center"/>
                </w:tcPr>
                <w:p w14:paraId="0F47AAE8">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15</w:t>
                  </w:r>
                </w:p>
              </w:tc>
              <w:tc>
                <w:tcPr>
                  <w:tcW w:w="688" w:type="pct"/>
                  <w:tcBorders>
                    <w:tl2br w:val="nil"/>
                    <w:tr2bl w:val="nil"/>
                  </w:tcBorders>
                  <w:noWrap w:val="0"/>
                  <w:vAlign w:val="center"/>
                </w:tcPr>
                <w:p w14:paraId="4FC80D7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35</w:t>
                  </w:r>
                </w:p>
              </w:tc>
              <w:tc>
                <w:tcPr>
                  <w:tcW w:w="833" w:type="pct"/>
                  <w:vMerge w:val="continue"/>
                  <w:tcBorders>
                    <w:tl2br w:val="nil"/>
                    <w:tr2bl w:val="nil"/>
                  </w:tcBorders>
                  <w:noWrap w:val="0"/>
                  <w:vAlign w:val="center"/>
                </w:tcPr>
                <w:p w14:paraId="203B113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6A26A2C3">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77" w:type="pct"/>
                  <w:vMerge w:val="continue"/>
                  <w:tcBorders>
                    <w:tl2br w:val="nil"/>
                    <w:tr2bl w:val="nil"/>
                  </w:tcBorders>
                  <w:noWrap w:val="0"/>
                  <w:vAlign w:val="center"/>
                </w:tcPr>
                <w:p w14:paraId="2D8CE6C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88" w:type="pct"/>
                  <w:vMerge w:val="continue"/>
                  <w:tcBorders>
                    <w:tl2br w:val="nil"/>
                    <w:tr2bl w:val="nil"/>
                  </w:tcBorders>
                  <w:noWrap w:val="0"/>
                  <w:vAlign w:val="center"/>
                </w:tcPr>
                <w:p w14:paraId="5F5CDF01">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17D18671">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059474AE">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35</w:t>
                  </w:r>
                </w:p>
              </w:tc>
              <w:tc>
                <w:tcPr>
                  <w:tcW w:w="688" w:type="pct"/>
                  <w:tcBorders>
                    <w:tl2br w:val="nil"/>
                    <w:tr2bl w:val="nil"/>
                  </w:tcBorders>
                  <w:noWrap w:val="0"/>
                  <w:vAlign w:val="center"/>
                </w:tcPr>
                <w:p w14:paraId="10D71661">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75</w:t>
                  </w:r>
                </w:p>
              </w:tc>
              <w:tc>
                <w:tcPr>
                  <w:tcW w:w="833" w:type="pct"/>
                  <w:vMerge w:val="continue"/>
                  <w:tcBorders>
                    <w:tl2br w:val="nil"/>
                    <w:tr2bl w:val="nil"/>
                  </w:tcBorders>
                  <w:noWrap w:val="0"/>
                  <w:vAlign w:val="center"/>
                </w:tcPr>
                <w:p w14:paraId="6E9E37B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bl>
          <w:p w14:paraId="0E47FD1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环境空气质量补充监测委托内蒙古鲲福检测技术有限公司于2026年3月10日—3月12日进行检测，共布设2个监测点位，厂界</w:t>
            </w:r>
            <w:r>
              <w:rPr>
                <w:rFonts w:hint="eastAsia"/>
                <w:color w:val="000000" w:themeColor="text1"/>
                <w:sz w:val="24"/>
                <w:szCs w:val="24"/>
                <w:lang w:val="en-US" w:eastAsia="zh-CN"/>
                <w14:textFill>
                  <w14:solidFill>
                    <w14:schemeClr w14:val="tx1"/>
                  </w14:solidFill>
                </w14:textFill>
              </w:rPr>
              <w:t>东面居民和厂界西南面居民</w:t>
            </w:r>
            <w:r>
              <w:rPr>
                <w:rFonts w:hint="eastAsia" w:ascii="Times New Roman" w:hAnsi="Times New Roman" w:cs="Times New Roman"/>
                <w:color w:val="000000" w:themeColor="text1"/>
                <w:highlight w:val="none"/>
                <w:lang w:val="en-US" w:eastAsia="zh-CN"/>
                <w14:textFill>
                  <w14:solidFill>
                    <w14:schemeClr w14:val="tx1"/>
                  </w14:solidFill>
                </w14:textFill>
              </w:rPr>
              <w:t>，检测结果及评价见下表</w:t>
            </w:r>
            <w:r>
              <w:rPr>
                <w:rFonts w:hint="default" w:ascii="Times New Roman" w:hAnsi="Times New Roman" w:cs="Times New Roman"/>
                <w:color w:val="000000" w:themeColor="text1"/>
                <w:highlight w:val="none"/>
                <w:lang w:val="en-US" w:eastAsia="zh-CN"/>
                <w14:textFill>
                  <w14:solidFill>
                    <w14:schemeClr w14:val="tx1"/>
                  </w14:solidFill>
                </w14:textFill>
              </w:rPr>
              <w:t>。</w:t>
            </w:r>
          </w:p>
          <w:p w14:paraId="3E8D9DE9">
            <w:pPr>
              <w:keepNext w:val="0"/>
              <w:keepLines w:val="0"/>
              <w:pageBreakBefore w:val="0"/>
              <w:widowControl w:val="0"/>
              <w:kinsoku/>
              <w:wordWrap/>
              <w:overflowPunct/>
              <w:topLinePunct w:val="0"/>
              <w:autoSpaceDE/>
              <w:autoSpaceDN/>
              <w:bidi w:val="0"/>
              <w:adjustRightInd/>
              <w:snapToGrid w:val="0"/>
              <w:spacing w:line="360" w:lineRule="auto"/>
              <w:jc w:val="both"/>
              <w:textAlignment w:val="auto"/>
              <w:rPr>
                <w:rFonts w:hint="eastAsia" w:ascii="Times New Roman" w:hAnsi="Times New Roman" w:cs="Times New Roman"/>
                <w:b/>
                <w:bCs/>
                <w:color w:val="000000" w:themeColor="text1"/>
                <w:highlight w:val="none"/>
                <w:lang w:val="en-US" w:eastAsia="zh-CN"/>
                <w14:textFill>
                  <w14:solidFill>
                    <w14:schemeClr w14:val="tx1"/>
                  </w14:solidFill>
                </w14:textFill>
              </w:rPr>
            </w:pPr>
            <w:r>
              <w:rPr>
                <w:sz w:val="24"/>
              </w:rPr>
              <mc:AlternateContent>
                <mc:Choice Requires="wps">
                  <w:drawing>
                    <wp:anchor distT="0" distB="0" distL="114300" distR="114300" simplePos="0" relativeHeight="251692032" behindDoc="0" locked="0" layoutInCell="1" allowOverlap="1">
                      <wp:simplePos x="0" y="0"/>
                      <wp:positionH relativeFrom="column">
                        <wp:posOffset>4072255</wp:posOffset>
                      </wp:positionH>
                      <wp:positionV relativeFrom="paragraph">
                        <wp:posOffset>2667000</wp:posOffset>
                      </wp:positionV>
                      <wp:extent cx="1143000" cy="529590"/>
                      <wp:effectExtent l="6350" t="594360" r="12700" b="19050"/>
                      <wp:wrapNone/>
                      <wp:docPr id="95" name="矩形标注 95"/>
                      <wp:cNvGraphicFramePr/>
                      <a:graphic xmlns:a="http://schemas.openxmlformats.org/drawingml/2006/main">
                        <a:graphicData uri="http://schemas.microsoft.com/office/word/2010/wordprocessingShape">
                          <wps:wsp>
                            <wps:cNvSpPr/>
                            <wps:spPr>
                              <a:xfrm>
                                <a:off x="5577840" y="5182235"/>
                                <a:ext cx="1143000" cy="529590"/>
                              </a:xfrm>
                              <a:prstGeom prst="wedgeRectCallout">
                                <a:avLst>
                                  <a:gd name="adj1" fmla="val -17111"/>
                                  <a:gd name="adj2" fmla="val -157314"/>
                                </a:avLst>
                              </a:prstGeom>
                              <a:solidFill>
                                <a:srgbClr val="FFFF00"/>
                              </a:solidFill>
                            </wps:spPr>
                            <wps:style>
                              <a:lnRef idx="2">
                                <a:schemeClr val="accent1">
                                  <a:lumMod val="75000"/>
                                </a:schemeClr>
                              </a:lnRef>
                              <a:fillRef idx="1">
                                <a:schemeClr val="accent1"/>
                              </a:fillRef>
                              <a:effectRef idx="0">
                                <a:srgbClr val="FFFFFF"/>
                              </a:effectRef>
                              <a:fontRef idx="minor">
                                <a:schemeClr val="lt1"/>
                              </a:fontRef>
                            </wps:style>
                            <wps:txbx>
                              <w:txbxContent>
                                <w:p w14:paraId="554067E2">
                                  <w:pP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厂区东面特古斯家检测点</w:t>
                                  </w:r>
                                </w:p>
                                <w:p w14:paraId="1E47E86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320.65pt;margin-top:210pt;height:41.7pt;width:90pt;z-index:251692032;v-text-anchor:middle;mso-width-relative:page;mso-height-relative:page;" fillcolor="#FFFF00" filled="t" stroked="t" coordsize="21600,21600" o:gfxdata="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dthF1tsAAAALAQAADwAAAAAAAAABACAAAAAiAAAAZHJzL2Rvd25yZXYueG1sUEsBAhQAFAAA&#10;AAgAh07iQHpXEmzQAgAAlQUAAA4AAAAAAAAAAQAgAAAAKgEAAGRycy9lMm9Eb2MueG1sUEsFBgAA&#10;AAAGAAYAWQEAAGwGAAAAAA==&#10;" adj="7104,-23180">
                      <v:fill on="t" focussize="0,0"/>
                      <v:stroke weight="1pt" color="#2E75B6 [2404]" miterlimit="8" joinstyle="miter"/>
                      <v:imagedata o:title=""/>
                      <o:lock v:ext="edit" aspectratio="f"/>
                      <v:textbox>
                        <w:txbxContent>
                          <w:p w14:paraId="554067E2">
                            <w:pP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厂区东面特古斯家检测点</w:t>
                            </w:r>
                          </w:p>
                          <w:p w14:paraId="1E47E865">
                            <w:pPr>
                              <w:jc w:val="center"/>
                            </w:pPr>
                          </w:p>
                        </w:txbxContent>
                      </v:textbox>
                    </v:shape>
                  </w:pict>
                </mc:Fallback>
              </mc:AlternateContent>
            </w:r>
            <w:r>
              <w:rPr>
                <w:sz w:val="24"/>
              </w:rPr>
              <mc:AlternateContent>
                <mc:Choice Requires="wps">
                  <w:drawing>
                    <wp:anchor distT="0" distB="0" distL="114300" distR="114300" simplePos="0" relativeHeight="251693056" behindDoc="0" locked="0" layoutInCell="1" allowOverlap="1">
                      <wp:simplePos x="0" y="0"/>
                      <wp:positionH relativeFrom="column">
                        <wp:posOffset>294005</wp:posOffset>
                      </wp:positionH>
                      <wp:positionV relativeFrom="paragraph">
                        <wp:posOffset>3851275</wp:posOffset>
                      </wp:positionV>
                      <wp:extent cx="1358265" cy="529590"/>
                      <wp:effectExtent l="6350" t="750570" r="6985" b="15240"/>
                      <wp:wrapNone/>
                      <wp:docPr id="96" name="矩形标注 96"/>
                      <wp:cNvGraphicFramePr/>
                      <a:graphic xmlns:a="http://schemas.openxmlformats.org/drawingml/2006/main">
                        <a:graphicData uri="http://schemas.microsoft.com/office/word/2010/wordprocessingShape">
                          <wps:wsp>
                            <wps:cNvSpPr/>
                            <wps:spPr>
                              <a:xfrm>
                                <a:off x="0" y="0"/>
                                <a:ext cx="1358265" cy="529590"/>
                              </a:xfrm>
                              <a:prstGeom prst="wedgeRectCallout">
                                <a:avLst>
                                  <a:gd name="adj1" fmla="val 38405"/>
                                  <a:gd name="adj2" fmla="val -186211"/>
                                </a:avLst>
                              </a:prstGeom>
                              <a:solidFill>
                                <a:srgbClr val="FFFF00"/>
                              </a:solidFill>
                            </wps:spPr>
                            <wps:style>
                              <a:lnRef idx="2">
                                <a:schemeClr val="accent1">
                                  <a:lumMod val="75000"/>
                                </a:schemeClr>
                              </a:lnRef>
                              <a:fillRef idx="1">
                                <a:schemeClr val="accent1"/>
                              </a:fillRef>
                              <a:effectRef idx="0">
                                <a:srgbClr val="FFFFFF"/>
                              </a:effectRef>
                              <a:fontRef idx="minor">
                                <a:schemeClr val="lt1"/>
                              </a:fontRef>
                            </wps:style>
                            <wps:txbx>
                              <w:txbxContent>
                                <w:p w14:paraId="1256421A">
                                  <w:pP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厂区西南面其志麦拉家检测点</w:t>
                                  </w:r>
                                </w:p>
                                <w:p w14:paraId="443F3FF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3.15pt;margin-top:303.25pt;height:41.7pt;width:106.95pt;z-index:251693056;v-text-anchor:middle;mso-width-relative:page;mso-height-relative:page;" fillcolor="#FFFF00" filled="t" stroked="t" coordsize="21600,21600" o:gfxdata="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" adj="19095,-29422">
                      <v:fill on="t" focussize="0,0"/>
                      <v:stroke weight="1pt" color="#2E75B6 [2404]" miterlimit="8" joinstyle="miter"/>
                      <v:imagedata o:title=""/>
                      <o:lock v:ext="edit" aspectratio="f"/>
                      <v:textbox>
                        <w:txbxContent>
                          <w:p w14:paraId="1256421A">
                            <w:pP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厂区西南面其志麦拉家检测点</w:t>
                            </w:r>
                          </w:p>
                          <w:p w14:paraId="443F3FFB">
                            <w:pPr>
                              <w:jc w:val="center"/>
                            </w:pPr>
                          </w:p>
                        </w:txbxContent>
                      </v:textbox>
                    </v:shape>
                  </w:pict>
                </mc:Fallback>
              </mc:AlternateContent>
            </w:r>
            <w:r>
              <w:rPr>
                <w:rFonts w:hint="default" w:ascii="Times New Roman" w:hAnsi="Times New Roman" w:cs="Times New Roman"/>
                <w:color w:val="000000" w:themeColor="text1"/>
                <w:highlight w:val="none"/>
                <w:lang w:val="en-US" w:eastAsia="zh-CN"/>
                <w14:textFill>
                  <w14:solidFill>
                    <w14:schemeClr w14:val="tx1"/>
                  </w14:solidFill>
                </w14:textFill>
              </w:rPr>
              <w:drawing>
                <wp:anchor distT="0" distB="0" distL="114300" distR="114300" simplePos="0" relativeHeight="251675648" behindDoc="0" locked="0" layoutInCell="1" allowOverlap="1">
                  <wp:simplePos x="0" y="0"/>
                  <wp:positionH relativeFrom="column">
                    <wp:posOffset>4343400</wp:posOffset>
                  </wp:positionH>
                  <wp:positionV relativeFrom="paragraph">
                    <wp:posOffset>19050</wp:posOffset>
                  </wp:positionV>
                  <wp:extent cx="809625" cy="809625"/>
                  <wp:effectExtent l="0" t="0" r="9525" b="9525"/>
                  <wp:wrapNone/>
                  <wp:docPr id="32" name="图片 32" descr="5e49f2604eaa73575e47cfcd822da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5e49f2604eaa73575e47cfcd822da3a"/>
                          <pic:cNvPicPr>
                            <a:picLocks noChangeAspect="1"/>
                          </pic:cNvPicPr>
                        </pic:nvPicPr>
                        <pic:blipFill>
                          <a:blip r:embed="rId18"/>
                          <a:stretch>
                            <a:fillRect/>
                          </a:stretch>
                        </pic:blipFill>
                        <pic:spPr>
                          <a:xfrm>
                            <a:off x="0" y="0"/>
                            <a:ext cx="809625" cy="809625"/>
                          </a:xfrm>
                          <a:prstGeom prst="rect">
                            <a:avLst/>
                          </a:prstGeom>
                        </pic:spPr>
                      </pic:pic>
                    </a:graphicData>
                  </a:graphic>
                </wp:anchor>
              </w:drawing>
            </w:r>
            <w:r>
              <w:rPr>
                <w:color w:val="000000" w:themeColor="text1"/>
                <w:sz w:val="24"/>
                <w14:textFill>
                  <w14:solidFill>
                    <w14:schemeClr w14:val="tx1"/>
                  </w14:solidFill>
                </w14:textFill>
              </w:rPr>
              <mc:AlternateContent>
                <mc:Choice Requires="wps">
                  <w:drawing>
                    <wp:anchor distT="0" distB="0" distL="114300" distR="114300" simplePos="0" relativeHeight="251673600" behindDoc="0" locked="0" layoutInCell="1" allowOverlap="1">
                      <wp:simplePos x="0" y="0"/>
                      <wp:positionH relativeFrom="column">
                        <wp:posOffset>4065270</wp:posOffset>
                      </wp:positionH>
                      <wp:positionV relativeFrom="paragraph">
                        <wp:posOffset>4241165</wp:posOffset>
                      </wp:positionV>
                      <wp:extent cx="295275" cy="180975"/>
                      <wp:effectExtent l="9525" t="9525" r="19050" b="19050"/>
                      <wp:wrapNone/>
                      <wp:docPr id="20" name="矩形 20"/>
                      <wp:cNvGraphicFramePr/>
                      <a:graphic xmlns:a="http://schemas.openxmlformats.org/drawingml/2006/main">
                        <a:graphicData uri="http://schemas.microsoft.com/office/word/2010/wordprocessingShape">
                          <wps:wsp>
                            <wps:cNvSpPr/>
                            <wps:spPr>
                              <a:xfrm>
                                <a:off x="5480685" y="4371975"/>
                                <a:ext cx="295275" cy="180975"/>
                              </a:xfrm>
                              <a:prstGeom prst="rect">
                                <a:avLst/>
                              </a:prstGeom>
                              <a:noFill/>
                              <a:ln w="19050">
                                <a:solidFill>
                                  <a:srgbClr val="00B0F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20.1pt;margin-top:333.95pt;height:14.25pt;width:23.25pt;z-index:251673600;v-text-anchor:middle;mso-width-relative:page;mso-height-relative:page;" filled="f" stroked="t" coordsize="21600,21600" o:gfxdata="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ibQMW9kAAAALAQAADwAAAAAAAAABACAAAAAiAAAA&#10;ZHJzL2Rvd25yZXYueG1sUEsBAhQAFAAAAAgAh07iQKPKlLJ4AgAA2AQAAA4AAAAAAAAAAQAgAAAA&#10;KAEAAGRycy9lMm9Eb2MueG1sUEsFBgAAAAAGAAYAWQEAABIGAAAAAA==&#10;">
                      <v:fill on="f" focussize="0,0"/>
                      <v:stroke weight="1.5pt" color="#00B0F0 [2404]" miterlimit="8" joinstyle="miter"/>
                      <v:imagedata o:title=""/>
                      <o:lock v:ext="edit" aspectratio="f"/>
                    </v:rect>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4624" behindDoc="0" locked="0" layoutInCell="1" allowOverlap="1">
                      <wp:simplePos x="0" y="0"/>
                      <wp:positionH relativeFrom="column">
                        <wp:posOffset>4208145</wp:posOffset>
                      </wp:positionH>
                      <wp:positionV relativeFrom="paragraph">
                        <wp:posOffset>4469765</wp:posOffset>
                      </wp:positionV>
                      <wp:extent cx="104775" cy="104775"/>
                      <wp:effectExtent l="6350" t="6350" r="22225" b="22225"/>
                      <wp:wrapNone/>
                      <wp:docPr id="22" name="椭圆 22"/>
                      <wp:cNvGraphicFramePr/>
                      <a:graphic xmlns:a="http://schemas.openxmlformats.org/drawingml/2006/main">
                        <a:graphicData uri="http://schemas.microsoft.com/office/word/2010/wordprocessingShape">
                          <wps:wsp>
                            <wps:cNvSpPr/>
                            <wps:spPr>
                              <a:xfrm>
                                <a:off x="5566410" y="4581525"/>
                                <a:ext cx="104775" cy="104775"/>
                              </a:xfrm>
                              <a:prstGeom prst="ellipse">
                                <a:avLst/>
                              </a:prstGeom>
                              <a:solidFill>
                                <a:srgbClr val="FF0000"/>
                              </a:solid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331.35pt;margin-top:351.95pt;height:8.25pt;width:8.25pt;z-index:251674624;v-text-anchor:middle;mso-width-relative:page;mso-height-relative:page;" fillcolor="#FF0000" filled="t" stroked="t" coordsize="21600,21600" o:gfxdata="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vqHXHNYAAAALAQAADwAAAAAAAAABACAAAAAiAAAAZHJz&#10;L2Rvd25yZXYueG1sUEsBAhQAFAAAAAgAh07iQPbCFEB4AgAABAUAAA4AAAAAAAAAAQAgAAAAJQEA&#10;AGRycy9lMm9Eb2MueG1sUEsFBgAAAAAGAAYAWQEAAA8GAAAAAA==&#10;">
                      <v:fill on="t" focussize="0,0"/>
                      <v:stroke weight="1pt" color="#FF0000 [2404]" miterlimit="8" joinstyle="miter"/>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2576" behindDoc="0" locked="0" layoutInCell="1" allowOverlap="1">
                      <wp:simplePos x="0" y="0"/>
                      <wp:positionH relativeFrom="column">
                        <wp:posOffset>3989070</wp:posOffset>
                      </wp:positionH>
                      <wp:positionV relativeFrom="paragraph">
                        <wp:posOffset>3993515</wp:posOffset>
                      </wp:positionV>
                      <wp:extent cx="1162050" cy="724535"/>
                      <wp:effectExtent l="4445" t="4445" r="14605" b="13970"/>
                      <wp:wrapNone/>
                      <wp:docPr id="19" name="文本框 19"/>
                      <wp:cNvGraphicFramePr/>
                      <a:graphic xmlns:a="http://schemas.openxmlformats.org/drawingml/2006/main">
                        <a:graphicData uri="http://schemas.microsoft.com/office/word/2010/wordprocessingShape">
                          <wps:wsp>
                            <wps:cNvSpPr txBox="1"/>
                            <wps:spPr>
                              <a:xfrm>
                                <a:off x="5385435" y="4057650"/>
                                <a:ext cx="1162050" cy="7245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7B3F9F25">
                                  <w:pPr>
                                    <w:jc w:val="center"/>
                                    <w:rPr>
                                      <w:rFonts w:hint="eastAsia"/>
                                      <w:lang w:val="en-US" w:eastAsia="zh-CN"/>
                                    </w:rPr>
                                  </w:pPr>
                                  <w:r>
                                    <w:rPr>
                                      <w:rFonts w:hint="eastAsia"/>
                                      <w:lang w:val="en-US" w:eastAsia="zh-CN"/>
                                    </w:rPr>
                                    <w:t>图例</w:t>
                                  </w:r>
                                </w:p>
                                <w:p w14:paraId="322C77C2">
                                  <w:pPr>
                                    <w:ind w:firstLine="480"/>
                                    <w:jc w:val="both"/>
                                    <w:rPr>
                                      <w:rFonts w:hint="eastAsia"/>
                                      <w:lang w:val="en-US" w:eastAsia="zh-CN"/>
                                    </w:rPr>
                                  </w:pPr>
                                  <w:r>
                                    <w:rPr>
                                      <w:rFonts w:hint="eastAsia"/>
                                      <w:lang w:val="en-US" w:eastAsia="zh-CN"/>
                                    </w:rPr>
                                    <w:t>项目位置</w:t>
                                  </w:r>
                                </w:p>
                                <w:p w14:paraId="7A685737">
                                  <w:pPr>
                                    <w:keepNext w:val="0"/>
                                    <w:keepLines w:val="0"/>
                                    <w:pageBreakBefore w:val="0"/>
                                    <w:widowControl w:val="0"/>
                                    <w:kinsoku/>
                                    <w:wordWrap/>
                                    <w:overflowPunct/>
                                    <w:topLinePunct w:val="0"/>
                                    <w:bidi w:val="0"/>
                                    <w:adjustRightInd/>
                                    <w:snapToGrid/>
                                    <w:ind w:firstLine="480" w:firstLineChars="200"/>
                                    <w:jc w:val="both"/>
                                    <w:textAlignment w:val="auto"/>
                                    <w:rPr>
                                      <w:rFonts w:hint="default"/>
                                      <w:lang w:val="en-US" w:eastAsia="zh-CN"/>
                                    </w:rPr>
                                  </w:pPr>
                                  <w:r>
                                    <w:rPr>
                                      <w:rFonts w:hint="eastAsia"/>
                                      <w:lang w:val="en-US" w:eastAsia="zh-CN"/>
                                    </w:rPr>
                                    <w:t>监测点位</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4.1pt;margin-top:314.45pt;height:57.05pt;width:91.5pt;z-index:251672576;mso-width-relative:page;mso-height-relative:page;" fillcolor="#FFFFFF [3201]" filled="t" stroked="t" coordsize="21600,21600" o:gfxdata="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1J3ZM1gAAAAsBAAAPAAAAAAAAAAEAIAAAACIAAABkcnMvZG93bnJldi54bWxQSwECFAAUAAAA&#10;CACHTuJAfKEgjWICAADFBAAADgAAAAAAAAABACAAAAAlAQAAZHJzL2Uyb0RvYy54bWxQSwUGAAAA&#10;AAYABgBZAQAA+QUAAAAA&#10;">
                      <v:fill on="t" focussize="0,0"/>
                      <v:stroke weight="0.5pt" color="#000000 [3204]" joinstyle="round"/>
                      <v:imagedata o:title=""/>
                      <o:lock v:ext="edit" aspectratio="f"/>
                      <v:textbox>
                        <w:txbxContent>
                          <w:p w14:paraId="7B3F9F25">
                            <w:pPr>
                              <w:jc w:val="center"/>
                              <w:rPr>
                                <w:rFonts w:hint="eastAsia"/>
                                <w:lang w:val="en-US" w:eastAsia="zh-CN"/>
                              </w:rPr>
                            </w:pPr>
                            <w:r>
                              <w:rPr>
                                <w:rFonts w:hint="eastAsia"/>
                                <w:lang w:val="en-US" w:eastAsia="zh-CN"/>
                              </w:rPr>
                              <w:t>图例</w:t>
                            </w:r>
                          </w:p>
                          <w:p w14:paraId="322C77C2">
                            <w:pPr>
                              <w:ind w:firstLine="480"/>
                              <w:jc w:val="both"/>
                              <w:rPr>
                                <w:rFonts w:hint="eastAsia"/>
                                <w:lang w:val="en-US" w:eastAsia="zh-CN"/>
                              </w:rPr>
                            </w:pPr>
                            <w:r>
                              <w:rPr>
                                <w:rFonts w:hint="eastAsia"/>
                                <w:lang w:val="en-US" w:eastAsia="zh-CN"/>
                              </w:rPr>
                              <w:t>项目位置</w:t>
                            </w:r>
                          </w:p>
                          <w:p w14:paraId="7A685737">
                            <w:pPr>
                              <w:keepNext w:val="0"/>
                              <w:keepLines w:val="0"/>
                              <w:pageBreakBefore w:val="0"/>
                              <w:widowControl w:val="0"/>
                              <w:kinsoku/>
                              <w:wordWrap/>
                              <w:overflowPunct/>
                              <w:topLinePunct w:val="0"/>
                              <w:bidi w:val="0"/>
                              <w:adjustRightInd/>
                              <w:snapToGrid/>
                              <w:ind w:firstLine="480" w:firstLineChars="200"/>
                              <w:jc w:val="both"/>
                              <w:textAlignment w:val="auto"/>
                              <w:rPr>
                                <w:rFonts w:hint="default"/>
                                <w:lang w:val="en-US" w:eastAsia="zh-CN"/>
                              </w:rPr>
                            </w:pPr>
                            <w:r>
                              <w:rPr>
                                <w:rFonts w:hint="eastAsia"/>
                                <w:lang w:val="en-US" w:eastAsia="zh-CN"/>
                              </w:rPr>
                              <w:t>监测点位</w:t>
                            </w:r>
                          </w:p>
                        </w:txbxContent>
                      </v:textbox>
                    </v:shape>
                  </w:pict>
                </mc:Fallback>
              </mc:AlternateContent>
            </w:r>
            <w:r>
              <w:rPr>
                <w:color w:val="000000" w:themeColor="text1"/>
                <w14:textFill>
                  <w14:solidFill>
                    <w14:schemeClr w14:val="tx1"/>
                  </w14:solidFill>
                </w14:textFill>
              </w:rPr>
              <w:drawing>
                <wp:inline distT="0" distB="0" distL="114300" distR="114300">
                  <wp:extent cx="5157470" cy="4746625"/>
                  <wp:effectExtent l="0" t="0" r="5080" b="15875"/>
                  <wp:docPr id="4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6"/>
                          <pic:cNvPicPr>
                            <a:picLocks noChangeAspect="1"/>
                          </pic:cNvPicPr>
                        </pic:nvPicPr>
                        <pic:blipFill>
                          <a:blip r:embed="rId19"/>
                          <a:stretch>
                            <a:fillRect/>
                          </a:stretch>
                        </pic:blipFill>
                        <pic:spPr>
                          <a:xfrm>
                            <a:off x="0" y="0"/>
                            <a:ext cx="5157470" cy="4746625"/>
                          </a:xfrm>
                          <a:prstGeom prst="rect">
                            <a:avLst/>
                          </a:prstGeom>
                          <a:noFill/>
                          <a:ln>
                            <a:noFill/>
                          </a:ln>
                        </pic:spPr>
                      </pic:pic>
                    </a:graphicData>
                  </a:graphic>
                </wp:inline>
              </w:drawing>
            </w:r>
          </w:p>
          <w:p w14:paraId="5392F36F">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图3-1  大气监测点位图</w:t>
            </w:r>
          </w:p>
          <w:p w14:paraId="37ADE9B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监测点基本信息见表3-2，评价结果见表3-3。</w:t>
            </w:r>
          </w:p>
          <w:p w14:paraId="13B1ED7F">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表3-2  监测点基本信息表</w:t>
            </w:r>
          </w:p>
          <w:tbl>
            <w:tblPr>
              <w:tblStyle w:val="25"/>
              <w:tblW w:w="4998"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4"/>
              <w:gridCol w:w="1714"/>
              <w:gridCol w:w="1073"/>
              <w:gridCol w:w="1385"/>
              <w:gridCol w:w="1478"/>
              <w:gridCol w:w="1344"/>
            </w:tblGrid>
            <w:tr w14:paraId="3805A7C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0" w:type="pct"/>
                  <w:tcBorders>
                    <w:tl2br w:val="nil"/>
                    <w:tr2bl w:val="nil"/>
                  </w:tcBorders>
                  <w:vAlign w:val="center"/>
                </w:tcPr>
                <w:p w14:paraId="02A3A4C5">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名称</w:t>
                  </w:r>
                </w:p>
              </w:tc>
              <w:tc>
                <w:tcPr>
                  <w:tcW w:w="1063" w:type="pct"/>
                  <w:tcBorders>
                    <w:tl2br w:val="nil"/>
                    <w:tr2bl w:val="nil"/>
                  </w:tcBorders>
                  <w:vAlign w:val="center"/>
                </w:tcPr>
                <w:p w14:paraId="0D68AB9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坐标</w:t>
                  </w:r>
                </w:p>
              </w:tc>
              <w:tc>
                <w:tcPr>
                  <w:tcW w:w="665" w:type="pct"/>
                  <w:tcBorders>
                    <w:tl2br w:val="nil"/>
                    <w:tr2bl w:val="nil"/>
                  </w:tcBorders>
                  <w:vAlign w:val="center"/>
                </w:tcPr>
                <w:p w14:paraId="3FE1336D">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监测因子</w:t>
                  </w:r>
                </w:p>
              </w:tc>
              <w:tc>
                <w:tcPr>
                  <w:tcW w:w="859" w:type="pct"/>
                  <w:tcBorders>
                    <w:tl2br w:val="nil"/>
                    <w:tr2bl w:val="nil"/>
                  </w:tcBorders>
                  <w:vAlign w:val="center"/>
                </w:tcPr>
                <w:p w14:paraId="4AE83DD9">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监测时段</w:t>
                  </w:r>
                </w:p>
              </w:tc>
              <w:tc>
                <w:tcPr>
                  <w:tcW w:w="916" w:type="pct"/>
                  <w:tcBorders>
                    <w:tl2br w:val="nil"/>
                    <w:tr2bl w:val="nil"/>
                  </w:tcBorders>
                  <w:vAlign w:val="center"/>
                </w:tcPr>
                <w:p w14:paraId="35D1740B">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相对厂址方向</w:t>
                  </w:r>
                </w:p>
              </w:tc>
              <w:tc>
                <w:tcPr>
                  <w:tcW w:w="833" w:type="pct"/>
                  <w:tcBorders>
                    <w:tl2br w:val="nil"/>
                    <w:tr2bl w:val="nil"/>
                  </w:tcBorders>
                  <w:vAlign w:val="center"/>
                </w:tcPr>
                <w:p w14:paraId="6E5AC3A7">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相对厂界距离/m</w:t>
                  </w:r>
                </w:p>
              </w:tc>
            </w:tr>
            <w:tr w14:paraId="32BFA3E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0" w:type="pct"/>
                  <w:tcBorders>
                    <w:tl2br w:val="nil"/>
                    <w:tr2bl w:val="nil"/>
                  </w:tcBorders>
                  <w:shd w:val="clear" w:color="auto" w:fill="auto"/>
                  <w:vAlign w:val="center"/>
                </w:tcPr>
                <w:p w14:paraId="43629F41">
                  <w:pPr>
                    <w:jc w:val="center"/>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厂界东面</w:t>
                  </w:r>
                  <w:r>
                    <w:rPr>
                      <w:rFonts w:hint="eastAsia" w:ascii="Times New Roman" w:hAnsi="Times New Roman" w:cs="Times New Roman"/>
                      <w:color w:val="000000" w:themeColor="text1"/>
                      <w:sz w:val="21"/>
                      <w:szCs w:val="21"/>
                      <w:lang w:val="en-US" w:eastAsia="zh-CN"/>
                      <w14:textFill>
                        <w14:solidFill>
                          <w14:schemeClr w14:val="tx1"/>
                        </w14:solidFill>
                      </w14:textFill>
                    </w:rPr>
                    <w:t>特古斯家</w:t>
                  </w:r>
                </w:p>
              </w:tc>
              <w:tc>
                <w:tcPr>
                  <w:tcW w:w="1063" w:type="pct"/>
                  <w:tcBorders>
                    <w:tl2br w:val="nil"/>
                    <w:tr2bl w:val="nil"/>
                  </w:tcBorders>
                  <w:vAlign w:val="center"/>
                </w:tcPr>
                <w:p w14:paraId="54372A8F">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115.850743381°</w:t>
                  </w:r>
                  <w:r>
                    <w:rPr>
                      <w:rFonts w:hint="eastAsia" w:ascii="Times New Roman" w:hAnsi="Times New Roman" w:cs="Times New Roman"/>
                      <w:color w:val="000000" w:themeColor="text1"/>
                      <w:sz w:val="21"/>
                      <w:szCs w:val="21"/>
                      <w:lang w:val="en-US" w:eastAsia="zh-CN"/>
                      <w14:textFill>
                        <w14:solidFill>
                          <w14:schemeClr w14:val="tx1"/>
                        </w14:solidFill>
                      </w14:textFill>
                    </w:rPr>
                    <w:t>,</w:t>
                  </w:r>
                  <w:r>
                    <w:rPr>
                      <w:rFonts w:hint="default" w:ascii="Times New Roman" w:hAnsi="Times New Roman" w:cs="Times New Roman"/>
                      <w:color w:val="000000" w:themeColor="text1"/>
                      <w:sz w:val="21"/>
                      <w:szCs w:val="21"/>
                      <w:lang w:val="en-US" w:eastAsia="zh-CN"/>
                      <w14:textFill>
                        <w14:solidFill>
                          <w14:schemeClr w14:val="tx1"/>
                        </w14:solidFill>
                      </w14:textFill>
                    </w:rPr>
                    <w:t>42.182238119°</w:t>
                  </w:r>
                </w:p>
              </w:tc>
              <w:tc>
                <w:tcPr>
                  <w:tcW w:w="665" w:type="pct"/>
                  <w:tcBorders>
                    <w:tl2br w:val="nil"/>
                    <w:tr2bl w:val="nil"/>
                  </w:tcBorders>
                  <w:vAlign w:val="center"/>
                </w:tcPr>
                <w:p w14:paraId="650A1FE1">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TSP</w:t>
                  </w:r>
                </w:p>
              </w:tc>
              <w:tc>
                <w:tcPr>
                  <w:tcW w:w="859" w:type="pct"/>
                  <w:tcBorders>
                    <w:tl2br w:val="nil"/>
                    <w:tr2bl w:val="nil"/>
                  </w:tcBorders>
                  <w:vAlign w:val="center"/>
                </w:tcPr>
                <w:p w14:paraId="592E205E">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24小时平均</w:t>
                  </w:r>
                </w:p>
              </w:tc>
              <w:tc>
                <w:tcPr>
                  <w:tcW w:w="916" w:type="pct"/>
                  <w:tcBorders>
                    <w:tl2br w:val="nil"/>
                    <w:tr2bl w:val="nil"/>
                  </w:tcBorders>
                  <w:vAlign w:val="center"/>
                </w:tcPr>
                <w:p w14:paraId="5D0A918F">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E</w:t>
                  </w:r>
                </w:p>
              </w:tc>
              <w:tc>
                <w:tcPr>
                  <w:tcW w:w="833" w:type="pct"/>
                  <w:tcBorders>
                    <w:tl2br w:val="nil"/>
                    <w:tr2bl w:val="nil"/>
                  </w:tcBorders>
                  <w:vAlign w:val="center"/>
                </w:tcPr>
                <w:p w14:paraId="64123764">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450</w:t>
                  </w:r>
                </w:p>
              </w:tc>
            </w:tr>
            <w:tr w14:paraId="3398CA8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0" w:type="pct"/>
                  <w:tcBorders>
                    <w:tl2br w:val="nil"/>
                    <w:tr2bl w:val="nil"/>
                  </w:tcBorders>
                  <w:shd w:val="clear" w:color="auto" w:fill="auto"/>
                  <w:vAlign w:val="center"/>
                </w:tcPr>
                <w:p w14:paraId="34D96277">
                  <w:pPr>
                    <w:jc w:val="center"/>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厂界西南面</w:t>
                  </w:r>
                  <w:r>
                    <w:rPr>
                      <w:rFonts w:hint="eastAsia" w:ascii="Times New Roman" w:hAnsi="Times New Roman" w:cs="Times New Roman"/>
                      <w:color w:val="000000" w:themeColor="text1"/>
                      <w:sz w:val="21"/>
                      <w:szCs w:val="21"/>
                      <w:lang w:val="en-US" w:eastAsia="zh-CN"/>
                      <w14:textFill>
                        <w14:solidFill>
                          <w14:schemeClr w14:val="tx1"/>
                        </w14:solidFill>
                      </w14:textFill>
                    </w:rPr>
                    <w:t>其志麦拉家</w:t>
                  </w:r>
                </w:p>
              </w:tc>
              <w:tc>
                <w:tcPr>
                  <w:tcW w:w="1063" w:type="pct"/>
                  <w:tcBorders>
                    <w:tl2br w:val="nil"/>
                    <w:tr2bl w:val="nil"/>
                  </w:tcBorders>
                  <w:vAlign w:val="center"/>
                </w:tcPr>
                <w:p w14:paraId="1DFB900F">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115.840229122°</w:t>
                  </w:r>
                  <w:r>
                    <w:rPr>
                      <w:rFonts w:hint="eastAsia" w:ascii="Times New Roman" w:hAnsi="Times New Roman" w:cs="Times New Roman"/>
                      <w:color w:val="000000" w:themeColor="text1"/>
                      <w:sz w:val="21"/>
                      <w:szCs w:val="21"/>
                      <w:lang w:val="en-US" w:eastAsia="zh-CN"/>
                      <w14:textFill>
                        <w14:solidFill>
                          <w14:schemeClr w14:val="tx1"/>
                        </w14:solidFill>
                      </w14:textFill>
                    </w:rPr>
                    <w:t>,</w:t>
                  </w:r>
                  <w:r>
                    <w:rPr>
                      <w:rFonts w:hint="default" w:ascii="Times New Roman" w:hAnsi="Times New Roman" w:cs="Times New Roman"/>
                      <w:color w:val="000000" w:themeColor="text1"/>
                      <w:sz w:val="21"/>
                      <w:szCs w:val="21"/>
                      <w:lang w:val="en-US" w:eastAsia="zh-CN"/>
                      <w14:textFill>
                        <w14:solidFill>
                          <w14:schemeClr w14:val="tx1"/>
                        </w14:solidFill>
                      </w14:textFill>
                    </w:rPr>
                    <w:t>42.179749029°</w:t>
                  </w:r>
                </w:p>
              </w:tc>
              <w:tc>
                <w:tcPr>
                  <w:tcW w:w="665" w:type="pct"/>
                  <w:tcBorders>
                    <w:tl2br w:val="nil"/>
                    <w:tr2bl w:val="nil"/>
                  </w:tcBorders>
                  <w:vAlign w:val="center"/>
                </w:tcPr>
                <w:p w14:paraId="20EBC7FB">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TSP</w:t>
                  </w:r>
                </w:p>
              </w:tc>
              <w:tc>
                <w:tcPr>
                  <w:tcW w:w="859" w:type="pct"/>
                  <w:tcBorders>
                    <w:tl2br w:val="nil"/>
                    <w:tr2bl w:val="nil"/>
                  </w:tcBorders>
                  <w:vAlign w:val="center"/>
                </w:tcPr>
                <w:p w14:paraId="10215E92">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24小时平均</w:t>
                  </w:r>
                </w:p>
              </w:tc>
              <w:tc>
                <w:tcPr>
                  <w:tcW w:w="916" w:type="pct"/>
                  <w:tcBorders>
                    <w:tl2br w:val="nil"/>
                    <w:tr2bl w:val="nil"/>
                  </w:tcBorders>
                  <w:vAlign w:val="center"/>
                </w:tcPr>
                <w:p w14:paraId="73636958">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WS</w:t>
                  </w:r>
                </w:p>
              </w:tc>
              <w:tc>
                <w:tcPr>
                  <w:tcW w:w="833" w:type="pct"/>
                  <w:tcBorders>
                    <w:tl2br w:val="nil"/>
                    <w:tr2bl w:val="nil"/>
                  </w:tcBorders>
                  <w:vAlign w:val="center"/>
                </w:tcPr>
                <w:p w14:paraId="79E4FCE1">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280</w:t>
                  </w:r>
                </w:p>
              </w:tc>
            </w:tr>
          </w:tbl>
          <w:p w14:paraId="1A203BBE">
            <w:pPr>
              <w:keepNext w:val="0"/>
              <w:keepLines w:val="0"/>
              <w:pageBreakBefore w:val="0"/>
              <w:widowControl w:val="0"/>
              <w:kinsoku/>
              <w:wordWrap/>
              <w:overflowPunct/>
              <w:topLinePunct w:val="0"/>
              <w:autoSpaceDE/>
              <w:autoSpaceDN/>
              <w:bidi w:val="0"/>
              <w:adjustRightInd/>
              <w:snapToGrid w:val="0"/>
              <w:spacing w:line="360" w:lineRule="auto"/>
              <w:ind w:firstLine="964" w:firstLineChars="400"/>
              <w:jc w:val="center"/>
              <w:textAlignment w:val="auto"/>
              <w:rPr>
                <w:rFonts w:hint="default"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表3-3  环境空气监测现状评价表</w:t>
            </w:r>
          </w:p>
          <w:tbl>
            <w:tblPr>
              <w:tblStyle w:val="24"/>
              <w:tblW w:w="4988" w:type="pct"/>
              <w:tblInd w:w="2" w:type="dxa"/>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32"/>
              <w:gridCol w:w="739"/>
              <w:gridCol w:w="1302"/>
              <w:gridCol w:w="1207"/>
              <w:gridCol w:w="1142"/>
              <w:gridCol w:w="1162"/>
              <w:gridCol w:w="1084"/>
              <w:gridCol w:w="874"/>
            </w:tblGrid>
            <w:tr w14:paraId="7BE5A35D">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331" w:type="pct"/>
                  <w:tcBorders>
                    <w:tl2br w:val="nil"/>
                    <w:tr2bl w:val="nil"/>
                  </w:tcBorders>
                  <w:noWrap w:val="0"/>
                  <w:vAlign w:val="center"/>
                </w:tcPr>
                <w:p w14:paraId="2DD15858">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序号</w:t>
                  </w:r>
                </w:p>
              </w:tc>
              <w:tc>
                <w:tcPr>
                  <w:tcW w:w="459" w:type="pct"/>
                  <w:tcBorders>
                    <w:tl2br w:val="nil"/>
                    <w:tr2bl w:val="nil"/>
                  </w:tcBorders>
                  <w:noWrap w:val="0"/>
                  <w:vAlign w:val="center"/>
                </w:tcPr>
                <w:p w14:paraId="69FAD9DB">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污染物</w:t>
                  </w:r>
                </w:p>
              </w:tc>
              <w:tc>
                <w:tcPr>
                  <w:tcW w:w="1559" w:type="pct"/>
                  <w:gridSpan w:val="2"/>
                  <w:tcBorders>
                    <w:tl2br w:val="nil"/>
                    <w:tr2bl w:val="nil"/>
                  </w:tcBorders>
                  <w:noWrap w:val="0"/>
                  <w:vAlign w:val="center"/>
                </w:tcPr>
                <w:p w14:paraId="6DA62C88">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24h</w:t>
                  </w:r>
                  <w:r>
                    <w:rPr>
                      <w:rFonts w:hint="default" w:ascii="Times New Roman" w:hAnsi="Times New Roman" w:eastAsia="宋体" w:cs="Times New Roman"/>
                      <w:color w:val="000000" w:themeColor="text1"/>
                      <w:sz w:val="21"/>
                      <w:szCs w:val="21"/>
                      <w:highlight w:val="none"/>
                      <w14:textFill>
                        <w14:solidFill>
                          <w14:schemeClr w14:val="tx1"/>
                        </w14:solidFill>
                      </w14:textFill>
                    </w:rPr>
                    <w:t>评价指标</w:t>
                  </w:r>
                </w:p>
              </w:tc>
              <w:tc>
                <w:tcPr>
                  <w:tcW w:w="710" w:type="pct"/>
                  <w:tcBorders>
                    <w:tl2br w:val="nil"/>
                    <w:tr2bl w:val="nil"/>
                  </w:tcBorders>
                  <w:noWrap w:val="0"/>
                  <w:vAlign w:val="center"/>
                </w:tcPr>
                <w:p w14:paraId="01C0FFE2">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现状浓度（μg/m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z w:val="21"/>
                      <w:szCs w:val="21"/>
                      <w:highlight w:val="none"/>
                      <w14:textFill>
                        <w14:solidFill>
                          <w14:schemeClr w14:val="tx1"/>
                        </w14:solidFill>
                      </w14:textFill>
                    </w:rPr>
                    <w:t>）</w:t>
                  </w:r>
                </w:p>
              </w:tc>
              <w:tc>
                <w:tcPr>
                  <w:tcW w:w="722" w:type="pct"/>
                  <w:tcBorders>
                    <w:tl2br w:val="nil"/>
                    <w:tr2bl w:val="nil"/>
                  </w:tcBorders>
                  <w:noWrap w:val="0"/>
                  <w:vAlign w:val="center"/>
                </w:tcPr>
                <w:p w14:paraId="1F8A7767">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标准值（μg/m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z w:val="21"/>
                      <w:szCs w:val="21"/>
                      <w:highlight w:val="none"/>
                      <w14:textFill>
                        <w14:solidFill>
                          <w14:schemeClr w14:val="tx1"/>
                        </w14:solidFill>
                      </w14:textFill>
                    </w:rPr>
                    <w:t>）</w:t>
                  </w:r>
                </w:p>
              </w:tc>
              <w:tc>
                <w:tcPr>
                  <w:tcW w:w="674" w:type="pct"/>
                  <w:tcBorders>
                    <w:tl2br w:val="nil"/>
                    <w:tr2bl w:val="nil"/>
                  </w:tcBorders>
                  <w:noWrap w:val="0"/>
                  <w:vAlign w:val="center"/>
                </w:tcPr>
                <w:p w14:paraId="5D1C3669">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占标率（%）</w:t>
                  </w:r>
                </w:p>
              </w:tc>
              <w:tc>
                <w:tcPr>
                  <w:tcW w:w="543" w:type="pct"/>
                  <w:tcBorders>
                    <w:tl2br w:val="nil"/>
                    <w:tr2bl w:val="nil"/>
                  </w:tcBorders>
                  <w:noWrap w:val="0"/>
                  <w:vAlign w:val="center"/>
                </w:tcPr>
                <w:p w14:paraId="45C40C73">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达标情况</w:t>
                  </w:r>
                </w:p>
              </w:tc>
            </w:tr>
            <w:tr w14:paraId="7F3344ED">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1" w:hRule="atLeast"/>
              </w:trPr>
              <w:tc>
                <w:tcPr>
                  <w:tcW w:w="331" w:type="pct"/>
                  <w:vMerge w:val="restart"/>
                  <w:tcBorders>
                    <w:tl2br w:val="nil"/>
                    <w:tr2bl w:val="nil"/>
                  </w:tcBorders>
                  <w:noWrap w:val="0"/>
                  <w:vAlign w:val="center"/>
                </w:tcPr>
                <w:p w14:paraId="53C3668D">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w:t>
                  </w:r>
                </w:p>
              </w:tc>
              <w:tc>
                <w:tcPr>
                  <w:tcW w:w="459" w:type="pct"/>
                  <w:vMerge w:val="restart"/>
                  <w:tcBorders>
                    <w:tl2br w:val="nil"/>
                    <w:tr2bl w:val="nil"/>
                  </w:tcBorders>
                  <w:noWrap w:val="0"/>
                  <w:vAlign w:val="center"/>
                </w:tcPr>
                <w:p w14:paraId="0B7AA25C">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TSP</w:t>
                  </w:r>
                </w:p>
              </w:tc>
              <w:tc>
                <w:tcPr>
                  <w:tcW w:w="809" w:type="pct"/>
                  <w:vMerge w:val="restart"/>
                  <w:tcBorders>
                    <w:tl2br w:val="nil"/>
                    <w:tr2bl w:val="nil"/>
                  </w:tcBorders>
                  <w:noWrap w:val="0"/>
                  <w:vAlign w:val="center"/>
                </w:tcPr>
                <w:p w14:paraId="58145B82">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月</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日</w:t>
                  </w:r>
                </w:p>
              </w:tc>
              <w:tc>
                <w:tcPr>
                  <w:tcW w:w="1215" w:type="dxa"/>
                  <w:tcBorders>
                    <w:tl2br w:val="nil"/>
                    <w:tr2bl w:val="nil"/>
                  </w:tcBorders>
                  <w:noWrap w:val="0"/>
                  <w:vAlign w:val="center"/>
                </w:tcPr>
                <w:p w14:paraId="3964D58E">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1#东</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特古斯家</w:t>
                  </w:r>
                </w:p>
              </w:tc>
              <w:tc>
                <w:tcPr>
                  <w:tcW w:w="710" w:type="pct"/>
                  <w:tcBorders>
                    <w:tl2br w:val="nil"/>
                    <w:tr2bl w:val="nil"/>
                  </w:tcBorders>
                  <w:noWrap w:val="0"/>
                  <w:vAlign w:val="center"/>
                </w:tcPr>
                <w:p w14:paraId="70629DEB">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152</w:t>
                  </w:r>
                </w:p>
              </w:tc>
              <w:tc>
                <w:tcPr>
                  <w:tcW w:w="722" w:type="pct"/>
                  <w:tcBorders>
                    <w:tl2br w:val="nil"/>
                    <w:tr2bl w:val="nil"/>
                  </w:tcBorders>
                  <w:noWrap w:val="0"/>
                  <w:vAlign w:val="center"/>
                </w:tcPr>
                <w:p w14:paraId="54FAFC4E">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300</w:t>
                  </w:r>
                </w:p>
              </w:tc>
              <w:tc>
                <w:tcPr>
                  <w:tcW w:w="674" w:type="pct"/>
                  <w:tcBorders>
                    <w:tl2br w:val="nil"/>
                    <w:tr2bl w:val="nil"/>
                  </w:tcBorders>
                  <w:noWrap w:val="0"/>
                  <w:vAlign w:val="center"/>
                </w:tcPr>
                <w:p w14:paraId="00D6B4E6">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50.7</w:t>
                  </w:r>
                </w:p>
              </w:tc>
              <w:tc>
                <w:tcPr>
                  <w:tcW w:w="543" w:type="pct"/>
                  <w:tcBorders>
                    <w:tl2br w:val="nil"/>
                    <w:tr2bl w:val="nil"/>
                  </w:tcBorders>
                  <w:noWrap w:val="0"/>
                  <w:vAlign w:val="center"/>
                </w:tcPr>
                <w:p w14:paraId="0408EA5E">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达标</w:t>
                  </w:r>
                </w:p>
              </w:tc>
            </w:tr>
            <w:tr w14:paraId="632C53AF">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1" w:hRule="atLeast"/>
              </w:trPr>
              <w:tc>
                <w:tcPr>
                  <w:tcW w:w="331" w:type="pct"/>
                  <w:vMerge w:val="continue"/>
                  <w:tcBorders>
                    <w:tl2br w:val="nil"/>
                    <w:tr2bl w:val="nil"/>
                  </w:tcBorders>
                  <w:noWrap w:val="0"/>
                  <w:vAlign w:val="center"/>
                </w:tcPr>
                <w:p w14:paraId="1CC3B22C">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459" w:type="pct"/>
                  <w:vMerge w:val="continue"/>
                  <w:tcBorders>
                    <w:tl2br w:val="nil"/>
                    <w:tr2bl w:val="nil"/>
                  </w:tcBorders>
                  <w:noWrap w:val="0"/>
                  <w:vAlign w:val="center"/>
                </w:tcPr>
                <w:p w14:paraId="1B95602F">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809" w:type="pct"/>
                  <w:vMerge w:val="continue"/>
                  <w:tcBorders>
                    <w:tl2br w:val="nil"/>
                    <w:tr2bl w:val="nil"/>
                  </w:tcBorders>
                  <w:noWrap w:val="0"/>
                  <w:vAlign w:val="center"/>
                </w:tcPr>
                <w:p w14:paraId="050650E3">
                  <w:pPr>
                    <w:keepNext w:val="0"/>
                    <w:keepLines w:val="0"/>
                    <w:pageBreakBefore w:val="0"/>
                    <w:kinsoku/>
                    <w:wordWrap/>
                    <w:overflowPunct/>
                    <w:topLinePunct w:val="0"/>
                    <w:autoSpaceDE/>
                    <w:autoSpaceDN/>
                    <w:bidi w:val="0"/>
                    <w:snapToGrid w:val="0"/>
                    <w:spacing w:line="36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c>
                <w:tcPr>
                  <w:tcW w:w="1215" w:type="dxa"/>
                  <w:tcBorders>
                    <w:tl2br w:val="nil"/>
                    <w:tr2bl w:val="nil"/>
                  </w:tcBorders>
                  <w:noWrap w:val="0"/>
                  <w:vAlign w:val="center"/>
                </w:tcPr>
                <w:p w14:paraId="22FA9A54">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西南其志麦拉家</w:t>
                  </w:r>
                </w:p>
              </w:tc>
              <w:tc>
                <w:tcPr>
                  <w:tcW w:w="710" w:type="pct"/>
                  <w:tcBorders>
                    <w:tl2br w:val="nil"/>
                    <w:tr2bl w:val="nil"/>
                  </w:tcBorders>
                  <w:noWrap w:val="0"/>
                  <w:vAlign w:val="center"/>
                </w:tcPr>
                <w:p w14:paraId="70E1F562">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160</w:t>
                  </w:r>
                </w:p>
              </w:tc>
              <w:tc>
                <w:tcPr>
                  <w:tcW w:w="722" w:type="pct"/>
                  <w:tcBorders>
                    <w:tl2br w:val="nil"/>
                    <w:tr2bl w:val="nil"/>
                  </w:tcBorders>
                  <w:noWrap w:val="0"/>
                  <w:vAlign w:val="center"/>
                </w:tcPr>
                <w:p w14:paraId="0D50D826">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300</w:t>
                  </w:r>
                </w:p>
              </w:tc>
              <w:tc>
                <w:tcPr>
                  <w:tcW w:w="674" w:type="pct"/>
                  <w:tcBorders>
                    <w:tl2br w:val="nil"/>
                    <w:tr2bl w:val="nil"/>
                  </w:tcBorders>
                  <w:noWrap w:val="0"/>
                  <w:vAlign w:val="center"/>
                </w:tcPr>
                <w:p w14:paraId="333778F7">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53.3</w:t>
                  </w:r>
                </w:p>
              </w:tc>
              <w:tc>
                <w:tcPr>
                  <w:tcW w:w="543" w:type="pct"/>
                  <w:tcBorders>
                    <w:tl2br w:val="nil"/>
                    <w:tr2bl w:val="nil"/>
                  </w:tcBorders>
                  <w:noWrap w:val="0"/>
                  <w:vAlign w:val="center"/>
                </w:tcPr>
                <w:p w14:paraId="22016910">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达标</w:t>
                  </w:r>
                </w:p>
              </w:tc>
            </w:tr>
            <w:tr w14:paraId="356EF12E">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1" w:hRule="atLeast"/>
              </w:trPr>
              <w:tc>
                <w:tcPr>
                  <w:tcW w:w="331" w:type="pct"/>
                  <w:vMerge w:val="continue"/>
                  <w:tcBorders>
                    <w:tl2br w:val="nil"/>
                    <w:tr2bl w:val="nil"/>
                  </w:tcBorders>
                  <w:noWrap w:val="0"/>
                  <w:vAlign w:val="center"/>
                </w:tcPr>
                <w:p w14:paraId="12FBE8C8">
                  <w:pPr>
                    <w:keepNext w:val="0"/>
                    <w:keepLines w:val="0"/>
                    <w:pageBreakBefore w:val="0"/>
                    <w:kinsoku/>
                    <w:wordWrap/>
                    <w:overflowPunct/>
                    <w:topLinePunct w:val="0"/>
                    <w:autoSpaceDE/>
                    <w:autoSpaceDN/>
                    <w:bidi w:val="0"/>
                    <w:snapToGrid w:val="0"/>
                    <w:spacing w:line="360" w:lineRule="auto"/>
                    <w:ind w:firstLine="48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459" w:type="pct"/>
                  <w:vMerge w:val="continue"/>
                  <w:tcBorders>
                    <w:tl2br w:val="nil"/>
                    <w:tr2bl w:val="nil"/>
                  </w:tcBorders>
                  <w:noWrap w:val="0"/>
                  <w:vAlign w:val="center"/>
                </w:tcPr>
                <w:p w14:paraId="3395180A">
                  <w:pPr>
                    <w:keepNext w:val="0"/>
                    <w:keepLines w:val="0"/>
                    <w:pageBreakBefore w:val="0"/>
                    <w:kinsoku/>
                    <w:wordWrap/>
                    <w:overflowPunct/>
                    <w:topLinePunct w:val="0"/>
                    <w:autoSpaceDE/>
                    <w:autoSpaceDN/>
                    <w:bidi w:val="0"/>
                    <w:snapToGrid w:val="0"/>
                    <w:spacing w:line="360" w:lineRule="auto"/>
                    <w:ind w:firstLine="48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809" w:type="pct"/>
                  <w:vMerge w:val="restart"/>
                  <w:tcBorders>
                    <w:tl2br w:val="nil"/>
                    <w:tr2bl w:val="nil"/>
                  </w:tcBorders>
                  <w:noWrap w:val="0"/>
                  <w:vAlign w:val="center"/>
                </w:tcPr>
                <w:p w14:paraId="57E07483">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月</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日</w:t>
                  </w:r>
                </w:p>
              </w:tc>
              <w:tc>
                <w:tcPr>
                  <w:tcW w:w="1215" w:type="dxa"/>
                  <w:tcBorders>
                    <w:tl2br w:val="nil"/>
                    <w:tr2bl w:val="nil"/>
                  </w:tcBorders>
                  <w:noWrap w:val="0"/>
                  <w:vAlign w:val="center"/>
                </w:tcPr>
                <w:p w14:paraId="18632949">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1#东</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特古斯家</w:t>
                  </w:r>
                </w:p>
              </w:tc>
              <w:tc>
                <w:tcPr>
                  <w:tcW w:w="710" w:type="pct"/>
                  <w:tcBorders>
                    <w:tl2br w:val="nil"/>
                    <w:tr2bl w:val="nil"/>
                  </w:tcBorders>
                  <w:noWrap w:val="0"/>
                  <w:vAlign w:val="center"/>
                </w:tcPr>
                <w:p w14:paraId="1E40B03C">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149</w:t>
                  </w:r>
                </w:p>
              </w:tc>
              <w:tc>
                <w:tcPr>
                  <w:tcW w:w="722" w:type="pct"/>
                  <w:tcBorders>
                    <w:tl2br w:val="nil"/>
                    <w:tr2bl w:val="nil"/>
                  </w:tcBorders>
                  <w:noWrap w:val="0"/>
                  <w:vAlign w:val="center"/>
                </w:tcPr>
                <w:p w14:paraId="7304F474">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300</w:t>
                  </w:r>
                </w:p>
              </w:tc>
              <w:tc>
                <w:tcPr>
                  <w:tcW w:w="674" w:type="pct"/>
                  <w:tcBorders>
                    <w:tl2br w:val="nil"/>
                    <w:tr2bl w:val="nil"/>
                  </w:tcBorders>
                  <w:noWrap w:val="0"/>
                  <w:vAlign w:val="center"/>
                </w:tcPr>
                <w:p w14:paraId="3F681AF2">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49.7</w:t>
                  </w:r>
                </w:p>
              </w:tc>
              <w:tc>
                <w:tcPr>
                  <w:tcW w:w="543" w:type="pct"/>
                  <w:tcBorders>
                    <w:tl2br w:val="nil"/>
                    <w:tr2bl w:val="nil"/>
                  </w:tcBorders>
                  <w:noWrap w:val="0"/>
                  <w:vAlign w:val="center"/>
                </w:tcPr>
                <w:p w14:paraId="539857C9">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达标</w:t>
                  </w:r>
                </w:p>
              </w:tc>
            </w:tr>
            <w:tr w14:paraId="3B15D529">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1" w:hRule="atLeast"/>
              </w:trPr>
              <w:tc>
                <w:tcPr>
                  <w:tcW w:w="331" w:type="pct"/>
                  <w:vMerge w:val="continue"/>
                  <w:tcBorders>
                    <w:tl2br w:val="nil"/>
                    <w:tr2bl w:val="nil"/>
                  </w:tcBorders>
                  <w:noWrap w:val="0"/>
                  <w:vAlign w:val="center"/>
                </w:tcPr>
                <w:p w14:paraId="579BA789">
                  <w:pPr>
                    <w:keepNext w:val="0"/>
                    <w:keepLines w:val="0"/>
                    <w:pageBreakBefore w:val="0"/>
                    <w:kinsoku/>
                    <w:wordWrap/>
                    <w:overflowPunct/>
                    <w:topLinePunct w:val="0"/>
                    <w:autoSpaceDE/>
                    <w:autoSpaceDN/>
                    <w:bidi w:val="0"/>
                    <w:snapToGrid w:val="0"/>
                    <w:spacing w:line="360" w:lineRule="auto"/>
                    <w:ind w:firstLine="48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459" w:type="pct"/>
                  <w:vMerge w:val="continue"/>
                  <w:tcBorders>
                    <w:tl2br w:val="nil"/>
                    <w:tr2bl w:val="nil"/>
                  </w:tcBorders>
                  <w:noWrap w:val="0"/>
                  <w:vAlign w:val="center"/>
                </w:tcPr>
                <w:p w14:paraId="76275F3E">
                  <w:pPr>
                    <w:keepNext w:val="0"/>
                    <w:keepLines w:val="0"/>
                    <w:pageBreakBefore w:val="0"/>
                    <w:kinsoku/>
                    <w:wordWrap/>
                    <w:overflowPunct/>
                    <w:topLinePunct w:val="0"/>
                    <w:autoSpaceDE/>
                    <w:autoSpaceDN/>
                    <w:bidi w:val="0"/>
                    <w:snapToGrid w:val="0"/>
                    <w:spacing w:line="360" w:lineRule="auto"/>
                    <w:ind w:firstLine="48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809" w:type="pct"/>
                  <w:vMerge w:val="continue"/>
                  <w:tcBorders>
                    <w:tl2br w:val="nil"/>
                    <w:tr2bl w:val="nil"/>
                  </w:tcBorders>
                  <w:noWrap w:val="0"/>
                  <w:vAlign w:val="center"/>
                </w:tcPr>
                <w:p w14:paraId="1B17978E">
                  <w:pPr>
                    <w:keepNext w:val="0"/>
                    <w:keepLines w:val="0"/>
                    <w:pageBreakBefore w:val="0"/>
                    <w:kinsoku/>
                    <w:wordWrap/>
                    <w:overflowPunct/>
                    <w:topLinePunct w:val="0"/>
                    <w:autoSpaceDE/>
                    <w:autoSpaceDN/>
                    <w:bidi w:val="0"/>
                    <w:snapToGrid w:val="0"/>
                    <w:spacing w:line="36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c>
                <w:tcPr>
                  <w:tcW w:w="1215" w:type="dxa"/>
                  <w:tcBorders>
                    <w:tl2br w:val="nil"/>
                    <w:tr2bl w:val="nil"/>
                  </w:tcBorders>
                  <w:noWrap w:val="0"/>
                  <w:vAlign w:val="center"/>
                </w:tcPr>
                <w:p w14:paraId="1490EBA5">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西南其志麦拉家</w:t>
                  </w:r>
                </w:p>
              </w:tc>
              <w:tc>
                <w:tcPr>
                  <w:tcW w:w="710" w:type="pct"/>
                  <w:tcBorders>
                    <w:tl2br w:val="nil"/>
                    <w:tr2bl w:val="nil"/>
                  </w:tcBorders>
                  <w:noWrap w:val="0"/>
                  <w:vAlign w:val="center"/>
                </w:tcPr>
                <w:p w14:paraId="1478C18C">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154</w:t>
                  </w:r>
                </w:p>
              </w:tc>
              <w:tc>
                <w:tcPr>
                  <w:tcW w:w="722" w:type="pct"/>
                  <w:tcBorders>
                    <w:tl2br w:val="nil"/>
                    <w:tr2bl w:val="nil"/>
                  </w:tcBorders>
                  <w:noWrap w:val="0"/>
                  <w:vAlign w:val="center"/>
                </w:tcPr>
                <w:p w14:paraId="756E76BA">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300</w:t>
                  </w:r>
                </w:p>
              </w:tc>
              <w:tc>
                <w:tcPr>
                  <w:tcW w:w="674" w:type="pct"/>
                  <w:tcBorders>
                    <w:tl2br w:val="nil"/>
                    <w:tr2bl w:val="nil"/>
                  </w:tcBorders>
                  <w:noWrap w:val="0"/>
                  <w:vAlign w:val="center"/>
                </w:tcPr>
                <w:p w14:paraId="3E0A4917">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51.3</w:t>
                  </w:r>
                </w:p>
              </w:tc>
              <w:tc>
                <w:tcPr>
                  <w:tcW w:w="543" w:type="pct"/>
                  <w:tcBorders>
                    <w:tl2br w:val="nil"/>
                    <w:tr2bl w:val="nil"/>
                  </w:tcBorders>
                  <w:noWrap w:val="0"/>
                  <w:vAlign w:val="center"/>
                </w:tcPr>
                <w:p w14:paraId="0D377702">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达标</w:t>
                  </w:r>
                </w:p>
              </w:tc>
            </w:tr>
            <w:tr w14:paraId="311E1173">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1" w:hRule="atLeast"/>
              </w:trPr>
              <w:tc>
                <w:tcPr>
                  <w:tcW w:w="331" w:type="pct"/>
                  <w:vMerge w:val="continue"/>
                  <w:tcBorders>
                    <w:tl2br w:val="nil"/>
                    <w:tr2bl w:val="nil"/>
                  </w:tcBorders>
                  <w:noWrap w:val="0"/>
                  <w:vAlign w:val="center"/>
                </w:tcPr>
                <w:p w14:paraId="1498D039">
                  <w:pPr>
                    <w:keepNext w:val="0"/>
                    <w:keepLines w:val="0"/>
                    <w:pageBreakBefore w:val="0"/>
                    <w:kinsoku/>
                    <w:wordWrap/>
                    <w:overflowPunct/>
                    <w:topLinePunct w:val="0"/>
                    <w:autoSpaceDE/>
                    <w:autoSpaceDN/>
                    <w:bidi w:val="0"/>
                    <w:snapToGrid w:val="0"/>
                    <w:spacing w:line="360" w:lineRule="auto"/>
                    <w:ind w:firstLine="48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459" w:type="pct"/>
                  <w:vMerge w:val="continue"/>
                  <w:tcBorders>
                    <w:tl2br w:val="nil"/>
                    <w:tr2bl w:val="nil"/>
                  </w:tcBorders>
                  <w:noWrap w:val="0"/>
                  <w:vAlign w:val="center"/>
                </w:tcPr>
                <w:p w14:paraId="27801733">
                  <w:pPr>
                    <w:keepNext w:val="0"/>
                    <w:keepLines w:val="0"/>
                    <w:pageBreakBefore w:val="0"/>
                    <w:kinsoku/>
                    <w:wordWrap/>
                    <w:overflowPunct/>
                    <w:topLinePunct w:val="0"/>
                    <w:autoSpaceDE/>
                    <w:autoSpaceDN/>
                    <w:bidi w:val="0"/>
                    <w:snapToGrid w:val="0"/>
                    <w:spacing w:line="360" w:lineRule="auto"/>
                    <w:ind w:firstLine="48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809" w:type="pct"/>
                  <w:vMerge w:val="restart"/>
                  <w:tcBorders>
                    <w:tl2br w:val="nil"/>
                    <w:tr2bl w:val="nil"/>
                  </w:tcBorders>
                  <w:noWrap w:val="0"/>
                  <w:vAlign w:val="center"/>
                </w:tcPr>
                <w:p w14:paraId="6DEA4D4B">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月</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日</w:t>
                  </w:r>
                </w:p>
              </w:tc>
              <w:tc>
                <w:tcPr>
                  <w:tcW w:w="1215" w:type="dxa"/>
                  <w:tcBorders>
                    <w:tl2br w:val="nil"/>
                    <w:tr2bl w:val="nil"/>
                  </w:tcBorders>
                  <w:noWrap w:val="0"/>
                  <w:vAlign w:val="center"/>
                </w:tcPr>
                <w:p w14:paraId="439236A6">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1#东</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特古斯家</w:t>
                  </w:r>
                </w:p>
              </w:tc>
              <w:tc>
                <w:tcPr>
                  <w:tcW w:w="710" w:type="pct"/>
                  <w:tcBorders>
                    <w:tl2br w:val="nil"/>
                    <w:tr2bl w:val="nil"/>
                  </w:tcBorders>
                  <w:noWrap w:val="0"/>
                  <w:vAlign w:val="center"/>
                </w:tcPr>
                <w:p w14:paraId="30C27D0E">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152</w:t>
                  </w:r>
                </w:p>
              </w:tc>
              <w:tc>
                <w:tcPr>
                  <w:tcW w:w="722" w:type="pct"/>
                  <w:tcBorders>
                    <w:tl2br w:val="nil"/>
                    <w:tr2bl w:val="nil"/>
                  </w:tcBorders>
                  <w:noWrap w:val="0"/>
                  <w:vAlign w:val="center"/>
                </w:tcPr>
                <w:p w14:paraId="724DEB75">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300</w:t>
                  </w:r>
                </w:p>
              </w:tc>
              <w:tc>
                <w:tcPr>
                  <w:tcW w:w="674" w:type="pct"/>
                  <w:tcBorders>
                    <w:tl2br w:val="nil"/>
                    <w:tr2bl w:val="nil"/>
                  </w:tcBorders>
                  <w:noWrap w:val="0"/>
                  <w:vAlign w:val="center"/>
                </w:tcPr>
                <w:p w14:paraId="3ED4115A">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50.7</w:t>
                  </w:r>
                </w:p>
              </w:tc>
              <w:tc>
                <w:tcPr>
                  <w:tcW w:w="543" w:type="pct"/>
                  <w:tcBorders>
                    <w:tl2br w:val="nil"/>
                    <w:tr2bl w:val="nil"/>
                  </w:tcBorders>
                  <w:noWrap w:val="0"/>
                  <w:vAlign w:val="center"/>
                </w:tcPr>
                <w:p w14:paraId="2ABA0054">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达标</w:t>
                  </w:r>
                </w:p>
              </w:tc>
            </w:tr>
            <w:tr w14:paraId="4FDF2A81">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1" w:hRule="atLeast"/>
              </w:trPr>
              <w:tc>
                <w:tcPr>
                  <w:tcW w:w="331" w:type="pct"/>
                  <w:vMerge w:val="continue"/>
                  <w:tcBorders>
                    <w:tl2br w:val="nil"/>
                    <w:tr2bl w:val="nil"/>
                  </w:tcBorders>
                  <w:noWrap w:val="0"/>
                  <w:vAlign w:val="center"/>
                </w:tcPr>
                <w:p w14:paraId="229A6AB6">
                  <w:pPr>
                    <w:keepNext w:val="0"/>
                    <w:keepLines w:val="0"/>
                    <w:pageBreakBefore w:val="0"/>
                    <w:kinsoku/>
                    <w:wordWrap/>
                    <w:overflowPunct/>
                    <w:topLinePunct w:val="0"/>
                    <w:autoSpaceDE/>
                    <w:autoSpaceDN/>
                    <w:bidi w:val="0"/>
                    <w:snapToGrid w:val="0"/>
                    <w:spacing w:line="360" w:lineRule="auto"/>
                    <w:ind w:firstLine="48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459" w:type="pct"/>
                  <w:vMerge w:val="continue"/>
                  <w:tcBorders>
                    <w:tl2br w:val="nil"/>
                    <w:tr2bl w:val="nil"/>
                  </w:tcBorders>
                  <w:noWrap w:val="0"/>
                  <w:vAlign w:val="center"/>
                </w:tcPr>
                <w:p w14:paraId="6B16A428">
                  <w:pPr>
                    <w:keepNext w:val="0"/>
                    <w:keepLines w:val="0"/>
                    <w:pageBreakBefore w:val="0"/>
                    <w:kinsoku/>
                    <w:wordWrap/>
                    <w:overflowPunct/>
                    <w:topLinePunct w:val="0"/>
                    <w:autoSpaceDE/>
                    <w:autoSpaceDN/>
                    <w:bidi w:val="0"/>
                    <w:snapToGrid w:val="0"/>
                    <w:spacing w:line="360" w:lineRule="auto"/>
                    <w:ind w:firstLine="48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809" w:type="pct"/>
                  <w:vMerge w:val="continue"/>
                  <w:tcBorders>
                    <w:tl2br w:val="nil"/>
                    <w:tr2bl w:val="nil"/>
                  </w:tcBorders>
                  <w:noWrap w:val="0"/>
                  <w:vAlign w:val="center"/>
                </w:tcPr>
                <w:p w14:paraId="3CEE7CC3">
                  <w:pPr>
                    <w:keepNext w:val="0"/>
                    <w:keepLines w:val="0"/>
                    <w:pageBreakBefore w:val="0"/>
                    <w:kinsoku/>
                    <w:wordWrap/>
                    <w:overflowPunct/>
                    <w:topLinePunct w:val="0"/>
                    <w:autoSpaceDE/>
                    <w:autoSpaceDN/>
                    <w:bidi w:val="0"/>
                    <w:snapToGrid w:val="0"/>
                    <w:spacing w:line="36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c>
                <w:tcPr>
                  <w:tcW w:w="1215" w:type="dxa"/>
                  <w:tcBorders>
                    <w:tl2br w:val="nil"/>
                    <w:tr2bl w:val="nil"/>
                  </w:tcBorders>
                  <w:noWrap w:val="0"/>
                  <w:vAlign w:val="center"/>
                </w:tcPr>
                <w:p w14:paraId="3AB9FFBC">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西南其志麦拉家</w:t>
                  </w:r>
                </w:p>
              </w:tc>
              <w:tc>
                <w:tcPr>
                  <w:tcW w:w="710" w:type="pct"/>
                  <w:tcBorders>
                    <w:tl2br w:val="nil"/>
                    <w:tr2bl w:val="nil"/>
                  </w:tcBorders>
                  <w:noWrap w:val="0"/>
                  <w:vAlign w:val="center"/>
                </w:tcPr>
                <w:p w14:paraId="2B3C42EA">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134</w:t>
                  </w:r>
                </w:p>
              </w:tc>
              <w:tc>
                <w:tcPr>
                  <w:tcW w:w="722" w:type="pct"/>
                  <w:tcBorders>
                    <w:tl2br w:val="nil"/>
                    <w:tr2bl w:val="nil"/>
                  </w:tcBorders>
                  <w:noWrap w:val="0"/>
                  <w:vAlign w:val="center"/>
                </w:tcPr>
                <w:p w14:paraId="5A0D79F8">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300</w:t>
                  </w:r>
                </w:p>
              </w:tc>
              <w:tc>
                <w:tcPr>
                  <w:tcW w:w="674" w:type="pct"/>
                  <w:tcBorders>
                    <w:tl2br w:val="nil"/>
                    <w:tr2bl w:val="nil"/>
                  </w:tcBorders>
                  <w:noWrap w:val="0"/>
                  <w:vAlign w:val="center"/>
                </w:tcPr>
                <w:p w14:paraId="403DB0FF">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44.7</w:t>
                  </w:r>
                </w:p>
              </w:tc>
              <w:tc>
                <w:tcPr>
                  <w:tcW w:w="543" w:type="pct"/>
                  <w:tcBorders>
                    <w:tl2br w:val="nil"/>
                    <w:tr2bl w:val="nil"/>
                  </w:tcBorders>
                  <w:noWrap w:val="0"/>
                  <w:vAlign w:val="center"/>
                </w:tcPr>
                <w:p w14:paraId="213B6C18">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达标</w:t>
                  </w:r>
                </w:p>
              </w:tc>
            </w:tr>
            <w:tr w14:paraId="1222A36A">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7" w:hRule="atLeast"/>
              </w:trPr>
              <w:tc>
                <w:tcPr>
                  <w:tcW w:w="331" w:type="pct"/>
                  <w:tcBorders>
                    <w:tl2br w:val="nil"/>
                    <w:tr2bl w:val="nil"/>
                  </w:tcBorders>
                  <w:noWrap w:val="0"/>
                  <w:vAlign w:val="center"/>
                </w:tcPr>
                <w:p w14:paraId="37100D35">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2</w:t>
                  </w:r>
                </w:p>
              </w:tc>
              <w:tc>
                <w:tcPr>
                  <w:tcW w:w="2018" w:type="pct"/>
                  <w:gridSpan w:val="3"/>
                  <w:tcBorders>
                    <w:tl2br w:val="nil"/>
                    <w:tr2bl w:val="nil"/>
                  </w:tcBorders>
                  <w:noWrap w:val="0"/>
                  <w:vAlign w:val="center"/>
                </w:tcPr>
                <w:p w14:paraId="3210B739">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综合评价</w:t>
                  </w:r>
                </w:p>
              </w:tc>
              <w:tc>
                <w:tcPr>
                  <w:tcW w:w="2649" w:type="pct"/>
                  <w:gridSpan w:val="4"/>
                  <w:tcBorders>
                    <w:tl2br w:val="nil"/>
                    <w:tr2bl w:val="nil"/>
                  </w:tcBorders>
                  <w:noWrap w:val="0"/>
                  <w:vAlign w:val="center"/>
                </w:tcPr>
                <w:p w14:paraId="494BAF83">
                  <w:pPr>
                    <w:keepNext w:val="0"/>
                    <w:keepLines w:val="0"/>
                    <w:pageBreakBefore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达标</w:t>
                  </w:r>
                </w:p>
              </w:tc>
            </w:tr>
          </w:tbl>
          <w:p w14:paraId="264E0E9C">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szCs w:val="24"/>
                <w:highlight w:val="none"/>
                <w:lang w:val="en-US" w:eastAsia="zh-CN"/>
                <w14:textFill>
                  <w14:solidFill>
                    <w14:schemeClr w14:val="tx1"/>
                  </w14:solidFill>
                </w14:textFill>
              </w:rPr>
              <w:t>TSP日</w:t>
            </w:r>
            <w:r>
              <w:rPr>
                <w:rFonts w:hint="default" w:ascii="Times New Roman" w:hAnsi="Times New Roman" w:cs="Times New Roman"/>
                <w:color w:val="000000" w:themeColor="text1"/>
                <w:szCs w:val="24"/>
                <w:highlight w:val="none"/>
                <w14:textFill>
                  <w14:solidFill>
                    <w14:schemeClr w14:val="tx1"/>
                  </w14:solidFill>
                </w14:textFill>
              </w:rPr>
              <w:t>平均浓度低于《环境空气质量标准》（GB3095-20</w:t>
            </w:r>
            <w:r>
              <w:rPr>
                <w:rFonts w:hint="eastAsia" w:ascii="Times New Roman" w:hAnsi="Times New Roman" w:cs="Times New Roman"/>
                <w:color w:val="000000" w:themeColor="text1"/>
                <w:szCs w:val="24"/>
                <w:highlight w:val="none"/>
                <w:lang w:val="en-US" w:eastAsia="zh-CN"/>
                <w14:textFill>
                  <w14:solidFill>
                    <w14:schemeClr w14:val="tx1"/>
                  </w14:solidFill>
                </w14:textFill>
              </w:rPr>
              <w:t>26</w:t>
            </w:r>
            <w:r>
              <w:rPr>
                <w:rFonts w:hint="default" w:ascii="Times New Roman" w:hAnsi="Times New Roman" w:cs="Times New Roman"/>
                <w:color w:val="000000" w:themeColor="text1"/>
                <w:szCs w:val="24"/>
                <w:highlight w:val="none"/>
                <w14:textFill>
                  <w14:solidFill>
                    <w14:schemeClr w14:val="tx1"/>
                  </w14:solidFill>
                </w14:textFill>
              </w:rPr>
              <w:t>）规定的</w:t>
            </w:r>
            <w:r>
              <w:rPr>
                <w:rFonts w:hint="eastAsia" w:ascii="Times New Roman" w:hAnsi="Times New Roman" w:cs="Times New Roman"/>
                <w:color w:val="000000" w:themeColor="text1"/>
                <w:szCs w:val="24"/>
                <w:highlight w:val="none"/>
                <w:lang w:val="en-US" w:eastAsia="zh-CN"/>
                <w14:textFill>
                  <w14:solidFill>
                    <w14:schemeClr w14:val="tx1"/>
                  </w14:solidFill>
                </w14:textFill>
              </w:rPr>
              <w:t>二级</w:t>
            </w:r>
            <w:r>
              <w:rPr>
                <w:rFonts w:hint="default" w:ascii="Times New Roman" w:hAnsi="Times New Roman" w:cs="Times New Roman"/>
                <w:color w:val="000000" w:themeColor="text1"/>
                <w:szCs w:val="24"/>
                <w:highlight w:val="none"/>
                <w14:textFill>
                  <w14:solidFill>
                    <w14:schemeClr w14:val="tx1"/>
                  </w14:solidFill>
                </w14:textFill>
              </w:rPr>
              <w:t>标准限值，区域环境质量达标。</w:t>
            </w:r>
          </w:p>
          <w:p w14:paraId="5DB71EE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eastAsia" w:ascii="Times New Roman" w:hAnsi="Times New Roman" w:eastAsia="黑体" w:cs="Times New Roman"/>
                <w:color w:val="000000" w:themeColor="text1"/>
                <w:highlight w:val="none"/>
                <w:lang w:val="en-US" w:eastAsia="zh-CN"/>
                <w14:textFill>
                  <w14:solidFill>
                    <w14:schemeClr w14:val="tx1"/>
                  </w14:solidFill>
                </w14:textFill>
              </w:rPr>
              <w:t>2</w:t>
            </w:r>
            <w:r>
              <w:rPr>
                <w:rFonts w:hint="default" w:ascii="Times New Roman" w:hAnsi="Times New Roman" w:eastAsia="黑体" w:cs="Times New Roman"/>
                <w:color w:val="000000" w:themeColor="text1"/>
                <w:highlight w:val="none"/>
                <w:lang w:val="en-US" w:eastAsia="zh-CN"/>
                <w14:textFill>
                  <w14:solidFill>
                    <w14:schemeClr w14:val="tx1"/>
                  </w14:solidFill>
                </w14:textFill>
              </w:rPr>
              <w:t>、声环境质量现状</w:t>
            </w:r>
          </w:p>
          <w:p w14:paraId="26E0A234">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本项目位于内蒙古锡林郭勒盟正蓝旗上都镇巴彦高勒嘎查，为厂中厂项目，且</w:t>
            </w:r>
            <w:r>
              <w:rPr>
                <w:rFonts w:hint="eastAsia" w:ascii="Times New Roman" w:hAnsi="Times New Roman" w:cs="Times New Roman"/>
                <w:color w:val="000000" w:themeColor="text1"/>
                <w:highlight w:val="none"/>
                <w:lang w:val="en-US" w:eastAsia="zh-CN"/>
                <w14:textFill>
                  <w14:solidFill>
                    <w14:schemeClr w14:val="tx1"/>
                  </w14:solidFill>
                </w14:textFill>
              </w:rPr>
              <w:t>本项目</w:t>
            </w:r>
            <w:r>
              <w:rPr>
                <w:rFonts w:hint="default" w:ascii="Times New Roman" w:hAnsi="Times New Roman" w:cs="Times New Roman"/>
                <w:color w:val="000000" w:themeColor="text1"/>
                <w:highlight w:val="none"/>
                <w:lang w:val="en-US" w:eastAsia="zh-CN"/>
                <w14:textFill>
                  <w14:solidFill>
                    <w14:schemeClr w14:val="tx1"/>
                  </w14:solidFill>
                </w14:textFill>
              </w:rPr>
              <w:t>厂界</w:t>
            </w:r>
            <w:r>
              <w:rPr>
                <w:rFonts w:hint="eastAsia" w:ascii="Times New Roman" w:hAnsi="Times New Roman" w:cs="Times New Roman"/>
                <w:color w:val="000000" w:themeColor="text1"/>
                <w:highlight w:val="none"/>
                <w:lang w:val="en-US" w:eastAsia="zh-CN"/>
                <w14:textFill>
                  <w14:solidFill>
                    <w14:schemeClr w14:val="tx1"/>
                  </w14:solidFill>
                </w14:textFill>
              </w:rPr>
              <w:t>外扩</w:t>
            </w:r>
            <w:r>
              <w:rPr>
                <w:rFonts w:hint="default" w:ascii="Times New Roman" w:hAnsi="Times New Roman" w:cs="Times New Roman"/>
                <w:color w:val="000000" w:themeColor="text1"/>
                <w:highlight w:val="none"/>
                <w:lang w:val="en-US" w:eastAsia="zh-CN"/>
                <w14:textFill>
                  <w14:solidFill>
                    <w14:schemeClr w14:val="tx1"/>
                  </w14:solidFill>
                </w14:textFill>
              </w:rPr>
              <w:t>50m范围内无声环境敏感目标分布，因此未进行声环境质量现状检测。</w:t>
            </w:r>
          </w:p>
          <w:p w14:paraId="59FF502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eastAsia" w:ascii="Times New Roman" w:hAnsi="Times New Roman" w:eastAsia="黑体" w:cs="Times New Roman"/>
                <w:color w:val="000000" w:themeColor="text1"/>
                <w:highlight w:val="none"/>
                <w:lang w:val="en-US" w:eastAsia="zh-CN"/>
                <w14:textFill>
                  <w14:solidFill>
                    <w14:schemeClr w14:val="tx1"/>
                  </w14:solidFill>
                </w14:textFill>
              </w:rPr>
              <w:t>3</w:t>
            </w:r>
            <w:r>
              <w:rPr>
                <w:rFonts w:hint="default" w:ascii="Times New Roman" w:hAnsi="Times New Roman" w:eastAsia="黑体" w:cs="Times New Roman"/>
                <w:color w:val="000000" w:themeColor="text1"/>
                <w:highlight w:val="none"/>
                <w:lang w:val="en-US" w:eastAsia="zh-CN"/>
                <w14:textFill>
                  <w14:solidFill>
                    <w14:schemeClr w14:val="tx1"/>
                  </w14:solidFill>
                </w14:textFill>
              </w:rPr>
              <w:t>、地表水环境</w:t>
            </w:r>
          </w:p>
          <w:p w14:paraId="01F74C64">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sz w:val="24"/>
                <w:highlight w:val="none"/>
                <w:lang w:val="en-US" w:eastAsia="zh-CN"/>
                <w14:textFill>
                  <w14:solidFill>
                    <w14:schemeClr w14:val="tx1"/>
                  </w14:solidFill>
                </w14:textFill>
              </w:rPr>
              <w:t>拟建项目周围1km范围内没有地表水体，则本项目不开展地表水环境质量现状调查。</w:t>
            </w:r>
          </w:p>
          <w:p w14:paraId="09F6222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default" w:ascii="Times New Roman" w:hAnsi="Times New Roman" w:eastAsia="黑体" w:cs="Times New Roman"/>
                <w:color w:val="000000" w:themeColor="text1"/>
                <w:highlight w:val="none"/>
                <w:lang w:val="en-US" w:eastAsia="zh-CN"/>
                <w14:textFill>
                  <w14:solidFill>
                    <w14:schemeClr w14:val="tx1"/>
                  </w14:solidFill>
                </w14:textFill>
              </w:rPr>
              <w:t>4、生态环境</w:t>
            </w:r>
          </w:p>
          <w:p w14:paraId="27628F6F">
            <w:pPr>
              <w:pStyle w:val="23"/>
              <w:keepNext w:val="0"/>
              <w:keepLines w:val="0"/>
              <w:pageBreakBefore w:val="0"/>
              <w:widowControl w:val="0"/>
              <w:kinsoku/>
              <w:wordWrap/>
              <w:overflowPunct/>
              <w:topLinePunct w:val="0"/>
              <w:autoSpaceDE/>
              <w:autoSpaceDN/>
              <w:bidi w:val="0"/>
              <w:snapToGrid w:val="0"/>
              <w:spacing w:beforeLines="0" w:after="0" w:line="360" w:lineRule="auto"/>
              <w:ind w:left="0" w:leftChars="0" w:firstLine="480"/>
              <w:jc w:val="both"/>
              <w:textAlignment w:val="auto"/>
              <w:rPr>
                <w:rFonts w:hint="default" w:ascii="Times New Roman" w:hAnsi="Times New Roman" w:eastAsia="宋体" w:cs="Times New Roman"/>
                <w:bCs/>
                <w:color w:val="000000" w:themeColor="text1"/>
                <w:kern w:val="0"/>
                <w:sz w:val="24"/>
                <w:highlight w:val="none"/>
                <w:lang w:val="en-US" w:eastAsia="zh-CN"/>
                <w14:textFill>
                  <w14:solidFill>
                    <w14:schemeClr w14:val="tx1"/>
                  </w14:solidFill>
                </w14:textFill>
              </w:rPr>
            </w:pPr>
            <w:r>
              <w:rPr>
                <w:rFonts w:hint="eastAsia" w:ascii="宋体" w:hAnsi="宋体"/>
                <w:bCs/>
                <w:color w:val="000000" w:themeColor="text1"/>
                <w:kern w:val="0"/>
                <w:sz w:val="24"/>
                <w:highlight w:val="none"/>
                <w:lang w:val="en-US" w:eastAsia="zh-CN"/>
                <w14:textFill>
                  <w14:solidFill>
                    <w14:schemeClr w14:val="tx1"/>
                  </w14:solidFill>
                </w14:textFill>
              </w:rPr>
              <w:t>拟建项目位于内蒙古锡林郭勒盟正蓝旗上都镇巴彦高勒嘎查</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正蓝旗上都华欣新能源有限公司现有厂区</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内</w:t>
            </w:r>
            <w:r>
              <w:rPr>
                <w:rFonts w:hint="eastAsia" w:ascii="Times New Roman" w:hAnsi="Times New Roman" w:cs="宋体"/>
                <w:color w:val="000000" w:themeColor="text1"/>
                <w:sz w:val="24"/>
                <w:szCs w:val="24"/>
                <w:highlight w:val="none"/>
                <w:lang w:val="en-US" w:eastAsia="zh-CN"/>
                <w14:textFill>
                  <w14:solidFill>
                    <w14:schemeClr w14:val="tx1"/>
                  </w14:solidFill>
                </w14:textFill>
              </w:rPr>
              <w:t>，不新增用地，</w:t>
            </w:r>
            <w:r>
              <w:rPr>
                <w:rFonts w:hint="eastAsia" w:ascii="宋体" w:hAnsi="宋体"/>
                <w:bCs/>
                <w:color w:val="000000" w:themeColor="text1"/>
                <w:kern w:val="0"/>
                <w:sz w:val="24"/>
                <w:highlight w:val="none"/>
                <w:lang w:val="en-US" w:eastAsia="zh-CN"/>
                <w14:textFill>
                  <w14:solidFill>
                    <w14:schemeClr w14:val="tx1"/>
                  </w14:solidFill>
                </w14:textFill>
              </w:rPr>
              <w:t>用地范围内不涉及生态环境保护目标，则本项目不进行生态环境现状调查。</w:t>
            </w:r>
          </w:p>
          <w:p w14:paraId="0BBDB53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default" w:ascii="Times New Roman" w:hAnsi="Times New Roman" w:eastAsia="黑体" w:cs="Times New Roman"/>
                <w:color w:val="000000" w:themeColor="text1"/>
                <w:highlight w:val="none"/>
                <w:lang w:val="en-US" w:eastAsia="zh-CN"/>
                <w14:textFill>
                  <w14:solidFill>
                    <w14:schemeClr w14:val="tx1"/>
                  </w14:solidFill>
                </w14:textFill>
              </w:rPr>
              <w:t>5、</w:t>
            </w:r>
            <w:r>
              <w:rPr>
                <w:rFonts w:hint="eastAsia" w:ascii="Times New Roman" w:hAnsi="Times New Roman" w:eastAsia="黑体" w:cs="Times New Roman"/>
                <w:color w:val="000000" w:themeColor="text1"/>
                <w:highlight w:val="none"/>
                <w:lang w:val="en-US" w:eastAsia="zh-CN"/>
                <w14:textFill>
                  <w14:solidFill>
                    <w14:schemeClr w14:val="tx1"/>
                  </w14:solidFill>
                </w14:textFill>
              </w:rPr>
              <w:t>土壤环境</w:t>
            </w:r>
          </w:p>
          <w:p w14:paraId="762D477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为石灰石粉磨项目，主要进行石灰石粉磨、储存、密闭输送等物理加工，不涉及有毒有害污染物、重金属、有机物等原辅材料的使用与排放，无重金属、持久性有机污染物、石油类等土壤污染因子产生与排放。项目生产设施均位于硬化地面，原料、产品全封闭储存与输送，配套高效布袋除尘，无污染物下渗、漫流、堆积污染土壤的途径，对土壤环境无直接污染影响。</w:t>
            </w:r>
          </w:p>
          <w:p w14:paraId="6FEC6A95">
            <w:pPr>
              <w:pStyle w:val="23"/>
              <w:keepNext w:val="0"/>
              <w:keepLines w:val="0"/>
              <w:pageBreakBefore w:val="0"/>
              <w:widowControl w:val="0"/>
              <w:kinsoku/>
              <w:wordWrap/>
              <w:overflowPunct/>
              <w:topLinePunct w:val="0"/>
              <w:autoSpaceDE/>
              <w:autoSpaceDN/>
              <w:bidi w:val="0"/>
              <w:snapToGrid w:val="0"/>
              <w:spacing w:beforeLines="0" w:after="0" w:line="360" w:lineRule="auto"/>
              <w:ind w:left="0" w:leftChars="0" w:firstLine="480"/>
              <w:jc w:val="both"/>
              <w:textAlignment w:val="auto"/>
              <w:rPr>
                <w:rFonts w:hint="default" w:ascii="Times New Roman" w:hAnsi="Times New Roman" w:eastAsia="宋体" w:cs="Times New Roman"/>
                <w:bCs/>
                <w:color w:val="000000" w:themeColor="text1"/>
                <w:kern w:val="0"/>
                <w:sz w:val="24"/>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根据</w:t>
            </w:r>
            <w:r>
              <w:rPr>
                <w:rFonts w:hint="default" w:ascii="Times New Roman" w:hAnsi="Times New Roman" w:cs="Times New Roman"/>
                <w:color w:val="000000" w:themeColor="text1"/>
                <w:highlight w:val="none"/>
                <w:lang w:val="en-US" w:eastAsia="zh-CN"/>
                <w14:textFill>
                  <w14:solidFill>
                    <w14:schemeClr w14:val="tx1"/>
                  </w14:solidFill>
                </w14:textFill>
              </w:rPr>
              <w:t>《环境影响评价技术导则 土壤环境（试行）》（HJ 964-2018）附录A，本项目属于非金属矿物物理加工、无土壤污染风险的建设项目，判定为Ⅳ类项目。根据导则规定，Ⅳ类建设项目可不开展土壤环境影响评价。</w:t>
            </w:r>
          </w:p>
          <w:p w14:paraId="5D82BC3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黑体" w:cs="Times New Roman"/>
                <w:color w:val="000000" w:themeColor="text1"/>
                <w:highlight w:val="none"/>
                <w:lang w:val="en-US" w:eastAsia="zh-CN"/>
                <w14:textFill>
                  <w14:solidFill>
                    <w14:schemeClr w14:val="tx1"/>
                  </w14:solidFill>
                </w14:textFill>
              </w:rPr>
            </w:pPr>
            <w:r>
              <w:rPr>
                <w:rFonts w:hint="eastAsia" w:ascii="Times New Roman" w:hAnsi="Times New Roman" w:eastAsia="黑体" w:cs="Times New Roman"/>
                <w:color w:val="000000" w:themeColor="text1"/>
                <w:highlight w:val="none"/>
                <w:lang w:val="en-US" w:eastAsia="zh-CN"/>
                <w14:textFill>
                  <w14:solidFill>
                    <w14:schemeClr w14:val="tx1"/>
                  </w14:solidFill>
                </w14:textFill>
              </w:rPr>
              <w:t>6、地下水环境</w:t>
            </w:r>
          </w:p>
          <w:p w14:paraId="18803C4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本项目为石灰石粉磨项目，主要建设内容为石灰石粉磨、储存、输送及配套环保、公用工程。项目生产过程不涉及地下水开采、不涉及污水排放、不涉及有毒有害原辅材料储存与使用，无污水池、危废暂存间、油罐等可能造成地下水污染的装置或设施。</w:t>
            </w:r>
          </w:p>
          <w:p w14:paraId="4F59A1D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项目采取地面硬化、防渗、密闭输送、布袋除尘等措施，无废水、废液下渗途径，对区域地下水水质、水位及水流场无直接影响和间接影响。</w:t>
            </w:r>
          </w:p>
          <w:p w14:paraId="7EAC28C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根据《环境影响评价技术导则 地下水环境》（HJ 610-2016），本项目属于</w:t>
            </w:r>
            <w:r>
              <w:rPr>
                <w:rFonts w:hint="default" w:ascii="Times New Roman" w:hAnsi="Times New Roman" w:cs="Times New Roman"/>
                <w:color w:val="000000" w:themeColor="text1"/>
                <w:highlight w:val="none"/>
                <w:lang w:val="en-US" w:eastAsia="zh-CN"/>
                <w14:textFill>
                  <w14:solidFill>
                    <w14:schemeClr w14:val="tx1"/>
                  </w14:solidFill>
                </w14:textFill>
              </w:rPr>
              <w:t>Ⅳ类项目</w:t>
            </w:r>
            <w:r>
              <w:rPr>
                <w:rFonts w:hint="eastAsia" w:ascii="Times New Roman" w:hAnsi="Times New Roman" w:cs="Times New Roman"/>
                <w:color w:val="000000" w:themeColor="text1"/>
                <w:highlight w:val="none"/>
                <w:lang w:val="en-US" w:eastAsia="zh-CN"/>
                <w14:textFill>
                  <w14:solidFill>
                    <w14:schemeClr w14:val="tx1"/>
                  </w14:solidFill>
                </w14:textFill>
              </w:rPr>
              <w:t>，不开展地下水环境影响评价。</w:t>
            </w:r>
          </w:p>
        </w:tc>
      </w:tr>
      <w:tr w14:paraId="536E9E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1" w:hRule="atLeast"/>
          <w:jc w:val="center"/>
        </w:trPr>
        <w:tc>
          <w:tcPr>
            <w:tcW w:w="773" w:type="dxa"/>
            <w:tcBorders>
              <w:top w:val="single" w:color="auto" w:sz="4" w:space="0"/>
              <w:left w:val="single" w:color="auto" w:sz="8" w:space="0"/>
              <w:bottom w:val="single" w:color="auto" w:sz="4" w:space="0"/>
              <w:right w:val="single" w:color="auto" w:sz="4" w:space="0"/>
              <w:tl2br w:val="nil"/>
              <w:tr2bl w:val="nil"/>
            </w:tcBorders>
            <w:noWrap w:val="0"/>
            <w:vAlign w:val="center"/>
          </w:tcPr>
          <w:p w14:paraId="6EB443AA">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环境</w:t>
            </w:r>
          </w:p>
          <w:p w14:paraId="42C9A74A">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保护</w:t>
            </w:r>
          </w:p>
          <w:p w14:paraId="180114D3">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目标</w:t>
            </w:r>
          </w:p>
        </w:tc>
        <w:tc>
          <w:tcPr>
            <w:tcW w:w="8287" w:type="dxa"/>
            <w:tcBorders>
              <w:top w:val="single" w:color="auto" w:sz="4" w:space="0"/>
              <w:left w:val="single" w:color="auto" w:sz="4" w:space="0"/>
              <w:bottom w:val="single" w:color="auto" w:sz="4" w:space="0"/>
              <w:right w:val="single" w:color="auto" w:sz="8" w:space="0"/>
              <w:tl2br w:val="nil"/>
              <w:tr2bl w:val="nil"/>
            </w:tcBorders>
            <w:noWrap w:val="0"/>
            <w:vAlign w:val="top"/>
          </w:tcPr>
          <w:p w14:paraId="0324E841">
            <w:pPr>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480" w:firstLineChars="200"/>
              <w:textAlignment w:val="auto"/>
              <w:rPr>
                <w:rFonts w:hint="default" w:ascii="Times New Roman" w:hAnsi="Times New Roman" w:cs="宋体"/>
                <w:color w:val="000000" w:themeColor="text1"/>
                <w:sz w:val="24"/>
                <w:highlight w:val="none"/>
                <w:lang w:val="en-US" w:bidi="ar"/>
                <w14:textFill>
                  <w14:solidFill>
                    <w14:schemeClr w14:val="tx1"/>
                  </w14:solidFill>
                </w14:textFill>
              </w:rPr>
            </w:pPr>
            <w:r>
              <w:rPr>
                <w:rFonts w:hint="eastAsia" w:ascii="Times New Roman" w:hAnsi="Times New Roman" w:eastAsia="宋体" w:cs="Times New Roman"/>
                <w:b w:val="0"/>
                <w:bCs w:val="0"/>
                <w:color w:val="000000" w:themeColor="text1"/>
                <w:kern w:val="0"/>
                <w:sz w:val="24"/>
                <w:szCs w:val="24"/>
                <w:highlight w:val="none"/>
                <w:lang w:val="en-US" w:eastAsia="zh-CN" w:bidi="en-US"/>
                <w14:textFill>
                  <w14:solidFill>
                    <w14:schemeClr w14:val="tx1"/>
                  </w14:solidFill>
                </w14:textFill>
              </w:rPr>
              <w:t>根据《建设项目环境影响报告表编制技术指南（污染影响类）</w:t>
            </w:r>
            <w:r>
              <w:rPr>
                <w:rFonts w:hint="eastAsia" w:ascii="Times New Roman" w:hAnsi="Times New Roman" w:cs="Times New Roman"/>
                <w:b w:val="0"/>
                <w:bCs w:val="0"/>
                <w:color w:val="000000" w:themeColor="text1"/>
                <w:kern w:val="0"/>
                <w:sz w:val="24"/>
                <w:szCs w:val="24"/>
                <w:highlight w:val="none"/>
                <w:lang w:val="en-US" w:eastAsia="zh-CN" w:bidi="en-US"/>
                <w14:textFill>
                  <w14:solidFill>
                    <w14:schemeClr w14:val="tx1"/>
                  </w14:solidFill>
                </w14:textFill>
              </w:rPr>
              <w:t>（试行）》</w:t>
            </w:r>
            <w:r>
              <w:rPr>
                <w:rFonts w:hint="eastAsia" w:ascii="Times New Roman" w:hAnsi="Times New Roman" w:eastAsia="宋体" w:cs="Times New Roman"/>
                <w:b w:val="0"/>
                <w:bCs w:val="0"/>
                <w:color w:val="000000" w:themeColor="text1"/>
                <w:kern w:val="0"/>
                <w:sz w:val="24"/>
                <w:szCs w:val="24"/>
                <w:highlight w:val="none"/>
                <w:lang w:val="en-US" w:eastAsia="zh-CN" w:bidi="en-US"/>
                <w14:textFill>
                  <w14:solidFill>
                    <w14:schemeClr w14:val="tx1"/>
                  </w14:solidFill>
                </w14:textFill>
              </w:rPr>
              <w:t>，距离本项目最近的敏感目标是位于项目</w:t>
            </w:r>
            <w:r>
              <w:rPr>
                <w:rFonts w:hint="eastAsia" w:ascii="Times New Roman" w:hAnsi="Times New Roman" w:cs="Times New Roman"/>
                <w:b w:val="0"/>
                <w:bCs w:val="0"/>
                <w:color w:val="000000" w:themeColor="text1"/>
                <w:kern w:val="0"/>
                <w:sz w:val="24"/>
                <w:szCs w:val="24"/>
                <w:highlight w:val="none"/>
                <w:lang w:val="en-US" w:eastAsia="zh-CN" w:bidi="en-US"/>
                <w14:textFill>
                  <w14:solidFill>
                    <w14:schemeClr w14:val="tx1"/>
                  </w14:solidFill>
                </w14:textFill>
              </w:rPr>
              <w:t>西南</w:t>
            </w:r>
            <w:r>
              <w:rPr>
                <w:rFonts w:hint="eastAsia" w:ascii="Times New Roman" w:hAnsi="Times New Roman" w:eastAsia="宋体" w:cs="Times New Roman"/>
                <w:b w:val="0"/>
                <w:bCs w:val="0"/>
                <w:color w:val="000000" w:themeColor="text1"/>
                <w:kern w:val="0"/>
                <w:sz w:val="24"/>
                <w:szCs w:val="24"/>
                <w:highlight w:val="none"/>
                <w:lang w:val="en-US" w:eastAsia="zh-CN" w:bidi="en-US"/>
                <w14:textFill>
                  <w14:solidFill>
                    <w14:schemeClr w14:val="tx1"/>
                  </w14:solidFill>
                </w14:textFill>
              </w:rPr>
              <w:t>方向</w:t>
            </w:r>
            <w:r>
              <w:rPr>
                <w:rFonts w:hint="eastAsia" w:ascii="Times New Roman" w:hAnsi="Times New Roman" w:cs="Times New Roman"/>
                <w:b w:val="0"/>
                <w:bCs w:val="0"/>
                <w:color w:val="000000" w:themeColor="text1"/>
                <w:kern w:val="0"/>
                <w:sz w:val="24"/>
                <w:szCs w:val="24"/>
                <w:highlight w:val="none"/>
                <w:lang w:val="en-US" w:eastAsia="zh-CN" w:bidi="en-US"/>
                <w14:textFill>
                  <w14:solidFill>
                    <w14:schemeClr w14:val="tx1"/>
                  </w14:solidFill>
                </w14:textFill>
              </w:rPr>
              <w:t>280</w:t>
            </w:r>
            <w:r>
              <w:rPr>
                <w:rFonts w:hint="eastAsia" w:ascii="Times New Roman" w:hAnsi="Times New Roman" w:eastAsia="宋体" w:cs="Times New Roman"/>
                <w:b w:val="0"/>
                <w:bCs w:val="0"/>
                <w:color w:val="000000" w:themeColor="text1"/>
                <w:kern w:val="0"/>
                <w:sz w:val="24"/>
                <w:szCs w:val="24"/>
                <w:highlight w:val="none"/>
                <w:lang w:val="en-US" w:eastAsia="zh-CN" w:bidi="en-US"/>
                <w14:textFill>
                  <w14:solidFill>
                    <w14:schemeClr w14:val="tx1"/>
                  </w14:solidFill>
                </w14:textFill>
              </w:rPr>
              <w:t>米的</w:t>
            </w:r>
            <w:r>
              <w:rPr>
                <w:rFonts w:hint="eastAsia" w:ascii="Times New Roman" w:hAnsi="Times New Roman" w:cs="Times New Roman"/>
                <w:b w:val="0"/>
                <w:bCs w:val="0"/>
                <w:color w:val="000000" w:themeColor="text1"/>
                <w:kern w:val="0"/>
                <w:sz w:val="24"/>
                <w:szCs w:val="24"/>
                <w:highlight w:val="none"/>
                <w:lang w:val="en-US" w:eastAsia="zh-CN" w:bidi="en-US"/>
                <w14:textFill>
                  <w14:solidFill>
                    <w14:schemeClr w14:val="tx1"/>
                  </w14:solidFill>
                </w14:textFill>
              </w:rPr>
              <w:t>居民</w:t>
            </w:r>
            <w:r>
              <w:rPr>
                <w:rFonts w:hint="eastAsia" w:ascii="Times New Roman" w:hAnsi="Times New Roman" w:eastAsia="宋体" w:cs="Times New Roman"/>
                <w:b w:val="0"/>
                <w:bCs w:val="0"/>
                <w:color w:val="000000" w:themeColor="text1"/>
                <w:kern w:val="0"/>
                <w:sz w:val="24"/>
                <w:szCs w:val="24"/>
                <w:highlight w:val="none"/>
                <w:lang w:val="en-US" w:eastAsia="zh-CN" w:bidi="en-US"/>
                <w14:textFill>
                  <w14:solidFill>
                    <w14:schemeClr w14:val="tx1"/>
                  </w14:solidFill>
                </w14:textFill>
              </w:rPr>
              <w:t>。本项目环境保护目标情况如下：</w:t>
            </w:r>
          </w:p>
          <w:p w14:paraId="31EA8636">
            <w:pPr>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480" w:firstLineChars="200"/>
              <w:textAlignment w:val="auto"/>
              <w:rPr>
                <w:rFonts w:hint="eastAsia" w:ascii="宋体" w:hAnsi="宋体" w:eastAsia="宋体" w:cs="宋体"/>
                <w:color w:val="000000" w:themeColor="text1"/>
                <w:sz w:val="24"/>
                <w:highlight w:val="none"/>
                <w:lang w:eastAsia="zh-CN" w:bidi="ar"/>
                <w14:textFill>
                  <w14:solidFill>
                    <w14:schemeClr w14:val="tx1"/>
                  </w14:solidFill>
                </w14:textFill>
              </w:rPr>
            </w:pPr>
            <w:r>
              <w:rPr>
                <w:rFonts w:hint="eastAsia" w:ascii="Times New Roman" w:hAnsi="Times New Roman" w:cs="宋体"/>
                <w:color w:val="000000" w:themeColor="text1"/>
                <w:sz w:val="24"/>
                <w:highlight w:val="none"/>
                <w:lang w:bidi="ar"/>
                <w14:textFill>
                  <w14:solidFill>
                    <w14:schemeClr w14:val="tx1"/>
                  </w14:solidFill>
                </w14:textFill>
              </w:rPr>
              <w:t>1、大气环境。拟建项目厂界外500米范围内不涉及自然保护区、风景名胜区、文化区等大气环境保护目标</w:t>
            </w:r>
            <w:r>
              <w:rPr>
                <w:rFonts w:hint="eastAsia" w:ascii="Times New Roman" w:hAnsi="Times New Roman" w:cs="宋体"/>
                <w:color w:val="000000" w:themeColor="text1"/>
                <w:sz w:val="24"/>
                <w:highlight w:val="none"/>
                <w:lang w:eastAsia="zh-CN" w:bidi="ar"/>
                <w14:textFill>
                  <w14:solidFill>
                    <w14:schemeClr w14:val="tx1"/>
                  </w14:solidFill>
                </w14:textFill>
              </w:rPr>
              <w:t>，</w:t>
            </w:r>
            <w:r>
              <w:rPr>
                <w:rFonts w:hint="eastAsia" w:ascii="Times New Roman" w:hAnsi="Times New Roman" w:cs="宋体"/>
                <w:color w:val="000000" w:themeColor="text1"/>
                <w:sz w:val="24"/>
                <w:highlight w:val="none"/>
                <w:lang w:val="en-US" w:eastAsia="zh-CN" w:bidi="ar"/>
                <w14:textFill>
                  <w14:solidFill>
                    <w14:schemeClr w14:val="tx1"/>
                  </w14:solidFill>
                </w14:textFill>
              </w:rPr>
              <w:t>本项目大气环境保护目标为居民。主要敏感目标分布见表所示</w:t>
            </w:r>
            <w:r>
              <w:rPr>
                <w:rFonts w:hint="eastAsia" w:ascii="宋体" w:hAnsi="宋体" w:cs="宋体"/>
                <w:color w:val="000000" w:themeColor="text1"/>
                <w:sz w:val="24"/>
                <w:highlight w:val="none"/>
                <w:lang w:eastAsia="zh-CN" w:bidi="ar"/>
                <w14:textFill>
                  <w14:solidFill>
                    <w14:schemeClr w14:val="tx1"/>
                  </w14:solidFill>
                </w14:textFill>
              </w:rPr>
              <w:t>；</w:t>
            </w:r>
          </w:p>
          <w:p w14:paraId="05549411">
            <w:pPr>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480" w:firstLineChars="200"/>
              <w:textAlignment w:val="auto"/>
              <w:rPr>
                <w:rFonts w:hint="eastAsia" w:ascii="Times New Roman" w:hAnsi="Times New Roman" w:cs="宋体"/>
                <w:color w:val="000000" w:themeColor="text1"/>
                <w:sz w:val="24"/>
                <w:highlight w:val="none"/>
                <w:lang w:eastAsia="zh-CN" w:bidi="ar"/>
                <w14:textFill>
                  <w14:solidFill>
                    <w14:schemeClr w14:val="tx1"/>
                  </w14:solidFill>
                </w14:textFill>
              </w:rPr>
            </w:pPr>
            <w:r>
              <w:rPr>
                <w:rFonts w:hint="eastAsia" w:ascii="Times New Roman" w:hAnsi="Times New Roman" w:cs="宋体"/>
                <w:color w:val="000000" w:themeColor="text1"/>
                <w:sz w:val="24"/>
                <w:highlight w:val="none"/>
                <w:lang w:bidi="ar"/>
                <w14:textFill>
                  <w14:solidFill>
                    <w14:schemeClr w14:val="tx1"/>
                  </w14:solidFill>
                </w14:textFill>
              </w:rPr>
              <w:t>2、声环境。拟建项目厂界外50米范围内</w:t>
            </w:r>
            <w:r>
              <w:rPr>
                <w:rFonts w:hint="eastAsia" w:ascii="Times New Roman" w:hAnsi="Times New Roman" w:cs="宋体"/>
                <w:color w:val="000000" w:themeColor="text1"/>
                <w:sz w:val="24"/>
                <w:highlight w:val="none"/>
                <w:lang w:val="en-US" w:eastAsia="zh-CN" w:bidi="ar"/>
                <w14:textFill>
                  <w14:solidFill>
                    <w14:schemeClr w14:val="tx1"/>
                  </w14:solidFill>
                </w14:textFill>
              </w:rPr>
              <w:t>无</w:t>
            </w:r>
            <w:r>
              <w:rPr>
                <w:rFonts w:hint="eastAsia" w:ascii="Times New Roman" w:hAnsi="Times New Roman" w:cs="宋体"/>
                <w:color w:val="000000" w:themeColor="text1"/>
                <w:sz w:val="24"/>
                <w:highlight w:val="none"/>
                <w:lang w:bidi="ar"/>
                <w14:textFill>
                  <w14:solidFill>
                    <w14:schemeClr w14:val="tx1"/>
                  </w14:solidFill>
                </w14:textFill>
              </w:rPr>
              <w:t>声环境保护目标</w:t>
            </w:r>
            <w:r>
              <w:rPr>
                <w:rFonts w:hint="eastAsia" w:ascii="Times New Roman" w:hAnsi="Times New Roman" w:cs="宋体"/>
                <w:color w:val="000000" w:themeColor="text1"/>
                <w:sz w:val="24"/>
                <w:highlight w:val="none"/>
                <w:lang w:eastAsia="zh-CN" w:bidi="ar"/>
                <w14:textFill>
                  <w14:solidFill>
                    <w14:schemeClr w14:val="tx1"/>
                  </w14:solidFill>
                </w14:textFill>
              </w:rPr>
              <w:t>；</w:t>
            </w:r>
          </w:p>
          <w:p w14:paraId="70F2951C">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b/>
                <w:bCs/>
                <w:color w:val="000000" w:themeColor="text1"/>
                <w:sz w:val="24"/>
                <w:highlight w:val="none"/>
                <w:lang w:val="en-US" w:eastAsia="zh-CN"/>
                <w14:textFill>
                  <w14:solidFill>
                    <w14:schemeClr w14:val="tx1"/>
                  </w14:solidFill>
                </w14:textFill>
              </w:rPr>
            </w:pPr>
            <w:r>
              <w:rPr>
                <w:rFonts w:hint="eastAsia" w:ascii="Times New Roman" w:hAnsi="Times New Roman"/>
                <w:b/>
                <w:bCs/>
                <w:color w:val="000000" w:themeColor="text1"/>
                <w:sz w:val="24"/>
                <w:highlight w:val="none"/>
                <w:lang w:val="en-US" w:eastAsia="zh-CN"/>
                <w14:textFill>
                  <w14:solidFill>
                    <w14:schemeClr w14:val="tx1"/>
                  </w14:solidFill>
                </w14:textFill>
              </w:rPr>
              <w:t>表3-4  环境保护目标分布表</w:t>
            </w:r>
          </w:p>
          <w:tbl>
            <w:tblPr>
              <w:tblStyle w:val="25"/>
              <w:tblW w:w="4998"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5"/>
              <w:gridCol w:w="1227"/>
              <w:gridCol w:w="1495"/>
              <w:gridCol w:w="1356"/>
              <w:gridCol w:w="2515"/>
            </w:tblGrid>
            <w:tr w14:paraId="22C3106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909" w:type="pct"/>
                  <w:tcBorders>
                    <w:tl2br w:val="nil"/>
                    <w:tr2bl w:val="nil"/>
                  </w:tcBorders>
                  <w:noWrap w:val="0"/>
                  <w:vAlign w:val="center"/>
                </w:tcPr>
                <w:p w14:paraId="6CC8C2D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环境要素</w:t>
                  </w:r>
                </w:p>
              </w:tc>
              <w:tc>
                <w:tcPr>
                  <w:tcW w:w="761" w:type="pct"/>
                  <w:tcBorders>
                    <w:tl2br w:val="nil"/>
                    <w:tr2bl w:val="nil"/>
                  </w:tcBorders>
                  <w:noWrap w:val="0"/>
                  <w:vAlign w:val="center"/>
                </w:tcPr>
                <w:p w14:paraId="6BD98DE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保护对象</w:t>
                  </w:r>
                </w:p>
              </w:tc>
              <w:tc>
                <w:tcPr>
                  <w:tcW w:w="927" w:type="pct"/>
                  <w:tcBorders>
                    <w:tl2br w:val="nil"/>
                    <w:tr2bl w:val="nil"/>
                  </w:tcBorders>
                  <w:noWrap w:val="0"/>
                  <w:vAlign w:val="center"/>
                </w:tcPr>
                <w:p w14:paraId="6253E1E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户数/人数</w:t>
                  </w:r>
                </w:p>
              </w:tc>
              <w:tc>
                <w:tcPr>
                  <w:tcW w:w="841" w:type="pct"/>
                  <w:tcBorders>
                    <w:tl2br w:val="nil"/>
                    <w:tr2bl w:val="nil"/>
                  </w:tcBorders>
                  <w:noWrap w:val="0"/>
                  <w:vAlign w:val="center"/>
                </w:tcPr>
                <w:p w14:paraId="00AA677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方位</w:t>
                  </w:r>
                </w:p>
              </w:tc>
              <w:tc>
                <w:tcPr>
                  <w:tcW w:w="1560" w:type="pct"/>
                  <w:tcBorders>
                    <w:tl2br w:val="nil"/>
                    <w:tr2bl w:val="nil"/>
                  </w:tcBorders>
                  <w:noWrap w:val="0"/>
                  <w:vAlign w:val="center"/>
                </w:tcPr>
                <w:p w14:paraId="60420C9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功能要求</w:t>
                  </w:r>
                </w:p>
              </w:tc>
            </w:tr>
            <w:tr w14:paraId="47AB559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909" w:type="pct"/>
                  <w:vMerge w:val="restart"/>
                  <w:tcBorders>
                    <w:tl2br w:val="nil"/>
                    <w:tr2bl w:val="nil"/>
                  </w:tcBorders>
                  <w:noWrap w:val="0"/>
                  <w:vAlign w:val="center"/>
                </w:tcPr>
                <w:p w14:paraId="11AF0F4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大气环境</w:t>
                  </w:r>
                </w:p>
              </w:tc>
              <w:tc>
                <w:tcPr>
                  <w:tcW w:w="761" w:type="pct"/>
                  <w:tcBorders>
                    <w:tl2br w:val="nil"/>
                    <w:tr2bl w:val="nil"/>
                  </w:tcBorders>
                  <w:shd w:val="clear" w:color="auto" w:fill="auto"/>
                  <w:noWrap w:val="0"/>
                  <w:vAlign w:val="center"/>
                </w:tcPr>
                <w:p w14:paraId="353799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其志麦拉家</w:t>
                  </w:r>
                </w:p>
              </w:tc>
              <w:tc>
                <w:tcPr>
                  <w:tcW w:w="927" w:type="pct"/>
                  <w:tcBorders>
                    <w:tl2br w:val="nil"/>
                    <w:tr2bl w:val="nil"/>
                  </w:tcBorders>
                  <w:shd w:val="clear" w:color="auto" w:fill="auto"/>
                  <w:noWrap w:val="0"/>
                  <w:vAlign w:val="center"/>
                </w:tcPr>
                <w:p w14:paraId="5C81FDA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共1户/4</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人</w:t>
                  </w:r>
                </w:p>
              </w:tc>
              <w:tc>
                <w:tcPr>
                  <w:tcW w:w="841" w:type="pct"/>
                  <w:tcBorders>
                    <w:tl2br w:val="nil"/>
                    <w:tr2bl w:val="nil"/>
                  </w:tcBorders>
                  <w:shd w:val="clear" w:color="auto" w:fill="auto"/>
                  <w:noWrap w:val="0"/>
                  <w:vAlign w:val="center"/>
                </w:tcPr>
                <w:p w14:paraId="5BB0DE4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西南280米</w:t>
                  </w:r>
                </w:p>
              </w:tc>
              <w:tc>
                <w:tcPr>
                  <w:tcW w:w="1560" w:type="pct"/>
                  <w:vMerge w:val="restart"/>
                  <w:tcBorders>
                    <w:tl2br w:val="nil"/>
                    <w:tr2bl w:val="nil"/>
                  </w:tcBorders>
                  <w:noWrap w:val="0"/>
                  <w:vAlign w:val="center"/>
                </w:tcPr>
                <w:p w14:paraId="7817002B">
                  <w:pPr>
                    <w:pStyle w:val="46"/>
                    <w:numPr>
                      <w:ilvl w:val="0"/>
                      <w:numId w:val="0"/>
                    </w:numPr>
                    <w:autoSpaceDE/>
                    <w:autoSpaceDN/>
                    <w:snapToGrid w:val="0"/>
                    <w:spacing w:before="0" w:after="0" w:line="240" w:lineRule="auto"/>
                    <w:ind w:right="0" w:firstLine="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Times New Roman"/>
                      <w:color w:val="000000" w:themeColor="text1"/>
                      <w:position w:val="0"/>
                      <w:sz w:val="21"/>
                      <w:szCs w:val="21"/>
                      <w:highlight w:val="none"/>
                      <w14:textFill>
                        <w14:solidFill>
                          <w14:schemeClr w14:val="tx1"/>
                        </w14:solidFill>
                      </w14:textFill>
                    </w:rPr>
                    <w:t>符合《环境空气质量标准》</w:t>
                  </w:r>
                  <w:r>
                    <w:rPr>
                      <w:rFonts w:hint="eastAsia" w:ascii="Times New Roman" w:hAnsi="Times New Roman" w:eastAsia="宋体"/>
                      <w:color w:val="000000" w:themeColor="text1"/>
                      <w:position w:val="0"/>
                      <w:sz w:val="21"/>
                      <w:szCs w:val="21"/>
                      <w:highlight w:val="none"/>
                      <w:lang w:eastAsia="zh-CN"/>
                      <w14:textFill>
                        <w14:solidFill>
                          <w14:schemeClr w14:val="tx1"/>
                        </w14:solidFill>
                      </w14:textFill>
                    </w:rPr>
                    <w:t>（</w:t>
                  </w:r>
                  <w:r>
                    <w:rPr>
                      <w:rFonts w:hint="default" w:ascii="Times New Roman" w:hAnsi="Times New Roman" w:eastAsia="Times New Roman"/>
                      <w:color w:val="000000" w:themeColor="text1"/>
                      <w:position w:val="0"/>
                      <w:sz w:val="21"/>
                      <w:szCs w:val="21"/>
                      <w:highlight w:val="none"/>
                      <w14:textFill>
                        <w14:solidFill>
                          <w14:schemeClr w14:val="tx1"/>
                        </w14:solidFill>
                      </w14:textFill>
                    </w:rPr>
                    <w:t>GB3095-</w:t>
                  </w:r>
                  <w:r>
                    <w:rPr>
                      <w:rFonts w:hint="default" w:ascii="Times New Roman" w:hAnsi="宋体" w:eastAsia="宋体"/>
                      <w:color w:val="000000" w:themeColor="text1"/>
                      <w:position w:val="0"/>
                      <w:sz w:val="21"/>
                      <w:szCs w:val="21"/>
                      <w:highlight w:val="none"/>
                      <w14:textFill>
                        <w14:solidFill>
                          <w14:schemeClr w14:val="tx1"/>
                        </w14:solidFill>
                      </w14:textFill>
                    </w:rPr>
                    <w:t>20</w:t>
                  </w:r>
                  <w:r>
                    <w:rPr>
                      <w:rFonts w:hint="eastAsia" w:ascii="Times New Roman" w:hAnsi="宋体"/>
                      <w:color w:val="000000" w:themeColor="text1"/>
                      <w:position w:val="0"/>
                      <w:sz w:val="21"/>
                      <w:szCs w:val="21"/>
                      <w:highlight w:val="none"/>
                      <w:lang w:val="en-US" w:eastAsia="zh-CN"/>
                      <w14:textFill>
                        <w14:solidFill>
                          <w14:schemeClr w14:val="tx1"/>
                        </w14:solidFill>
                      </w14:textFill>
                    </w:rPr>
                    <w:t>26</w:t>
                  </w:r>
                  <w:r>
                    <w:rPr>
                      <w:rFonts w:hint="eastAsia" w:ascii="Times New Roman" w:hAnsi="Times New Roman" w:eastAsia="宋体"/>
                      <w:color w:val="000000" w:themeColor="text1"/>
                      <w:position w:val="0"/>
                      <w:sz w:val="21"/>
                      <w:szCs w:val="21"/>
                      <w:highlight w:val="none"/>
                      <w:lang w:eastAsia="zh-CN"/>
                      <w14:textFill>
                        <w14:solidFill>
                          <w14:schemeClr w14:val="tx1"/>
                        </w14:solidFill>
                      </w14:textFill>
                    </w:rPr>
                    <w:t>）</w:t>
                  </w:r>
                </w:p>
              </w:tc>
            </w:tr>
            <w:tr w14:paraId="29694D0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909" w:type="pct"/>
                  <w:vMerge w:val="continue"/>
                  <w:tcBorders>
                    <w:tl2br w:val="nil"/>
                    <w:tr2bl w:val="nil"/>
                  </w:tcBorders>
                  <w:noWrap w:val="0"/>
                  <w:vAlign w:val="center"/>
                </w:tcPr>
                <w:p w14:paraId="74F55FA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p>
              </w:tc>
              <w:tc>
                <w:tcPr>
                  <w:tcW w:w="761" w:type="pct"/>
                  <w:tcBorders>
                    <w:tl2br w:val="nil"/>
                    <w:tr2bl w:val="nil"/>
                  </w:tcBorders>
                  <w:shd w:val="clear" w:color="auto" w:fill="auto"/>
                  <w:noWrap w:val="0"/>
                  <w:vAlign w:val="center"/>
                </w:tcPr>
                <w:p w14:paraId="6B2E695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特古斯家</w:t>
                  </w:r>
                </w:p>
              </w:tc>
              <w:tc>
                <w:tcPr>
                  <w:tcW w:w="927" w:type="pct"/>
                  <w:tcBorders>
                    <w:tl2br w:val="nil"/>
                    <w:tr2bl w:val="nil"/>
                  </w:tcBorders>
                  <w:shd w:val="clear" w:color="auto" w:fill="auto"/>
                  <w:noWrap w:val="0"/>
                  <w:vAlign w:val="center"/>
                </w:tcPr>
                <w:p w14:paraId="666663F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共1户/3人</w:t>
                  </w:r>
                </w:p>
              </w:tc>
              <w:tc>
                <w:tcPr>
                  <w:tcW w:w="841" w:type="pct"/>
                  <w:tcBorders>
                    <w:tl2br w:val="nil"/>
                    <w:tr2bl w:val="nil"/>
                  </w:tcBorders>
                  <w:shd w:val="clear" w:color="auto" w:fill="auto"/>
                  <w:noWrap w:val="0"/>
                  <w:vAlign w:val="center"/>
                </w:tcPr>
                <w:p w14:paraId="773CD27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东450米</w:t>
                  </w:r>
                </w:p>
              </w:tc>
              <w:tc>
                <w:tcPr>
                  <w:tcW w:w="1560" w:type="pct"/>
                  <w:vMerge w:val="continue"/>
                  <w:tcBorders>
                    <w:tl2br w:val="nil"/>
                    <w:tr2bl w:val="nil"/>
                  </w:tcBorders>
                  <w:noWrap w:val="0"/>
                  <w:vAlign w:val="center"/>
                </w:tcPr>
                <w:p w14:paraId="575B8149">
                  <w:pPr>
                    <w:pStyle w:val="46"/>
                    <w:numPr>
                      <w:ilvl w:val="0"/>
                      <w:numId w:val="0"/>
                    </w:numPr>
                    <w:autoSpaceDE/>
                    <w:autoSpaceDN/>
                    <w:snapToGrid w:val="0"/>
                    <w:spacing w:before="0" w:after="0" w:line="240" w:lineRule="auto"/>
                    <w:ind w:right="0" w:firstLine="0"/>
                    <w:jc w:val="center"/>
                    <w:rPr>
                      <w:rFonts w:hint="default" w:ascii="Times New Roman" w:hAnsi="Times New Roman" w:eastAsia="Times New Roman"/>
                      <w:color w:val="000000" w:themeColor="text1"/>
                      <w:position w:val="0"/>
                      <w:sz w:val="21"/>
                      <w:szCs w:val="21"/>
                      <w:highlight w:val="none"/>
                      <w14:textFill>
                        <w14:solidFill>
                          <w14:schemeClr w14:val="tx1"/>
                        </w14:solidFill>
                      </w14:textFill>
                    </w:rPr>
                  </w:pPr>
                </w:p>
              </w:tc>
            </w:tr>
            <w:tr w14:paraId="20C73ED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909" w:type="pct"/>
                  <w:tcBorders>
                    <w:tl2br w:val="nil"/>
                    <w:tr2bl w:val="nil"/>
                  </w:tcBorders>
                  <w:shd w:val="clear" w:color="auto" w:fill="auto"/>
                  <w:noWrap w:val="0"/>
                  <w:vAlign w:val="center"/>
                </w:tcPr>
                <w:p w14:paraId="4FB22F99">
                  <w:pPr>
                    <w:pStyle w:val="38"/>
                    <w:jc w:val="center"/>
                    <w:rPr>
                      <w:rFonts w:hint="eastAsia" w:ascii="Times New Roman" w:hAnsi="Times New Roman" w:eastAsia="ILPZD C+ T T 4 B B 2o 00" w:cs="Times New Roman"/>
                      <w:b w:val="0"/>
                      <w:bCs w:val="0"/>
                      <w:color w:val="000000" w:themeColor="text1"/>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b w:val="0"/>
                      <w:bCs w:val="0"/>
                      <w:color w:val="000000" w:themeColor="text1"/>
                      <w:sz w:val="21"/>
                      <w:szCs w:val="21"/>
                      <w:highlight w:val="none"/>
                      <w:vertAlign w:val="baseline"/>
                      <w:lang w:val="en-US" w:eastAsia="zh-CN"/>
                      <w14:textFill>
                        <w14:solidFill>
                          <w14:schemeClr w14:val="tx1"/>
                        </w14:solidFill>
                      </w14:textFill>
                    </w:rPr>
                    <w:t>声环境</w:t>
                  </w:r>
                </w:p>
              </w:tc>
              <w:tc>
                <w:tcPr>
                  <w:tcW w:w="2530" w:type="pct"/>
                  <w:gridSpan w:val="3"/>
                  <w:tcBorders>
                    <w:tl2br w:val="nil"/>
                    <w:tr2bl w:val="nil"/>
                  </w:tcBorders>
                  <w:shd w:val="clear" w:color="auto" w:fill="auto"/>
                  <w:noWrap w:val="0"/>
                  <w:vAlign w:val="center"/>
                </w:tcPr>
                <w:p w14:paraId="0AE97417">
                  <w:pPr>
                    <w:pStyle w:val="38"/>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本项目50m范围内无声环境保护目标</w:t>
                  </w:r>
                </w:p>
              </w:tc>
              <w:tc>
                <w:tcPr>
                  <w:tcW w:w="1560" w:type="pct"/>
                  <w:tcBorders>
                    <w:tl2br w:val="nil"/>
                    <w:tr2bl w:val="nil"/>
                  </w:tcBorders>
                  <w:shd w:val="clear" w:color="auto" w:fill="auto"/>
                  <w:noWrap w:val="0"/>
                  <w:vAlign w:val="center"/>
                </w:tcPr>
                <w:p w14:paraId="0029C74A">
                  <w:pPr>
                    <w:pStyle w:val="38"/>
                    <w:jc w:val="center"/>
                    <w:rPr>
                      <w:rFonts w:hint="default" w:ascii="Times New Roman" w:hAnsi="Times New Roman" w:eastAsia="ILPZD C+ T T 4 B B 2o 00" w:cs="Times New Roman"/>
                      <w:b w:val="0"/>
                      <w:bCs w:val="0"/>
                      <w:color w:val="000000" w:themeColor="text1"/>
                      <w:sz w:val="21"/>
                      <w:szCs w:val="21"/>
                      <w:highlight w:val="none"/>
                      <w:vertAlign w:val="baseline"/>
                      <w:lang w:val="en-US" w:eastAsia="zh-CN" w:bidi="ar-SA"/>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《声环境质量标准》（GB3096-2008）2类标准限值</w:t>
                  </w:r>
                </w:p>
              </w:tc>
            </w:tr>
          </w:tbl>
          <w:p w14:paraId="2234C202">
            <w:pPr>
              <w:keepNext w:val="0"/>
              <w:keepLines w:val="0"/>
              <w:pageBreakBefore w:val="0"/>
              <w:widowControl w:val="0"/>
              <w:kinsoku/>
              <w:wordWrap/>
              <w:overflowPunct/>
              <w:topLinePunct w:val="0"/>
              <w:autoSpaceDE/>
              <w:autoSpaceDN/>
              <w:bidi w:val="0"/>
              <w:adjustRightInd/>
              <w:snapToGrid w:val="0"/>
              <w:spacing w:beforeLines="0" w:line="360" w:lineRule="auto"/>
              <w:jc w:val="both"/>
              <w:textAlignment w:val="auto"/>
              <w:rPr>
                <w:rFonts w:hint="eastAsia" w:ascii="Times New Roman" w:hAnsi="Times New Roman"/>
                <w:b/>
                <w:bCs/>
                <w:color w:val="000000" w:themeColor="text1"/>
                <w:sz w:val="24"/>
                <w:highlight w:val="none"/>
                <w:lang w:val="en-US" w:eastAsia="zh-CN"/>
                <w14:textFill>
                  <w14:solidFill>
                    <w14:schemeClr w14:val="tx1"/>
                  </w14:solidFill>
                </w14:textFill>
              </w:rPr>
            </w:pPr>
            <w:r>
              <w:rPr>
                <w:color w:val="000000" w:themeColor="text1"/>
                <w:sz w:val="24"/>
                <w:highlight w:val="none"/>
                <w14:textFill>
                  <w14:solidFill>
                    <w14:schemeClr w14:val="tx1"/>
                  </w14:solidFill>
                </w14:textFill>
              </w:rPr>
              <mc:AlternateContent>
                <mc:Choice Requires="wps">
                  <w:drawing>
                    <wp:anchor distT="0" distB="0" distL="114300" distR="114300" simplePos="0" relativeHeight="251691008" behindDoc="0" locked="0" layoutInCell="1" allowOverlap="1">
                      <wp:simplePos x="0" y="0"/>
                      <wp:positionH relativeFrom="column">
                        <wp:posOffset>3968750</wp:posOffset>
                      </wp:positionH>
                      <wp:positionV relativeFrom="paragraph">
                        <wp:posOffset>2778125</wp:posOffset>
                      </wp:positionV>
                      <wp:extent cx="857250" cy="342900"/>
                      <wp:effectExtent l="4445" t="336550" r="14605" b="6350"/>
                      <wp:wrapNone/>
                      <wp:docPr id="77" name="矩形标注 77"/>
                      <wp:cNvGraphicFramePr/>
                      <a:graphic xmlns:a="http://schemas.openxmlformats.org/drawingml/2006/main">
                        <a:graphicData uri="http://schemas.microsoft.com/office/word/2010/wordprocessingShape">
                          <wps:wsp>
                            <wps:cNvSpPr/>
                            <wps:spPr>
                              <a:xfrm>
                                <a:off x="0" y="0"/>
                                <a:ext cx="857250" cy="342900"/>
                              </a:xfrm>
                              <a:prstGeom prst="wedgeRectCallout">
                                <a:avLst>
                                  <a:gd name="adj1" fmla="val 22401"/>
                                  <a:gd name="adj2" fmla="val -143703"/>
                                </a:avLst>
                              </a:prstGeom>
                              <a:solidFill>
                                <a:srgbClr val="F2BFEA"/>
                              </a:solidFill>
                              <a:ln w="9525" cap="flat" cmpd="sng">
                                <a:solidFill>
                                  <a:srgbClr val="000000"/>
                                </a:solidFill>
                                <a:prstDash val="solid"/>
                                <a:miter/>
                                <a:headEnd type="none" w="med" len="med"/>
                                <a:tailEnd type="none" w="med" len="med"/>
                              </a:ln>
                            </wps:spPr>
                            <wps:txbx>
                              <w:txbxContent>
                                <w:p w14:paraId="6E956EB5">
                                  <w:pPr>
                                    <w:rPr>
                                      <w:rFonts w:hint="default" w:eastAsia="宋体"/>
                                      <w:sz w:val="21"/>
                                      <w:szCs w:val="21"/>
                                      <w:lang w:val="en-US" w:eastAsia="zh-CN"/>
                                    </w:rPr>
                                  </w:pPr>
                                  <w:r>
                                    <w:rPr>
                                      <w:rFonts w:hint="eastAsia"/>
                                      <w:sz w:val="21"/>
                                      <w:szCs w:val="21"/>
                                      <w:lang w:val="en-US" w:eastAsia="zh-CN"/>
                                    </w:rPr>
                                    <w:t>特古斯家</w:t>
                                  </w:r>
                                </w:p>
                              </w:txbxContent>
                            </wps:txbx>
                            <wps:bodyPr upright="1"/>
                          </wps:wsp>
                        </a:graphicData>
                      </a:graphic>
                    </wp:anchor>
                  </w:drawing>
                </mc:Choice>
                <mc:Fallback>
                  <w:pict>
                    <v:shape id="_x0000_s1026" o:spid="_x0000_s1026" o:spt="61" type="#_x0000_t61" style="position:absolute;left:0pt;margin-left:312.5pt;margin-top:218.75pt;height:27pt;width:67.5pt;z-index:251691008;mso-width-relative:page;mso-height-relative:page;" fillcolor="#F2BFEA" filled="t" stroked="t" coordsize="21600,21600" o:gfxdata="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PZ9U9nbAAAACwEAAA8AAAAAAAAAAQAgAAAAIgAA&#10;AGRycy9kb3ducmV2LnhtbFBLAQIUABQAAAAIAIdO4kCxBiXYPgIAAI8EAAAOAAAAAAAAAAEAIAAA&#10;ACoBAABkcnMvZTJvRG9jLnhtbFBLBQYAAAAABgAGAFkBAADaBQAAAAA=&#10;" adj="15639,-20240">
                      <v:fill on="t" focussize="0,0"/>
                      <v:stroke color="#000000" joinstyle="miter"/>
                      <v:imagedata o:title=""/>
                      <o:lock v:ext="edit" aspectratio="f"/>
                      <v:textbox>
                        <w:txbxContent>
                          <w:p w14:paraId="6E956EB5">
                            <w:pPr>
                              <w:rPr>
                                <w:rFonts w:hint="default" w:eastAsia="宋体"/>
                                <w:sz w:val="21"/>
                                <w:szCs w:val="21"/>
                                <w:lang w:val="en-US" w:eastAsia="zh-CN"/>
                              </w:rPr>
                            </w:pPr>
                            <w:r>
                              <w:rPr>
                                <w:rFonts w:hint="eastAsia"/>
                                <w:sz w:val="21"/>
                                <w:szCs w:val="21"/>
                                <w:lang w:val="en-US" w:eastAsia="zh-CN"/>
                              </w:rPr>
                              <w:t>特古斯家</w:t>
                            </w:r>
                          </w:p>
                        </w:txbxContent>
                      </v:textbox>
                    </v:shape>
                  </w:pict>
                </mc:Fallback>
              </mc:AlternateContent>
            </w:r>
            <w:r>
              <w:rPr>
                <w:color w:val="000000" w:themeColor="text1"/>
                <w:sz w:val="24"/>
                <w:highlight w:val="none"/>
                <w14:textFill>
                  <w14:solidFill>
                    <w14:schemeClr w14:val="tx1"/>
                  </w14:solidFill>
                </w14:textFill>
              </w:rPr>
              <mc:AlternateContent>
                <mc:Choice Requires="wps">
                  <w:drawing>
                    <wp:anchor distT="0" distB="0" distL="114300" distR="114300" simplePos="0" relativeHeight="251689984" behindDoc="0" locked="0" layoutInCell="1" allowOverlap="1">
                      <wp:simplePos x="0" y="0"/>
                      <wp:positionH relativeFrom="column">
                        <wp:posOffset>203200</wp:posOffset>
                      </wp:positionH>
                      <wp:positionV relativeFrom="paragraph">
                        <wp:posOffset>3817620</wp:posOffset>
                      </wp:positionV>
                      <wp:extent cx="875665" cy="342900"/>
                      <wp:effectExtent l="4445" t="401320" r="148590" b="17780"/>
                      <wp:wrapNone/>
                      <wp:docPr id="72" name="矩形标注 72"/>
                      <wp:cNvGraphicFramePr/>
                      <a:graphic xmlns:a="http://schemas.openxmlformats.org/drawingml/2006/main">
                        <a:graphicData uri="http://schemas.microsoft.com/office/word/2010/wordprocessingShape">
                          <wps:wsp>
                            <wps:cNvSpPr/>
                            <wps:spPr>
                              <a:xfrm>
                                <a:off x="0" y="0"/>
                                <a:ext cx="875665" cy="342900"/>
                              </a:xfrm>
                              <a:prstGeom prst="wedgeRectCallout">
                                <a:avLst>
                                  <a:gd name="adj1" fmla="val 62406"/>
                                  <a:gd name="adj2" fmla="val -160370"/>
                                </a:avLst>
                              </a:prstGeom>
                              <a:solidFill>
                                <a:srgbClr val="F2BFEA"/>
                              </a:solidFill>
                              <a:ln w="9525" cap="flat" cmpd="sng">
                                <a:solidFill>
                                  <a:srgbClr val="000000"/>
                                </a:solidFill>
                                <a:prstDash val="solid"/>
                                <a:miter/>
                                <a:headEnd type="none" w="med" len="med"/>
                                <a:tailEnd type="none" w="med" len="med"/>
                              </a:ln>
                            </wps:spPr>
                            <wps:txbx>
                              <w:txbxContent>
                                <w:p w14:paraId="63A5F88C">
                                  <w:pPr>
                                    <w:rPr>
                                      <w:rFonts w:hint="default" w:eastAsia="宋体"/>
                                      <w:sz w:val="21"/>
                                      <w:szCs w:val="21"/>
                                      <w:lang w:val="en-US" w:eastAsia="zh-CN"/>
                                    </w:rPr>
                                  </w:pPr>
                                  <w:r>
                                    <w:rPr>
                                      <w:rFonts w:hint="eastAsia"/>
                                      <w:sz w:val="21"/>
                                      <w:szCs w:val="21"/>
                                      <w:lang w:val="en-US" w:eastAsia="zh-CN"/>
                                    </w:rPr>
                                    <w:t>其志麦拉家</w:t>
                                  </w:r>
                                </w:p>
                              </w:txbxContent>
                            </wps:txbx>
                            <wps:bodyPr upright="1"/>
                          </wps:wsp>
                        </a:graphicData>
                      </a:graphic>
                    </wp:anchor>
                  </w:drawing>
                </mc:Choice>
                <mc:Fallback>
                  <w:pict>
                    <v:shape id="_x0000_s1026" o:spid="_x0000_s1026" o:spt="61" type="#_x0000_t61" style="position:absolute;left:0pt;margin-left:16pt;margin-top:300.6pt;height:27pt;width:68.95pt;z-index:251689984;mso-width-relative:page;mso-height-relative:page;" fillcolor="#F2BFEA" filled="t" stroked="t" coordsize="21600,21600" o:gfxdata="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BhfSP3aAAAACgEAAA8AAAAAAAAAAQAgAAAAIgAA&#10;AGRycy9kb3ducmV2LnhtbFBLAQIUABQAAAAIAIdO4kAD0gliPwIAAI8EAAAOAAAAAAAAAAEAIAAA&#10;ACkBAABkcnMvZTJvRG9jLnhtbFBLBQYAAAAABgAGAFkBAADaBQAAAAA=&#10;" adj="24280,-23840">
                      <v:fill on="t" focussize="0,0"/>
                      <v:stroke color="#000000" joinstyle="miter"/>
                      <v:imagedata o:title=""/>
                      <o:lock v:ext="edit" aspectratio="f"/>
                      <v:textbox>
                        <w:txbxContent>
                          <w:p w14:paraId="63A5F88C">
                            <w:pPr>
                              <w:rPr>
                                <w:rFonts w:hint="default" w:eastAsia="宋体"/>
                                <w:sz w:val="21"/>
                                <w:szCs w:val="21"/>
                                <w:lang w:val="en-US" w:eastAsia="zh-CN"/>
                              </w:rPr>
                            </w:pPr>
                            <w:r>
                              <w:rPr>
                                <w:rFonts w:hint="eastAsia"/>
                                <w:sz w:val="21"/>
                                <w:szCs w:val="21"/>
                                <w:lang w:val="en-US" w:eastAsia="zh-CN"/>
                              </w:rPr>
                              <w:t>其志麦拉家</w:t>
                            </w:r>
                          </w:p>
                        </w:txbxContent>
                      </v:textbox>
                    </v:shape>
                  </w:pict>
                </mc:Fallback>
              </mc:AlternateContent>
            </w:r>
            <w:r>
              <w:rPr>
                <w:color w:val="000000" w:themeColor="text1"/>
                <w:highlight w:val="none"/>
                <w14:textFill>
                  <w14:solidFill>
                    <w14:schemeClr w14:val="tx1"/>
                  </w14:solidFill>
                </w14:textFill>
              </w:rPr>
              <mc:AlternateContent>
                <mc:Choice Requires="wps">
                  <w:drawing>
                    <wp:anchor distT="0" distB="0" distL="114300" distR="114300" simplePos="0" relativeHeight="251669504" behindDoc="0" locked="0" layoutInCell="1" allowOverlap="1">
                      <wp:simplePos x="0" y="0"/>
                      <wp:positionH relativeFrom="column">
                        <wp:posOffset>3852545</wp:posOffset>
                      </wp:positionH>
                      <wp:positionV relativeFrom="paragraph">
                        <wp:posOffset>4288790</wp:posOffset>
                      </wp:positionV>
                      <wp:extent cx="819150" cy="328295"/>
                      <wp:effectExtent l="5080" t="389890" r="13970" b="5715"/>
                      <wp:wrapNone/>
                      <wp:docPr id="21" name="圆角矩形标注 21"/>
                      <wp:cNvGraphicFramePr/>
                      <a:graphic xmlns:a="http://schemas.openxmlformats.org/drawingml/2006/main">
                        <a:graphicData uri="http://schemas.microsoft.com/office/word/2010/wordprocessingShape">
                          <wps:wsp>
                            <wps:cNvSpPr/>
                            <wps:spPr>
                              <a:xfrm>
                                <a:off x="0" y="0"/>
                                <a:ext cx="819150" cy="328295"/>
                              </a:xfrm>
                              <a:prstGeom prst="wedgeRoundRectCallout">
                                <a:avLst>
                                  <a:gd name="adj1" fmla="val -48190"/>
                                  <a:gd name="adj2" fmla="val -162572"/>
                                  <a:gd name="adj3" fmla="val 16667"/>
                                </a:avLst>
                              </a:prstGeom>
                              <a:solidFill>
                                <a:schemeClr val="accent6">
                                  <a:lumMod val="60000"/>
                                  <a:lumOff val="40000"/>
                                </a:schemeClr>
                              </a:solidFill>
                              <a:ln w="9525" cap="flat" cmpd="sng">
                                <a:solidFill>
                                  <a:srgbClr val="000000"/>
                                </a:solidFill>
                                <a:prstDash val="solid"/>
                                <a:miter/>
                                <a:headEnd type="none" w="med" len="med"/>
                                <a:tailEnd type="none" w="med" len="med"/>
                              </a:ln>
                            </wps:spPr>
                            <wps:txbx>
                              <w:txbxContent>
                                <w:p w14:paraId="6CC0EED8">
                                  <w:pPr>
                                    <w:rPr>
                                      <w:rFonts w:hint="eastAsia" w:eastAsia="宋体"/>
                                      <w:sz w:val="21"/>
                                      <w:szCs w:val="21"/>
                                      <w:lang w:val="en-US" w:eastAsia="zh-CN"/>
                                    </w:rPr>
                                  </w:pPr>
                                  <w:r>
                                    <w:rPr>
                                      <w:rFonts w:hint="eastAsia"/>
                                      <w:sz w:val="18"/>
                                      <w:szCs w:val="18"/>
                                      <w:lang w:val="en-US" w:eastAsia="zh-CN"/>
                                    </w:rPr>
                                    <w:t>大气环境</w:t>
                                  </w:r>
                                </w:p>
                              </w:txbxContent>
                            </wps:txbx>
                            <wps:bodyPr upright="1"/>
                          </wps:wsp>
                        </a:graphicData>
                      </a:graphic>
                    </wp:anchor>
                  </w:drawing>
                </mc:Choice>
                <mc:Fallback>
                  <w:pict>
                    <v:shape id="_x0000_s1026" o:spid="_x0000_s1026" o:spt="62" type="#_x0000_t62" style="position:absolute;left:0pt;margin-left:303.35pt;margin-top:337.7pt;height:25.85pt;width:64.5pt;z-index:251669504;mso-width-relative:page;mso-height-relative:page;" fillcolor="#A9D18E [1945]" filled="t" stroked="t" coordsize="21600,21600" o:gfxdata="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&#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CqTPxrcAAAACwEAAA8AAAAAAAAAAQAgAAAAIgAAAGRy&#10;cy9kb3ducmV2LnhtbFBLAQIUABQAAAAIAIdO4kCOF40scwIAAPgEAAAOAAAAAAAAAAEAIAAAACsB&#10;AABkcnMvZTJvRG9jLnhtbFBLBQYAAAAABgAGAFkBAAAQBgAAAAA=&#10;" adj="391,-24316,14400">
                      <v:fill on="t" focussize="0,0"/>
                      <v:stroke color="#000000" joinstyle="miter"/>
                      <v:imagedata o:title=""/>
                      <o:lock v:ext="edit" aspectratio="f"/>
                      <v:textbox>
                        <w:txbxContent>
                          <w:p w14:paraId="6CC0EED8">
                            <w:pPr>
                              <w:rPr>
                                <w:rFonts w:hint="eastAsia" w:eastAsia="宋体"/>
                                <w:sz w:val="21"/>
                                <w:szCs w:val="21"/>
                                <w:lang w:val="en-US" w:eastAsia="zh-CN"/>
                              </w:rPr>
                            </w:pPr>
                            <w:r>
                              <w:rPr>
                                <w:rFonts w:hint="eastAsia"/>
                                <w:sz w:val="18"/>
                                <w:szCs w:val="18"/>
                                <w:lang w:val="en-US" w:eastAsia="zh-CN"/>
                              </w:rPr>
                              <w:t>大气环境</w:t>
                            </w:r>
                          </w:p>
                        </w:txbxContent>
                      </v:textbox>
                    </v:shape>
                  </w:pict>
                </mc:Fallback>
              </mc:AlternateContent>
            </w:r>
            <w:r>
              <w:rPr>
                <w:color w:val="000000" w:themeColor="text1"/>
                <w:sz w:val="24"/>
                <w:highlight w:val="none"/>
                <w14:textFill>
                  <w14:solidFill>
                    <w14:schemeClr w14:val="tx1"/>
                  </w14:solidFill>
                </w14:textFill>
              </w:rPr>
              <mc:AlternateContent>
                <mc:Choice Requires="wps">
                  <w:drawing>
                    <wp:anchor distT="0" distB="0" distL="114300" distR="114300" simplePos="0" relativeHeight="251670528" behindDoc="0" locked="0" layoutInCell="1" allowOverlap="1">
                      <wp:simplePos x="0" y="0"/>
                      <wp:positionH relativeFrom="column">
                        <wp:posOffset>3755390</wp:posOffset>
                      </wp:positionH>
                      <wp:positionV relativeFrom="paragraph">
                        <wp:posOffset>588645</wp:posOffset>
                      </wp:positionV>
                      <wp:extent cx="1456055" cy="514350"/>
                      <wp:effectExtent l="676910" t="5080" r="19685" b="375920"/>
                      <wp:wrapNone/>
                      <wp:docPr id="28" name="矩形标注 28"/>
                      <wp:cNvGraphicFramePr/>
                      <a:graphic xmlns:a="http://schemas.openxmlformats.org/drawingml/2006/main">
                        <a:graphicData uri="http://schemas.microsoft.com/office/word/2010/wordprocessingShape">
                          <wps:wsp>
                            <wps:cNvSpPr/>
                            <wps:spPr>
                              <a:xfrm>
                                <a:off x="0" y="0"/>
                                <a:ext cx="1456055" cy="514350"/>
                              </a:xfrm>
                              <a:prstGeom prst="wedgeRectCallout">
                                <a:avLst>
                                  <a:gd name="adj1" fmla="val -93959"/>
                                  <a:gd name="adj2" fmla="val 120123"/>
                                </a:avLst>
                              </a:prstGeom>
                              <a:solidFill>
                                <a:srgbClr val="FCD5B5"/>
                              </a:solidFill>
                              <a:ln w="9525" cap="flat" cmpd="sng">
                                <a:solidFill>
                                  <a:srgbClr val="000000"/>
                                </a:solidFill>
                                <a:prstDash val="solid"/>
                                <a:miter/>
                                <a:headEnd type="none" w="med" len="med"/>
                                <a:tailEnd type="none" w="med" len="med"/>
                              </a:ln>
                            </wps:spPr>
                            <wps:txbx>
                              <w:txbxContent>
                                <w:p w14:paraId="008F01BA">
                                  <w:pPr>
                                    <w:rPr>
                                      <w:rFonts w:hint="default"/>
                                      <w:sz w:val="22"/>
                                      <w:szCs w:val="22"/>
                                      <w:lang w:val="en-US" w:eastAsia="zh-CN"/>
                                    </w:rPr>
                                  </w:pPr>
                                  <w:r>
                                    <w:rPr>
                                      <w:rFonts w:hint="default"/>
                                      <w:sz w:val="22"/>
                                      <w:szCs w:val="22"/>
                                      <w:lang w:val="en-US" w:eastAsia="zh-CN"/>
                                    </w:rPr>
                                    <w:t>正蓝旗上都华欣能源有限责任公司</w:t>
                                  </w:r>
                                </w:p>
                                <w:p w14:paraId="60E39AA9">
                                  <w:pPr>
                                    <w:rPr>
                                      <w:rFonts w:hint="default"/>
                                      <w:lang w:val="en-US" w:eastAsia="zh-CN"/>
                                    </w:rPr>
                                  </w:pPr>
                                </w:p>
                              </w:txbxContent>
                            </wps:txbx>
                            <wps:bodyPr upright="1"/>
                          </wps:wsp>
                        </a:graphicData>
                      </a:graphic>
                    </wp:anchor>
                  </w:drawing>
                </mc:Choice>
                <mc:Fallback>
                  <w:pict>
                    <v:shape id="_x0000_s1026" o:spid="_x0000_s1026" o:spt="61" type="#_x0000_t61" style="position:absolute;left:0pt;margin-left:295.7pt;margin-top:46.35pt;height:40.5pt;width:114.65pt;z-index:251670528;mso-width-relative:page;mso-height-relative:page;" fillcolor="#FCD5B5" filled="t" stroked="t" coordsize="21600,21600" o:gfxdata="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LmgUmbXAAAACgEAAA8AAAAAAAAAAQAgAAAAIgAAAGRycy9k&#10;b3ducmV2LnhtbFBLAQIUABQAAAAIAIdO4kBYBkfXPAIAAJAEAAAOAAAAAAAAAAEAIAAAACYBAABk&#10;cnMvZTJvRG9jLnhtbFBLBQYAAAAABgAGAFkBAADUBQAAAAA=&#10;" adj="-9495,36747">
                      <v:fill on="t" focussize="0,0"/>
                      <v:stroke color="#000000" joinstyle="miter"/>
                      <v:imagedata o:title=""/>
                      <o:lock v:ext="edit" aspectratio="f"/>
                      <v:textbox>
                        <w:txbxContent>
                          <w:p w14:paraId="008F01BA">
                            <w:pPr>
                              <w:rPr>
                                <w:rFonts w:hint="default"/>
                                <w:sz w:val="22"/>
                                <w:szCs w:val="22"/>
                                <w:lang w:val="en-US" w:eastAsia="zh-CN"/>
                              </w:rPr>
                            </w:pPr>
                            <w:r>
                              <w:rPr>
                                <w:rFonts w:hint="default"/>
                                <w:sz w:val="22"/>
                                <w:szCs w:val="22"/>
                                <w:lang w:val="en-US" w:eastAsia="zh-CN"/>
                              </w:rPr>
                              <w:t>正蓝旗上都华欣能源有限责任公司</w:t>
                            </w:r>
                          </w:p>
                          <w:p w14:paraId="60E39AA9">
                            <w:pPr>
                              <w:rPr>
                                <w:rFonts w:hint="default"/>
                                <w:lang w:val="en-US" w:eastAsia="zh-CN"/>
                              </w:rPr>
                            </w:pPr>
                          </w:p>
                        </w:txbxContent>
                      </v:textbox>
                    </v:shape>
                  </w:pict>
                </mc:Fallback>
              </mc:AlternateContent>
            </w:r>
            <w:r>
              <w:rPr>
                <w:color w:val="000000" w:themeColor="text1"/>
                <w:sz w:val="24"/>
                <w:highlight w:val="none"/>
                <w14:textFill>
                  <w14:solidFill>
                    <w14:schemeClr w14:val="tx1"/>
                  </w14:solidFill>
                </w14:textFill>
              </w:rPr>
              <mc:AlternateContent>
                <mc:Choice Requires="wps">
                  <w:drawing>
                    <wp:anchor distT="0" distB="0" distL="114300" distR="114300" simplePos="0" relativeHeight="251668480" behindDoc="0" locked="0" layoutInCell="1" allowOverlap="1">
                      <wp:simplePos x="0" y="0"/>
                      <wp:positionH relativeFrom="column">
                        <wp:posOffset>603250</wp:posOffset>
                      </wp:positionH>
                      <wp:positionV relativeFrom="paragraph">
                        <wp:posOffset>2065020</wp:posOffset>
                      </wp:positionV>
                      <wp:extent cx="733425" cy="342900"/>
                      <wp:effectExtent l="4445" t="5080" r="881380" b="13970"/>
                      <wp:wrapNone/>
                      <wp:docPr id="31" name="矩形标注 31"/>
                      <wp:cNvGraphicFramePr/>
                      <a:graphic xmlns:a="http://schemas.openxmlformats.org/drawingml/2006/main">
                        <a:graphicData uri="http://schemas.microsoft.com/office/word/2010/wordprocessingShape">
                          <wps:wsp>
                            <wps:cNvSpPr/>
                            <wps:spPr>
                              <a:xfrm>
                                <a:off x="0" y="0"/>
                                <a:ext cx="733425" cy="342900"/>
                              </a:xfrm>
                              <a:prstGeom prst="wedgeRectCallout">
                                <a:avLst>
                                  <a:gd name="adj1" fmla="val 164199"/>
                                  <a:gd name="adj2" fmla="val 14629"/>
                                </a:avLst>
                              </a:prstGeom>
                              <a:solidFill>
                                <a:srgbClr val="FCD5B5"/>
                              </a:solidFill>
                              <a:ln w="9525" cap="flat" cmpd="sng">
                                <a:solidFill>
                                  <a:srgbClr val="000000"/>
                                </a:solidFill>
                                <a:prstDash val="solid"/>
                                <a:miter/>
                                <a:headEnd type="none" w="med" len="med"/>
                                <a:tailEnd type="none" w="med" len="med"/>
                              </a:ln>
                            </wps:spPr>
                            <wps:txbx>
                              <w:txbxContent>
                                <w:p w14:paraId="705B679A">
                                  <w:pPr>
                                    <w:rPr>
                                      <w:rFonts w:hint="default" w:eastAsia="宋体"/>
                                      <w:sz w:val="21"/>
                                      <w:szCs w:val="21"/>
                                      <w:lang w:val="en-US" w:eastAsia="zh-CN"/>
                                    </w:rPr>
                                  </w:pPr>
                                  <w:r>
                                    <w:rPr>
                                      <w:rFonts w:hint="eastAsia"/>
                                      <w:sz w:val="21"/>
                                      <w:szCs w:val="21"/>
                                      <w:lang w:val="en-US" w:eastAsia="zh-CN"/>
                                    </w:rPr>
                                    <w:t>本项目</w:t>
                                  </w:r>
                                </w:p>
                              </w:txbxContent>
                            </wps:txbx>
                            <wps:bodyPr upright="1"/>
                          </wps:wsp>
                        </a:graphicData>
                      </a:graphic>
                    </wp:anchor>
                  </w:drawing>
                </mc:Choice>
                <mc:Fallback>
                  <w:pict>
                    <v:shape id="_x0000_s1026" o:spid="_x0000_s1026" o:spt="61" type="#_x0000_t61" style="position:absolute;left:0pt;margin-left:47.5pt;margin-top:162.6pt;height:27pt;width:57.75pt;z-index:251668480;mso-width-relative:page;mso-height-relative:page;" fillcolor="#FCD5B5" filled="t" stroked="t" coordsize="21600,21600" o:gfxdata="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KgS7n2QAAAAoBAAAPAAAAAAAAAAEAIAAAACIAAABkcnMvZG93&#10;bnJldi54bWxQSwECFAAUAAAACACHTuJAi6FKHjgCAACOBAAADgAAAAAAAAABACAAAAAoAQAAZHJz&#10;L2Uyb0RvYy54bWxQSwUGAAAAAAYABgBZAQAA0gUAAAAA&#10;" adj="46267,13960">
                      <v:fill on="t" focussize="0,0"/>
                      <v:stroke color="#000000" joinstyle="miter"/>
                      <v:imagedata o:title=""/>
                      <o:lock v:ext="edit" aspectratio="f"/>
                      <v:textbox>
                        <w:txbxContent>
                          <w:p w14:paraId="705B679A">
                            <w:pPr>
                              <w:rPr>
                                <w:rFonts w:hint="default" w:eastAsia="宋体"/>
                                <w:sz w:val="21"/>
                                <w:szCs w:val="21"/>
                                <w:lang w:val="en-US" w:eastAsia="zh-CN"/>
                              </w:rPr>
                            </w:pPr>
                            <w:r>
                              <w:rPr>
                                <w:rFonts w:hint="eastAsia"/>
                                <w:sz w:val="21"/>
                                <w:szCs w:val="21"/>
                                <w:lang w:val="en-US" w:eastAsia="zh-CN"/>
                              </w:rPr>
                              <w:t>本项目</w:t>
                            </w:r>
                          </w:p>
                        </w:txbxContent>
                      </v:textbox>
                    </v:shape>
                  </w:pict>
                </mc:Fallback>
              </mc:AlternateContent>
            </w:r>
            <w:r>
              <w:rPr>
                <w:color w:val="000000" w:themeColor="text1"/>
                <w14:textFill>
                  <w14:solidFill>
                    <w14:schemeClr w14:val="tx1"/>
                  </w14:solidFill>
                </w14:textFill>
              </w:rPr>
              <w:drawing>
                <wp:inline distT="0" distB="0" distL="114300" distR="114300">
                  <wp:extent cx="5260340" cy="4882515"/>
                  <wp:effectExtent l="0" t="0" r="16510" b="13335"/>
                  <wp:docPr id="4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5"/>
                          <pic:cNvPicPr>
                            <a:picLocks noChangeAspect="1"/>
                          </pic:cNvPicPr>
                        </pic:nvPicPr>
                        <pic:blipFill>
                          <a:blip r:embed="rId20"/>
                          <a:stretch>
                            <a:fillRect/>
                          </a:stretch>
                        </pic:blipFill>
                        <pic:spPr>
                          <a:xfrm>
                            <a:off x="0" y="0"/>
                            <a:ext cx="5260340" cy="4882515"/>
                          </a:xfrm>
                          <a:prstGeom prst="rect">
                            <a:avLst/>
                          </a:prstGeom>
                          <a:noFill/>
                          <a:ln>
                            <a:noFill/>
                          </a:ln>
                        </pic:spPr>
                      </pic:pic>
                    </a:graphicData>
                  </a:graphic>
                </wp:inline>
              </w:drawing>
            </w:r>
          </w:p>
          <w:p w14:paraId="7E45D52B">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Times New Roman"/>
                <w:b/>
                <w:color w:val="000000" w:themeColor="text1"/>
                <w:highlight w:val="none"/>
                <w:lang w:val="en-US" w:eastAsia="zh-CN"/>
                <w14:textFill>
                  <w14:solidFill>
                    <w14:schemeClr w14:val="tx1"/>
                  </w14:solidFill>
                </w14:textFill>
              </w:rPr>
              <w:t>图3-2  环境保护目标分布图</w:t>
            </w:r>
          </w:p>
        </w:tc>
      </w:tr>
      <w:tr w14:paraId="1F8365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73" w:type="dxa"/>
            <w:tcBorders>
              <w:top w:val="single" w:color="auto" w:sz="4" w:space="0"/>
              <w:left w:val="single" w:color="auto" w:sz="8" w:space="0"/>
              <w:bottom w:val="single" w:color="auto" w:sz="4" w:space="0"/>
              <w:right w:val="single" w:color="auto" w:sz="4" w:space="0"/>
              <w:tl2br w:val="nil"/>
              <w:tr2bl w:val="nil"/>
            </w:tcBorders>
            <w:noWrap w:val="0"/>
            <w:tcMar>
              <w:left w:w="28" w:type="dxa"/>
              <w:right w:w="28" w:type="dxa"/>
            </w:tcMar>
            <w:vAlign w:val="center"/>
          </w:tcPr>
          <w:p w14:paraId="3773A9E8">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污染</w:t>
            </w:r>
          </w:p>
          <w:p w14:paraId="71EE0131">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物排</w:t>
            </w:r>
          </w:p>
          <w:p w14:paraId="4EEAC206">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放控</w:t>
            </w:r>
          </w:p>
          <w:p w14:paraId="306A514F">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制标</w:t>
            </w:r>
          </w:p>
          <w:p w14:paraId="0DF9294D">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准</w:t>
            </w:r>
          </w:p>
        </w:tc>
        <w:tc>
          <w:tcPr>
            <w:tcW w:w="8287" w:type="dxa"/>
            <w:tcBorders>
              <w:top w:val="single" w:color="auto" w:sz="4" w:space="0"/>
              <w:left w:val="single" w:color="auto" w:sz="4" w:space="0"/>
              <w:bottom w:val="single" w:color="auto" w:sz="4" w:space="0"/>
              <w:right w:val="single" w:color="auto" w:sz="8" w:space="0"/>
              <w:tl2br w:val="nil"/>
              <w:tr2bl w:val="nil"/>
            </w:tcBorders>
            <w:noWrap w:val="0"/>
            <w:vAlign w:val="top"/>
          </w:tcPr>
          <w:p w14:paraId="307258E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default" w:ascii="Times New Roman" w:hAnsi="Times New Roman" w:eastAsia="黑体" w:cs="Times New Roman"/>
                <w:color w:val="000000" w:themeColor="text1"/>
                <w:highlight w:val="none"/>
                <w:lang w:val="en-US" w:eastAsia="zh-CN"/>
                <w14:textFill>
                  <w14:solidFill>
                    <w14:schemeClr w14:val="tx1"/>
                  </w14:solidFill>
                </w14:textFill>
              </w:rPr>
              <w:t>1、环境空气质量标准</w:t>
            </w:r>
          </w:p>
          <w:p w14:paraId="319F0EC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highlight w:val="none"/>
                <w:lang w:eastAsia="zh-CN"/>
                <w14:textFill>
                  <w14:solidFill>
                    <w14:schemeClr w14:val="tx1"/>
                  </w14:solidFill>
                </w14:textFill>
              </w:rPr>
            </w:pPr>
            <w:r>
              <w:rPr>
                <w:rFonts w:hint="default" w:ascii="Times New Roman" w:hAnsi="Times New Roman" w:cs="Times New Roman"/>
                <w:color w:val="000000" w:themeColor="text1"/>
                <w:highlight w:val="none"/>
                <w:lang w:eastAsia="zh-CN"/>
                <w14:textFill>
                  <w14:solidFill>
                    <w14:schemeClr w14:val="tx1"/>
                  </w14:solidFill>
                </w14:textFill>
              </w:rPr>
              <w:t>本项目区域执行《环境空气质量标准》（GB3095-20</w:t>
            </w:r>
            <w:r>
              <w:rPr>
                <w:rFonts w:hint="eastAsia" w:ascii="Times New Roman" w:hAnsi="Times New Roman" w:cs="Times New Roman"/>
                <w:color w:val="000000" w:themeColor="text1"/>
                <w:highlight w:val="none"/>
                <w:lang w:val="en-US" w:eastAsia="zh-CN"/>
                <w14:textFill>
                  <w14:solidFill>
                    <w14:schemeClr w14:val="tx1"/>
                  </w14:solidFill>
                </w14:textFill>
              </w:rPr>
              <w:t>26</w:t>
            </w:r>
            <w:r>
              <w:rPr>
                <w:rFonts w:hint="default" w:ascii="Times New Roman" w:hAnsi="Times New Roman" w:cs="Times New Roman"/>
                <w:color w:val="000000" w:themeColor="text1"/>
                <w:highlight w:val="none"/>
                <w:lang w:eastAsia="zh-CN"/>
                <w14:textFill>
                  <w14:solidFill>
                    <w14:schemeClr w14:val="tx1"/>
                  </w14:solidFill>
                </w14:textFill>
              </w:rPr>
              <w:t>）中</w:t>
            </w:r>
            <w:r>
              <w:rPr>
                <w:rFonts w:hint="eastAsia" w:ascii="Times New Roman" w:hAnsi="Times New Roman" w:cs="Times New Roman"/>
                <w:color w:val="000000" w:themeColor="text1"/>
                <w:highlight w:val="none"/>
                <w:lang w:eastAsia="zh-CN"/>
                <w14:textFill>
                  <w14:solidFill>
                    <w14:schemeClr w14:val="tx1"/>
                  </w14:solidFill>
                </w14:textFill>
              </w:rPr>
              <w:t>过渡阶段</w:t>
            </w:r>
            <w:r>
              <w:rPr>
                <w:rFonts w:hint="default" w:ascii="Times New Roman" w:hAnsi="Times New Roman" w:cs="Times New Roman"/>
                <w:color w:val="000000" w:themeColor="text1"/>
                <w:highlight w:val="none"/>
                <w:lang w:eastAsia="zh-CN"/>
                <w14:textFill>
                  <w14:solidFill>
                    <w14:schemeClr w14:val="tx1"/>
                  </w14:solidFill>
                </w14:textFill>
              </w:rPr>
              <w:t>限值。</w:t>
            </w:r>
          </w:p>
          <w:p w14:paraId="31204C0E">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cs="Times New Roman"/>
                <w:b/>
                <w:color w:val="000000" w:themeColor="text1"/>
                <w:sz w:val="24"/>
                <w:highlight w:val="none"/>
                <w:lang w:val="en-US" w:eastAsia="zh-CN"/>
                <w14:textFill>
                  <w14:solidFill>
                    <w14:schemeClr w14:val="tx1"/>
                  </w14:solidFill>
                </w14:textFill>
              </w:rPr>
            </w:pPr>
            <w:r>
              <w:rPr>
                <w:rFonts w:hint="eastAsia" w:ascii="Times New Roman" w:hAnsi="Times New Roman" w:cs="Times New Roman"/>
                <w:b/>
                <w:color w:val="000000" w:themeColor="text1"/>
                <w:sz w:val="24"/>
                <w:highlight w:val="none"/>
                <w:lang w:val="en-US" w:eastAsia="zh-CN"/>
                <w14:textFill>
                  <w14:solidFill>
                    <w14:schemeClr w14:val="tx1"/>
                  </w14:solidFill>
                </w14:textFill>
              </w:rPr>
              <w:t>表3-5  环境空气质量</w:t>
            </w:r>
          </w:p>
          <w:tbl>
            <w:tblPr>
              <w:tblStyle w:val="25"/>
              <w:tblW w:w="4998" w:type="pct"/>
              <w:tblInd w:w="0" w:type="dxa"/>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Layout w:type="fixed"/>
              <w:tblCellMar>
                <w:top w:w="0" w:type="dxa"/>
                <w:left w:w="108" w:type="dxa"/>
                <w:bottom w:w="0" w:type="dxa"/>
                <w:right w:w="108" w:type="dxa"/>
              </w:tblCellMar>
            </w:tblPr>
            <w:tblGrid>
              <w:gridCol w:w="434"/>
              <w:gridCol w:w="2250"/>
              <w:gridCol w:w="1961"/>
              <w:gridCol w:w="957"/>
              <w:gridCol w:w="1109"/>
              <w:gridCol w:w="1342"/>
            </w:tblGrid>
            <w:tr w14:paraId="096B3B5C">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restart"/>
                  <w:tcBorders>
                    <w:tl2br w:val="nil"/>
                    <w:tr2bl w:val="nil"/>
                  </w:tcBorders>
                  <w:noWrap w:val="0"/>
                  <w:vAlign w:val="center"/>
                </w:tcPr>
                <w:p w14:paraId="51511948">
                  <w:pPr>
                    <w:pStyle w:val="42"/>
                    <w:spacing w:line="240" w:lineRule="auto"/>
                    <w:ind w:left="0" w:leftChars="0" w:firstLine="0" w:firstLineChars="0"/>
                    <w:jc w:val="both"/>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序号</w:t>
                  </w:r>
                </w:p>
              </w:tc>
              <w:tc>
                <w:tcPr>
                  <w:tcW w:w="1396" w:type="pct"/>
                  <w:vMerge w:val="restart"/>
                  <w:tcBorders>
                    <w:tl2br w:val="nil"/>
                    <w:tr2bl w:val="nil"/>
                  </w:tcBorders>
                  <w:noWrap w:val="0"/>
                  <w:vAlign w:val="center"/>
                </w:tcPr>
                <w:p w14:paraId="6FAB6B23">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污染物名称</w:t>
                  </w:r>
                </w:p>
              </w:tc>
              <w:tc>
                <w:tcPr>
                  <w:tcW w:w="1217" w:type="pct"/>
                  <w:vMerge w:val="restart"/>
                  <w:tcBorders>
                    <w:tl2br w:val="nil"/>
                    <w:tr2bl w:val="nil"/>
                  </w:tcBorders>
                  <w:noWrap w:val="0"/>
                  <w:vAlign w:val="center"/>
                </w:tcPr>
                <w:p w14:paraId="6FAD24C0">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取值时间</w:t>
                  </w:r>
                </w:p>
              </w:tc>
              <w:tc>
                <w:tcPr>
                  <w:tcW w:w="1282" w:type="pct"/>
                  <w:gridSpan w:val="2"/>
                  <w:tcBorders>
                    <w:tl2br w:val="nil"/>
                    <w:tr2bl w:val="nil"/>
                  </w:tcBorders>
                  <w:noWrap w:val="0"/>
                  <w:vAlign w:val="center"/>
                </w:tcPr>
                <w:p w14:paraId="3992E43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过渡阶段浓度限值</w:t>
                  </w:r>
                </w:p>
              </w:tc>
              <w:tc>
                <w:tcPr>
                  <w:tcW w:w="833" w:type="pct"/>
                  <w:vMerge w:val="restart"/>
                  <w:tcBorders>
                    <w:tl2br w:val="nil"/>
                    <w:tr2bl w:val="nil"/>
                  </w:tcBorders>
                  <w:noWrap w:val="0"/>
                  <w:vAlign w:val="center"/>
                </w:tcPr>
                <w:p w14:paraId="2DE74A6B">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单位</w:t>
                  </w:r>
                </w:p>
              </w:tc>
            </w:tr>
            <w:tr w14:paraId="72A9B890">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continue"/>
                  <w:tcBorders>
                    <w:tl2br w:val="nil"/>
                    <w:tr2bl w:val="nil"/>
                  </w:tcBorders>
                  <w:noWrap w:val="0"/>
                  <w:vAlign w:val="center"/>
                </w:tcPr>
                <w:p w14:paraId="59F7FFDE">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96" w:type="pct"/>
                  <w:vMerge w:val="continue"/>
                  <w:tcBorders>
                    <w:tl2br w:val="nil"/>
                    <w:tr2bl w:val="nil"/>
                  </w:tcBorders>
                  <w:noWrap w:val="0"/>
                  <w:vAlign w:val="center"/>
                </w:tcPr>
                <w:p w14:paraId="1690E2E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vMerge w:val="continue"/>
                  <w:tcBorders>
                    <w:tl2br w:val="nil"/>
                    <w:tr2bl w:val="nil"/>
                  </w:tcBorders>
                  <w:noWrap w:val="0"/>
                  <w:vAlign w:val="center"/>
                </w:tcPr>
                <w:p w14:paraId="19621370">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594" w:type="pct"/>
                  <w:tcBorders>
                    <w:tl2br w:val="nil"/>
                    <w:tr2bl w:val="nil"/>
                  </w:tcBorders>
                  <w:noWrap w:val="0"/>
                  <w:vAlign w:val="center"/>
                </w:tcPr>
                <w:p w14:paraId="4B99E08D">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一级</w:t>
                  </w:r>
                </w:p>
              </w:tc>
              <w:tc>
                <w:tcPr>
                  <w:tcW w:w="688" w:type="pct"/>
                  <w:tcBorders>
                    <w:tl2br w:val="nil"/>
                    <w:tr2bl w:val="nil"/>
                  </w:tcBorders>
                  <w:noWrap w:val="0"/>
                  <w:vAlign w:val="center"/>
                </w:tcPr>
                <w:p w14:paraId="0CB1E8D6">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二级</w:t>
                  </w:r>
                </w:p>
              </w:tc>
              <w:tc>
                <w:tcPr>
                  <w:tcW w:w="833" w:type="pct"/>
                  <w:vMerge w:val="continue"/>
                  <w:tcBorders>
                    <w:tl2br w:val="nil"/>
                    <w:tr2bl w:val="nil"/>
                  </w:tcBorders>
                  <w:noWrap w:val="0"/>
                  <w:vAlign w:val="center"/>
                </w:tcPr>
                <w:p w14:paraId="429EA4C2">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1577D706">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restart"/>
                  <w:tcBorders>
                    <w:tl2br w:val="nil"/>
                    <w:tr2bl w:val="nil"/>
                  </w:tcBorders>
                  <w:noWrap w:val="0"/>
                  <w:vAlign w:val="center"/>
                </w:tcPr>
                <w:p w14:paraId="2DC238D7">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w:t>
                  </w:r>
                </w:p>
              </w:tc>
              <w:tc>
                <w:tcPr>
                  <w:tcW w:w="1396" w:type="pct"/>
                  <w:vMerge w:val="restart"/>
                  <w:tcBorders>
                    <w:tl2br w:val="nil"/>
                    <w:tr2bl w:val="nil"/>
                  </w:tcBorders>
                  <w:noWrap w:val="0"/>
                  <w:vAlign w:val="center"/>
                </w:tcPr>
                <w:p w14:paraId="7AD6BC90">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二氧化硫（</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SO</w:t>
                  </w:r>
                  <w:r>
                    <w:rPr>
                      <w:rFonts w:hint="default" w:ascii="Times New Roman" w:hAnsi="Times New Roman"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w:t>
                  </w:r>
                </w:p>
              </w:tc>
              <w:tc>
                <w:tcPr>
                  <w:tcW w:w="1217" w:type="pct"/>
                  <w:tcBorders>
                    <w:tl2br w:val="nil"/>
                    <w:tr2bl w:val="nil"/>
                  </w:tcBorders>
                  <w:noWrap w:val="0"/>
                  <w:vAlign w:val="center"/>
                </w:tcPr>
                <w:p w14:paraId="04B11A6E">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年平均</w:t>
                  </w:r>
                </w:p>
              </w:tc>
              <w:tc>
                <w:tcPr>
                  <w:tcW w:w="594" w:type="pct"/>
                  <w:tcBorders>
                    <w:tl2br w:val="nil"/>
                    <w:tr2bl w:val="nil"/>
                  </w:tcBorders>
                  <w:noWrap w:val="0"/>
                  <w:vAlign w:val="center"/>
                </w:tcPr>
                <w:p w14:paraId="3641A02D">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20</w:t>
                  </w:r>
                </w:p>
              </w:tc>
              <w:tc>
                <w:tcPr>
                  <w:tcW w:w="688" w:type="pct"/>
                  <w:tcBorders>
                    <w:tl2br w:val="nil"/>
                    <w:tr2bl w:val="nil"/>
                  </w:tcBorders>
                  <w:noWrap w:val="0"/>
                  <w:vAlign w:val="center"/>
                </w:tcPr>
                <w:p w14:paraId="3C8AF13B">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60</w:t>
                  </w:r>
                </w:p>
              </w:tc>
              <w:tc>
                <w:tcPr>
                  <w:tcW w:w="833" w:type="pct"/>
                  <w:vMerge w:val="restart"/>
                  <w:tcBorders>
                    <w:tl2br w:val="nil"/>
                    <w:tr2bl w:val="nil"/>
                  </w:tcBorders>
                  <w:noWrap w:val="0"/>
                  <w:vAlign w:val="center"/>
                </w:tcPr>
                <w:p w14:paraId="7556C64D">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14:textFill>
                        <w14:solidFill>
                          <w14:schemeClr w14:val="tx1"/>
                        </w14:solidFill>
                      </w14:textFill>
                    </w:rPr>
                    <w:t>µg/m</w:t>
                  </w:r>
                  <w:r>
                    <w:rPr>
                      <w:rFonts w:hint="default" w:ascii="Times New Roman" w:hAnsi="Times New Roman" w:cs="Times New Roman"/>
                      <w:color w:val="000000" w:themeColor="text1"/>
                      <w:sz w:val="21"/>
                      <w:szCs w:val="21"/>
                      <w:highlight w:val="none"/>
                      <w:vertAlign w:val="superscript"/>
                      <w:lang w:val="en-US" w:eastAsia="zh-CN"/>
                      <w14:textFill>
                        <w14:solidFill>
                          <w14:schemeClr w14:val="tx1"/>
                        </w14:solidFill>
                      </w14:textFill>
                    </w:rPr>
                    <w:t>3</w:t>
                  </w:r>
                </w:p>
              </w:tc>
            </w:tr>
            <w:tr w14:paraId="45CC88F7">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continue"/>
                  <w:tcBorders>
                    <w:tl2br w:val="nil"/>
                    <w:tr2bl w:val="nil"/>
                  </w:tcBorders>
                  <w:noWrap w:val="0"/>
                  <w:vAlign w:val="center"/>
                </w:tcPr>
                <w:p w14:paraId="615EFE7B">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96" w:type="pct"/>
                  <w:vMerge w:val="continue"/>
                  <w:tcBorders>
                    <w:tl2br w:val="nil"/>
                    <w:tr2bl w:val="nil"/>
                  </w:tcBorders>
                  <w:noWrap w:val="0"/>
                  <w:vAlign w:val="center"/>
                </w:tcPr>
                <w:p w14:paraId="3B36CB5F">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21FF8E1D">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0A9A4B81">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50</w:t>
                  </w:r>
                </w:p>
              </w:tc>
              <w:tc>
                <w:tcPr>
                  <w:tcW w:w="688" w:type="pct"/>
                  <w:tcBorders>
                    <w:tl2br w:val="nil"/>
                    <w:tr2bl w:val="nil"/>
                  </w:tcBorders>
                  <w:noWrap w:val="0"/>
                  <w:vAlign w:val="center"/>
                </w:tcPr>
                <w:p w14:paraId="3886B23E">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150</w:t>
                  </w:r>
                </w:p>
              </w:tc>
              <w:tc>
                <w:tcPr>
                  <w:tcW w:w="833" w:type="pct"/>
                  <w:vMerge w:val="continue"/>
                  <w:tcBorders>
                    <w:tl2br w:val="nil"/>
                    <w:tr2bl w:val="nil"/>
                  </w:tcBorders>
                  <w:noWrap w:val="0"/>
                  <w:vAlign w:val="center"/>
                </w:tcPr>
                <w:p w14:paraId="4DE5D2D5">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742AAA1A">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continue"/>
                  <w:tcBorders>
                    <w:tl2br w:val="nil"/>
                    <w:tr2bl w:val="nil"/>
                  </w:tcBorders>
                  <w:noWrap w:val="0"/>
                  <w:vAlign w:val="center"/>
                </w:tcPr>
                <w:p w14:paraId="3FFAFDB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96" w:type="pct"/>
                  <w:vMerge w:val="continue"/>
                  <w:tcBorders>
                    <w:tl2br w:val="nil"/>
                    <w:tr2bl w:val="nil"/>
                  </w:tcBorders>
                  <w:noWrap w:val="0"/>
                  <w:vAlign w:val="center"/>
                </w:tcPr>
                <w:p w14:paraId="3B0B16A1">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5F3774A3">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1小时平均</w:t>
                  </w:r>
                </w:p>
              </w:tc>
              <w:tc>
                <w:tcPr>
                  <w:tcW w:w="594" w:type="pct"/>
                  <w:tcBorders>
                    <w:tl2br w:val="nil"/>
                    <w:tr2bl w:val="nil"/>
                  </w:tcBorders>
                  <w:noWrap w:val="0"/>
                  <w:vAlign w:val="center"/>
                </w:tcPr>
                <w:p w14:paraId="3AA4BB04">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150</w:t>
                  </w:r>
                </w:p>
              </w:tc>
              <w:tc>
                <w:tcPr>
                  <w:tcW w:w="688" w:type="pct"/>
                  <w:tcBorders>
                    <w:tl2br w:val="nil"/>
                    <w:tr2bl w:val="nil"/>
                  </w:tcBorders>
                  <w:noWrap w:val="0"/>
                  <w:vAlign w:val="center"/>
                </w:tcPr>
                <w:p w14:paraId="5E651A08">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500</w:t>
                  </w:r>
                </w:p>
              </w:tc>
              <w:tc>
                <w:tcPr>
                  <w:tcW w:w="833" w:type="pct"/>
                  <w:vMerge w:val="continue"/>
                  <w:tcBorders>
                    <w:tl2br w:val="nil"/>
                    <w:tr2bl w:val="nil"/>
                  </w:tcBorders>
                  <w:noWrap w:val="0"/>
                  <w:vAlign w:val="center"/>
                </w:tcPr>
                <w:p w14:paraId="1321603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63E33C05">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restart"/>
                  <w:tcBorders>
                    <w:tl2br w:val="nil"/>
                    <w:tr2bl w:val="nil"/>
                  </w:tcBorders>
                  <w:noWrap w:val="0"/>
                  <w:vAlign w:val="center"/>
                </w:tcPr>
                <w:p w14:paraId="41A6F4F1">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w:t>
                  </w:r>
                </w:p>
              </w:tc>
              <w:tc>
                <w:tcPr>
                  <w:tcW w:w="1396" w:type="pct"/>
                  <w:vMerge w:val="restart"/>
                  <w:tcBorders>
                    <w:tl2br w:val="nil"/>
                    <w:tr2bl w:val="nil"/>
                  </w:tcBorders>
                  <w:noWrap w:val="0"/>
                  <w:vAlign w:val="center"/>
                </w:tcPr>
                <w:p w14:paraId="1FA468FA">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二氧化氮（</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NO</w:t>
                  </w:r>
                  <w:r>
                    <w:rPr>
                      <w:rFonts w:hint="default" w:ascii="Times New Roman" w:hAnsi="Times New Roman"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w:t>
                  </w:r>
                </w:p>
              </w:tc>
              <w:tc>
                <w:tcPr>
                  <w:tcW w:w="1217" w:type="pct"/>
                  <w:tcBorders>
                    <w:tl2br w:val="nil"/>
                    <w:tr2bl w:val="nil"/>
                  </w:tcBorders>
                  <w:noWrap w:val="0"/>
                  <w:vAlign w:val="center"/>
                </w:tcPr>
                <w:p w14:paraId="60976B9C">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年平均</w:t>
                  </w:r>
                </w:p>
              </w:tc>
              <w:tc>
                <w:tcPr>
                  <w:tcW w:w="594" w:type="pct"/>
                  <w:tcBorders>
                    <w:tl2br w:val="nil"/>
                    <w:tr2bl w:val="nil"/>
                  </w:tcBorders>
                  <w:noWrap w:val="0"/>
                  <w:vAlign w:val="center"/>
                </w:tcPr>
                <w:p w14:paraId="1B8E52F1">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40</w:t>
                  </w:r>
                </w:p>
              </w:tc>
              <w:tc>
                <w:tcPr>
                  <w:tcW w:w="688" w:type="pct"/>
                  <w:tcBorders>
                    <w:tl2br w:val="nil"/>
                    <w:tr2bl w:val="nil"/>
                  </w:tcBorders>
                  <w:noWrap w:val="0"/>
                  <w:vAlign w:val="center"/>
                </w:tcPr>
                <w:p w14:paraId="341573E6">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40</w:t>
                  </w:r>
                </w:p>
              </w:tc>
              <w:tc>
                <w:tcPr>
                  <w:tcW w:w="833" w:type="pct"/>
                  <w:vMerge w:val="continue"/>
                  <w:tcBorders>
                    <w:tl2br w:val="nil"/>
                    <w:tr2bl w:val="nil"/>
                  </w:tcBorders>
                  <w:noWrap w:val="0"/>
                  <w:vAlign w:val="center"/>
                </w:tcPr>
                <w:p w14:paraId="616BCE1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2E2E4884">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continue"/>
                  <w:tcBorders>
                    <w:tl2br w:val="nil"/>
                    <w:tr2bl w:val="nil"/>
                  </w:tcBorders>
                  <w:noWrap w:val="0"/>
                  <w:vAlign w:val="center"/>
                </w:tcPr>
                <w:p w14:paraId="0FEF40B9">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96" w:type="pct"/>
                  <w:vMerge w:val="continue"/>
                  <w:tcBorders>
                    <w:tl2br w:val="nil"/>
                    <w:tr2bl w:val="nil"/>
                  </w:tcBorders>
                  <w:noWrap w:val="0"/>
                  <w:vAlign w:val="center"/>
                </w:tcPr>
                <w:p w14:paraId="42A23EF0">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6949CB7A">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09936B2D">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80</w:t>
                  </w:r>
                </w:p>
              </w:tc>
              <w:tc>
                <w:tcPr>
                  <w:tcW w:w="688" w:type="pct"/>
                  <w:tcBorders>
                    <w:tl2br w:val="nil"/>
                    <w:tr2bl w:val="nil"/>
                  </w:tcBorders>
                  <w:noWrap w:val="0"/>
                  <w:vAlign w:val="center"/>
                </w:tcPr>
                <w:p w14:paraId="66050BDC">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80</w:t>
                  </w:r>
                </w:p>
              </w:tc>
              <w:tc>
                <w:tcPr>
                  <w:tcW w:w="833" w:type="pct"/>
                  <w:vMerge w:val="continue"/>
                  <w:tcBorders>
                    <w:tl2br w:val="nil"/>
                    <w:tr2bl w:val="nil"/>
                  </w:tcBorders>
                  <w:noWrap w:val="0"/>
                  <w:vAlign w:val="center"/>
                </w:tcPr>
                <w:p w14:paraId="5F3E4951">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1AF78BC2">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continue"/>
                  <w:tcBorders>
                    <w:tl2br w:val="nil"/>
                    <w:tr2bl w:val="nil"/>
                  </w:tcBorders>
                  <w:noWrap w:val="0"/>
                  <w:vAlign w:val="center"/>
                </w:tcPr>
                <w:p w14:paraId="00533AC8">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96" w:type="pct"/>
                  <w:vMerge w:val="continue"/>
                  <w:tcBorders>
                    <w:tl2br w:val="nil"/>
                    <w:tr2bl w:val="nil"/>
                  </w:tcBorders>
                  <w:noWrap w:val="0"/>
                  <w:vAlign w:val="center"/>
                </w:tcPr>
                <w:p w14:paraId="78D0582E">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267FA61E">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1小时平均</w:t>
                  </w:r>
                </w:p>
              </w:tc>
              <w:tc>
                <w:tcPr>
                  <w:tcW w:w="594" w:type="pct"/>
                  <w:tcBorders>
                    <w:tl2br w:val="nil"/>
                    <w:tr2bl w:val="nil"/>
                  </w:tcBorders>
                  <w:noWrap w:val="0"/>
                  <w:vAlign w:val="center"/>
                </w:tcPr>
                <w:p w14:paraId="746A0CEE">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200</w:t>
                  </w:r>
                </w:p>
              </w:tc>
              <w:tc>
                <w:tcPr>
                  <w:tcW w:w="688" w:type="pct"/>
                  <w:tcBorders>
                    <w:tl2br w:val="nil"/>
                    <w:tr2bl w:val="nil"/>
                  </w:tcBorders>
                  <w:noWrap w:val="0"/>
                  <w:vAlign w:val="center"/>
                </w:tcPr>
                <w:p w14:paraId="7B9241B9">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200</w:t>
                  </w:r>
                </w:p>
              </w:tc>
              <w:tc>
                <w:tcPr>
                  <w:tcW w:w="833" w:type="pct"/>
                  <w:vMerge w:val="continue"/>
                  <w:tcBorders>
                    <w:tl2br w:val="nil"/>
                    <w:tr2bl w:val="nil"/>
                  </w:tcBorders>
                  <w:noWrap w:val="0"/>
                  <w:vAlign w:val="center"/>
                </w:tcPr>
                <w:p w14:paraId="39529BDE">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3A808928">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restart"/>
                  <w:tcBorders>
                    <w:tl2br w:val="nil"/>
                    <w:tr2bl w:val="nil"/>
                  </w:tcBorders>
                  <w:noWrap w:val="0"/>
                  <w:vAlign w:val="center"/>
                </w:tcPr>
                <w:p w14:paraId="2FD92498">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3</w:t>
                  </w:r>
                </w:p>
              </w:tc>
              <w:tc>
                <w:tcPr>
                  <w:tcW w:w="1396" w:type="pct"/>
                  <w:vMerge w:val="restart"/>
                  <w:tcBorders>
                    <w:tl2br w:val="nil"/>
                    <w:tr2bl w:val="nil"/>
                  </w:tcBorders>
                  <w:noWrap w:val="0"/>
                  <w:vAlign w:val="center"/>
                </w:tcPr>
                <w:p w14:paraId="77FD8B79">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一氧化碳（</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CO</w:t>
                  </w: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w:t>
                  </w:r>
                </w:p>
              </w:tc>
              <w:tc>
                <w:tcPr>
                  <w:tcW w:w="1217" w:type="pct"/>
                  <w:tcBorders>
                    <w:tl2br w:val="nil"/>
                    <w:tr2bl w:val="nil"/>
                  </w:tcBorders>
                  <w:noWrap w:val="0"/>
                  <w:vAlign w:val="center"/>
                </w:tcPr>
                <w:p w14:paraId="04B545C3">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65ECD5D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w:t>
                  </w:r>
                </w:p>
              </w:tc>
              <w:tc>
                <w:tcPr>
                  <w:tcW w:w="688" w:type="pct"/>
                  <w:tcBorders>
                    <w:tl2br w:val="nil"/>
                    <w:tr2bl w:val="nil"/>
                  </w:tcBorders>
                  <w:noWrap w:val="0"/>
                  <w:vAlign w:val="center"/>
                </w:tcPr>
                <w:p w14:paraId="1CDDA14C">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w:t>
                  </w:r>
                </w:p>
              </w:tc>
              <w:tc>
                <w:tcPr>
                  <w:tcW w:w="833" w:type="pct"/>
                  <w:vMerge w:val="restart"/>
                  <w:tcBorders>
                    <w:tl2br w:val="nil"/>
                    <w:tr2bl w:val="nil"/>
                  </w:tcBorders>
                  <w:noWrap w:val="0"/>
                  <w:vAlign w:val="center"/>
                </w:tcPr>
                <w:p w14:paraId="18CB5A63">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mg/m</w:t>
                  </w:r>
                  <w:r>
                    <w:rPr>
                      <w:rFonts w:hint="default" w:ascii="Times New Roman" w:hAnsi="Times New Roman" w:cs="Times New Roman"/>
                      <w:color w:val="000000" w:themeColor="text1"/>
                      <w:sz w:val="21"/>
                      <w:szCs w:val="21"/>
                      <w:highlight w:val="none"/>
                      <w:vertAlign w:val="superscript"/>
                      <w:lang w:val="en-US" w:eastAsia="zh-CN"/>
                      <w14:textFill>
                        <w14:solidFill>
                          <w14:schemeClr w14:val="tx1"/>
                        </w14:solidFill>
                      </w14:textFill>
                    </w:rPr>
                    <w:t>3</w:t>
                  </w:r>
                </w:p>
              </w:tc>
            </w:tr>
            <w:tr w14:paraId="6BF14439">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continue"/>
                  <w:tcBorders>
                    <w:tl2br w:val="nil"/>
                    <w:tr2bl w:val="nil"/>
                  </w:tcBorders>
                  <w:noWrap w:val="0"/>
                  <w:vAlign w:val="center"/>
                </w:tcPr>
                <w:p w14:paraId="0B030371">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96" w:type="pct"/>
                  <w:vMerge w:val="continue"/>
                  <w:tcBorders>
                    <w:tl2br w:val="nil"/>
                    <w:tr2bl w:val="nil"/>
                  </w:tcBorders>
                  <w:noWrap w:val="0"/>
                  <w:vAlign w:val="center"/>
                </w:tcPr>
                <w:p w14:paraId="4869EA0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1362B53E">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1小时平均</w:t>
                  </w:r>
                </w:p>
              </w:tc>
              <w:tc>
                <w:tcPr>
                  <w:tcW w:w="594" w:type="pct"/>
                  <w:tcBorders>
                    <w:tl2br w:val="nil"/>
                    <w:tr2bl w:val="nil"/>
                  </w:tcBorders>
                  <w:noWrap w:val="0"/>
                  <w:vAlign w:val="center"/>
                </w:tcPr>
                <w:p w14:paraId="4A50559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10</w:t>
                  </w:r>
                </w:p>
              </w:tc>
              <w:tc>
                <w:tcPr>
                  <w:tcW w:w="688" w:type="pct"/>
                  <w:tcBorders>
                    <w:tl2br w:val="nil"/>
                    <w:tr2bl w:val="nil"/>
                  </w:tcBorders>
                  <w:noWrap w:val="0"/>
                  <w:vAlign w:val="center"/>
                </w:tcPr>
                <w:p w14:paraId="54430299">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10</w:t>
                  </w:r>
                </w:p>
              </w:tc>
              <w:tc>
                <w:tcPr>
                  <w:tcW w:w="833" w:type="pct"/>
                  <w:vMerge w:val="continue"/>
                  <w:tcBorders>
                    <w:tl2br w:val="nil"/>
                    <w:tr2bl w:val="nil"/>
                  </w:tcBorders>
                  <w:noWrap w:val="0"/>
                  <w:vAlign w:val="center"/>
                </w:tcPr>
                <w:p w14:paraId="79D4D06C">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482C9A6F">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restart"/>
                  <w:tcBorders>
                    <w:tl2br w:val="nil"/>
                    <w:tr2bl w:val="nil"/>
                  </w:tcBorders>
                  <w:noWrap w:val="0"/>
                  <w:vAlign w:val="center"/>
                </w:tcPr>
                <w:p w14:paraId="5A486A95">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w:t>
                  </w:r>
                </w:p>
              </w:tc>
              <w:tc>
                <w:tcPr>
                  <w:tcW w:w="1396" w:type="pct"/>
                  <w:vMerge w:val="restart"/>
                  <w:tcBorders>
                    <w:tl2br w:val="nil"/>
                    <w:tr2bl w:val="nil"/>
                  </w:tcBorders>
                  <w:noWrap w:val="0"/>
                  <w:vAlign w:val="center"/>
                </w:tcPr>
                <w:p w14:paraId="6448760B">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eastAsia="zh-CN"/>
                      <w14:textFill>
                        <w14:solidFill>
                          <w14:schemeClr w14:val="tx1"/>
                        </w14:solidFill>
                      </w14:textFill>
                    </w:rPr>
                    <w:t>臭氧</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O</w:t>
                  </w:r>
                  <w:r>
                    <w:rPr>
                      <w:rFonts w:hint="default" w:ascii="Times New Roman" w:hAnsi="Times New Roman" w:cs="Times New Roman"/>
                      <w:color w:val="000000" w:themeColor="text1"/>
                      <w:sz w:val="21"/>
                      <w:szCs w:val="21"/>
                      <w:highlight w:val="none"/>
                      <w:vertAlign w:val="subscript"/>
                      <w:lang w:val="en-US" w:eastAsia="zh-CN"/>
                      <w14:textFill>
                        <w14:solidFill>
                          <w14:schemeClr w14:val="tx1"/>
                        </w14:solidFill>
                      </w14:textFill>
                    </w:rPr>
                    <w:t>3</w:t>
                  </w:r>
                </w:p>
              </w:tc>
              <w:tc>
                <w:tcPr>
                  <w:tcW w:w="1217" w:type="pct"/>
                  <w:tcBorders>
                    <w:tl2br w:val="nil"/>
                    <w:tr2bl w:val="nil"/>
                  </w:tcBorders>
                  <w:noWrap w:val="0"/>
                  <w:vAlign w:val="center"/>
                </w:tcPr>
                <w:p w14:paraId="444E5DEC">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日最大8小时平均</w:t>
                  </w:r>
                </w:p>
              </w:tc>
              <w:tc>
                <w:tcPr>
                  <w:tcW w:w="594" w:type="pct"/>
                  <w:tcBorders>
                    <w:tl2br w:val="nil"/>
                    <w:tr2bl w:val="nil"/>
                  </w:tcBorders>
                  <w:noWrap w:val="0"/>
                  <w:vAlign w:val="center"/>
                </w:tcPr>
                <w:p w14:paraId="14F8E0E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100</w:t>
                  </w:r>
                </w:p>
              </w:tc>
              <w:tc>
                <w:tcPr>
                  <w:tcW w:w="688" w:type="pct"/>
                  <w:tcBorders>
                    <w:tl2br w:val="nil"/>
                    <w:tr2bl w:val="nil"/>
                  </w:tcBorders>
                  <w:noWrap w:val="0"/>
                  <w:vAlign w:val="center"/>
                </w:tcPr>
                <w:p w14:paraId="060B4215">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160</w:t>
                  </w:r>
                </w:p>
              </w:tc>
              <w:tc>
                <w:tcPr>
                  <w:tcW w:w="833" w:type="pct"/>
                  <w:vMerge w:val="restart"/>
                  <w:tcBorders>
                    <w:tl2br w:val="nil"/>
                    <w:tr2bl w:val="nil"/>
                  </w:tcBorders>
                  <w:noWrap w:val="0"/>
                  <w:vAlign w:val="center"/>
                </w:tcPr>
                <w:p w14:paraId="050C9C7E">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14:textFill>
                        <w14:solidFill>
                          <w14:schemeClr w14:val="tx1"/>
                        </w14:solidFill>
                      </w14:textFill>
                    </w:rPr>
                    <w:t>µg/m</w:t>
                  </w:r>
                  <w:r>
                    <w:rPr>
                      <w:rFonts w:hint="default" w:ascii="Times New Roman" w:hAnsi="Times New Roman" w:cs="Times New Roman"/>
                      <w:color w:val="000000" w:themeColor="text1"/>
                      <w:sz w:val="21"/>
                      <w:szCs w:val="21"/>
                      <w:highlight w:val="none"/>
                      <w:vertAlign w:val="superscript"/>
                      <w:lang w:val="en-US" w:eastAsia="zh-CN"/>
                      <w14:textFill>
                        <w14:solidFill>
                          <w14:schemeClr w14:val="tx1"/>
                        </w14:solidFill>
                      </w14:textFill>
                    </w:rPr>
                    <w:t>3</w:t>
                  </w:r>
                </w:p>
              </w:tc>
            </w:tr>
            <w:tr w14:paraId="14DC61E9">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continue"/>
                  <w:tcBorders>
                    <w:tl2br w:val="nil"/>
                    <w:tr2bl w:val="nil"/>
                  </w:tcBorders>
                  <w:noWrap w:val="0"/>
                  <w:vAlign w:val="center"/>
                </w:tcPr>
                <w:p w14:paraId="2DCB7379">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96" w:type="pct"/>
                  <w:vMerge w:val="continue"/>
                  <w:tcBorders>
                    <w:tl2br w:val="nil"/>
                    <w:tr2bl w:val="nil"/>
                  </w:tcBorders>
                  <w:noWrap w:val="0"/>
                  <w:vAlign w:val="center"/>
                </w:tcPr>
                <w:p w14:paraId="04F280AE">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015D03E6">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1小时平均</w:t>
                  </w:r>
                </w:p>
              </w:tc>
              <w:tc>
                <w:tcPr>
                  <w:tcW w:w="594" w:type="pct"/>
                  <w:tcBorders>
                    <w:tl2br w:val="nil"/>
                    <w:tr2bl w:val="nil"/>
                  </w:tcBorders>
                  <w:noWrap w:val="0"/>
                  <w:vAlign w:val="center"/>
                </w:tcPr>
                <w:p w14:paraId="7848597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160</w:t>
                  </w:r>
                </w:p>
              </w:tc>
              <w:tc>
                <w:tcPr>
                  <w:tcW w:w="688" w:type="pct"/>
                  <w:tcBorders>
                    <w:tl2br w:val="nil"/>
                    <w:tr2bl w:val="nil"/>
                  </w:tcBorders>
                  <w:noWrap w:val="0"/>
                  <w:vAlign w:val="center"/>
                </w:tcPr>
                <w:p w14:paraId="78BBFDF4">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200</w:t>
                  </w:r>
                </w:p>
              </w:tc>
              <w:tc>
                <w:tcPr>
                  <w:tcW w:w="833" w:type="pct"/>
                  <w:vMerge w:val="continue"/>
                  <w:tcBorders>
                    <w:tl2br w:val="nil"/>
                    <w:tr2bl w:val="nil"/>
                  </w:tcBorders>
                  <w:noWrap w:val="0"/>
                  <w:vAlign w:val="center"/>
                </w:tcPr>
                <w:p w14:paraId="7C3E236C">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7DE6CFDC">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restart"/>
                  <w:tcBorders>
                    <w:tl2br w:val="nil"/>
                    <w:tr2bl w:val="nil"/>
                  </w:tcBorders>
                  <w:noWrap w:val="0"/>
                  <w:vAlign w:val="center"/>
                </w:tcPr>
                <w:p w14:paraId="682BC178">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5</w:t>
                  </w:r>
                </w:p>
              </w:tc>
              <w:tc>
                <w:tcPr>
                  <w:tcW w:w="1396" w:type="pct"/>
                  <w:vMerge w:val="restart"/>
                  <w:tcBorders>
                    <w:tl2br w:val="nil"/>
                    <w:tr2bl w:val="nil"/>
                  </w:tcBorders>
                  <w:noWrap w:val="0"/>
                  <w:vAlign w:val="center"/>
                </w:tcPr>
                <w:p w14:paraId="5561DF52">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颗粒物（粒径小于等于10µm）</w:t>
                  </w:r>
                </w:p>
              </w:tc>
              <w:tc>
                <w:tcPr>
                  <w:tcW w:w="1217" w:type="pct"/>
                  <w:tcBorders>
                    <w:tl2br w:val="nil"/>
                    <w:tr2bl w:val="nil"/>
                  </w:tcBorders>
                  <w:noWrap w:val="0"/>
                  <w:vAlign w:val="center"/>
                </w:tcPr>
                <w:p w14:paraId="52E1B82B">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年平均</w:t>
                  </w:r>
                </w:p>
              </w:tc>
              <w:tc>
                <w:tcPr>
                  <w:tcW w:w="594" w:type="pct"/>
                  <w:tcBorders>
                    <w:tl2br w:val="nil"/>
                    <w:tr2bl w:val="nil"/>
                  </w:tcBorders>
                  <w:noWrap w:val="0"/>
                  <w:vAlign w:val="center"/>
                </w:tcPr>
                <w:p w14:paraId="6C4DA909">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40</w:t>
                  </w:r>
                </w:p>
              </w:tc>
              <w:tc>
                <w:tcPr>
                  <w:tcW w:w="688" w:type="pct"/>
                  <w:tcBorders>
                    <w:tl2br w:val="nil"/>
                    <w:tr2bl w:val="nil"/>
                  </w:tcBorders>
                  <w:noWrap w:val="0"/>
                  <w:vAlign w:val="center"/>
                </w:tcPr>
                <w:p w14:paraId="5182F9D5">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70</w:t>
                  </w:r>
                </w:p>
              </w:tc>
              <w:tc>
                <w:tcPr>
                  <w:tcW w:w="833" w:type="pct"/>
                  <w:vMerge w:val="continue"/>
                  <w:tcBorders>
                    <w:tl2br w:val="nil"/>
                    <w:tr2bl w:val="nil"/>
                  </w:tcBorders>
                  <w:noWrap w:val="0"/>
                  <w:vAlign w:val="center"/>
                </w:tcPr>
                <w:p w14:paraId="1B0CDE2A">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736FC3B3">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continue"/>
                  <w:tcBorders>
                    <w:tl2br w:val="nil"/>
                    <w:tr2bl w:val="nil"/>
                  </w:tcBorders>
                  <w:noWrap w:val="0"/>
                  <w:vAlign w:val="center"/>
                </w:tcPr>
                <w:p w14:paraId="3F5DD12E">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96" w:type="pct"/>
                  <w:vMerge w:val="continue"/>
                  <w:tcBorders>
                    <w:tl2br w:val="nil"/>
                    <w:tr2bl w:val="nil"/>
                  </w:tcBorders>
                  <w:noWrap w:val="0"/>
                  <w:vAlign w:val="center"/>
                </w:tcPr>
                <w:p w14:paraId="6C06A30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27C790E1">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2619A07F">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50</w:t>
                  </w:r>
                </w:p>
              </w:tc>
              <w:tc>
                <w:tcPr>
                  <w:tcW w:w="688" w:type="pct"/>
                  <w:tcBorders>
                    <w:tl2br w:val="nil"/>
                    <w:tr2bl w:val="nil"/>
                  </w:tcBorders>
                  <w:noWrap w:val="0"/>
                  <w:vAlign w:val="center"/>
                </w:tcPr>
                <w:p w14:paraId="4726F24B">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150</w:t>
                  </w:r>
                </w:p>
              </w:tc>
              <w:tc>
                <w:tcPr>
                  <w:tcW w:w="833" w:type="pct"/>
                  <w:vMerge w:val="continue"/>
                  <w:tcBorders>
                    <w:tl2br w:val="nil"/>
                    <w:tr2bl w:val="nil"/>
                  </w:tcBorders>
                  <w:noWrap w:val="0"/>
                  <w:vAlign w:val="center"/>
                </w:tcPr>
                <w:p w14:paraId="0DF3572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0E2D49E5">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restart"/>
                  <w:tcBorders>
                    <w:tl2br w:val="nil"/>
                    <w:tr2bl w:val="nil"/>
                  </w:tcBorders>
                  <w:noWrap w:val="0"/>
                  <w:vAlign w:val="center"/>
                </w:tcPr>
                <w:p w14:paraId="1041BD53">
                  <w:pPr>
                    <w:pStyle w:val="42"/>
                    <w:spacing w:line="240" w:lineRule="auto"/>
                    <w:ind w:left="0" w:leftChars="0" w:firstLine="0" w:firstLineChars="0"/>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6</w:t>
                  </w:r>
                </w:p>
              </w:tc>
              <w:tc>
                <w:tcPr>
                  <w:tcW w:w="1396" w:type="pct"/>
                  <w:vMerge w:val="restart"/>
                  <w:tcBorders>
                    <w:tl2br w:val="nil"/>
                    <w:tr2bl w:val="nil"/>
                  </w:tcBorders>
                  <w:noWrap w:val="0"/>
                  <w:vAlign w:val="center"/>
                </w:tcPr>
                <w:p w14:paraId="1E266EF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14:textFill>
                        <w14:solidFill>
                          <w14:schemeClr w14:val="tx1"/>
                        </w14:solidFill>
                      </w14:textFill>
                    </w:rPr>
                    <w:t>颗粒物（粒径小于等于2.5µm）</w:t>
                  </w:r>
                </w:p>
              </w:tc>
              <w:tc>
                <w:tcPr>
                  <w:tcW w:w="1217" w:type="pct"/>
                  <w:tcBorders>
                    <w:tl2br w:val="nil"/>
                    <w:tr2bl w:val="nil"/>
                  </w:tcBorders>
                  <w:noWrap w:val="0"/>
                  <w:vAlign w:val="center"/>
                </w:tcPr>
                <w:p w14:paraId="4D227E63">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年平均</w:t>
                  </w:r>
                </w:p>
              </w:tc>
              <w:tc>
                <w:tcPr>
                  <w:tcW w:w="594" w:type="pct"/>
                  <w:tcBorders>
                    <w:tl2br w:val="nil"/>
                    <w:tr2bl w:val="nil"/>
                  </w:tcBorders>
                  <w:noWrap w:val="0"/>
                  <w:vAlign w:val="center"/>
                </w:tcPr>
                <w:p w14:paraId="3DE80D66">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15</w:t>
                  </w:r>
                </w:p>
              </w:tc>
              <w:tc>
                <w:tcPr>
                  <w:tcW w:w="688" w:type="pct"/>
                  <w:tcBorders>
                    <w:tl2br w:val="nil"/>
                    <w:tr2bl w:val="nil"/>
                  </w:tcBorders>
                  <w:noWrap w:val="0"/>
                  <w:vAlign w:val="center"/>
                </w:tcPr>
                <w:p w14:paraId="735AFC17">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35</w:t>
                  </w:r>
                </w:p>
              </w:tc>
              <w:tc>
                <w:tcPr>
                  <w:tcW w:w="833" w:type="pct"/>
                  <w:vMerge w:val="continue"/>
                  <w:tcBorders>
                    <w:tl2br w:val="nil"/>
                    <w:tr2bl w:val="nil"/>
                  </w:tcBorders>
                  <w:noWrap w:val="0"/>
                  <w:vAlign w:val="center"/>
                </w:tcPr>
                <w:p w14:paraId="7C264C8D">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r w14:paraId="31725E10">
              <w:tblPrEx>
                <w:tblBorders>
                  <w:top w:val="single" w:color="auto" w:sz="12" w:space="0"/>
                  <w:left w:val="single" w:color="auto" w:sz="6" w:space="0"/>
                  <w:bottom w:val="single" w:color="auto" w:sz="12"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69" w:type="pct"/>
                  <w:vMerge w:val="continue"/>
                  <w:tcBorders>
                    <w:tl2br w:val="nil"/>
                    <w:tr2bl w:val="nil"/>
                  </w:tcBorders>
                  <w:noWrap w:val="0"/>
                  <w:vAlign w:val="center"/>
                </w:tcPr>
                <w:p w14:paraId="4E1A2FAD">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396" w:type="pct"/>
                  <w:vMerge w:val="continue"/>
                  <w:tcBorders>
                    <w:tl2br w:val="nil"/>
                    <w:tr2bl w:val="nil"/>
                  </w:tcBorders>
                  <w:noWrap w:val="0"/>
                  <w:vAlign w:val="center"/>
                </w:tcPr>
                <w:p w14:paraId="1F2DC265">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c>
                <w:tcPr>
                  <w:tcW w:w="1217" w:type="pct"/>
                  <w:tcBorders>
                    <w:tl2br w:val="nil"/>
                    <w:tr2bl w:val="nil"/>
                  </w:tcBorders>
                  <w:noWrap w:val="0"/>
                  <w:vAlign w:val="center"/>
                </w:tcPr>
                <w:p w14:paraId="564680BE">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日平均</w:t>
                  </w:r>
                </w:p>
              </w:tc>
              <w:tc>
                <w:tcPr>
                  <w:tcW w:w="594" w:type="pct"/>
                  <w:tcBorders>
                    <w:tl2br w:val="nil"/>
                    <w:tr2bl w:val="nil"/>
                  </w:tcBorders>
                  <w:noWrap w:val="0"/>
                  <w:vAlign w:val="center"/>
                </w:tcPr>
                <w:p w14:paraId="44A513C0">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35</w:t>
                  </w:r>
                </w:p>
              </w:tc>
              <w:tc>
                <w:tcPr>
                  <w:tcW w:w="688" w:type="pct"/>
                  <w:tcBorders>
                    <w:tl2br w:val="nil"/>
                    <w:tr2bl w:val="nil"/>
                  </w:tcBorders>
                  <w:noWrap w:val="0"/>
                  <w:vAlign w:val="center"/>
                </w:tcPr>
                <w:p w14:paraId="38791853">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75</w:t>
                  </w:r>
                </w:p>
              </w:tc>
              <w:tc>
                <w:tcPr>
                  <w:tcW w:w="833" w:type="pct"/>
                  <w:vMerge w:val="continue"/>
                  <w:tcBorders>
                    <w:tl2br w:val="nil"/>
                    <w:tr2bl w:val="nil"/>
                  </w:tcBorders>
                  <w:noWrap w:val="0"/>
                  <w:vAlign w:val="center"/>
                </w:tcPr>
                <w:p w14:paraId="040553E0">
                  <w:pPr>
                    <w:pStyle w:val="42"/>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p>
              </w:tc>
            </w:tr>
          </w:tbl>
          <w:p w14:paraId="5FB3699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default" w:ascii="Times New Roman" w:hAnsi="Times New Roman" w:eastAsia="黑体" w:cs="Times New Roman"/>
                <w:color w:val="000000" w:themeColor="text1"/>
                <w:highlight w:val="none"/>
                <w:lang w:val="en-US" w:eastAsia="zh-CN"/>
                <w14:textFill>
                  <w14:solidFill>
                    <w14:schemeClr w14:val="tx1"/>
                  </w14:solidFill>
                </w14:textFill>
              </w:rPr>
              <w:t>2、声环境质量标准</w:t>
            </w:r>
          </w:p>
          <w:p w14:paraId="5BA13A4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项目所在区域环境噪声执行《声环境质量标准》（GB3096-2008）中</w:t>
            </w:r>
            <w:r>
              <w:rPr>
                <w:rFonts w:hint="eastAsia" w:ascii="Times New Roman" w:hAnsi="Times New Roman"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类标准：昼间</w:t>
            </w:r>
            <w:r>
              <w:rPr>
                <w:rFonts w:hint="eastAsia" w:ascii="Times New Roman" w:hAnsi="Times New Roman" w:cs="Times New Roman"/>
                <w:color w:val="000000" w:themeColor="text1"/>
                <w:highlight w:val="none"/>
                <w:lang w:val="en-US" w:eastAsia="zh-CN"/>
                <w14:textFill>
                  <w14:solidFill>
                    <w14:schemeClr w14:val="tx1"/>
                  </w14:solidFill>
                </w14:textFill>
              </w:rPr>
              <w:t>60</w:t>
            </w:r>
            <w:r>
              <w:rPr>
                <w:rFonts w:hint="default" w:ascii="Times New Roman" w:hAnsi="Times New Roman" w:cs="Times New Roman"/>
                <w:color w:val="000000" w:themeColor="text1"/>
                <w:highlight w:val="none"/>
                <w:lang w:val="en-US" w:eastAsia="zh-CN"/>
                <w14:textFill>
                  <w14:solidFill>
                    <w14:schemeClr w14:val="tx1"/>
                  </w14:solidFill>
                </w14:textFill>
              </w:rPr>
              <w:t>dB（A），夜间</w:t>
            </w:r>
            <w:r>
              <w:rPr>
                <w:rFonts w:hint="eastAsia" w:ascii="Times New Roman" w:hAnsi="Times New Roman" w:cs="Times New Roman"/>
                <w:color w:val="000000" w:themeColor="text1"/>
                <w:highlight w:val="none"/>
                <w:lang w:val="en-US" w:eastAsia="zh-CN"/>
                <w14:textFill>
                  <w14:solidFill>
                    <w14:schemeClr w14:val="tx1"/>
                  </w14:solidFill>
                </w14:textFill>
              </w:rPr>
              <w:t>50</w:t>
            </w:r>
            <w:r>
              <w:rPr>
                <w:rFonts w:hint="default" w:ascii="Times New Roman" w:hAnsi="Times New Roman" w:cs="Times New Roman"/>
                <w:color w:val="000000" w:themeColor="text1"/>
                <w:highlight w:val="none"/>
                <w:lang w:val="en-US" w:eastAsia="zh-CN"/>
                <w14:textFill>
                  <w14:solidFill>
                    <w14:schemeClr w14:val="tx1"/>
                  </w14:solidFill>
                </w14:textFill>
              </w:rPr>
              <w:t>dB（A）。</w:t>
            </w:r>
          </w:p>
          <w:p w14:paraId="27F0AB9F">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color w:val="000000" w:themeColor="text1"/>
                <w:sz w:val="24"/>
                <w:highlight w:val="none"/>
                <w:lang w:val="en-US" w:eastAsia="zh-CN"/>
                <w14:textFill>
                  <w14:solidFill>
                    <w14:schemeClr w14:val="tx1"/>
                  </w14:solidFill>
                </w14:textFill>
              </w:rPr>
            </w:pPr>
            <w:r>
              <w:rPr>
                <w:rFonts w:hint="default" w:ascii="Times New Roman" w:hAnsi="Times New Roman" w:cs="Times New Roman"/>
                <w:b/>
                <w:color w:val="000000" w:themeColor="text1"/>
                <w:sz w:val="24"/>
                <w:highlight w:val="none"/>
                <w:lang w:val="en-US" w:eastAsia="zh-CN"/>
                <w14:textFill>
                  <w14:solidFill>
                    <w14:schemeClr w14:val="tx1"/>
                  </w14:solidFill>
                </w14:textFill>
              </w:rPr>
              <w:t>表</w:t>
            </w:r>
            <w:r>
              <w:rPr>
                <w:rFonts w:hint="eastAsia" w:ascii="Times New Roman" w:hAnsi="Times New Roman" w:cs="Times New Roman"/>
                <w:b/>
                <w:color w:val="000000" w:themeColor="text1"/>
                <w:sz w:val="24"/>
                <w:highlight w:val="none"/>
                <w:lang w:val="en-US" w:eastAsia="zh-CN"/>
                <w14:textFill>
                  <w14:solidFill>
                    <w14:schemeClr w14:val="tx1"/>
                  </w14:solidFill>
                </w14:textFill>
              </w:rPr>
              <w:t>3-6</w:t>
            </w:r>
            <w:r>
              <w:rPr>
                <w:rFonts w:hint="default" w:ascii="Times New Roman" w:hAnsi="Times New Roman" w:cs="Times New Roman"/>
                <w:b/>
                <w:color w:val="000000" w:themeColor="text1"/>
                <w:sz w:val="24"/>
                <w:highlight w:val="none"/>
                <w:lang w:val="en-US" w:eastAsia="zh-CN"/>
                <w14:textFill>
                  <w14:solidFill>
                    <w14:schemeClr w14:val="tx1"/>
                  </w14:solidFill>
                </w14:textFill>
              </w:rPr>
              <w:t xml:space="preserve">  声环境质量标准</w:t>
            </w:r>
          </w:p>
          <w:tbl>
            <w:tblPr>
              <w:tblStyle w:val="25"/>
              <w:tblW w:w="4998"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6"/>
              <w:gridCol w:w="2686"/>
              <w:gridCol w:w="2686"/>
            </w:tblGrid>
            <w:tr w14:paraId="5BA0C95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1666" w:type="pct"/>
                  <w:tcBorders>
                    <w:tl2br w:val="nil"/>
                    <w:tr2bl w:val="nil"/>
                  </w:tcBorders>
                </w:tcPr>
                <w:p w14:paraId="10D48E42">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类别</w:t>
                  </w:r>
                </w:p>
              </w:tc>
              <w:tc>
                <w:tcPr>
                  <w:tcW w:w="1666" w:type="pct"/>
                  <w:tcBorders>
                    <w:tl2br w:val="nil"/>
                    <w:tr2bl w:val="nil"/>
                  </w:tcBorders>
                </w:tcPr>
                <w:p w14:paraId="16660274">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昼间</w:t>
                  </w:r>
                </w:p>
              </w:tc>
              <w:tc>
                <w:tcPr>
                  <w:tcW w:w="1666" w:type="pct"/>
                  <w:tcBorders>
                    <w:tl2br w:val="nil"/>
                    <w:tr2bl w:val="nil"/>
                  </w:tcBorders>
                </w:tcPr>
                <w:p w14:paraId="78EFD910">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夜间</w:t>
                  </w:r>
                </w:p>
              </w:tc>
            </w:tr>
            <w:tr w14:paraId="61812EA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1666" w:type="pct"/>
                  <w:tcBorders>
                    <w:tl2br w:val="nil"/>
                    <w:tr2bl w:val="nil"/>
                  </w:tcBorders>
                </w:tcPr>
                <w:p w14:paraId="49BDFAD6">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类</w:t>
                  </w:r>
                </w:p>
              </w:tc>
              <w:tc>
                <w:tcPr>
                  <w:tcW w:w="1666" w:type="pct"/>
                  <w:tcBorders>
                    <w:tl2br w:val="nil"/>
                    <w:tr2bl w:val="nil"/>
                  </w:tcBorders>
                </w:tcPr>
                <w:p w14:paraId="34B4C702">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6</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w:t>
                  </w:r>
                </w:p>
              </w:tc>
              <w:tc>
                <w:tcPr>
                  <w:tcW w:w="1666" w:type="pct"/>
                  <w:tcBorders>
                    <w:tl2br w:val="nil"/>
                    <w:tr2bl w:val="nil"/>
                  </w:tcBorders>
                </w:tcPr>
                <w:p w14:paraId="0AC2DFE5">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w:t>
                  </w:r>
                </w:p>
              </w:tc>
            </w:tr>
          </w:tbl>
          <w:p w14:paraId="5D98ADA7">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eastAsia" w:ascii="Times New Roman" w:hAnsi="Times New Roman" w:eastAsia="黑体" w:cs="Times New Roman"/>
                <w:color w:val="000000" w:themeColor="text1"/>
                <w:highlight w:val="none"/>
                <w:lang w:val="en-US" w:eastAsia="zh-CN"/>
                <w14:textFill>
                  <w14:solidFill>
                    <w14:schemeClr w14:val="tx1"/>
                  </w14:solidFill>
                </w14:textFill>
              </w:rPr>
              <w:t>3、</w:t>
            </w:r>
            <w:r>
              <w:rPr>
                <w:rFonts w:hint="default" w:ascii="Times New Roman" w:hAnsi="Times New Roman" w:eastAsia="黑体" w:cs="Times New Roman"/>
                <w:color w:val="000000" w:themeColor="text1"/>
                <w:highlight w:val="none"/>
                <w:lang w:val="en-US" w:eastAsia="zh-CN"/>
                <w14:textFill>
                  <w14:solidFill>
                    <w14:schemeClr w14:val="tx1"/>
                  </w14:solidFill>
                </w14:textFill>
              </w:rPr>
              <w:t>大气污染物排放标准</w:t>
            </w:r>
          </w:p>
          <w:p w14:paraId="51BD92CD">
            <w:pPr>
              <w:keepNext w:val="0"/>
              <w:keepLines w:val="0"/>
              <w:pageBreakBefore w:val="0"/>
              <w:widowControl w:val="0"/>
              <w:kinsoku/>
              <w:wordWrap/>
              <w:overflowPunct/>
              <w:topLinePunct w:val="0"/>
              <w:autoSpaceDE/>
              <w:autoSpaceDN/>
              <w:bidi w:val="0"/>
              <w:adjustRightInd w:val="0"/>
              <w:snapToGrid w:val="0"/>
              <w:spacing w:beforeLines="0" w:line="360" w:lineRule="auto"/>
              <w:ind w:firstLine="480" w:firstLineChars="200"/>
              <w:textAlignment w:val="baseline"/>
              <w:rPr>
                <w:rFonts w:hint="eastAsia" w:ascii="Times New Roman" w:hAnsi="Times New Roman" w:eastAsia="宋体"/>
                <w:color w:val="000000" w:themeColor="text1"/>
                <w:sz w:val="24"/>
                <w:highlight w:val="none"/>
                <w:lang w:eastAsia="zh-CN"/>
                <w14:textFill>
                  <w14:solidFill>
                    <w14:schemeClr w14:val="tx1"/>
                  </w14:solidFill>
                </w14:textFill>
              </w:rPr>
            </w:pPr>
            <w:r>
              <w:rPr>
                <w:rFonts w:hint="eastAsia" w:ascii="Times New Roman" w:hAnsi="Times New Roman"/>
                <w:color w:val="000000" w:themeColor="text1"/>
                <w:sz w:val="24"/>
                <w:highlight w:val="none"/>
                <w:lang w:val="en-US" w:eastAsia="zh-CN"/>
                <w14:textFill>
                  <w14:solidFill>
                    <w14:schemeClr w14:val="tx1"/>
                  </w14:solidFill>
                </w14:textFill>
              </w:rPr>
              <w:t>本项目为石灰石粉磨加工，</w:t>
            </w:r>
            <w:r>
              <w:rPr>
                <w:rFonts w:hint="eastAsia" w:ascii="Times New Roman" w:hAnsi="Times New Roman"/>
                <w:color w:val="000000" w:themeColor="text1"/>
                <w:sz w:val="24"/>
                <w:highlight w:val="none"/>
                <w14:textFill>
                  <w14:solidFill>
                    <w14:schemeClr w14:val="tx1"/>
                  </w14:solidFill>
                </w14:textFill>
              </w:rPr>
              <w:t>项目</w:t>
            </w:r>
            <w:r>
              <w:rPr>
                <w:rFonts w:hint="eastAsia" w:ascii="Times New Roman" w:hAnsi="Times New Roman"/>
                <w:color w:val="000000" w:themeColor="text1"/>
                <w:sz w:val="24"/>
                <w:highlight w:val="none"/>
                <w:lang w:val="en-US" w:eastAsia="zh-CN"/>
                <w14:textFill>
                  <w14:solidFill>
                    <w14:schemeClr w14:val="tx1"/>
                  </w14:solidFill>
                </w14:textFill>
              </w:rPr>
              <w:t>运营期有组织废气及厂区内</w:t>
            </w:r>
            <w:r>
              <w:rPr>
                <w:rFonts w:hint="eastAsia" w:ascii="Times New Roman" w:hAnsi="Times New Roman"/>
                <w:color w:val="000000" w:themeColor="text1"/>
                <w:sz w:val="24"/>
                <w:highlight w:val="none"/>
                <w14:textFill>
                  <w14:solidFill>
                    <w14:schemeClr w14:val="tx1"/>
                  </w14:solidFill>
                </w14:textFill>
              </w:rPr>
              <w:t>无组织排放的颗粒物浓度执行《石灰、电石工业大气污染物排放标准》（GB 41618-2022）中的相关限值要求</w:t>
            </w:r>
            <w:r>
              <w:rPr>
                <w:rFonts w:hint="eastAsia" w:ascii="Times New Roman" w:hAnsi="Times New Roman"/>
                <w:color w:val="000000" w:themeColor="text1"/>
                <w:sz w:val="24"/>
                <w:highlight w:val="none"/>
                <w:lang w:eastAsia="zh-CN"/>
                <w14:textFill>
                  <w14:solidFill>
                    <w14:schemeClr w14:val="tx1"/>
                  </w14:solidFill>
                </w14:textFill>
              </w:rPr>
              <w:t>。</w:t>
            </w:r>
          </w:p>
          <w:p w14:paraId="1F2931CD">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ascii="Times New Roman" w:hAnsi="Times New Roman"/>
                <w:b/>
                <w:color w:val="000000" w:themeColor="text1"/>
                <w:sz w:val="24"/>
                <w:highlight w:val="none"/>
                <w14:textFill>
                  <w14:solidFill>
                    <w14:schemeClr w14:val="tx1"/>
                  </w14:solidFill>
                </w14:textFill>
              </w:rPr>
            </w:pPr>
            <w:r>
              <w:rPr>
                <w:rFonts w:ascii="Times New Roman" w:hAnsi="Times New Roman"/>
                <w:b/>
                <w:color w:val="000000" w:themeColor="text1"/>
                <w:sz w:val="24"/>
                <w:szCs w:val="20"/>
                <w:highlight w:val="none"/>
                <w14:textFill>
                  <w14:solidFill>
                    <w14:schemeClr w14:val="tx1"/>
                  </w14:solidFill>
                </w14:textFill>
              </w:rPr>
              <w:t>表</w:t>
            </w:r>
            <w:r>
              <w:rPr>
                <w:rFonts w:hint="eastAsia" w:ascii="Times New Roman" w:hAnsi="Times New Roman"/>
                <w:b/>
                <w:color w:val="000000" w:themeColor="text1"/>
                <w:sz w:val="24"/>
                <w:szCs w:val="20"/>
                <w:highlight w:val="none"/>
                <w:lang w:val="en-US" w:eastAsia="zh-CN"/>
                <w14:textFill>
                  <w14:solidFill>
                    <w14:schemeClr w14:val="tx1"/>
                  </w14:solidFill>
                </w14:textFill>
              </w:rPr>
              <w:t>3-7</w:t>
            </w:r>
            <w:r>
              <w:rPr>
                <w:rFonts w:ascii="Times New Roman" w:hAnsi="Times New Roman"/>
                <w:b/>
                <w:color w:val="000000" w:themeColor="text1"/>
                <w:sz w:val="24"/>
                <w:szCs w:val="20"/>
                <w:highlight w:val="none"/>
                <w14:textFill>
                  <w14:solidFill>
                    <w14:schemeClr w14:val="tx1"/>
                  </w14:solidFill>
                </w14:textFill>
              </w:rPr>
              <w:t xml:space="preserve">  </w:t>
            </w:r>
            <w:r>
              <w:rPr>
                <w:rFonts w:hint="eastAsia" w:ascii="Times New Roman" w:hAnsi="Times New Roman"/>
                <w:b/>
                <w:color w:val="000000" w:themeColor="text1"/>
                <w:sz w:val="24"/>
                <w:szCs w:val="20"/>
                <w:highlight w:val="none"/>
                <w:lang w:val="en-US" w:eastAsia="zh-CN"/>
                <w14:textFill>
                  <w14:solidFill>
                    <w14:schemeClr w14:val="tx1"/>
                  </w14:solidFill>
                </w14:textFill>
              </w:rPr>
              <w:t>石灰、电石工业</w:t>
            </w:r>
            <w:r>
              <w:rPr>
                <w:rFonts w:ascii="Times New Roman" w:hAnsi="Times New Roman"/>
                <w:b/>
                <w:color w:val="000000" w:themeColor="text1"/>
                <w:sz w:val="24"/>
                <w:highlight w:val="none"/>
                <w14:textFill>
                  <w14:solidFill>
                    <w14:schemeClr w14:val="tx1"/>
                  </w14:solidFill>
                </w14:textFill>
              </w:rPr>
              <w:t>大气污染物综合排放标准</w:t>
            </w:r>
          </w:p>
          <w:tbl>
            <w:tblPr>
              <w:tblStyle w:val="24"/>
              <w:tblW w:w="4994" w:type="pct"/>
              <w:tblInd w:w="0" w:type="dxa"/>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1028"/>
              <w:gridCol w:w="2228"/>
              <w:gridCol w:w="2356"/>
              <w:gridCol w:w="2443"/>
            </w:tblGrid>
            <w:tr w14:paraId="6EAD4842">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397" w:hRule="atLeast"/>
              </w:trPr>
              <w:tc>
                <w:tcPr>
                  <w:tcW w:w="637" w:type="pct"/>
                  <w:vMerge w:val="restart"/>
                  <w:tcBorders>
                    <w:tl2br w:val="nil"/>
                    <w:tr2bl w:val="nil"/>
                  </w:tcBorders>
                  <w:noWrap w:val="0"/>
                  <w:vAlign w:val="center"/>
                </w:tcPr>
                <w:p w14:paraId="79748D73">
                  <w:pPr>
                    <w:jc w:val="center"/>
                    <w:rPr>
                      <w:rFonts w:ascii="Times New Roman" w:hAnsi="Times New Roman"/>
                      <w:b/>
                      <w:bCs/>
                      <w:color w:val="000000" w:themeColor="text1"/>
                      <w:sz w:val="21"/>
                      <w:szCs w:val="21"/>
                      <w:highlight w:val="none"/>
                      <w14:textFill>
                        <w14:solidFill>
                          <w14:schemeClr w14:val="tx1"/>
                        </w14:solidFill>
                      </w14:textFill>
                    </w:rPr>
                  </w:pPr>
                  <w:r>
                    <w:rPr>
                      <w:rFonts w:ascii="Times New Roman" w:hAnsi="Times New Roman"/>
                      <w:b/>
                      <w:bCs/>
                      <w:color w:val="000000" w:themeColor="text1"/>
                      <w:sz w:val="21"/>
                      <w:szCs w:val="21"/>
                      <w:highlight w:val="none"/>
                      <w14:textFill>
                        <w14:solidFill>
                          <w14:schemeClr w14:val="tx1"/>
                        </w14:solidFill>
                      </w14:textFill>
                    </w:rPr>
                    <w:t>污染物</w:t>
                  </w:r>
                </w:p>
              </w:tc>
              <w:tc>
                <w:tcPr>
                  <w:tcW w:w="1383" w:type="pct"/>
                  <w:vMerge w:val="restart"/>
                  <w:tcBorders>
                    <w:tl2br w:val="nil"/>
                    <w:tr2bl w:val="nil"/>
                  </w:tcBorders>
                  <w:noWrap w:val="0"/>
                  <w:vAlign w:val="center"/>
                </w:tcPr>
                <w:p w14:paraId="0456D282">
                  <w:pPr>
                    <w:jc w:val="cente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pPr>
                  <w:r>
                    <w:rPr>
                      <w:rFonts w:hint="eastAsia" w:ascii="Times New Roman" w:hAnsi="Times New Roman"/>
                      <w:b/>
                      <w:bCs/>
                      <w:color w:val="000000" w:themeColor="text1"/>
                      <w:sz w:val="21"/>
                      <w:szCs w:val="21"/>
                      <w:highlight w:val="none"/>
                      <w:lang w:val="en-US" w:eastAsia="zh-CN"/>
                      <w14:textFill>
                        <w14:solidFill>
                          <w14:schemeClr w14:val="tx1"/>
                        </w14:solidFill>
                      </w14:textFill>
                    </w:rPr>
                    <w:t>有组织</w:t>
                  </w:r>
                  <w:r>
                    <w:rPr>
                      <w:rFonts w:ascii="Times New Roman" w:hAnsi="Times New Roman"/>
                      <w:b/>
                      <w:bCs/>
                      <w:color w:val="000000" w:themeColor="text1"/>
                      <w:sz w:val="21"/>
                      <w:szCs w:val="21"/>
                      <w:highlight w:val="none"/>
                      <w14:textFill>
                        <w14:solidFill>
                          <w14:schemeClr w14:val="tx1"/>
                        </w14:solidFill>
                      </w14:textFill>
                    </w:rPr>
                    <w:t>（mg/m</w:t>
                  </w:r>
                  <w:r>
                    <w:rPr>
                      <w:rFonts w:ascii="Times New Roman" w:hAnsi="Times New Roman"/>
                      <w:b/>
                      <w:bCs/>
                      <w:color w:val="000000" w:themeColor="text1"/>
                      <w:sz w:val="21"/>
                      <w:szCs w:val="21"/>
                      <w:highlight w:val="none"/>
                      <w:vertAlign w:val="superscript"/>
                      <w14:textFill>
                        <w14:solidFill>
                          <w14:schemeClr w14:val="tx1"/>
                        </w14:solidFill>
                      </w14:textFill>
                    </w:rPr>
                    <w:t>3</w:t>
                  </w:r>
                  <w:r>
                    <w:rPr>
                      <w:rFonts w:ascii="Times New Roman" w:hAnsi="Times New Roman"/>
                      <w:b/>
                      <w:bCs/>
                      <w:color w:val="000000" w:themeColor="text1"/>
                      <w:sz w:val="21"/>
                      <w:szCs w:val="21"/>
                      <w:highlight w:val="none"/>
                      <w14:textFill>
                        <w14:solidFill>
                          <w14:schemeClr w14:val="tx1"/>
                        </w14:solidFill>
                      </w14:textFill>
                    </w:rPr>
                    <w:t>）</w:t>
                  </w:r>
                </w:p>
              </w:tc>
              <w:tc>
                <w:tcPr>
                  <w:tcW w:w="2979" w:type="pct"/>
                  <w:gridSpan w:val="2"/>
                  <w:tcBorders>
                    <w:tl2br w:val="nil"/>
                    <w:tr2bl w:val="nil"/>
                  </w:tcBorders>
                  <w:noWrap w:val="0"/>
                  <w:vAlign w:val="center"/>
                </w:tcPr>
                <w:p w14:paraId="619060C1">
                  <w:pPr>
                    <w:autoSpaceDE w:val="0"/>
                    <w:autoSpaceDN w:val="0"/>
                    <w:adjustRightInd w:val="0"/>
                    <w:jc w:val="center"/>
                    <w:rPr>
                      <w:rFonts w:ascii="Times New Roman" w:hAnsi="Times New Roman"/>
                      <w:b/>
                      <w:bCs/>
                      <w:color w:val="000000" w:themeColor="text1"/>
                      <w:sz w:val="21"/>
                      <w:szCs w:val="21"/>
                      <w:highlight w:val="none"/>
                      <w14:textFill>
                        <w14:solidFill>
                          <w14:schemeClr w14:val="tx1"/>
                        </w14:solidFill>
                      </w14:textFill>
                    </w:rPr>
                  </w:pPr>
                  <w:r>
                    <w:rPr>
                      <w:rFonts w:ascii="Times New Roman" w:hAnsi="Times New Roman"/>
                      <w:b/>
                      <w:bCs/>
                      <w:color w:val="000000" w:themeColor="text1"/>
                      <w:sz w:val="21"/>
                      <w:szCs w:val="21"/>
                      <w:highlight w:val="none"/>
                      <w14:textFill>
                        <w14:solidFill>
                          <w14:schemeClr w14:val="tx1"/>
                        </w14:solidFill>
                      </w14:textFill>
                    </w:rPr>
                    <w:t>无组织排放监控点</w:t>
                  </w:r>
                </w:p>
              </w:tc>
            </w:tr>
            <w:tr w14:paraId="021C7070">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397" w:hRule="atLeast"/>
              </w:trPr>
              <w:tc>
                <w:tcPr>
                  <w:tcW w:w="637" w:type="pct"/>
                  <w:vMerge w:val="continue"/>
                  <w:tcBorders>
                    <w:tl2br w:val="nil"/>
                    <w:tr2bl w:val="nil"/>
                  </w:tcBorders>
                  <w:noWrap w:val="0"/>
                  <w:vAlign w:val="center"/>
                </w:tcPr>
                <w:p w14:paraId="0912FD84">
                  <w:pPr>
                    <w:autoSpaceDE w:val="0"/>
                    <w:autoSpaceDN w:val="0"/>
                    <w:adjustRightInd w:val="0"/>
                    <w:jc w:val="center"/>
                    <w:rPr>
                      <w:rFonts w:ascii="Times New Roman" w:hAnsi="Times New Roman"/>
                      <w:b/>
                      <w:bCs/>
                      <w:color w:val="000000" w:themeColor="text1"/>
                      <w:sz w:val="21"/>
                      <w:szCs w:val="21"/>
                      <w:highlight w:val="none"/>
                      <w14:textFill>
                        <w14:solidFill>
                          <w14:schemeClr w14:val="tx1"/>
                        </w14:solidFill>
                      </w14:textFill>
                    </w:rPr>
                  </w:pPr>
                </w:p>
              </w:tc>
              <w:tc>
                <w:tcPr>
                  <w:tcW w:w="1383" w:type="pct"/>
                  <w:vMerge w:val="continue"/>
                  <w:tcBorders>
                    <w:tl2br w:val="nil"/>
                    <w:tr2bl w:val="nil"/>
                  </w:tcBorders>
                  <w:noWrap w:val="0"/>
                  <w:vAlign w:val="center"/>
                </w:tcPr>
                <w:p w14:paraId="4931760A">
                  <w:pPr>
                    <w:autoSpaceDE w:val="0"/>
                    <w:autoSpaceDN w:val="0"/>
                    <w:adjustRightInd w:val="0"/>
                    <w:jc w:val="center"/>
                    <w:rPr>
                      <w:rFonts w:ascii="Times New Roman" w:hAnsi="Times New Roman"/>
                      <w:b/>
                      <w:bCs/>
                      <w:color w:val="000000" w:themeColor="text1"/>
                      <w:sz w:val="21"/>
                      <w:szCs w:val="21"/>
                      <w:highlight w:val="none"/>
                      <w14:textFill>
                        <w14:solidFill>
                          <w14:schemeClr w14:val="tx1"/>
                        </w14:solidFill>
                      </w14:textFill>
                    </w:rPr>
                  </w:pPr>
                </w:p>
              </w:tc>
              <w:tc>
                <w:tcPr>
                  <w:tcW w:w="1462" w:type="pct"/>
                  <w:tcBorders>
                    <w:tl2br w:val="nil"/>
                    <w:tr2bl w:val="nil"/>
                  </w:tcBorders>
                  <w:noWrap w:val="0"/>
                  <w:vAlign w:val="center"/>
                </w:tcPr>
                <w:p w14:paraId="0A5EDC98">
                  <w:pPr>
                    <w:autoSpaceDE w:val="0"/>
                    <w:autoSpaceDN w:val="0"/>
                    <w:adjustRightInd w:val="0"/>
                    <w:jc w:val="center"/>
                    <w:rPr>
                      <w:rFonts w:ascii="Times New Roman" w:hAnsi="Times New Roman"/>
                      <w:b/>
                      <w:bCs/>
                      <w:color w:val="000000" w:themeColor="text1"/>
                      <w:sz w:val="21"/>
                      <w:szCs w:val="21"/>
                      <w:highlight w:val="none"/>
                      <w14:textFill>
                        <w14:solidFill>
                          <w14:schemeClr w14:val="tx1"/>
                        </w14:solidFill>
                      </w14:textFill>
                    </w:rPr>
                  </w:pPr>
                  <w:r>
                    <w:rPr>
                      <w:rFonts w:ascii="Times New Roman" w:hAnsi="Times New Roman"/>
                      <w:b/>
                      <w:bCs/>
                      <w:color w:val="000000" w:themeColor="text1"/>
                      <w:sz w:val="21"/>
                      <w:szCs w:val="21"/>
                      <w:highlight w:val="none"/>
                      <w14:textFill>
                        <w14:solidFill>
                          <w14:schemeClr w14:val="tx1"/>
                        </w14:solidFill>
                      </w14:textFill>
                    </w:rPr>
                    <w:t>监控点</w:t>
                  </w:r>
                </w:p>
              </w:tc>
              <w:tc>
                <w:tcPr>
                  <w:tcW w:w="1516" w:type="pct"/>
                  <w:tcBorders>
                    <w:tl2br w:val="nil"/>
                    <w:tr2bl w:val="nil"/>
                  </w:tcBorders>
                  <w:noWrap w:val="0"/>
                  <w:vAlign w:val="center"/>
                </w:tcPr>
                <w:p w14:paraId="72A6B24F">
                  <w:pPr>
                    <w:autoSpaceDE w:val="0"/>
                    <w:autoSpaceDN w:val="0"/>
                    <w:adjustRightInd w:val="0"/>
                    <w:jc w:val="center"/>
                    <w:rPr>
                      <w:rFonts w:ascii="Times New Roman" w:hAnsi="Times New Roman"/>
                      <w:b/>
                      <w:bCs/>
                      <w:color w:val="000000" w:themeColor="text1"/>
                      <w:sz w:val="21"/>
                      <w:szCs w:val="21"/>
                      <w:highlight w:val="none"/>
                      <w14:textFill>
                        <w14:solidFill>
                          <w14:schemeClr w14:val="tx1"/>
                        </w14:solidFill>
                      </w14:textFill>
                    </w:rPr>
                  </w:pPr>
                  <w:r>
                    <w:rPr>
                      <w:rFonts w:ascii="Times New Roman" w:hAnsi="Times New Roman"/>
                      <w:b/>
                      <w:bCs/>
                      <w:color w:val="000000" w:themeColor="text1"/>
                      <w:sz w:val="21"/>
                      <w:szCs w:val="21"/>
                      <w:highlight w:val="none"/>
                      <w14:textFill>
                        <w14:solidFill>
                          <w14:schemeClr w14:val="tx1"/>
                        </w14:solidFill>
                      </w14:textFill>
                    </w:rPr>
                    <w:t>浓度限值（mg/m</w:t>
                  </w:r>
                  <w:r>
                    <w:rPr>
                      <w:rFonts w:ascii="Times New Roman" w:hAnsi="Times New Roman"/>
                      <w:b/>
                      <w:bCs/>
                      <w:color w:val="000000" w:themeColor="text1"/>
                      <w:sz w:val="21"/>
                      <w:szCs w:val="21"/>
                      <w:highlight w:val="none"/>
                      <w:vertAlign w:val="superscript"/>
                      <w14:textFill>
                        <w14:solidFill>
                          <w14:schemeClr w14:val="tx1"/>
                        </w14:solidFill>
                      </w14:textFill>
                    </w:rPr>
                    <w:t>3</w:t>
                  </w:r>
                  <w:r>
                    <w:rPr>
                      <w:rFonts w:ascii="Times New Roman" w:hAnsi="Times New Roman"/>
                      <w:b/>
                      <w:bCs/>
                      <w:color w:val="000000" w:themeColor="text1"/>
                      <w:sz w:val="21"/>
                      <w:szCs w:val="21"/>
                      <w:highlight w:val="none"/>
                      <w14:textFill>
                        <w14:solidFill>
                          <w14:schemeClr w14:val="tx1"/>
                        </w14:solidFill>
                      </w14:textFill>
                    </w:rPr>
                    <w:t>）</w:t>
                  </w:r>
                </w:p>
              </w:tc>
            </w:tr>
            <w:tr w14:paraId="40A7B929">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397" w:hRule="atLeast"/>
              </w:trPr>
              <w:tc>
                <w:tcPr>
                  <w:tcW w:w="637" w:type="pct"/>
                  <w:tcBorders>
                    <w:tl2br w:val="nil"/>
                    <w:tr2bl w:val="nil"/>
                  </w:tcBorders>
                  <w:noWrap w:val="0"/>
                  <w:vAlign w:val="center"/>
                </w:tcPr>
                <w:p w14:paraId="0C274399">
                  <w:pPr>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颗粒物</w:t>
                  </w:r>
                </w:p>
              </w:tc>
              <w:tc>
                <w:tcPr>
                  <w:tcW w:w="1383" w:type="pct"/>
                  <w:tcBorders>
                    <w:tl2br w:val="nil"/>
                    <w:tr2bl w:val="nil"/>
                  </w:tcBorders>
                  <w:noWrap w:val="0"/>
                  <w:vAlign w:val="center"/>
                </w:tcPr>
                <w:p w14:paraId="48A5C736">
                  <w:pPr>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20</w:t>
                  </w:r>
                </w:p>
              </w:tc>
              <w:tc>
                <w:tcPr>
                  <w:tcW w:w="1462" w:type="pct"/>
                  <w:tcBorders>
                    <w:tl2br w:val="nil"/>
                    <w:tr2bl w:val="nil"/>
                  </w:tcBorders>
                  <w:noWrap w:val="0"/>
                  <w:vAlign w:val="center"/>
                </w:tcPr>
                <w:p w14:paraId="560EBE08">
                  <w:pPr>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在厂房外设置监控点（1小时平均浓度值）</w:t>
                  </w:r>
                </w:p>
              </w:tc>
              <w:tc>
                <w:tcPr>
                  <w:tcW w:w="1516" w:type="pct"/>
                  <w:tcBorders>
                    <w:tl2br w:val="nil"/>
                    <w:tr2bl w:val="nil"/>
                  </w:tcBorders>
                  <w:noWrap w:val="0"/>
                  <w:vAlign w:val="center"/>
                </w:tcPr>
                <w:p w14:paraId="757D25C6">
                  <w:pPr>
                    <w:jc w:val="center"/>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5</w:t>
                  </w:r>
                  <w:r>
                    <w:rPr>
                      <w:rFonts w:ascii="Times New Roman" w:hAnsi="Times New Roman"/>
                      <w:color w:val="000000" w:themeColor="text1"/>
                      <w:sz w:val="21"/>
                      <w:szCs w:val="21"/>
                      <w:highlight w:val="none"/>
                      <w14:textFill>
                        <w14:solidFill>
                          <w14:schemeClr w14:val="tx1"/>
                        </w14:solidFill>
                      </w14:textFill>
                    </w:rPr>
                    <w:t>.0</w:t>
                  </w:r>
                </w:p>
              </w:tc>
            </w:tr>
          </w:tbl>
          <w:p w14:paraId="16CFA041">
            <w:pPr>
              <w:keepNext w:val="0"/>
              <w:keepLines w:val="0"/>
              <w:pageBreakBefore w:val="0"/>
              <w:widowControl w:val="0"/>
              <w:kinsoku/>
              <w:wordWrap/>
              <w:overflowPunct/>
              <w:topLinePunct w:val="0"/>
              <w:autoSpaceDE/>
              <w:autoSpaceDN/>
              <w:bidi w:val="0"/>
              <w:adjustRightInd w:val="0"/>
              <w:snapToGrid w:val="0"/>
              <w:spacing w:beforeLines="0" w:line="360" w:lineRule="auto"/>
              <w:ind w:firstLine="480" w:firstLineChars="200"/>
              <w:textAlignment w:val="baseline"/>
              <w:rPr>
                <w:rFonts w:hint="eastAsia" w:ascii="Times New Roman" w:hAnsi="Times New Roman"/>
                <w:color w:val="000000" w:themeColor="text1"/>
                <w:sz w:val="24"/>
                <w:highlight w:val="none"/>
                <w:lang w:val="en-US" w:eastAsia="zh-CN"/>
                <w14:textFill>
                  <w14:solidFill>
                    <w14:schemeClr w14:val="tx1"/>
                  </w14:solidFill>
                </w14:textFill>
              </w:rPr>
            </w:pPr>
            <w:r>
              <w:rPr>
                <w:rFonts w:hint="eastAsia" w:ascii="Times New Roman" w:hAnsi="Times New Roman"/>
                <w:color w:val="000000" w:themeColor="text1"/>
                <w:sz w:val="24"/>
                <w:highlight w:val="none"/>
                <w:lang w:val="en-US" w:eastAsia="zh-CN"/>
                <w14:textFill>
                  <w14:solidFill>
                    <w14:schemeClr w14:val="tx1"/>
                  </w14:solidFill>
                </w14:textFill>
              </w:rPr>
              <w:t>运营期厂界颗粒物，执行《大气污染物综合排放标准》（GB16297-1996）表2有组织与无组织排放限值要求。</w:t>
            </w:r>
          </w:p>
          <w:p w14:paraId="348EA185">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eastAsia" w:ascii="Times New Roman" w:hAnsi="Times New Roman"/>
                <w:color w:val="000000" w:themeColor="text1"/>
                <w:sz w:val="24"/>
                <w:highlight w:val="none"/>
                <w:lang w:val="en-US" w:eastAsia="zh-CN"/>
                <w14:textFill>
                  <w14:solidFill>
                    <w14:schemeClr w14:val="tx1"/>
                  </w14:solidFill>
                </w14:textFill>
              </w:rPr>
            </w:pPr>
            <w:r>
              <w:rPr>
                <w:rFonts w:ascii="Times New Roman" w:hAnsi="Times New Roman"/>
                <w:b/>
                <w:color w:val="000000" w:themeColor="text1"/>
                <w:sz w:val="24"/>
                <w:szCs w:val="20"/>
                <w:highlight w:val="none"/>
                <w14:textFill>
                  <w14:solidFill>
                    <w14:schemeClr w14:val="tx1"/>
                  </w14:solidFill>
                </w14:textFill>
              </w:rPr>
              <w:t>表</w:t>
            </w:r>
            <w:r>
              <w:rPr>
                <w:rFonts w:hint="eastAsia" w:ascii="Times New Roman" w:hAnsi="Times New Roman"/>
                <w:b/>
                <w:color w:val="000000" w:themeColor="text1"/>
                <w:sz w:val="24"/>
                <w:szCs w:val="20"/>
                <w:highlight w:val="none"/>
                <w:lang w:val="en-US" w:eastAsia="zh-CN"/>
                <w14:textFill>
                  <w14:solidFill>
                    <w14:schemeClr w14:val="tx1"/>
                  </w14:solidFill>
                </w14:textFill>
              </w:rPr>
              <w:t>3-8</w:t>
            </w:r>
            <w:r>
              <w:rPr>
                <w:rFonts w:ascii="Times New Roman" w:hAnsi="Times New Roman"/>
                <w:b/>
                <w:color w:val="000000" w:themeColor="text1"/>
                <w:sz w:val="24"/>
                <w:szCs w:val="20"/>
                <w:highlight w:val="none"/>
                <w14:textFill>
                  <w14:solidFill>
                    <w14:schemeClr w14:val="tx1"/>
                  </w14:solidFill>
                </w14:textFill>
              </w:rPr>
              <w:t xml:space="preserve">  </w:t>
            </w:r>
            <w:r>
              <w:rPr>
                <w:rFonts w:ascii="Times New Roman" w:hAnsi="Times New Roman"/>
                <w:b/>
                <w:color w:val="000000" w:themeColor="text1"/>
                <w:sz w:val="24"/>
                <w:highlight w:val="none"/>
                <w14:textFill>
                  <w14:solidFill>
                    <w14:schemeClr w14:val="tx1"/>
                  </w14:solidFill>
                </w14:textFill>
              </w:rPr>
              <w:t>大气污染物综合排放标准</w:t>
            </w:r>
          </w:p>
          <w:tbl>
            <w:tblPr>
              <w:tblStyle w:val="24"/>
              <w:tblW w:w="4997" w:type="pct"/>
              <w:tblInd w:w="0" w:type="dxa"/>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Layout w:type="fixed"/>
              <w:tblCellMar>
                <w:top w:w="0" w:type="dxa"/>
                <w:left w:w="10" w:type="dxa"/>
                <w:bottom w:w="0" w:type="dxa"/>
                <w:right w:w="10" w:type="dxa"/>
              </w:tblCellMar>
            </w:tblPr>
            <w:tblGrid>
              <w:gridCol w:w="1037"/>
              <w:gridCol w:w="1141"/>
              <w:gridCol w:w="1774"/>
              <w:gridCol w:w="847"/>
              <w:gridCol w:w="1770"/>
              <w:gridCol w:w="1488"/>
            </w:tblGrid>
            <w:tr w14:paraId="11D8669F">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360" w:hRule="atLeast"/>
              </w:trPr>
              <w:tc>
                <w:tcPr>
                  <w:tcW w:w="643" w:type="pct"/>
                  <w:vMerge w:val="restart"/>
                  <w:tcBorders>
                    <w:tl2br w:val="nil"/>
                    <w:tr2bl w:val="nil"/>
                  </w:tcBorders>
                  <w:vAlign w:val="center"/>
                </w:tcPr>
                <w:p w14:paraId="05208EE4">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污染物</w:t>
                  </w:r>
                </w:p>
              </w:tc>
              <w:tc>
                <w:tcPr>
                  <w:tcW w:w="708" w:type="pct"/>
                  <w:vMerge w:val="restart"/>
                  <w:tcBorders>
                    <w:tl2br w:val="nil"/>
                    <w:tr2bl w:val="nil"/>
                  </w:tcBorders>
                  <w:vAlign w:val="center"/>
                </w:tcPr>
                <w:p w14:paraId="0840135F">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最高允许排放浓度</w:t>
                  </w:r>
                  <w:r>
                    <w:rPr>
                      <w:rFonts w:hint="eastAsia" w:ascii="Times New Roman" w:hAnsi="Times New Roman"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mg/m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3</w:t>
                  </w:r>
                  <w:r>
                    <w:rPr>
                      <w:rFonts w:hint="eastAsia" w:ascii="Times New Roman" w:hAnsi="Times New Roman" w:cs="Times New Roman"/>
                      <w:color w:val="000000" w:themeColor="text1"/>
                      <w:sz w:val="21"/>
                      <w:szCs w:val="21"/>
                      <w:highlight w:val="none"/>
                      <w:vertAlign w:val="baseline"/>
                      <w:lang w:eastAsia="zh-CN"/>
                      <w14:textFill>
                        <w14:solidFill>
                          <w14:schemeClr w14:val="tx1"/>
                        </w14:solidFill>
                      </w14:textFill>
                    </w:rPr>
                    <w:t>）</w:t>
                  </w:r>
                </w:p>
              </w:tc>
              <w:tc>
                <w:tcPr>
                  <w:tcW w:w="1626" w:type="pct"/>
                  <w:gridSpan w:val="2"/>
                  <w:tcBorders>
                    <w:tl2br w:val="nil"/>
                    <w:tr2bl w:val="nil"/>
                  </w:tcBorders>
                  <w:vAlign w:val="center"/>
                </w:tcPr>
                <w:p w14:paraId="0B357B61">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最高允许排放速率（kg</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h）</w:t>
                  </w:r>
                </w:p>
              </w:tc>
              <w:tc>
                <w:tcPr>
                  <w:tcW w:w="2021" w:type="pct"/>
                  <w:gridSpan w:val="2"/>
                  <w:tcBorders>
                    <w:tl2br w:val="nil"/>
                    <w:tr2bl w:val="nil"/>
                  </w:tcBorders>
                  <w:vAlign w:val="center"/>
                </w:tcPr>
                <w:p w14:paraId="2609E8A9">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无组织排放监测浓度限值</w:t>
                  </w:r>
                </w:p>
              </w:tc>
            </w:tr>
            <w:tr w14:paraId="5670E19A">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800" w:hRule="atLeast"/>
              </w:trPr>
              <w:tc>
                <w:tcPr>
                  <w:tcW w:w="643" w:type="pct"/>
                  <w:vMerge w:val="continue"/>
                  <w:tcBorders>
                    <w:tl2br w:val="nil"/>
                    <w:tr2bl w:val="nil"/>
                  </w:tcBorders>
                  <w:vAlign w:val="center"/>
                </w:tcPr>
                <w:p w14:paraId="558E9C0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708" w:type="pct"/>
                  <w:vMerge w:val="continue"/>
                  <w:tcBorders>
                    <w:tl2br w:val="nil"/>
                    <w:tr2bl w:val="nil"/>
                  </w:tcBorders>
                  <w:vAlign w:val="center"/>
                </w:tcPr>
                <w:p w14:paraId="441912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100" w:type="pct"/>
                  <w:tcBorders>
                    <w:tl2br w:val="nil"/>
                    <w:tr2bl w:val="nil"/>
                  </w:tcBorders>
                  <w:vAlign w:val="center"/>
                </w:tcPr>
                <w:p w14:paraId="630A52FB">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排气筒高度（m）</w:t>
                  </w:r>
                </w:p>
              </w:tc>
              <w:tc>
                <w:tcPr>
                  <w:tcW w:w="525" w:type="pct"/>
                  <w:tcBorders>
                    <w:tl2br w:val="nil"/>
                    <w:tr2bl w:val="nil"/>
                  </w:tcBorders>
                  <w:vAlign w:val="center"/>
                </w:tcPr>
                <w:p w14:paraId="64E9FA5B">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二级</w:t>
                  </w:r>
                </w:p>
              </w:tc>
              <w:tc>
                <w:tcPr>
                  <w:tcW w:w="1098" w:type="pct"/>
                  <w:tcBorders>
                    <w:tl2br w:val="nil"/>
                    <w:tr2bl w:val="nil"/>
                  </w:tcBorders>
                  <w:vAlign w:val="center"/>
                </w:tcPr>
                <w:p w14:paraId="3F0907B1">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监控点</w:t>
                  </w:r>
                </w:p>
              </w:tc>
              <w:tc>
                <w:tcPr>
                  <w:tcW w:w="923" w:type="pct"/>
                  <w:tcBorders>
                    <w:tl2br w:val="nil"/>
                    <w:tr2bl w:val="nil"/>
                  </w:tcBorders>
                  <w:vAlign w:val="center"/>
                </w:tcPr>
                <w:p w14:paraId="1AB2372D">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浓度（mg</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z w:val="21"/>
                      <w:szCs w:val="21"/>
                      <w:highlight w:val="none"/>
                      <w14:textFill>
                        <w14:solidFill>
                          <w14:schemeClr w14:val="tx1"/>
                        </w14:solidFill>
                      </w14:textFill>
                    </w:rPr>
                    <w:t>）</w:t>
                  </w:r>
                </w:p>
              </w:tc>
            </w:tr>
            <w:tr w14:paraId="21CB005D">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360" w:hRule="atLeast"/>
              </w:trPr>
              <w:tc>
                <w:tcPr>
                  <w:tcW w:w="643" w:type="pct"/>
                  <w:vMerge w:val="restart"/>
                  <w:tcBorders>
                    <w:tl2br w:val="nil"/>
                    <w:tr2bl w:val="nil"/>
                  </w:tcBorders>
                  <w:vAlign w:val="center"/>
                </w:tcPr>
                <w:p w14:paraId="380904FF">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颗粒物</w:t>
                  </w:r>
                </w:p>
              </w:tc>
              <w:tc>
                <w:tcPr>
                  <w:tcW w:w="708" w:type="pct"/>
                  <w:vMerge w:val="restart"/>
                  <w:tcBorders>
                    <w:tl2br w:val="nil"/>
                    <w:tr2bl w:val="nil"/>
                  </w:tcBorders>
                  <w:vAlign w:val="center"/>
                </w:tcPr>
                <w:p w14:paraId="756D3146">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120mg/m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3</w:t>
                  </w:r>
                </w:p>
              </w:tc>
              <w:tc>
                <w:tcPr>
                  <w:tcW w:w="1100" w:type="pct"/>
                  <w:tcBorders>
                    <w:tl2br w:val="nil"/>
                    <w:tr2bl w:val="nil"/>
                  </w:tcBorders>
                  <w:vAlign w:val="center"/>
                </w:tcPr>
                <w:p w14:paraId="274AF260">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15</w:t>
                  </w:r>
                </w:p>
              </w:tc>
              <w:tc>
                <w:tcPr>
                  <w:tcW w:w="525" w:type="pct"/>
                  <w:tcBorders>
                    <w:tl2br w:val="nil"/>
                    <w:tr2bl w:val="nil"/>
                  </w:tcBorders>
                  <w:vAlign w:val="center"/>
                </w:tcPr>
                <w:p w14:paraId="200D976E">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3.5</w:t>
                  </w:r>
                </w:p>
              </w:tc>
              <w:tc>
                <w:tcPr>
                  <w:tcW w:w="1098" w:type="pct"/>
                  <w:vMerge w:val="restart"/>
                  <w:tcBorders>
                    <w:tl2br w:val="nil"/>
                    <w:tr2bl w:val="nil"/>
                  </w:tcBorders>
                  <w:vAlign w:val="center"/>
                </w:tcPr>
                <w:p w14:paraId="4BADD959">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周界外浓度最高点</w:t>
                  </w:r>
                </w:p>
              </w:tc>
              <w:tc>
                <w:tcPr>
                  <w:tcW w:w="923" w:type="pct"/>
                  <w:vMerge w:val="restart"/>
                  <w:tcBorders>
                    <w:tl2br w:val="nil"/>
                    <w:tr2bl w:val="nil"/>
                  </w:tcBorders>
                  <w:vAlign w:val="center"/>
                </w:tcPr>
                <w:p w14:paraId="683CE671">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1.0</w:t>
                  </w:r>
                </w:p>
              </w:tc>
            </w:tr>
            <w:tr w14:paraId="6AB1CD42">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420" w:hRule="atLeast"/>
              </w:trPr>
              <w:tc>
                <w:tcPr>
                  <w:tcW w:w="643" w:type="pct"/>
                  <w:vMerge w:val="continue"/>
                  <w:tcBorders>
                    <w:tl2br w:val="nil"/>
                    <w:tr2bl w:val="nil"/>
                  </w:tcBorders>
                  <w:vAlign w:val="center"/>
                </w:tcPr>
                <w:p w14:paraId="5E6F663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708" w:type="pct"/>
                  <w:vMerge w:val="continue"/>
                  <w:tcBorders>
                    <w:tl2br w:val="nil"/>
                    <w:tr2bl w:val="nil"/>
                  </w:tcBorders>
                  <w:vAlign w:val="center"/>
                </w:tcPr>
                <w:p w14:paraId="6BCE04D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100" w:type="pct"/>
                  <w:tcBorders>
                    <w:tl2br w:val="nil"/>
                    <w:tr2bl w:val="nil"/>
                  </w:tcBorders>
                  <w:vAlign w:val="center"/>
                </w:tcPr>
                <w:p w14:paraId="7137C363">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20</w:t>
                  </w:r>
                </w:p>
              </w:tc>
              <w:tc>
                <w:tcPr>
                  <w:tcW w:w="525" w:type="pct"/>
                  <w:tcBorders>
                    <w:tl2br w:val="nil"/>
                    <w:tr2bl w:val="nil"/>
                  </w:tcBorders>
                  <w:vAlign w:val="center"/>
                </w:tcPr>
                <w:p w14:paraId="11D630B7">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5.9</w:t>
                  </w:r>
                </w:p>
              </w:tc>
              <w:tc>
                <w:tcPr>
                  <w:tcW w:w="1098" w:type="pct"/>
                  <w:vMerge w:val="continue"/>
                  <w:tcBorders>
                    <w:tl2br w:val="nil"/>
                    <w:tr2bl w:val="nil"/>
                  </w:tcBorders>
                  <w:vAlign w:val="center"/>
                </w:tcPr>
                <w:p w14:paraId="09B51FD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923" w:type="pct"/>
                  <w:vMerge w:val="continue"/>
                  <w:tcBorders>
                    <w:tl2br w:val="nil"/>
                    <w:tr2bl w:val="nil"/>
                  </w:tcBorders>
                  <w:vAlign w:val="center"/>
                </w:tcPr>
                <w:p w14:paraId="56E0C9B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r>
            <w:tr w14:paraId="05410693">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360" w:hRule="atLeast"/>
              </w:trPr>
              <w:tc>
                <w:tcPr>
                  <w:tcW w:w="643" w:type="pct"/>
                  <w:vMerge w:val="continue"/>
                  <w:tcBorders>
                    <w:tl2br w:val="nil"/>
                    <w:tr2bl w:val="nil"/>
                  </w:tcBorders>
                  <w:vAlign w:val="center"/>
                </w:tcPr>
                <w:p w14:paraId="785E630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708" w:type="pct"/>
                  <w:vMerge w:val="continue"/>
                  <w:tcBorders>
                    <w:tl2br w:val="nil"/>
                    <w:tr2bl w:val="nil"/>
                  </w:tcBorders>
                  <w:vAlign w:val="center"/>
                </w:tcPr>
                <w:p w14:paraId="693F77C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100" w:type="pct"/>
                  <w:tcBorders>
                    <w:tl2br w:val="nil"/>
                    <w:tr2bl w:val="nil"/>
                  </w:tcBorders>
                  <w:vAlign w:val="center"/>
                </w:tcPr>
                <w:p w14:paraId="3A947196">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30</w:t>
                  </w:r>
                </w:p>
              </w:tc>
              <w:tc>
                <w:tcPr>
                  <w:tcW w:w="525" w:type="pct"/>
                  <w:tcBorders>
                    <w:tl2br w:val="nil"/>
                    <w:tr2bl w:val="nil"/>
                  </w:tcBorders>
                  <w:vAlign w:val="center"/>
                </w:tcPr>
                <w:p w14:paraId="510634D2">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23.0</w:t>
                  </w:r>
                </w:p>
              </w:tc>
              <w:tc>
                <w:tcPr>
                  <w:tcW w:w="1098" w:type="pct"/>
                  <w:vMerge w:val="continue"/>
                  <w:tcBorders>
                    <w:tl2br w:val="nil"/>
                    <w:tr2bl w:val="nil"/>
                  </w:tcBorders>
                  <w:vAlign w:val="center"/>
                </w:tcPr>
                <w:p w14:paraId="5143FD2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923" w:type="pct"/>
                  <w:vMerge w:val="continue"/>
                  <w:tcBorders>
                    <w:tl2br w:val="nil"/>
                    <w:tr2bl w:val="nil"/>
                  </w:tcBorders>
                  <w:vAlign w:val="center"/>
                </w:tcPr>
                <w:p w14:paraId="7CFF677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r>
          </w:tbl>
          <w:p w14:paraId="33942C0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eastAsia" w:ascii="Times New Roman" w:hAnsi="Times New Roman" w:eastAsia="黑体" w:cs="Times New Roman"/>
                <w:color w:val="000000" w:themeColor="text1"/>
                <w:highlight w:val="none"/>
                <w:lang w:val="en-US" w:eastAsia="zh-CN"/>
                <w14:textFill>
                  <w14:solidFill>
                    <w14:schemeClr w14:val="tx1"/>
                  </w14:solidFill>
                </w14:textFill>
              </w:rPr>
              <w:t>4、</w:t>
            </w:r>
            <w:r>
              <w:rPr>
                <w:rFonts w:hint="default" w:ascii="Times New Roman" w:hAnsi="Times New Roman" w:eastAsia="黑体" w:cs="Times New Roman"/>
                <w:color w:val="000000" w:themeColor="text1"/>
                <w:highlight w:val="none"/>
                <w:lang w:val="en-US" w:eastAsia="zh-CN"/>
                <w14:textFill>
                  <w14:solidFill>
                    <w14:schemeClr w14:val="tx1"/>
                  </w14:solidFill>
                </w14:textFill>
              </w:rPr>
              <w:t>噪声排放标准</w:t>
            </w:r>
          </w:p>
          <w:p w14:paraId="646BED2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施工期噪声执行《建筑施工噪声排放标准》（GB12523-20</w:t>
            </w:r>
            <w:r>
              <w:rPr>
                <w:rFonts w:hint="eastAsia" w:ascii="Times New Roman" w:hAnsi="Times New Roman" w:cs="宋体"/>
                <w:color w:val="000000" w:themeColor="text1"/>
                <w:sz w:val="24"/>
                <w:highlight w:val="none"/>
                <w:lang w:val="en-US" w:eastAsia="zh-CN"/>
                <w14:textFill>
                  <w14:solidFill>
                    <w14:schemeClr w14:val="tx1"/>
                  </w14:solidFill>
                </w14:textFill>
              </w:rPr>
              <w:t>25</w:t>
            </w:r>
            <w:r>
              <w:rPr>
                <w:rFonts w:hint="eastAsia" w:ascii="Times New Roman" w:hAnsi="Times New Roman" w:eastAsia="宋体" w:cs="宋体"/>
                <w:color w:val="000000" w:themeColor="text1"/>
                <w:sz w:val="24"/>
                <w:highlight w:val="none"/>
                <w14:textFill>
                  <w14:solidFill>
                    <w14:schemeClr w14:val="tx1"/>
                  </w14:solidFill>
                </w14:textFill>
              </w:rPr>
              <w:t>）中噪声排放限值，具体标准</w:t>
            </w:r>
            <w:r>
              <w:rPr>
                <w:rFonts w:hint="eastAsia" w:ascii="Times New Roman" w:hAnsi="Times New Roman" w:cs="宋体"/>
                <w:color w:val="000000" w:themeColor="text1"/>
                <w:sz w:val="24"/>
                <w:highlight w:val="none"/>
                <w:lang w:eastAsia="zh-CN"/>
                <w14:textFill>
                  <w14:solidFill>
                    <w14:schemeClr w14:val="tx1"/>
                  </w14:solidFill>
                </w14:textFill>
              </w:rPr>
              <w:t>见下</w:t>
            </w:r>
            <w:r>
              <w:rPr>
                <w:rFonts w:hint="eastAsia" w:ascii="Times New Roman" w:hAnsi="Times New Roman" w:eastAsia="宋体" w:cs="宋体"/>
                <w:color w:val="000000" w:themeColor="text1"/>
                <w:sz w:val="24"/>
                <w:highlight w:val="none"/>
                <w14:textFill>
                  <w14:solidFill>
                    <w14:schemeClr w14:val="tx1"/>
                  </w14:solidFill>
                </w14:textFill>
              </w:rPr>
              <w:t>表。</w:t>
            </w:r>
          </w:p>
          <w:p w14:paraId="1CB5F858">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eastAsia" w:ascii="Times New Roman" w:hAnsi="Times New Roman" w:eastAsia="宋体" w:cs="宋体"/>
                <w:b/>
                <w:color w:val="000000" w:themeColor="text1"/>
                <w:sz w:val="24"/>
                <w:szCs w:val="20"/>
                <w:highlight w:val="none"/>
                <w14:textFill>
                  <w14:solidFill>
                    <w14:schemeClr w14:val="tx1"/>
                  </w14:solidFill>
                </w14:textFill>
              </w:rPr>
            </w:pPr>
            <w:r>
              <w:rPr>
                <w:rFonts w:hint="eastAsia" w:ascii="Times New Roman" w:hAnsi="Times New Roman" w:eastAsia="宋体" w:cs="宋体"/>
                <w:b/>
                <w:color w:val="000000" w:themeColor="text1"/>
                <w:sz w:val="24"/>
                <w:szCs w:val="20"/>
                <w:highlight w:val="none"/>
                <w14:textFill>
                  <w14:solidFill>
                    <w14:schemeClr w14:val="tx1"/>
                  </w14:solidFill>
                </w14:textFill>
              </w:rPr>
              <w:t>表</w:t>
            </w:r>
            <w:r>
              <w:rPr>
                <w:rFonts w:hint="eastAsia" w:ascii="Times New Roman" w:hAnsi="Times New Roman" w:cs="宋体"/>
                <w:b/>
                <w:color w:val="000000" w:themeColor="text1"/>
                <w:sz w:val="24"/>
                <w:szCs w:val="20"/>
                <w:highlight w:val="none"/>
                <w:lang w:val="en-US" w:eastAsia="zh-CN"/>
                <w14:textFill>
                  <w14:solidFill>
                    <w14:schemeClr w14:val="tx1"/>
                  </w14:solidFill>
                </w14:textFill>
              </w:rPr>
              <w:t>3-9</w:t>
            </w:r>
            <w:r>
              <w:rPr>
                <w:rFonts w:hint="eastAsia" w:ascii="Times New Roman" w:hAnsi="Times New Roman" w:eastAsia="宋体" w:cs="宋体"/>
                <w:b/>
                <w:color w:val="000000" w:themeColor="text1"/>
                <w:sz w:val="24"/>
                <w:szCs w:val="20"/>
                <w:highlight w:val="none"/>
                <w14:textFill>
                  <w14:solidFill>
                    <w14:schemeClr w14:val="tx1"/>
                  </w14:solidFill>
                </w14:textFill>
              </w:rPr>
              <w:t xml:space="preserve">  建筑施工场界噪声限值  单位：dB(A)</w:t>
            </w:r>
          </w:p>
          <w:tbl>
            <w:tblPr>
              <w:tblStyle w:val="24"/>
              <w:tblW w:w="4999"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54"/>
              <w:gridCol w:w="4005"/>
            </w:tblGrid>
            <w:tr w14:paraId="2483B39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2515" w:type="pct"/>
                  <w:noWrap w:val="0"/>
                  <w:vAlign w:val="center"/>
                </w:tcPr>
                <w:p w14:paraId="1A5B3021">
                  <w:pPr>
                    <w:adjustRightInd w:val="0"/>
                    <w:snapToGrid w:val="0"/>
                    <w:jc w:val="center"/>
                    <w:textAlignment w:val="baseline"/>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昼间</w:t>
                  </w:r>
                </w:p>
              </w:tc>
              <w:tc>
                <w:tcPr>
                  <w:tcW w:w="2484" w:type="pct"/>
                  <w:noWrap w:val="0"/>
                  <w:vAlign w:val="center"/>
                </w:tcPr>
                <w:p w14:paraId="688041B7">
                  <w:pPr>
                    <w:adjustRightInd w:val="0"/>
                    <w:snapToGrid w:val="0"/>
                    <w:jc w:val="center"/>
                    <w:textAlignment w:val="baseline"/>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夜间</w:t>
                  </w:r>
                </w:p>
              </w:tc>
            </w:tr>
            <w:tr w14:paraId="6771E06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2515" w:type="pct"/>
                  <w:noWrap w:val="0"/>
                  <w:vAlign w:val="center"/>
                </w:tcPr>
                <w:p w14:paraId="4D6D331C">
                  <w:pPr>
                    <w:adjustRightInd w:val="0"/>
                    <w:snapToGrid w:val="0"/>
                    <w:jc w:val="center"/>
                    <w:textAlignment w:val="baseline"/>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70</w:t>
                  </w:r>
                </w:p>
              </w:tc>
              <w:tc>
                <w:tcPr>
                  <w:tcW w:w="2484" w:type="pct"/>
                  <w:noWrap w:val="0"/>
                  <w:vAlign w:val="center"/>
                </w:tcPr>
                <w:p w14:paraId="10D6248D">
                  <w:pPr>
                    <w:adjustRightInd w:val="0"/>
                    <w:snapToGrid w:val="0"/>
                    <w:jc w:val="center"/>
                    <w:textAlignment w:val="baseline"/>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55</w:t>
                  </w:r>
                </w:p>
              </w:tc>
            </w:tr>
          </w:tbl>
          <w:p w14:paraId="01BDBD3E">
            <w:pPr>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jc w:val="both"/>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运营期厂界噪声执行《工业企业厂界环境噪声排放标准》（GB12348-2008）</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2</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类</w:t>
            </w:r>
            <w:r>
              <w:rPr>
                <w:rFonts w:hint="default" w:ascii="Times New Roman" w:hAnsi="Times New Roman" w:eastAsia="宋体" w:cs="Times New Roman"/>
                <w:color w:val="000000" w:themeColor="text1"/>
                <w:sz w:val="24"/>
                <w:szCs w:val="24"/>
                <w:highlight w:val="none"/>
                <w14:textFill>
                  <w14:solidFill>
                    <w14:schemeClr w14:val="tx1"/>
                  </w14:solidFill>
                </w14:textFill>
              </w:rPr>
              <w:t>标准，具体标准值</w:t>
            </w:r>
            <w:r>
              <w:rPr>
                <w:rFonts w:hint="eastAsia" w:ascii="Times New Roman" w:hAnsi="Times New Roman" w:cs="Times New Roman"/>
                <w:color w:val="000000" w:themeColor="text1"/>
                <w:sz w:val="24"/>
                <w:szCs w:val="24"/>
                <w:highlight w:val="none"/>
                <w:lang w:eastAsia="zh-CN"/>
                <w14:textFill>
                  <w14:solidFill>
                    <w14:schemeClr w14:val="tx1"/>
                  </w14:solidFill>
                </w14:textFill>
              </w:rPr>
              <w:t>见下</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表</w:t>
            </w:r>
            <w:r>
              <w:rPr>
                <w:rFonts w:hint="default" w:ascii="Times New Roman" w:hAnsi="Times New Roman" w:eastAsia="宋体" w:cs="Times New Roman"/>
                <w:color w:val="000000" w:themeColor="text1"/>
                <w:sz w:val="24"/>
                <w:szCs w:val="24"/>
                <w:highlight w:val="none"/>
                <w14:textFill>
                  <w14:solidFill>
                    <w14:schemeClr w14:val="tx1"/>
                  </w14:solidFill>
                </w14:textFill>
              </w:rPr>
              <w:t>。</w:t>
            </w:r>
          </w:p>
          <w:p w14:paraId="15232AD6">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eastAsia="宋体" w:cs="Times New Roman"/>
                <w:b/>
                <w:color w:val="000000" w:themeColor="text1"/>
                <w:sz w:val="24"/>
                <w:szCs w:val="24"/>
                <w:highlight w:val="none"/>
                <w:lang w:eastAsia="zh-CN"/>
                <w14:textFill>
                  <w14:solidFill>
                    <w14:schemeClr w14:val="tx1"/>
                  </w14:solidFill>
                </w14:textFill>
              </w:rPr>
            </w:pPr>
            <w:r>
              <w:rPr>
                <w:rFonts w:hint="default" w:ascii="Times New Roman" w:hAnsi="Times New Roman" w:eastAsia="宋体" w:cs="Times New Roman"/>
                <w:b/>
                <w:color w:val="000000" w:themeColor="text1"/>
                <w:sz w:val="24"/>
                <w:szCs w:val="24"/>
                <w:highlight w:val="none"/>
                <w14:textFill>
                  <w14:solidFill>
                    <w14:schemeClr w14:val="tx1"/>
                  </w14:solidFill>
                </w14:textFill>
              </w:rPr>
              <w:t>表</w:t>
            </w:r>
            <w:r>
              <w:rPr>
                <w:rFonts w:hint="eastAsia" w:ascii="Times New Roman" w:hAnsi="Times New Roman" w:cs="Times New Roman"/>
                <w:b/>
                <w:color w:val="000000" w:themeColor="text1"/>
                <w:sz w:val="24"/>
                <w:szCs w:val="24"/>
                <w:highlight w:val="none"/>
                <w:lang w:val="en-US" w:eastAsia="zh-CN"/>
                <w14:textFill>
                  <w14:solidFill>
                    <w14:schemeClr w14:val="tx1"/>
                  </w14:solidFill>
                </w14:textFill>
              </w:rPr>
              <w:t>3-10</w:t>
            </w:r>
            <w:r>
              <w:rPr>
                <w:rFonts w:hint="default" w:ascii="Times New Roman" w:hAnsi="Times New Roman" w:eastAsia="宋体" w:cs="Times New Roman"/>
                <w:b/>
                <w:color w:val="000000" w:themeColor="text1"/>
                <w:sz w:val="24"/>
                <w:szCs w:val="24"/>
                <w:highlight w:val="none"/>
                <w14:textFill>
                  <w14:solidFill>
                    <w14:schemeClr w14:val="tx1"/>
                  </w14:solidFill>
                </w14:textFill>
              </w:rPr>
              <w:t xml:space="preserve"> </w:t>
            </w:r>
            <w:r>
              <w:rPr>
                <w:rFonts w:hint="eastAsia" w:ascii="Times New Roman" w:hAnsi="Times New Roman" w:cs="Times New Roman"/>
                <w:b/>
                <w:color w:val="000000" w:themeColor="text1"/>
                <w:sz w:val="24"/>
                <w:szCs w:val="24"/>
                <w:highlight w:val="none"/>
                <w:lang w:val="en-US" w:eastAsia="zh-CN"/>
                <w14:textFill>
                  <w14:solidFill>
                    <w14:schemeClr w14:val="tx1"/>
                  </w14:solidFill>
                </w14:textFill>
              </w:rPr>
              <w:t xml:space="preserve"> </w:t>
            </w:r>
            <w:r>
              <w:rPr>
                <w:rFonts w:hint="default" w:ascii="Times New Roman" w:hAnsi="Times New Roman" w:eastAsia="宋体" w:cs="Times New Roman"/>
                <w:b/>
                <w:color w:val="000000" w:themeColor="text1"/>
                <w:sz w:val="24"/>
                <w:szCs w:val="24"/>
                <w:highlight w:val="none"/>
                <w14:textFill>
                  <w14:solidFill>
                    <w14:schemeClr w14:val="tx1"/>
                  </w14:solidFill>
                </w14:textFill>
              </w:rPr>
              <w:t>工业企业厂界环境噪声排放标准  单位：dB</w:t>
            </w:r>
            <w:r>
              <w:rPr>
                <w:rFonts w:hint="eastAsia" w:ascii="Times New Roman" w:hAnsi="Times New Roman" w:eastAsia="宋体" w:cs="Times New Roman"/>
                <w:b/>
                <w:color w:val="000000" w:themeColor="text1"/>
                <w:sz w:val="24"/>
                <w:szCs w:val="24"/>
                <w:highlight w:val="none"/>
                <w:lang w:eastAsia="zh-CN"/>
                <w14:textFill>
                  <w14:solidFill>
                    <w14:schemeClr w14:val="tx1"/>
                  </w14:solidFill>
                </w14:textFill>
              </w:rPr>
              <w:t>（</w:t>
            </w:r>
            <w:r>
              <w:rPr>
                <w:rFonts w:hint="default" w:ascii="Times New Roman" w:hAnsi="Times New Roman" w:eastAsia="宋体" w:cs="Times New Roman"/>
                <w:b/>
                <w:color w:val="000000" w:themeColor="text1"/>
                <w:sz w:val="24"/>
                <w:szCs w:val="24"/>
                <w:highlight w:val="none"/>
                <w14:textFill>
                  <w14:solidFill>
                    <w14:schemeClr w14:val="tx1"/>
                  </w14:solidFill>
                </w14:textFill>
              </w:rPr>
              <w:t>A</w:t>
            </w:r>
            <w:r>
              <w:rPr>
                <w:rFonts w:hint="eastAsia" w:ascii="Times New Roman" w:hAnsi="Times New Roman" w:eastAsia="宋体" w:cs="Times New Roman"/>
                <w:b/>
                <w:color w:val="000000" w:themeColor="text1"/>
                <w:sz w:val="24"/>
                <w:szCs w:val="24"/>
                <w:highlight w:val="none"/>
                <w:lang w:eastAsia="zh-CN"/>
                <w14:textFill>
                  <w14:solidFill>
                    <w14:schemeClr w14:val="tx1"/>
                  </w14:solidFill>
                </w14:textFill>
              </w:rPr>
              <w:t>）</w:t>
            </w:r>
          </w:p>
          <w:tbl>
            <w:tblPr>
              <w:tblStyle w:val="24"/>
              <w:tblW w:w="4999" w:type="pct"/>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3"/>
              <w:gridCol w:w="2688"/>
              <w:gridCol w:w="2688"/>
            </w:tblGrid>
            <w:tr w14:paraId="45B33DB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665" w:type="pct"/>
                  <w:tcBorders>
                    <w:tl2br w:val="nil"/>
                    <w:tr2bl w:val="nil"/>
                  </w:tcBorders>
                  <w:noWrap w:val="0"/>
                  <w:vAlign w:val="center"/>
                </w:tcPr>
                <w:p w14:paraId="43D3EE3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标准</w:t>
                  </w:r>
                </w:p>
              </w:tc>
              <w:tc>
                <w:tcPr>
                  <w:tcW w:w="1667" w:type="pct"/>
                  <w:tcBorders>
                    <w:tl2br w:val="nil"/>
                    <w:tr2bl w:val="nil"/>
                  </w:tcBorders>
                  <w:noWrap w:val="0"/>
                  <w:vAlign w:val="center"/>
                </w:tcPr>
                <w:p w14:paraId="650732D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昼间</w:t>
                  </w:r>
                </w:p>
              </w:tc>
              <w:tc>
                <w:tcPr>
                  <w:tcW w:w="1667" w:type="pct"/>
                  <w:tcBorders>
                    <w:tl2br w:val="nil"/>
                    <w:tr2bl w:val="nil"/>
                  </w:tcBorders>
                  <w:noWrap w:val="0"/>
                  <w:vAlign w:val="center"/>
                </w:tcPr>
                <w:p w14:paraId="0562720F">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夜间</w:t>
                  </w:r>
                </w:p>
              </w:tc>
            </w:tr>
            <w:tr w14:paraId="128AD09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1665" w:type="pct"/>
                  <w:tcBorders>
                    <w:tl2br w:val="nil"/>
                    <w:tr2bl w:val="nil"/>
                  </w:tcBorders>
                  <w:noWrap w:val="0"/>
                  <w:vAlign w:val="center"/>
                </w:tcPr>
                <w:p w14:paraId="68BDDC5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类</w:t>
                  </w:r>
                </w:p>
              </w:tc>
              <w:tc>
                <w:tcPr>
                  <w:tcW w:w="1667" w:type="pct"/>
                  <w:tcBorders>
                    <w:tl2br w:val="nil"/>
                    <w:tr2bl w:val="nil"/>
                  </w:tcBorders>
                  <w:noWrap w:val="0"/>
                  <w:vAlign w:val="center"/>
                </w:tcPr>
                <w:p w14:paraId="7A6DC16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6</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w:t>
                  </w:r>
                </w:p>
              </w:tc>
              <w:tc>
                <w:tcPr>
                  <w:tcW w:w="1667" w:type="pct"/>
                  <w:tcBorders>
                    <w:tl2br w:val="nil"/>
                    <w:tr2bl w:val="nil"/>
                  </w:tcBorders>
                  <w:noWrap w:val="0"/>
                  <w:vAlign w:val="center"/>
                </w:tcPr>
                <w:p w14:paraId="315768D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w:t>
                  </w:r>
                </w:p>
              </w:tc>
            </w:tr>
          </w:tbl>
          <w:p w14:paraId="05124575">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eastAsia" w:ascii="Times New Roman" w:hAnsi="Times New Roman" w:eastAsia="黑体" w:cs="Times New Roman"/>
                <w:color w:val="000000" w:themeColor="text1"/>
                <w:highlight w:val="none"/>
                <w:lang w:val="en-US" w:eastAsia="zh-CN"/>
                <w14:textFill>
                  <w14:solidFill>
                    <w14:schemeClr w14:val="tx1"/>
                  </w14:solidFill>
                </w14:textFill>
              </w:rPr>
              <w:t>5、污水排放标准</w:t>
            </w:r>
          </w:p>
          <w:p w14:paraId="55CD9013">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color w:val="000000" w:themeColor="text1"/>
                <w:kern w:val="0"/>
                <w:sz w:val="24"/>
                <w:highlight w:val="none"/>
                <w14:textFill>
                  <w14:solidFill>
                    <w14:schemeClr w14:val="tx1"/>
                  </w14:solidFill>
                </w14:textFill>
              </w:rPr>
            </w:pPr>
            <w:r>
              <w:rPr>
                <w:rFonts w:hint="eastAsia" w:ascii="Times New Roman" w:hAnsi="Times New Roman"/>
                <w:color w:val="000000" w:themeColor="text1"/>
                <w:kern w:val="0"/>
                <w:sz w:val="24"/>
                <w:highlight w:val="none"/>
                <w14:textFill>
                  <w14:solidFill>
                    <w14:schemeClr w14:val="tx1"/>
                  </w14:solidFill>
                </w14:textFill>
              </w:rPr>
              <w:t>本项目产生</w:t>
            </w:r>
            <w:r>
              <w:rPr>
                <w:rFonts w:hint="eastAsia" w:ascii="Times New Roman" w:hAnsi="Times New Roman"/>
                <w:color w:val="000000" w:themeColor="text1"/>
                <w:kern w:val="0"/>
                <w:sz w:val="24"/>
                <w:highlight w:val="none"/>
                <w:lang w:val="en-US" w:eastAsia="zh-CN"/>
                <w14:textFill>
                  <w14:solidFill>
                    <w14:schemeClr w14:val="tx1"/>
                  </w14:solidFill>
                </w14:textFill>
              </w:rPr>
              <w:t>生活</w:t>
            </w:r>
            <w:r>
              <w:rPr>
                <w:rFonts w:hint="eastAsia" w:ascii="Times New Roman" w:hAnsi="Times New Roman"/>
                <w:color w:val="000000" w:themeColor="text1"/>
                <w:kern w:val="0"/>
                <w:sz w:val="24"/>
                <w:highlight w:val="none"/>
                <w14:textFill>
                  <w14:solidFill>
                    <w14:schemeClr w14:val="tx1"/>
                  </w14:solidFill>
                </w14:textFill>
              </w:rPr>
              <w:t>污水的</w:t>
            </w:r>
            <w:r>
              <w:rPr>
                <w:rFonts w:hint="eastAsia" w:ascii="Times New Roman" w:hAnsi="Times New Roman"/>
                <w:color w:val="000000" w:themeColor="text1"/>
                <w:sz w:val="24"/>
                <w:highlight w:val="none"/>
                <w:lang w:val="zh-CN"/>
                <w14:textFill>
                  <w14:solidFill>
                    <w14:schemeClr w14:val="tx1"/>
                  </w14:solidFill>
                </w14:textFill>
              </w:rPr>
              <w:t>排放</w:t>
            </w:r>
            <w:r>
              <w:rPr>
                <w:rFonts w:hint="eastAsia" w:ascii="Times New Roman" w:hAnsi="Times New Roman"/>
                <w:color w:val="000000" w:themeColor="text1"/>
                <w:kern w:val="0"/>
                <w:sz w:val="24"/>
                <w:highlight w:val="none"/>
                <w14:textFill>
                  <w14:solidFill>
                    <w14:schemeClr w14:val="tx1"/>
                  </w14:solidFill>
                </w14:textFill>
              </w:rPr>
              <w:t>执行</w:t>
            </w:r>
            <w:r>
              <w:rPr>
                <w:rFonts w:ascii="Times New Roman" w:hAnsi="Times New Roman"/>
                <w:color w:val="000000" w:themeColor="text1"/>
                <w:kern w:val="0"/>
                <w:sz w:val="24"/>
                <w:highlight w:val="none"/>
                <w14:textFill>
                  <w14:solidFill>
                    <w14:schemeClr w14:val="tx1"/>
                  </w14:solidFill>
                </w14:textFill>
              </w:rPr>
              <w:t>《污水综合排放标准》（GB8978-1996）三级标准</w:t>
            </w:r>
            <w:r>
              <w:rPr>
                <w:rFonts w:hint="eastAsia" w:ascii="Times New Roman" w:hAnsi="Times New Roman"/>
                <w:color w:val="000000" w:themeColor="text1"/>
                <w:kern w:val="0"/>
                <w:sz w:val="24"/>
                <w:highlight w:val="none"/>
                <w14:textFill>
                  <w14:solidFill>
                    <w14:schemeClr w14:val="tx1"/>
                  </w14:solidFill>
                </w14:textFill>
              </w:rPr>
              <w:t>的要求，具体标准见表。</w:t>
            </w:r>
          </w:p>
          <w:p w14:paraId="3BC5F1DE">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eastAsia" w:ascii="Times New Roman" w:hAnsi="Times New Roman"/>
                <w:b/>
                <w:color w:val="000000" w:themeColor="text1"/>
                <w:sz w:val="24"/>
                <w:szCs w:val="20"/>
                <w:highlight w:val="none"/>
                <w14:textFill>
                  <w14:solidFill>
                    <w14:schemeClr w14:val="tx1"/>
                  </w14:solidFill>
                </w14:textFill>
              </w:rPr>
            </w:pPr>
            <w:r>
              <w:rPr>
                <w:rFonts w:hint="eastAsia" w:ascii="Times New Roman" w:hAnsi="Times New Roman"/>
                <w:b/>
                <w:color w:val="000000" w:themeColor="text1"/>
                <w:sz w:val="24"/>
                <w:szCs w:val="20"/>
                <w:highlight w:val="none"/>
                <w14:textFill>
                  <w14:solidFill>
                    <w14:schemeClr w14:val="tx1"/>
                  </w14:solidFill>
                </w14:textFill>
              </w:rPr>
              <w:t>表</w:t>
            </w:r>
            <w:r>
              <w:rPr>
                <w:rFonts w:hint="eastAsia" w:ascii="Times New Roman" w:hAnsi="Times New Roman"/>
                <w:b/>
                <w:color w:val="000000" w:themeColor="text1"/>
                <w:sz w:val="24"/>
                <w:szCs w:val="20"/>
                <w:highlight w:val="none"/>
                <w:lang w:val="en-US" w:eastAsia="zh-CN"/>
                <w14:textFill>
                  <w14:solidFill>
                    <w14:schemeClr w14:val="tx1"/>
                  </w14:solidFill>
                </w14:textFill>
              </w:rPr>
              <w:t>3-11</w:t>
            </w:r>
            <w:r>
              <w:rPr>
                <w:rFonts w:hint="eastAsia" w:ascii="Times New Roman" w:hAnsi="Times New Roman"/>
                <w:b/>
                <w:color w:val="000000" w:themeColor="text1"/>
                <w:sz w:val="24"/>
                <w:szCs w:val="20"/>
                <w:highlight w:val="none"/>
                <w14:textFill>
                  <w14:solidFill>
                    <w14:schemeClr w14:val="tx1"/>
                  </w14:solidFill>
                </w14:textFill>
              </w:rPr>
              <w:t xml:space="preserve">  污水综合排放</w:t>
            </w:r>
            <w:r>
              <w:rPr>
                <w:rFonts w:hint="eastAsia" w:ascii="Times New Roman" w:hAnsi="Times New Roman"/>
                <w:b/>
                <w:color w:val="000000" w:themeColor="text1"/>
                <w:sz w:val="24"/>
                <w:highlight w:val="none"/>
                <w14:textFill>
                  <w14:solidFill>
                    <w14:schemeClr w14:val="tx1"/>
                  </w14:solidFill>
                </w14:textFill>
              </w:rPr>
              <w:t>标准</w:t>
            </w:r>
            <w:r>
              <w:rPr>
                <w:rFonts w:hint="eastAsia" w:ascii="Times New Roman" w:hAnsi="Times New Roman"/>
                <w:b/>
                <w:color w:val="000000" w:themeColor="text1"/>
                <w:sz w:val="24"/>
                <w:szCs w:val="20"/>
                <w:highlight w:val="none"/>
                <w14:textFill>
                  <w14:solidFill>
                    <w14:schemeClr w14:val="tx1"/>
                  </w14:solidFill>
                </w14:textFill>
              </w:rPr>
              <w:t xml:space="preserve">  单位：mg/L（pH除外）</w:t>
            </w:r>
          </w:p>
          <w:tbl>
            <w:tblPr>
              <w:tblStyle w:val="24"/>
              <w:tblW w:w="4999" w:type="pct"/>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14"/>
              <w:gridCol w:w="2015"/>
              <w:gridCol w:w="2015"/>
              <w:gridCol w:w="2015"/>
            </w:tblGrid>
            <w:tr w14:paraId="684AA7B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49" w:type="pct"/>
                  <w:noWrap w:val="0"/>
                  <w:vAlign w:val="center"/>
                </w:tcPr>
                <w:p w14:paraId="0B263A9F">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污染物</w:t>
                  </w:r>
                </w:p>
              </w:tc>
              <w:tc>
                <w:tcPr>
                  <w:tcW w:w="1250" w:type="pct"/>
                  <w:noWrap w:val="0"/>
                  <w:vAlign w:val="center"/>
                </w:tcPr>
                <w:p w14:paraId="7E3C1282">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标准限值</w:t>
                  </w:r>
                </w:p>
              </w:tc>
              <w:tc>
                <w:tcPr>
                  <w:tcW w:w="1250" w:type="pct"/>
                  <w:noWrap w:val="0"/>
                  <w:vAlign w:val="center"/>
                </w:tcPr>
                <w:p w14:paraId="216A369F">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污染物</w:t>
                  </w:r>
                </w:p>
              </w:tc>
              <w:tc>
                <w:tcPr>
                  <w:tcW w:w="1250" w:type="pct"/>
                  <w:noWrap w:val="0"/>
                  <w:vAlign w:val="center"/>
                </w:tcPr>
                <w:p w14:paraId="7B7A8D2F">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标准限值</w:t>
                  </w:r>
                </w:p>
              </w:tc>
            </w:tr>
            <w:tr w14:paraId="1E10C19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49" w:type="pct"/>
                  <w:noWrap w:val="0"/>
                  <w:vAlign w:val="center"/>
                </w:tcPr>
                <w:p w14:paraId="35343742">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pH</w:t>
                  </w:r>
                </w:p>
              </w:tc>
              <w:tc>
                <w:tcPr>
                  <w:tcW w:w="1250" w:type="pct"/>
                  <w:noWrap w:val="0"/>
                  <w:vAlign w:val="center"/>
                </w:tcPr>
                <w:p w14:paraId="7131EDA1">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6~9</w:t>
                  </w:r>
                </w:p>
              </w:tc>
              <w:tc>
                <w:tcPr>
                  <w:tcW w:w="1250" w:type="pct"/>
                  <w:noWrap w:val="0"/>
                  <w:vAlign w:val="center"/>
                </w:tcPr>
                <w:p w14:paraId="2A745EF8">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COD</w:t>
                  </w:r>
                </w:p>
              </w:tc>
              <w:tc>
                <w:tcPr>
                  <w:tcW w:w="1250" w:type="pct"/>
                  <w:noWrap w:val="0"/>
                  <w:vAlign w:val="center"/>
                </w:tcPr>
                <w:p w14:paraId="68579253">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500</w:t>
                  </w:r>
                </w:p>
              </w:tc>
            </w:tr>
            <w:tr w14:paraId="5DA9324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49" w:type="pct"/>
                  <w:noWrap w:val="0"/>
                  <w:vAlign w:val="center"/>
                </w:tcPr>
                <w:p w14:paraId="351A0EBE">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SS</w:t>
                  </w:r>
                </w:p>
              </w:tc>
              <w:tc>
                <w:tcPr>
                  <w:tcW w:w="1250" w:type="pct"/>
                  <w:noWrap w:val="0"/>
                  <w:vAlign w:val="center"/>
                </w:tcPr>
                <w:p w14:paraId="07DE2E22">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400</w:t>
                  </w:r>
                </w:p>
              </w:tc>
              <w:tc>
                <w:tcPr>
                  <w:tcW w:w="1250" w:type="pct"/>
                  <w:noWrap w:val="0"/>
                  <w:vAlign w:val="center"/>
                </w:tcPr>
                <w:p w14:paraId="4482957B">
                  <w:pPr>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氨氮</w:t>
                  </w:r>
                </w:p>
              </w:tc>
              <w:tc>
                <w:tcPr>
                  <w:tcW w:w="1250" w:type="pct"/>
                  <w:noWrap w:val="0"/>
                  <w:vAlign w:val="center"/>
                </w:tcPr>
                <w:p w14:paraId="183C7DE3">
                  <w:pPr>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w:t>
                  </w:r>
                </w:p>
              </w:tc>
            </w:tr>
            <w:tr w14:paraId="7B2E51A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49" w:type="pct"/>
                  <w:noWrap w:val="0"/>
                  <w:vAlign w:val="center"/>
                </w:tcPr>
                <w:p w14:paraId="25D27213">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BOD</w:t>
                  </w:r>
                  <w:r>
                    <w:rPr>
                      <w:rFonts w:hint="eastAsia" w:ascii="Times New Roman" w:hAnsi="Times New Roman"/>
                      <w:color w:val="000000" w:themeColor="text1"/>
                      <w:sz w:val="21"/>
                      <w:szCs w:val="21"/>
                      <w:highlight w:val="none"/>
                      <w:vertAlign w:val="subscript"/>
                      <w14:textFill>
                        <w14:solidFill>
                          <w14:schemeClr w14:val="tx1"/>
                        </w14:solidFill>
                      </w14:textFill>
                    </w:rPr>
                    <w:t>5</w:t>
                  </w:r>
                </w:p>
              </w:tc>
              <w:tc>
                <w:tcPr>
                  <w:tcW w:w="1250" w:type="pct"/>
                  <w:noWrap w:val="0"/>
                  <w:vAlign w:val="center"/>
                </w:tcPr>
                <w:p w14:paraId="1A0C2A6B">
                  <w:pPr>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300</w:t>
                  </w:r>
                </w:p>
              </w:tc>
              <w:tc>
                <w:tcPr>
                  <w:tcW w:w="1250" w:type="pct"/>
                  <w:noWrap w:val="0"/>
                  <w:vAlign w:val="center"/>
                </w:tcPr>
                <w:p w14:paraId="4F4978D3">
                  <w:pPr>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动植物油</w:t>
                  </w:r>
                </w:p>
              </w:tc>
              <w:tc>
                <w:tcPr>
                  <w:tcW w:w="1250" w:type="pct"/>
                  <w:noWrap w:val="0"/>
                  <w:vAlign w:val="center"/>
                </w:tcPr>
                <w:p w14:paraId="68A63831">
                  <w:pPr>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100</w:t>
                  </w:r>
                </w:p>
              </w:tc>
            </w:tr>
            <w:tr w14:paraId="7DC75EF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49" w:type="pct"/>
                  <w:noWrap w:val="0"/>
                  <w:vAlign w:val="center"/>
                </w:tcPr>
                <w:p w14:paraId="1225990A">
                  <w:pPr>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总磷</w:t>
                  </w:r>
                </w:p>
              </w:tc>
              <w:tc>
                <w:tcPr>
                  <w:tcW w:w="1250" w:type="pct"/>
                  <w:noWrap w:val="0"/>
                  <w:vAlign w:val="center"/>
                </w:tcPr>
                <w:p w14:paraId="2B05B4C6">
                  <w:pPr>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r>
                    <w:rPr>
                      <w:rFonts w:hint="eastAsia" w:ascii="Times New Roman" w:hAnsi="Times New Roman"/>
                      <w:color w:val="000000" w:themeColor="text1"/>
                      <w:sz w:val="21"/>
                      <w:szCs w:val="21"/>
                      <w:highlight w:val="none"/>
                      <w:lang w:eastAsia="zh-CN"/>
                      <w14:textFill>
                        <w14:solidFill>
                          <w14:schemeClr w14:val="tx1"/>
                        </w14:solidFill>
                      </w14:textFill>
                    </w:rPr>
                    <w:t>—</w:t>
                  </w:r>
                </w:p>
              </w:tc>
              <w:tc>
                <w:tcPr>
                  <w:tcW w:w="1250" w:type="pct"/>
                  <w:noWrap w:val="0"/>
                  <w:vAlign w:val="center"/>
                </w:tcPr>
                <w:p w14:paraId="0841C5FF">
                  <w:pPr>
                    <w:jc w:val="center"/>
                    <w:rPr>
                      <w:rFonts w:hint="default"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总氮</w:t>
                  </w:r>
                </w:p>
              </w:tc>
              <w:tc>
                <w:tcPr>
                  <w:tcW w:w="1250" w:type="pct"/>
                  <w:noWrap w:val="0"/>
                  <w:vAlign w:val="center"/>
                </w:tcPr>
                <w:p w14:paraId="0BE341FE">
                  <w:pPr>
                    <w:jc w:val="center"/>
                    <w:rPr>
                      <w:rFonts w:hint="eastAsia" w:ascii="Times New Roman" w:hAnsi="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w:t>
                  </w:r>
                </w:p>
              </w:tc>
            </w:tr>
          </w:tbl>
          <w:p w14:paraId="3E3FF28D">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黑体" w:cs="Times New Roman"/>
                <w:color w:val="000000" w:themeColor="text1"/>
                <w:highlight w:val="none"/>
                <w:lang w:val="en-US" w:eastAsia="zh-CN"/>
                <w14:textFill>
                  <w14:solidFill>
                    <w14:schemeClr w14:val="tx1"/>
                  </w14:solidFill>
                </w14:textFill>
              </w:rPr>
            </w:pPr>
            <w:r>
              <w:rPr>
                <w:rFonts w:hint="eastAsia" w:ascii="Times New Roman" w:hAnsi="Times New Roman" w:eastAsia="黑体" w:cs="Times New Roman"/>
                <w:color w:val="000000" w:themeColor="text1"/>
                <w:highlight w:val="none"/>
                <w:lang w:val="en-US" w:eastAsia="zh-CN"/>
                <w14:textFill>
                  <w14:solidFill>
                    <w14:schemeClr w14:val="tx1"/>
                  </w14:solidFill>
                </w14:textFill>
              </w:rPr>
              <w:t>6</w:t>
            </w:r>
            <w:r>
              <w:rPr>
                <w:rFonts w:hint="default" w:ascii="Times New Roman" w:hAnsi="Times New Roman" w:eastAsia="黑体" w:cs="Times New Roman"/>
                <w:color w:val="000000" w:themeColor="text1"/>
                <w:highlight w:val="none"/>
                <w:lang w:val="en-US" w:eastAsia="zh-CN"/>
                <w14:textFill>
                  <w14:solidFill>
                    <w14:schemeClr w14:val="tx1"/>
                  </w14:solidFill>
                </w14:textFill>
              </w:rPr>
              <w:t>、</w:t>
            </w:r>
            <w:r>
              <w:rPr>
                <w:rFonts w:hint="eastAsia" w:ascii="Times New Roman" w:hAnsi="Times New Roman" w:eastAsia="黑体" w:cs="Times New Roman"/>
                <w:color w:val="000000" w:themeColor="text1"/>
                <w:highlight w:val="none"/>
                <w:lang w:val="en-US" w:eastAsia="zh-CN"/>
                <w14:textFill>
                  <w14:solidFill>
                    <w14:schemeClr w14:val="tx1"/>
                  </w14:solidFill>
                </w14:textFill>
              </w:rPr>
              <w:t>固体废物</w:t>
            </w:r>
            <w:r>
              <w:rPr>
                <w:rFonts w:hint="default" w:ascii="Times New Roman" w:hAnsi="Times New Roman" w:eastAsia="黑体" w:cs="Times New Roman"/>
                <w:color w:val="000000" w:themeColor="text1"/>
                <w:highlight w:val="none"/>
                <w:lang w:val="en-US" w:eastAsia="zh-CN"/>
                <w14:textFill>
                  <w14:solidFill>
                    <w14:schemeClr w14:val="tx1"/>
                  </w14:solidFill>
                </w14:textFill>
              </w:rPr>
              <w:t>标准</w:t>
            </w:r>
          </w:p>
          <w:p w14:paraId="693C9805">
            <w:pPr>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jc w:val="both"/>
              <w:textAlignment w:val="auto"/>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本项目固体废物执行《一般工业固体废物贮存和填埋污染控制标准》（GB 18599-20</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20</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）有关规定。</w:t>
            </w:r>
          </w:p>
        </w:tc>
      </w:tr>
      <w:tr w14:paraId="4C1580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90" w:hRule="atLeast"/>
          <w:jc w:val="center"/>
        </w:trPr>
        <w:tc>
          <w:tcPr>
            <w:tcW w:w="773" w:type="dxa"/>
            <w:tcBorders>
              <w:top w:val="single" w:color="auto" w:sz="4" w:space="0"/>
              <w:left w:val="single" w:color="auto" w:sz="8" w:space="0"/>
              <w:bottom w:val="single" w:color="auto" w:sz="8" w:space="0"/>
              <w:right w:val="single" w:color="auto" w:sz="4" w:space="0"/>
              <w:tl2br w:val="nil"/>
              <w:tr2bl w:val="nil"/>
            </w:tcBorders>
            <w:noWrap w:val="0"/>
            <w:vAlign w:val="center"/>
          </w:tcPr>
          <w:p w14:paraId="6995E771">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总量</w:t>
            </w:r>
          </w:p>
          <w:p w14:paraId="362292C5">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控制</w:t>
            </w:r>
          </w:p>
          <w:p w14:paraId="6E486A50">
            <w:pPr>
              <w:adjustRightInd w:val="0"/>
              <w:snapToGrid w:val="0"/>
              <w:spacing w:beforeLines="0" w:afterLines="0"/>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指标</w:t>
            </w:r>
          </w:p>
        </w:tc>
        <w:tc>
          <w:tcPr>
            <w:tcW w:w="8287" w:type="dxa"/>
            <w:tcBorders>
              <w:top w:val="single" w:color="auto" w:sz="4" w:space="0"/>
              <w:left w:val="single" w:color="auto" w:sz="4" w:space="0"/>
              <w:bottom w:val="single" w:color="auto" w:sz="8" w:space="0"/>
              <w:right w:val="single" w:color="auto" w:sz="8" w:space="0"/>
              <w:tl2br w:val="nil"/>
              <w:tr2bl w:val="nil"/>
            </w:tcBorders>
            <w:noWrap w:val="0"/>
            <w:vAlign w:val="top"/>
          </w:tcPr>
          <w:p w14:paraId="2D8C806C">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olor w:val="000000" w:themeColor="text1"/>
                <w:sz w:val="24"/>
                <w:highlight w:val="none"/>
                <w14:textFill>
                  <w14:solidFill>
                    <w14:schemeClr w14:val="tx1"/>
                  </w14:solidFill>
                </w14:textFill>
              </w:rPr>
            </w:pPr>
            <w:r>
              <w:rPr>
                <w:rFonts w:ascii="Times New Roman" w:hAnsi="Times New Roman"/>
                <w:color w:val="000000" w:themeColor="text1"/>
                <w:sz w:val="24"/>
                <w:highlight w:val="none"/>
                <w14:textFill>
                  <w14:solidFill>
                    <w14:schemeClr w14:val="tx1"/>
                  </w14:solidFill>
                </w14:textFill>
              </w:rPr>
              <w:t>根据《</w:t>
            </w:r>
            <w:r>
              <w:rPr>
                <w:rFonts w:hint="eastAsia" w:ascii="Times New Roman" w:hAnsi="Times New Roman"/>
                <w:color w:val="000000" w:themeColor="text1"/>
                <w:sz w:val="24"/>
                <w:highlight w:val="none"/>
                <w14:textFill>
                  <w14:solidFill>
                    <w14:schemeClr w14:val="tx1"/>
                  </w14:solidFill>
                </w14:textFill>
              </w:rPr>
              <w:t>“十</w:t>
            </w:r>
            <w:r>
              <w:rPr>
                <w:rFonts w:hint="eastAsia" w:ascii="Times New Roman" w:hAnsi="Times New Roman"/>
                <w:color w:val="000000" w:themeColor="text1"/>
                <w:sz w:val="24"/>
                <w:highlight w:val="none"/>
                <w:lang w:val="en-US" w:eastAsia="zh-CN"/>
                <w14:textFill>
                  <w14:solidFill>
                    <w14:schemeClr w14:val="tx1"/>
                  </w14:solidFill>
                </w14:textFill>
              </w:rPr>
              <w:t>四</w:t>
            </w:r>
            <w:r>
              <w:rPr>
                <w:rFonts w:hint="eastAsia" w:ascii="Times New Roman" w:hAnsi="Times New Roman"/>
                <w:color w:val="000000" w:themeColor="text1"/>
                <w:sz w:val="24"/>
                <w:highlight w:val="none"/>
                <w14:textFill>
                  <w14:solidFill>
                    <w14:schemeClr w14:val="tx1"/>
                  </w14:solidFill>
                </w14:textFill>
              </w:rPr>
              <w:t>五”主要污染物总量控制规划编制技术指南</w:t>
            </w:r>
            <w:r>
              <w:rPr>
                <w:rFonts w:ascii="Times New Roman" w:hAnsi="Times New Roman"/>
                <w:color w:val="000000" w:themeColor="text1"/>
                <w:sz w:val="24"/>
                <w:highlight w:val="none"/>
                <w14:textFill>
                  <w14:solidFill>
                    <w14:schemeClr w14:val="tx1"/>
                  </w14:solidFill>
                </w14:textFill>
              </w:rPr>
              <w:t>》</w:t>
            </w:r>
            <w:r>
              <w:rPr>
                <w:rFonts w:hint="eastAsia" w:ascii="Times New Roman" w:hAnsi="Times New Roman"/>
                <w:color w:val="000000" w:themeColor="text1"/>
                <w:sz w:val="24"/>
                <w:highlight w:val="none"/>
                <w14:textFill>
                  <w14:solidFill>
                    <w14:schemeClr w14:val="tx1"/>
                  </w14:solidFill>
                </w14:textFill>
              </w:rPr>
              <w:t>，</w:t>
            </w:r>
            <w:r>
              <w:rPr>
                <w:rFonts w:ascii="Times New Roman" w:hAnsi="Times New Roman"/>
                <w:color w:val="000000" w:themeColor="text1"/>
                <w:sz w:val="24"/>
                <w:highlight w:val="none"/>
                <w14:textFill>
                  <w14:solidFill>
                    <w14:schemeClr w14:val="tx1"/>
                  </w14:solidFill>
                </w14:textFill>
              </w:rPr>
              <w:t>我国</w:t>
            </w:r>
            <w:r>
              <w:rPr>
                <w:rFonts w:hint="eastAsia" w:ascii="Times New Roman" w:hAnsi="Times New Roman"/>
                <w:color w:val="000000" w:themeColor="text1"/>
                <w:sz w:val="24"/>
                <w:highlight w:val="none"/>
                <w14:textFill>
                  <w14:solidFill>
                    <w14:schemeClr w14:val="tx1"/>
                  </w14:solidFill>
                </w14:textFill>
              </w:rPr>
              <w:t>“</w:t>
            </w:r>
            <w:r>
              <w:rPr>
                <w:rFonts w:ascii="Times New Roman" w:hAnsi="Times New Roman"/>
                <w:color w:val="000000" w:themeColor="text1"/>
                <w:sz w:val="24"/>
                <w:highlight w:val="none"/>
                <w14:textFill>
                  <w14:solidFill>
                    <w14:schemeClr w14:val="tx1"/>
                  </w14:solidFill>
                </w14:textFill>
              </w:rPr>
              <w:t>十</w:t>
            </w:r>
            <w:r>
              <w:rPr>
                <w:rFonts w:hint="eastAsia" w:ascii="Times New Roman" w:hAnsi="Times New Roman"/>
                <w:color w:val="000000" w:themeColor="text1"/>
                <w:sz w:val="24"/>
                <w:highlight w:val="none"/>
                <w:lang w:val="en-US" w:eastAsia="zh-CN"/>
                <w14:textFill>
                  <w14:solidFill>
                    <w14:schemeClr w14:val="tx1"/>
                  </w14:solidFill>
                </w14:textFill>
              </w:rPr>
              <w:t>四</w:t>
            </w:r>
            <w:r>
              <w:rPr>
                <w:rFonts w:ascii="Times New Roman" w:hAnsi="Times New Roman"/>
                <w:color w:val="000000" w:themeColor="text1"/>
                <w:sz w:val="24"/>
                <w:highlight w:val="none"/>
                <w14:textFill>
                  <w14:solidFill>
                    <w14:schemeClr w14:val="tx1"/>
                  </w14:solidFill>
                </w14:textFill>
              </w:rPr>
              <w:t>五</w:t>
            </w:r>
            <w:r>
              <w:rPr>
                <w:rFonts w:hint="eastAsia" w:ascii="Times New Roman" w:hAnsi="Times New Roman"/>
                <w:color w:val="000000" w:themeColor="text1"/>
                <w:sz w:val="24"/>
                <w:highlight w:val="none"/>
                <w14:textFill>
                  <w14:solidFill>
                    <w14:schemeClr w14:val="tx1"/>
                  </w14:solidFill>
                </w14:textFill>
              </w:rPr>
              <w:t>”</w:t>
            </w:r>
            <w:r>
              <w:rPr>
                <w:rFonts w:ascii="Times New Roman" w:hAnsi="Times New Roman"/>
                <w:color w:val="000000" w:themeColor="text1"/>
                <w:sz w:val="24"/>
                <w:highlight w:val="none"/>
                <w14:textFill>
                  <w14:solidFill>
                    <w14:schemeClr w14:val="tx1"/>
                  </w14:solidFill>
                </w14:textFill>
              </w:rPr>
              <w:t>期间</w:t>
            </w:r>
            <w:r>
              <w:rPr>
                <w:rFonts w:hint="eastAsia" w:ascii="Times New Roman" w:hAnsi="Times New Roman"/>
                <w:color w:val="000000" w:themeColor="text1"/>
                <w:sz w:val="24"/>
                <w:highlight w:val="none"/>
                <w14:textFill>
                  <w14:solidFill>
                    <w14:schemeClr w14:val="tx1"/>
                  </w14:solidFill>
                </w14:textFill>
              </w:rPr>
              <w:t>主要</w:t>
            </w:r>
            <w:r>
              <w:rPr>
                <w:rFonts w:hint="eastAsia" w:ascii="宋体" w:hAnsi="宋体" w:eastAsia="宋体" w:cs="宋体"/>
                <w:color w:val="000000" w:themeColor="text1"/>
                <w:sz w:val="24"/>
                <w:highlight w:val="none"/>
                <w:lang w:val="en-US" w:eastAsia="zh-CN"/>
                <w14:textFill>
                  <w14:solidFill>
                    <w14:schemeClr w14:val="tx1"/>
                  </w14:solidFill>
                </w14:textFill>
              </w:rPr>
              <w:t>对挥发性有机物、化学需氧量、氨氮和氮氧化物这四种污染物实行排放总量控制。</w:t>
            </w:r>
          </w:p>
          <w:p w14:paraId="0059833D">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color w:val="000000" w:themeColor="text1"/>
                <w:sz w:val="24"/>
                <w:highlight w:val="none"/>
                <w:lang w:val="en-US" w:eastAsia="zh-CN"/>
                <w14:textFill>
                  <w14:solidFill>
                    <w14:schemeClr w14:val="tx1"/>
                  </w14:solidFill>
                </w14:textFill>
              </w:rPr>
            </w:pPr>
            <w:r>
              <w:rPr>
                <w:rFonts w:hint="eastAsia" w:ascii="宋体" w:hAnsi="宋体" w:eastAsia="宋体" w:cs="宋体"/>
                <w:color w:val="000000" w:themeColor="text1"/>
                <w:sz w:val="24"/>
                <w:highlight w:val="none"/>
                <w:lang w:val="en-US" w:eastAsia="zh-CN"/>
                <w14:textFill>
                  <w14:solidFill>
                    <w14:schemeClr w14:val="tx1"/>
                  </w14:solidFill>
                </w14:textFill>
              </w:rPr>
              <w:t>本项目无化学需氧量、氨氮、挥发性有机物和氮氧化物</w:t>
            </w:r>
            <w:r>
              <w:rPr>
                <w:rFonts w:hint="eastAsia" w:ascii="宋体" w:hAnsi="宋体" w:cs="宋体"/>
                <w:color w:val="000000" w:themeColor="text1"/>
                <w:sz w:val="24"/>
                <w:highlight w:val="none"/>
                <w:lang w:val="en-US" w:eastAsia="zh-CN"/>
                <w14:textFill>
                  <w14:solidFill>
                    <w14:schemeClr w14:val="tx1"/>
                  </w14:solidFill>
                </w14:textFill>
              </w:rPr>
              <w:t>排放</w:t>
            </w:r>
            <w:r>
              <w:rPr>
                <w:rFonts w:hint="eastAsia" w:ascii="宋体" w:hAnsi="宋体" w:eastAsia="宋体" w:cs="宋体"/>
                <w:color w:val="000000" w:themeColor="text1"/>
                <w:sz w:val="24"/>
                <w:highlight w:val="none"/>
                <w:lang w:val="en-US" w:eastAsia="zh-CN"/>
                <w14:textFill>
                  <w14:solidFill>
                    <w14:schemeClr w14:val="tx1"/>
                  </w14:solidFill>
                </w14:textFill>
              </w:rPr>
              <w:t>。</w:t>
            </w:r>
          </w:p>
        </w:tc>
      </w:tr>
    </w:tbl>
    <w:p w14:paraId="56362691">
      <w:pPr>
        <w:rPr>
          <w:rFonts w:hint="default" w:ascii="Times New Roman" w:hAnsi="Times New Roman" w:eastAsia="黑体" w:cs="Times New Roman"/>
          <w:snapToGrid w:val="0"/>
          <w:sz w:val="30"/>
          <w:szCs w:val="24"/>
          <w:highlight w:val="yellow"/>
        </w:rPr>
      </w:pPr>
      <w:r>
        <w:rPr>
          <w:rFonts w:hint="default" w:ascii="Times New Roman" w:hAnsi="Times New Roman" w:eastAsia="黑体" w:cs="Times New Roman"/>
          <w:snapToGrid w:val="0"/>
          <w:sz w:val="30"/>
          <w:szCs w:val="24"/>
          <w:highlight w:val="yellow"/>
        </w:rPr>
        <w:br w:type="page"/>
      </w:r>
    </w:p>
    <w:p w14:paraId="5E8BB7A5">
      <w:pPr>
        <w:pStyle w:val="20"/>
        <w:spacing w:beforeLines="0" w:afterLines="0"/>
        <w:jc w:val="center"/>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四、主要环境影响和保护措施</w:t>
      </w:r>
    </w:p>
    <w:tbl>
      <w:tblPr>
        <w:tblStyle w:val="24"/>
        <w:tblW w:w="898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13"/>
        <w:gridCol w:w="8367"/>
      </w:tblGrid>
      <w:tr w14:paraId="52A40A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3" w:hRule="atLeast"/>
          <w:jc w:val="center"/>
        </w:trPr>
        <w:tc>
          <w:tcPr>
            <w:tcW w:w="613" w:type="dxa"/>
            <w:tcBorders>
              <w:top w:val="single" w:color="auto" w:sz="8" w:space="0"/>
              <w:left w:val="single" w:color="auto" w:sz="8" w:space="0"/>
              <w:bottom w:val="single" w:color="auto" w:sz="4" w:space="0"/>
              <w:right w:val="single" w:color="auto" w:sz="4" w:space="0"/>
              <w:tl2br w:val="nil"/>
              <w:tr2bl w:val="nil"/>
            </w:tcBorders>
            <w:noWrap w:val="0"/>
            <w:tcMar>
              <w:left w:w="28" w:type="dxa"/>
              <w:right w:w="28" w:type="dxa"/>
            </w:tcMar>
            <w:vAlign w:val="center"/>
          </w:tcPr>
          <w:p w14:paraId="7D453A07">
            <w:pPr>
              <w:pStyle w:val="20"/>
              <w:adjustRightInd w:val="0"/>
              <w:snapToGrid w:val="0"/>
              <w:spacing w:before="0" w:beforeLines="0" w:beforeAutospacing="0" w:after="0" w:afterLines="0" w:afterAutospacing="0"/>
              <w:jc w:val="center"/>
              <w:rPr>
                <w:rFonts w:hint="default" w:ascii="Times New Roman" w:hAnsi="Times New Roman" w:eastAsia="宋体" w:cs="Times New Roman"/>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14:textFill>
                  <w14:solidFill>
                    <w14:schemeClr w14:val="tx1"/>
                  </w14:solidFill>
                </w14:textFill>
              </w:rPr>
              <w:t>施工</w:t>
            </w:r>
          </w:p>
          <w:p w14:paraId="2003F56C">
            <w:pPr>
              <w:pStyle w:val="20"/>
              <w:adjustRightInd w:val="0"/>
              <w:snapToGrid w:val="0"/>
              <w:spacing w:before="0" w:beforeLines="0" w:beforeAutospacing="0" w:after="0" w:afterLines="0" w:afterAutospacing="0"/>
              <w:jc w:val="center"/>
              <w:rPr>
                <w:rFonts w:hint="default" w:ascii="Times New Roman" w:hAnsi="Times New Roman" w:eastAsia="宋体" w:cs="Times New Roman"/>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14:textFill>
                  <w14:solidFill>
                    <w14:schemeClr w14:val="tx1"/>
                  </w14:solidFill>
                </w14:textFill>
              </w:rPr>
              <w:t>期环</w:t>
            </w:r>
          </w:p>
          <w:p w14:paraId="06DFA1FC">
            <w:pPr>
              <w:pStyle w:val="20"/>
              <w:adjustRightInd w:val="0"/>
              <w:snapToGrid w:val="0"/>
              <w:spacing w:before="0" w:beforeLines="0" w:beforeAutospacing="0" w:after="0" w:afterLines="0" w:afterAutospacing="0"/>
              <w:jc w:val="center"/>
              <w:rPr>
                <w:rFonts w:hint="default" w:ascii="Times New Roman" w:hAnsi="Times New Roman" w:eastAsia="宋体" w:cs="Times New Roman"/>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14:textFill>
                  <w14:solidFill>
                    <w14:schemeClr w14:val="tx1"/>
                  </w14:solidFill>
                </w14:textFill>
              </w:rPr>
              <w:t>境保</w:t>
            </w:r>
          </w:p>
          <w:p w14:paraId="57E3EA3E">
            <w:pPr>
              <w:pStyle w:val="20"/>
              <w:adjustRightInd w:val="0"/>
              <w:snapToGrid w:val="0"/>
              <w:spacing w:before="0" w:beforeLines="0" w:beforeAutospacing="0" w:after="0" w:afterLines="0" w:afterAutospacing="0"/>
              <w:jc w:val="center"/>
              <w:rPr>
                <w:rFonts w:hint="default" w:ascii="Times New Roman" w:hAnsi="Times New Roman" w:eastAsia="宋体" w:cs="Times New Roman"/>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14:textFill>
                  <w14:solidFill>
                    <w14:schemeClr w14:val="tx1"/>
                  </w14:solidFill>
                </w14:textFill>
              </w:rPr>
              <w:t>护措</w:t>
            </w:r>
          </w:p>
          <w:p w14:paraId="63B6BF0A">
            <w:pPr>
              <w:pStyle w:val="20"/>
              <w:adjustRightInd w:val="0"/>
              <w:snapToGrid w:val="0"/>
              <w:spacing w:before="0" w:beforeLines="0" w:beforeAutospacing="0" w:after="0" w:afterLines="0" w:afterAutospacing="0"/>
              <w:jc w:val="center"/>
              <w:rPr>
                <w:rFonts w:hint="default" w:ascii="Times New Roman" w:hAnsi="Times New Roman" w:eastAsia="宋体" w:cs="Times New Roman"/>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14:textFill>
                  <w14:solidFill>
                    <w14:schemeClr w14:val="tx1"/>
                  </w14:solidFill>
                </w14:textFill>
              </w:rPr>
              <w:t>施</w:t>
            </w:r>
          </w:p>
        </w:tc>
        <w:tc>
          <w:tcPr>
            <w:tcW w:w="8367" w:type="dxa"/>
            <w:tcBorders>
              <w:top w:val="single" w:color="auto" w:sz="8" w:space="0"/>
              <w:left w:val="single" w:color="auto" w:sz="4" w:space="0"/>
              <w:bottom w:val="single" w:color="auto" w:sz="4" w:space="0"/>
              <w:right w:val="single" w:color="auto" w:sz="8" w:space="0"/>
              <w:tl2br w:val="nil"/>
              <w:tr2bl w:val="nil"/>
            </w:tcBorders>
            <w:noWrap w:val="0"/>
            <w:vAlign w:val="center"/>
          </w:tcPr>
          <w:p w14:paraId="0247304F">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宋体"/>
                <w:b/>
                <w:bCs/>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1、施工期大气污染防治措施</w:t>
            </w:r>
          </w:p>
          <w:p w14:paraId="612DCE5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为保护好</w:t>
            </w:r>
            <w:r>
              <w:rPr>
                <w:rFonts w:hint="eastAsia" w:ascii="Times New Roman" w:hAnsi="Times New Roman" w:cs="宋体"/>
                <w:color w:val="000000" w:themeColor="text1"/>
                <w:highlight w:val="none"/>
                <w:lang w:val="en-US" w:eastAsia="zh-CN"/>
                <w14:textFill>
                  <w14:solidFill>
                    <w14:schemeClr w14:val="tx1"/>
                  </w14:solidFill>
                </w14:textFill>
              </w:rPr>
              <w:t>空气及</w:t>
            </w:r>
            <w:r>
              <w:rPr>
                <w:rFonts w:hint="eastAsia" w:ascii="Times New Roman" w:hAnsi="Times New Roman" w:cs="宋体"/>
                <w:color w:val="000000" w:themeColor="text1"/>
                <w:highlight w:val="none"/>
                <w14:textFill>
                  <w14:solidFill>
                    <w14:schemeClr w14:val="tx1"/>
                  </w14:solidFill>
                </w14:textFill>
              </w:rPr>
              <w:t>环境</w:t>
            </w:r>
            <w:r>
              <w:rPr>
                <w:rFonts w:hint="eastAsia" w:ascii="Times New Roman" w:hAnsi="Times New Roman" w:cs="宋体"/>
                <w:color w:val="000000" w:themeColor="text1"/>
                <w:highlight w:val="none"/>
                <w:lang w:val="en-US" w:eastAsia="zh-CN"/>
                <w14:textFill>
                  <w14:solidFill>
                    <w14:schemeClr w14:val="tx1"/>
                  </w14:solidFill>
                </w14:textFill>
              </w:rPr>
              <w:t>保护目标</w:t>
            </w:r>
            <w:r>
              <w:rPr>
                <w:rFonts w:hint="eastAsia" w:ascii="Times New Roman" w:hAnsi="Times New Roman" w:cs="宋体"/>
                <w:color w:val="000000" w:themeColor="text1"/>
                <w:highlight w:val="none"/>
                <w14:textFill>
                  <w14:solidFill>
                    <w14:schemeClr w14:val="tx1"/>
                  </w14:solidFill>
                </w14:textFill>
              </w:rPr>
              <w:t>，降低施工过</w:t>
            </w:r>
            <w:r>
              <w:rPr>
                <w:rFonts w:hint="eastAsia" w:ascii="Times New Roman" w:hAnsi="Times New Roman" w:cs="宋体"/>
                <w:color w:val="000000" w:themeColor="text1"/>
                <w:highlight w:val="none"/>
                <w:lang w:eastAsia="zh-CN"/>
                <w14:textFill>
                  <w14:solidFill>
                    <w14:schemeClr w14:val="tx1"/>
                  </w14:solidFill>
                </w14:textFill>
              </w:rPr>
              <w:t>程中</w:t>
            </w:r>
            <w:r>
              <w:rPr>
                <w:rFonts w:hint="eastAsia" w:ascii="Times New Roman" w:hAnsi="Times New Roman" w:cs="宋体"/>
                <w:color w:val="000000" w:themeColor="text1"/>
                <w:highlight w:val="none"/>
                <w14:textFill>
                  <w14:solidFill>
                    <w14:schemeClr w14:val="tx1"/>
                  </w14:solidFill>
                </w14:textFill>
              </w:rPr>
              <w:t>对周围区域及环境保护目标的扬尘污染，建设单位应严格按照有关要求，采取以下施工污染控制措施：</w:t>
            </w:r>
          </w:p>
          <w:p w14:paraId="073025B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（1）本项目在施工期要制定日常监督检查工作计划与方案，对易起尘物料实行库存或加盖苫布，运输车辆100%密闭运输，应按要求配装密闭装置、不得超载、对易起尘物料加盖</w:t>
            </w:r>
            <w:r>
              <w:rPr>
                <w:rFonts w:hint="eastAsia" w:ascii="Times New Roman" w:hAnsi="Times New Roman" w:cs="宋体"/>
                <w:color w:val="000000" w:themeColor="text1"/>
                <w:highlight w:val="none"/>
                <w:lang w:eastAsia="zh-CN"/>
                <w14:textFill>
                  <w14:solidFill>
                    <w14:schemeClr w14:val="tx1"/>
                  </w14:solidFill>
                </w14:textFill>
              </w:rPr>
              <w:t>篷布</w:t>
            </w:r>
            <w:r>
              <w:rPr>
                <w:rFonts w:hint="eastAsia" w:ascii="Times New Roman" w:hAnsi="Times New Roman" w:cs="宋体"/>
                <w:color w:val="000000" w:themeColor="text1"/>
                <w:highlight w:val="none"/>
                <w14:textFill>
                  <w14:solidFill>
                    <w14:schemeClr w14:val="tx1"/>
                  </w14:solidFill>
                </w14:textFill>
              </w:rPr>
              <w:t>、控制车速、减少卸料落差等内容。结合周围敏感点分布情况，物料堆存点应设置在场地内东南侧出入口附近。</w:t>
            </w:r>
          </w:p>
          <w:p w14:paraId="21B905C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（2）出入车辆100%冲洗，施工现场的出入口均设置车辆冲洗台，配备保洁员负责车辆和进出口道路的冲洗、清扫和保洁工作；运输车辆出场前应冲洗干净确保车轮、车身不带泥。</w:t>
            </w:r>
          </w:p>
          <w:p w14:paraId="1FFF60B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（3）施工过程中使用水泥、石灰、砂石、涂料、铺装材料等易产生扬尘的建筑材料，100%遮盖，应采取诸如密闭存储、防尘布苫盖等有效的防尘措施。</w:t>
            </w:r>
          </w:p>
          <w:p w14:paraId="3FC1E57B">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（4）建设工程施工现场必须设立垃圾站，并及时回收、清运垃圾及工程废土；高处工程垃圾应用容器垂直清运，严禁凌空</w:t>
            </w:r>
            <w:r>
              <w:rPr>
                <w:rFonts w:hint="eastAsia" w:ascii="Times New Roman" w:hAnsi="Times New Roman" w:cs="宋体"/>
                <w:color w:val="000000" w:themeColor="text1"/>
                <w:highlight w:val="none"/>
                <w:lang w:eastAsia="zh-CN"/>
                <w14:textFill>
                  <w14:solidFill>
                    <w14:schemeClr w14:val="tx1"/>
                  </w14:solidFill>
                </w14:textFill>
              </w:rPr>
              <w:t>抛洒</w:t>
            </w:r>
            <w:r>
              <w:rPr>
                <w:rFonts w:hint="eastAsia" w:ascii="Times New Roman" w:hAnsi="Times New Roman" w:cs="宋体"/>
                <w:color w:val="000000" w:themeColor="text1"/>
                <w:highlight w:val="none"/>
                <w14:textFill>
                  <w14:solidFill>
                    <w14:schemeClr w14:val="tx1"/>
                  </w14:solidFill>
                </w14:textFill>
              </w:rPr>
              <w:t>及乱倒乱卸。</w:t>
            </w:r>
          </w:p>
          <w:p w14:paraId="1EB9339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（5）建立洒水清扫制度，指定专人负责洒水和清扫工作。施工单位保洁责任区的范围应根据施工扬尘影响情况确定，一般设在施工工地周围20m范围内。</w:t>
            </w:r>
          </w:p>
          <w:p w14:paraId="1EEFF5B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（6）建筑工地必须使用预拌混凝土，禁止现场搅拌，禁止现场消化石灰、</w:t>
            </w:r>
            <w:r>
              <w:rPr>
                <w:rFonts w:hint="eastAsia" w:ascii="Times New Roman" w:hAnsi="Times New Roman" w:cs="宋体"/>
                <w:color w:val="000000" w:themeColor="text1"/>
                <w:highlight w:val="none"/>
                <w:lang w:eastAsia="zh-CN"/>
                <w14:textFill>
                  <w14:solidFill>
                    <w14:schemeClr w14:val="tx1"/>
                  </w14:solidFill>
                </w14:textFill>
              </w:rPr>
              <w:t>拌和成</w:t>
            </w:r>
            <w:r>
              <w:rPr>
                <w:rFonts w:hint="eastAsia" w:ascii="Times New Roman" w:hAnsi="Times New Roman" w:cs="宋体"/>
                <w:color w:val="000000" w:themeColor="text1"/>
                <w:highlight w:val="none"/>
                <w14:textFill>
                  <w14:solidFill>
                    <w14:schemeClr w14:val="tx1"/>
                  </w14:solidFill>
                </w14:textFill>
              </w:rPr>
              <w:t>土或其他有严重粉尘污染的作业；禁止焚烧各类垃圾，禁止使用燃煤取暖做饭。</w:t>
            </w:r>
          </w:p>
          <w:p w14:paraId="7C2F6D82">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（7）建筑工地周边100%围挡，围挡高度不得低于2.5m，围挡底端应设置防溢座，围挡之间以及围挡与防溢座之间无缝隙。对于特殊地点无法设置围挡、围栏及防溢座的，应设置警示牌；</w:t>
            </w:r>
          </w:p>
          <w:p w14:paraId="4845790A">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（8）注意气象条件变化，场地平整应尽量避开风速大、湿度小的气象条件。当出现4级及以上风力天气情况时禁止进行土方施工，同时作业处覆以防尘网。</w:t>
            </w:r>
          </w:p>
          <w:p w14:paraId="329C411A">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（9）施工现场出入口、操作场地、材料堆场、厂内道路均100%采取硬化措施，并辅以洒水降尘措施，保证不扬尘，不泥泞，场地硬化的强度、厚度、宽度应满足安全通行卫生保洁的需要。</w:t>
            </w:r>
          </w:p>
          <w:p w14:paraId="097832D2">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ascii="Times New Roman" w:hAnsi="Times New Roman" w:cs="宋体"/>
                <w:color w:val="000000" w:themeColor="text1"/>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施工建设期间，废气主要来自施工机械排放废气、各种物料运输车辆排放汽车尾气等对环境空气的影响。车辆尾气中主要污染物为NOx及HC等，属间断运行，工程在加强施工车辆运行管理与维护保养情况下，可减少尾气排放对环境的污染，对环境影响小。</w:t>
            </w:r>
          </w:p>
          <w:p w14:paraId="1C566263">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cs="宋体"/>
                <w:color w:val="000000" w:themeColor="text1"/>
                <w:highlight w:val="none"/>
                <w14:textFill>
                  <w14:solidFill>
                    <w14:schemeClr w14:val="tx1"/>
                  </w14:solidFill>
                </w14:textFill>
              </w:rPr>
              <w:t>因此，本项目</w:t>
            </w:r>
            <w:r>
              <w:rPr>
                <w:rFonts w:hint="eastAsia" w:ascii="Times New Roman" w:hAnsi="Times New Roman" w:cs="宋体"/>
                <w:color w:val="000000" w:themeColor="text1"/>
                <w:highlight w:val="none"/>
                <w:lang w:eastAsia="zh-CN"/>
                <w14:textFill>
                  <w14:solidFill>
                    <w14:schemeClr w14:val="tx1"/>
                  </w14:solidFill>
                </w14:textFill>
              </w:rPr>
              <w:t>工程</w:t>
            </w:r>
            <w:r>
              <w:rPr>
                <w:rFonts w:hint="eastAsia" w:ascii="Times New Roman" w:hAnsi="Times New Roman" w:cs="宋体"/>
                <w:color w:val="000000" w:themeColor="text1"/>
                <w:highlight w:val="none"/>
                <w14:textFill>
                  <w14:solidFill>
                    <w14:schemeClr w14:val="tx1"/>
                  </w14:solidFill>
                </w14:textFill>
              </w:rPr>
              <w:t>在施工期采取以上措施后可将施工期对环境空气</w:t>
            </w:r>
            <w:r>
              <w:rPr>
                <w:rFonts w:hint="eastAsia" w:ascii="Times New Roman" w:hAnsi="Times New Roman" w:cs="宋体"/>
                <w:color w:val="000000" w:themeColor="text1"/>
                <w:highlight w:val="none"/>
                <w:lang w:eastAsia="zh-CN"/>
                <w14:textFill>
                  <w14:solidFill>
                    <w14:schemeClr w14:val="tx1"/>
                  </w14:solidFill>
                </w14:textFill>
              </w:rPr>
              <w:t>影响</w:t>
            </w:r>
            <w:r>
              <w:rPr>
                <w:rFonts w:hint="eastAsia" w:ascii="Times New Roman" w:hAnsi="Times New Roman" w:cs="宋体"/>
                <w:color w:val="000000" w:themeColor="text1"/>
                <w:highlight w:val="none"/>
                <w14:textFill>
                  <w14:solidFill>
                    <w14:schemeClr w14:val="tx1"/>
                  </w14:solidFill>
                </w14:textFill>
              </w:rPr>
              <w:t>降低到最低程度，环境可以接受。</w:t>
            </w:r>
          </w:p>
          <w:p w14:paraId="16D12BA9">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宋体"/>
                <w:b/>
                <w:bCs/>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2、施工期噪声污染防治措施</w:t>
            </w:r>
          </w:p>
          <w:p w14:paraId="31E3FB21">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噪声是施工期的重要污染，尤其是近距离污染影响。建筑施工各种机械设备</w:t>
            </w:r>
            <w:r>
              <w:rPr>
                <w:rFonts w:hint="eastAsia" w:ascii="Times New Roman" w:hAnsi="Times New Roman" w:cs="宋体"/>
                <w:color w:val="000000" w:themeColor="text1"/>
                <w:sz w:val="24"/>
                <w:highlight w:val="none"/>
                <w:lang w:eastAsia="zh-CN"/>
                <w14:textFill>
                  <w14:solidFill>
                    <w14:schemeClr w14:val="tx1"/>
                  </w14:solidFill>
                </w14:textFill>
              </w:rPr>
              <w:t>（</w:t>
            </w:r>
            <w:r>
              <w:rPr>
                <w:rFonts w:hint="eastAsia" w:ascii="Times New Roman" w:hAnsi="Times New Roman" w:eastAsia="宋体" w:cs="宋体"/>
                <w:color w:val="000000" w:themeColor="text1"/>
                <w:sz w:val="24"/>
                <w:highlight w:val="none"/>
                <w14:textFill>
                  <w14:solidFill>
                    <w14:schemeClr w14:val="tx1"/>
                  </w14:solidFill>
                </w14:textFill>
              </w:rPr>
              <w:t>推土机、挖掘机、装载机、电动机、打桩机等</w:t>
            </w:r>
            <w:r>
              <w:rPr>
                <w:rFonts w:hint="eastAsia" w:ascii="Times New Roman" w:hAnsi="Times New Roman" w:cs="宋体"/>
                <w:color w:val="000000" w:themeColor="text1"/>
                <w:sz w:val="24"/>
                <w:highlight w:val="none"/>
                <w:lang w:eastAsia="zh-CN"/>
                <w14:textFill>
                  <w14:solidFill>
                    <w14:schemeClr w14:val="tx1"/>
                  </w14:solidFill>
                </w14:textFill>
              </w:rPr>
              <w:t>）</w:t>
            </w:r>
            <w:r>
              <w:rPr>
                <w:rFonts w:hint="eastAsia" w:ascii="Times New Roman" w:hAnsi="Times New Roman" w:eastAsia="宋体" w:cs="宋体"/>
                <w:color w:val="000000" w:themeColor="text1"/>
                <w:sz w:val="24"/>
                <w:highlight w:val="none"/>
                <w14:textFill>
                  <w14:solidFill>
                    <w14:schemeClr w14:val="tx1"/>
                  </w14:solidFill>
                </w14:textFill>
              </w:rPr>
              <w:t>、施工作业及运输车辆产生的噪声，均可对周围环境产生不良影响。建设过程中各个阶段的主要噪声源都不大一样，但这种影响是暂时的，施工结束后即可消失。施工过程中</w:t>
            </w:r>
            <w:r>
              <w:rPr>
                <w:rFonts w:hint="eastAsia" w:ascii="Times New Roman" w:hAnsi="Times New Roman" w:cs="宋体"/>
                <w:color w:val="000000" w:themeColor="text1"/>
                <w:sz w:val="24"/>
                <w:highlight w:val="none"/>
                <w:lang w:eastAsia="zh-CN"/>
                <w14:textFill>
                  <w14:solidFill>
                    <w14:schemeClr w14:val="tx1"/>
                  </w14:solidFill>
                </w14:textFill>
              </w:rPr>
              <w:t>需</w:t>
            </w:r>
            <w:r>
              <w:rPr>
                <w:rFonts w:hint="eastAsia" w:ascii="Times New Roman" w:hAnsi="Times New Roman" w:eastAsia="宋体" w:cs="宋体"/>
                <w:color w:val="000000" w:themeColor="text1"/>
                <w:sz w:val="24"/>
                <w:highlight w:val="none"/>
                <w14:textFill>
                  <w14:solidFill>
                    <w14:schemeClr w14:val="tx1"/>
                  </w14:solidFill>
                </w14:textFill>
              </w:rPr>
              <w:t>采取有效措施防治噪声污染以将影响降至最低，具体措施如下</w:t>
            </w:r>
            <w:r>
              <w:rPr>
                <w:rFonts w:hint="eastAsia" w:ascii="Times New Roman" w:hAnsi="Times New Roman" w:cs="宋体"/>
                <w:color w:val="000000" w:themeColor="text1"/>
                <w:sz w:val="24"/>
                <w:highlight w:val="none"/>
                <w:lang w:eastAsia="zh-CN"/>
                <w14:textFill>
                  <w14:solidFill>
                    <w14:schemeClr w14:val="tx1"/>
                  </w14:solidFill>
                </w14:textFill>
              </w:rPr>
              <w:t>：</w:t>
            </w:r>
          </w:p>
          <w:p w14:paraId="601B1E82">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①合理安排施工时间：制定施工计划时，应尽可能避免大量高噪声设备同时施工。</w:t>
            </w:r>
          </w:p>
          <w:p w14:paraId="5031069F">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②合理布局施工场地：避免在同一地点安装大量动力机械设备，避免局部声级过高。</w:t>
            </w:r>
          </w:p>
          <w:p w14:paraId="21927E4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③降低设备声级：应尽量采用低噪声施工设备，如以液压机械代替燃油机械，振捣器采用高频振捣器等；固定机械设备与挖土、运土机械，如挖掘机、推土机等，可通过排气管</w:t>
            </w:r>
            <w:r>
              <w:rPr>
                <w:rFonts w:hint="eastAsia" w:ascii="Times New Roman" w:hAnsi="Times New Roman" w:cs="宋体"/>
                <w:color w:val="000000" w:themeColor="text1"/>
                <w:sz w:val="24"/>
                <w:highlight w:val="none"/>
                <w:lang w:eastAsia="zh-CN"/>
                <w14:textFill>
                  <w14:solidFill>
                    <w14:schemeClr w14:val="tx1"/>
                  </w14:solidFill>
                </w14:textFill>
              </w:rPr>
              <w:t>消声器</w:t>
            </w:r>
            <w:r>
              <w:rPr>
                <w:rFonts w:hint="eastAsia" w:ascii="Times New Roman" w:hAnsi="Times New Roman" w:eastAsia="宋体" w:cs="宋体"/>
                <w:color w:val="000000" w:themeColor="text1"/>
                <w:sz w:val="24"/>
                <w:highlight w:val="none"/>
                <w14:textFill>
                  <w14:solidFill>
                    <w14:schemeClr w14:val="tx1"/>
                  </w14:solidFill>
                </w14:textFill>
              </w:rPr>
              <w:t>和隔离发动机振动部件的方法降低噪声；对动力机械设备和运输车辆进行定期的维修和养护。</w:t>
            </w:r>
          </w:p>
          <w:p w14:paraId="002FC6F7">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④夜间禁止施工</w:t>
            </w:r>
            <w:r>
              <w:rPr>
                <w:rFonts w:hint="eastAsia" w:ascii="Times New Roman" w:hAnsi="Times New Roman" w:eastAsia="宋体" w:cs="宋体"/>
                <w:color w:val="000000" w:themeColor="text1"/>
                <w:sz w:val="24"/>
                <w:highlight w:val="none"/>
                <w:lang w:eastAsia="zh-CN"/>
                <w14:textFill>
                  <w14:solidFill>
                    <w14:schemeClr w14:val="tx1"/>
                  </w14:solidFill>
                </w14:textFill>
              </w:rPr>
              <w:t>。</w:t>
            </w:r>
          </w:p>
          <w:p w14:paraId="1252E6DF">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宋体"/>
                <w:b/>
                <w:bCs/>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3、施工期废水污染防治措施</w:t>
            </w:r>
          </w:p>
          <w:p w14:paraId="0ECB3838">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eastAsia="zh-CN"/>
                <w14:textFill>
                  <w14:solidFill>
                    <w14:schemeClr w14:val="tx1"/>
                  </w14:solidFill>
                </w14:textFill>
              </w:rPr>
            </w:pPr>
            <w:r>
              <w:rPr>
                <w:rFonts w:hint="eastAsia" w:ascii="Times New Roman" w:hAnsi="Times New Roman" w:eastAsia="宋体" w:cs="宋体"/>
                <w:color w:val="000000" w:themeColor="text1"/>
                <w:sz w:val="24"/>
                <w:highlight w:val="none"/>
                <w:lang w:eastAsia="zh-CN"/>
                <w14:textFill>
                  <w14:solidFill>
                    <w14:schemeClr w14:val="tx1"/>
                  </w14:solidFill>
                </w14:textFill>
              </w:rPr>
              <w:t>施工期废水来源主要为施工场地少量的设备冲洗废水。设备冲洗废水中</w:t>
            </w:r>
            <w:r>
              <w:rPr>
                <w:rFonts w:hint="eastAsia" w:ascii="Times New Roman" w:hAnsi="Times New Roman" w:cs="宋体"/>
                <w:color w:val="000000" w:themeColor="text1"/>
                <w:sz w:val="24"/>
                <w:highlight w:val="none"/>
                <w:lang w:eastAsia="zh-CN"/>
                <w14:textFill>
                  <w14:solidFill>
                    <w14:schemeClr w14:val="tx1"/>
                  </w14:solidFill>
                </w14:textFill>
              </w:rPr>
              <w:t>主要</w:t>
            </w:r>
            <w:r>
              <w:rPr>
                <w:rFonts w:hint="eastAsia" w:ascii="Times New Roman" w:hAnsi="Times New Roman" w:eastAsia="宋体" w:cs="宋体"/>
                <w:color w:val="000000" w:themeColor="text1"/>
                <w:sz w:val="24"/>
                <w:highlight w:val="none"/>
                <w:lang w:eastAsia="zh-CN"/>
                <w14:textFill>
                  <w14:solidFill>
                    <w14:schemeClr w14:val="tx1"/>
                  </w14:solidFill>
                </w14:textFill>
              </w:rPr>
              <w:t>含有一些由水泥碎粒、砂土构成的悬浮物。另外，雨季作业时，场地的地面径流水中也会含有一定量的泥土和悬浮物。施工废水主要污染因子为SS等，废水水质简单，本项目设置沉淀池，施工废水经过沉淀后回用，对环境影响不大。</w:t>
            </w:r>
          </w:p>
          <w:p w14:paraId="55814D3E">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宋体"/>
                <w:b/>
                <w:bCs/>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4、施工期固体废物污染</w:t>
            </w:r>
            <w:r>
              <w:rPr>
                <w:rFonts w:hint="eastAsia" w:ascii="Times New Roman" w:hAnsi="Times New Roman" w:cs="宋体"/>
                <w:b/>
                <w:bCs/>
                <w:color w:val="000000" w:themeColor="text1"/>
                <w:sz w:val="24"/>
                <w:highlight w:val="none"/>
                <w:lang w:val="en-US" w:eastAsia="zh-CN"/>
                <w14:textFill>
                  <w14:solidFill>
                    <w14:schemeClr w14:val="tx1"/>
                  </w14:solidFill>
                </w14:textFill>
              </w:rPr>
              <w:t>防治</w:t>
            </w: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措施</w:t>
            </w:r>
          </w:p>
          <w:p w14:paraId="23C7958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eastAsia="zh-CN"/>
                <w14:textFill>
                  <w14:solidFill>
                    <w14:schemeClr w14:val="tx1"/>
                  </w14:solidFill>
                </w14:textFill>
              </w:rPr>
            </w:pPr>
            <w:r>
              <w:rPr>
                <w:rFonts w:hint="eastAsia" w:ascii="Times New Roman" w:hAnsi="Times New Roman" w:eastAsia="宋体" w:cs="宋体"/>
                <w:color w:val="000000" w:themeColor="text1"/>
                <w:sz w:val="24"/>
                <w:highlight w:val="none"/>
                <w:lang w:eastAsia="zh-CN"/>
                <w14:textFill>
                  <w14:solidFill>
                    <w14:schemeClr w14:val="tx1"/>
                  </w14:solidFill>
                </w14:textFill>
              </w:rPr>
              <w:t>（1）施工中应将丢弃的碎石、混凝土、破砖、包装箱等固体废物统一堆放，集中处理，场地挖掘产生的土石方应切实按照规划要求用于绿化的抬高层及绿地铺设，并尽快利用，以减少堆存时间，若不能确保其全部利用时，需对不能利用部分及时清运出场并运至建筑垃圾指定地点进行统一处理。</w:t>
            </w:r>
          </w:p>
          <w:p w14:paraId="59B2A24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eastAsia" w:ascii="Times New Roman" w:hAnsi="Times New Roman" w:eastAsia="宋体" w:cs="宋体"/>
                <w:color w:val="000000" w:themeColor="text1"/>
                <w:sz w:val="24"/>
                <w:highlight w:val="none"/>
                <w:lang w:eastAsia="zh-CN"/>
                <w14:textFill>
                  <w14:solidFill>
                    <w14:schemeClr w14:val="tx1"/>
                  </w14:solidFill>
                </w14:textFill>
              </w:rPr>
              <w:t>（2）在场中设置垃圾箱，将生活垃圾集中收集，及时清运出场交由环卫部门统一处理。</w:t>
            </w:r>
          </w:p>
        </w:tc>
      </w:tr>
      <w:tr w14:paraId="5644AB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10" w:hRule="atLeast"/>
          <w:jc w:val="center"/>
        </w:trPr>
        <w:tc>
          <w:tcPr>
            <w:tcW w:w="613" w:type="dxa"/>
            <w:tcBorders>
              <w:top w:val="single" w:color="auto" w:sz="4" w:space="0"/>
              <w:left w:val="single" w:color="auto" w:sz="8" w:space="0"/>
              <w:bottom w:val="single" w:color="auto" w:sz="4" w:space="0"/>
              <w:right w:val="single" w:color="auto" w:sz="4" w:space="0"/>
              <w:tl2br w:val="nil"/>
              <w:tr2bl w:val="nil"/>
            </w:tcBorders>
            <w:noWrap w:val="0"/>
            <w:tcMar>
              <w:left w:w="28" w:type="dxa"/>
              <w:right w:w="28" w:type="dxa"/>
            </w:tcMar>
            <w:vAlign w:val="center"/>
          </w:tcPr>
          <w:p w14:paraId="770FAB69">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运营</w:t>
            </w:r>
          </w:p>
          <w:p w14:paraId="4F9337C5">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期环</w:t>
            </w:r>
          </w:p>
          <w:p w14:paraId="1619ECD4">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境影</w:t>
            </w:r>
          </w:p>
          <w:p w14:paraId="76DDF285">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响和</w:t>
            </w:r>
          </w:p>
          <w:p w14:paraId="76F7020A">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保护</w:t>
            </w:r>
          </w:p>
          <w:p w14:paraId="6313768D">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措施</w:t>
            </w:r>
          </w:p>
        </w:tc>
        <w:tc>
          <w:tcPr>
            <w:tcW w:w="8367" w:type="dxa"/>
            <w:tcBorders>
              <w:top w:val="single" w:color="auto" w:sz="4" w:space="0"/>
              <w:left w:val="single" w:color="auto" w:sz="4" w:space="0"/>
              <w:bottom w:val="single" w:color="auto" w:sz="4" w:space="0"/>
              <w:right w:val="single" w:color="auto" w:sz="8" w:space="0"/>
              <w:tl2br w:val="nil"/>
              <w:tr2bl w:val="nil"/>
            </w:tcBorders>
            <w:noWrap w:val="0"/>
            <w:vAlign w:val="center"/>
          </w:tcPr>
          <w:p w14:paraId="639B4DD6">
            <w:pPr>
              <w:keepNext w:val="0"/>
              <w:keepLines w:val="0"/>
              <w:pageBreakBefore w:val="0"/>
              <w:widowControl w:val="0"/>
              <w:kinsoku/>
              <w:wordWrap/>
              <w:overflowPunct/>
              <w:topLinePunct w:val="0"/>
              <w:autoSpaceDE/>
              <w:autoSpaceDN/>
              <w:bidi w:val="0"/>
              <w:adjustRightInd/>
              <w:snapToGrid w:val="0"/>
              <w:spacing w:beforeLines="0" w:line="360" w:lineRule="auto"/>
              <w:ind w:right="0" w:firstLine="482" w:firstLineChars="200"/>
              <w:textAlignment w:val="auto"/>
              <w:rPr>
                <w:rFonts w:hint="default" w:ascii="Times New Roman" w:hAnsi="Times New Roman" w:eastAsia="宋体" w:cs="Times New Roman"/>
                <w:b/>
                <w:bCs w:val="0"/>
                <w:color w:val="000000" w:themeColor="text1"/>
                <w:highlight w:val="none"/>
                <w:lang w:val="en-US" w:eastAsia="zh-CN"/>
                <w14:textFill>
                  <w14:solidFill>
                    <w14:schemeClr w14:val="tx1"/>
                  </w14:solidFill>
                </w14:textFill>
              </w:rPr>
            </w:pPr>
            <w:r>
              <w:rPr>
                <w:rFonts w:hint="default" w:ascii="Times New Roman" w:hAnsi="Times New Roman" w:eastAsia="宋体" w:cs="Times New Roman"/>
                <w:b/>
                <w:bCs w:val="0"/>
                <w:color w:val="000000" w:themeColor="text1"/>
                <w:sz w:val="24"/>
                <w:highlight w:val="none"/>
                <w14:textFill>
                  <w14:solidFill>
                    <w14:schemeClr w14:val="tx1"/>
                  </w14:solidFill>
                </w14:textFill>
              </w:rPr>
              <w:t>1、大气环境影响分析</w:t>
            </w:r>
          </w:p>
          <w:p w14:paraId="28A345FB">
            <w:pPr>
              <w:keepNext w:val="0"/>
              <w:keepLines w:val="0"/>
              <w:pageBreakBefore w:val="0"/>
              <w:widowControl w:val="0"/>
              <w:kinsoku/>
              <w:wordWrap/>
              <w:overflowPunct/>
              <w:topLinePunct w:val="0"/>
              <w:autoSpaceDE/>
              <w:autoSpaceDN/>
              <w:bidi w:val="0"/>
              <w:adjustRightInd/>
              <w:snapToGrid w:val="0"/>
              <w:spacing w:beforeLines="0" w:line="360" w:lineRule="auto"/>
              <w:ind w:right="0" w:firstLine="482" w:firstLineChars="200"/>
              <w:textAlignment w:val="auto"/>
              <w:rPr>
                <w:rFonts w:hint="default" w:ascii="Times New Roman" w:hAnsi="Times New Roman" w:eastAsia="宋体" w:cs="Times New Roman"/>
                <w:b/>
                <w:bCs w:val="0"/>
                <w:color w:val="000000" w:themeColor="text1"/>
                <w:sz w:val="24"/>
                <w:highlight w:val="none"/>
                <w14:textFill>
                  <w14:solidFill>
                    <w14:schemeClr w14:val="tx1"/>
                  </w14:solidFill>
                </w14:textFill>
              </w:rPr>
            </w:pPr>
            <w:r>
              <w:rPr>
                <w:rFonts w:hint="default" w:ascii="Times New Roman" w:hAnsi="Times New Roman" w:eastAsia="宋体" w:cs="Times New Roman"/>
                <w:b/>
                <w:bCs w:val="0"/>
                <w:color w:val="000000" w:themeColor="text1"/>
                <w:sz w:val="24"/>
                <w:highlight w:val="none"/>
                <w14:textFill>
                  <w14:solidFill>
                    <w14:schemeClr w14:val="tx1"/>
                  </w14:solidFill>
                </w14:textFill>
              </w:rPr>
              <w:t>1.1大气污染源源强核算及污染物产排情况</w:t>
            </w:r>
          </w:p>
          <w:p w14:paraId="1E673153">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本项目运营期的废气污染物主要为</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原料</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库装卸、原料贮存、上料</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粉尘</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、储存罐粉尘、车辆运输粉尘。</w:t>
            </w:r>
          </w:p>
          <w:p w14:paraId="25A536E9">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1</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原料</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库装卸、原料贮存、上料</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粉尘</w:t>
            </w:r>
          </w:p>
          <w:p w14:paraId="25258052">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①</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原料</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库装卸粉尘</w:t>
            </w:r>
          </w:p>
          <w:p w14:paraId="70486159">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参照《逸散性工业粉尘控制技术》中“第十八章粒料加工”中“卸料”“碎石”的排放因子，产生系数为0.01kg/t（卸料），本项目石灰石使用量约为</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30</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0150</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t/a，则原料卸料颗粒物产生量为</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3</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t/a。</w:t>
            </w:r>
          </w:p>
          <w:p w14:paraId="27A83820">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②原料贮存粉尘</w:t>
            </w:r>
          </w:p>
          <w:p w14:paraId="1E9DDE1E">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本项目使用原料石灰石堆放在原料</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库</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原料库全封闭</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，并定期洒水抑尘。工业企业固体物料堆存颗粒物包括装卸</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扬</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尘和风蚀扬尘，本项目计算根据生态环境部2021年6月发布的《排放源统计调查产排污核算方法和系数手册》中《固体物料堆存颗粒物产排污核算系数手册》中颗粒物产生量核算公式如下</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p>
          <w:p w14:paraId="642ABF83">
            <w:pPr>
              <w:keepNext w:val="0"/>
              <w:keepLines w:val="0"/>
              <w:pageBreakBefore w:val="0"/>
              <w:widowControl w:val="0"/>
              <w:kinsoku/>
              <w:wordWrap/>
              <w:overflowPunct/>
              <w:topLinePunct w:val="0"/>
              <w:autoSpaceDE/>
              <w:autoSpaceDN/>
              <w:bidi w:val="0"/>
              <w:adjustRightInd/>
              <w:snapToGrid w:val="0"/>
              <w:spacing w:beforeLines="0" w:afterLines="0" w:line="360" w:lineRule="auto"/>
              <w:jc w:val="center"/>
              <w:textAlignment w:val="auto"/>
              <w:rPr>
                <w:color w:val="000000" w:themeColor="text1"/>
                <w14:textFill>
                  <w14:solidFill>
                    <w14:schemeClr w14:val="tx1"/>
                  </w14:solidFill>
                </w14:textFill>
              </w:rPr>
            </w:pPr>
            <w:r>
              <w:rPr>
                <w:color w:val="000000" w:themeColor="text1"/>
                <w14:textFill>
                  <w14:solidFill>
                    <w14:schemeClr w14:val="tx1"/>
                  </w14:solidFill>
                </w14:textFill>
              </w:rPr>
              <w:drawing>
                <wp:inline distT="0" distB="0" distL="114300" distR="114300">
                  <wp:extent cx="5162550" cy="542925"/>
                  <wp:effectExtent l="0" t="0" r="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1"/>
                          <a:stretch>
                            <a:fillRect/>
                          </a:stretch>
                        </pic:blipFill>
                        <pic:spPr>
                          <a:xfrm>
                            <a:off x="0" y="0"/>
                            <a:ext cx="5162550" cy="542925"/>
                          </a:xfrm>
                          <a:prstGeom prst="rect">
                            <a:avLst/>
                          </a:prstGeom>
                          <a:noFill/>
                          <a:ln>
                            <a:noFill/>
                          </a:ln>
                        </pic:spPr>
                      </pic:pic>
                    </a:graphicData>
                  </a:graphic>
                </wp:inline>
              </w:drawing>
            </w:r>
          </w:p>
          <w:p w14:paraId="586B3C1A">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式中</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P</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颗粒物产生量</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单位</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吨</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p>
          <w:p w14:paraId="79F02454">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1200" w:firstLineChars="500"/>
              <w:textAlignment w:val="auto"/>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ZC</w:t>
            </w:r>
            <w:r>
              <w:rPr>
                <w:rFonts w:hint="eastAsia" w:ascii="Times New Roman" w:hAnsi="Times New Roman" w:eastAsia="宋体" w:cs="Times New Roman"/>
                <w:snapToGrid w:val="0"/>
                <w:color w:val="000000" w:themeColor="text1"/>
                <w:kern w:val="0"/>
                <w:sz w:val="24"/>
                <w:highlight w:val="none"/>
                <w:vertAlign w:val="subscript"/>
                <w:lang w:val="en-US" w:eastAsia="zh-CN"/>
                <w14:textFill>
                  <w14:solidFill>
                    <w14:schemeClr w14:val="tx1"/>
                  </w14:solidFill>
                </w14:textFill>
              </w:rPr>
              <w:t>y</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装卸扬尘产生量</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单位</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吨</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p>
          <w:p w14:paraId="5E5CAF84">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1200" w:firstLineChars="500"/>
              <w:textAlignment w:val="auto"/>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FC</w:t>
            </w:r>
            <w:r>
              <w:rPr>
                <w:rFonts w:hint="eastAsia" w:ascii="Times New Roman" w:hAnsi="Times New Roman" w:eastAsia="宋体" w:cs="Times New Roman"/>
                <w:snapToGrid w:val="0"/>
                <w:color w:val="000000" w:themeColor="text1"/>
                <w:kern w:val="0"/>
                <w:sz w:val="24"/>
                <w:highlight w:val="none"/>
                <w:vertAlign w:val="subscript"/>
                <w:lang w:val="en-US" w:eastAsia="zh-CN"/>
                <w14:textFill>
                  <w14:solidFill>
                    <w14:schemeClr w14:val="tx1"/>
                  </w14:solidFill>
                </w14:textFill>
              </w:rPr>
              <w:t>y</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风蚀扬尘产生量</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单位</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吨</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p>
          <w:p w14:paraId="4215280C">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1200" w:firstLineChars="500"/>
              <w:textAlignment w:val="auto"/>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N</w:t>
            </w:r>
            <w:r>
              <w:rPr>
                <w:rFonts w:hint="eastAsia" w:ascii="Times New Roman" w:hAnsi="Times New Roman" w:eastAsia="宋体" w:cs="Times New Roman"/>
                <w:snapToGrid w:val="0"/>
                <w:color w:val="000000" w:themeColor="text1"/>
                <w:kern w:val="0"/>
                <w:sz w:val="24"/>
                <w:highlight w:val="none"/>
                <w:vertAlign w:val="subscript"/>
                <w:lang w:val="en-US" w:eastAsia="zh-CN"/>
                <w14:textFill>
                  <w14:solidFill>
                    <w14:schemeClr w14:val="tx1"/>
                  </w14:solidFill>
                </w14:textFill>
              </w:rPr>
              <w:t>c</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年物料运载车次</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单位</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车</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p>
          <w:p w14:paraId="6515A3EE">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1200" w:firstLineChars="500"/>
              <w:textAlignment w:val="auto"/>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D</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单车平均运载量</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单位</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吨/车</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p>
          <w:p w14:paraId="1D1FAABE">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1200" w:firstLineChars="500"/>
              <w:textAlignment w:val="auto"/>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(a/b)</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装卸扬尘概化系数</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单位</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千克/吨</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，其中a各省风速概化系数，b为物料含水率概化系数</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p>
          <w:p w14:paraId="7E78954A">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1200" w:firstLineChars="500"/>
              <w:textAlignment w:val="auto"/>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E</w:t>
            </w:r>
            <w:r>
              <w:rPr>
                <w:rFonts w:hint="eastAsia" w:ascii="Times New Roman" w:hAnsi="Times New Roman" w:eastAsia="宋体" w:cs="Times New Roman"/>
                <w:snapToGrid w:val="0"/>
                <w:color w:val="000000" w:themeColor="text1"/>
                <w:kern w:val="0"/>
                <w:sz w:val="24"/>
                <w:highlight w:val="none"/>
                <w:vertAlign w:val="subscript"/>
                <w:lang w:val="en-US" w:eastAsia="zh-CN"/>
                <w14:textFill>
                  <w14:solidFill>
                    <w14:schemeClr w14:val="tx1"/>
                  </w14:solidFill>
                </w14:textFill>
              </w:rPr>
              <w:t>f</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堆场风蚀扬尘概化系数，</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单位</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千克/平方米</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p>
          <w:p w14:paraId="00DF70D7">
            <w:pPr>
              <w:keepNext w:val="0"/>
              <w:keepLines w:val="0"/>
              <w:pageBreakBefore w:val="0"/>
              <w:widowControl w:val="0"/>
              <w:numPr>
                <w:ilvl w:val="0"/>
                <w:numId w:val="0"/>
              </w:numPr>
              <w:kinsoku/>
              <w:wordWrap/>
              <w:overflowPunct/>
              <w:topLinePunct w:val="0"/>
              <w:autoSpaceDE/>
              <w:autoSpaceDN/>
              <w:bidi w:val="0"/>
              <w:adjustRightInd/>
              <w:snapToGrid w:val="0"/>
              <w:spacing w:beforeLines="0" w:afterLines="0" w:line="360" w:lineRule="auto"/>
              <w:ind w:firstLine="1200" w:firstLineChars="500"/>
              <w:textAlignment w:val="auto"/>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S—</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堆场占地面积</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单位</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平方米</w:t>
            </w:r>
            <w:r>
              <w:rPr>
                <w:rFonts w:hint="eastAsia"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w:t>
            </w:r>
          </w:p>
          <w:p w14:paraId="7ABD3DBF">
            <w:pPr>
              <w:keepNext w:val="0"/>
              <w:keepLines w:val="0"/>
              <w:pageBreakBefore w:val="0"/>
              <w:widowControl w:val="0"/>
              <w:kinsoku/>
              <w:wordWrap/>
              <w:overflowPunct/>
              <w:topLinePunct w:val="0"/>
              <w:autoSpaceDE/>
              <w:autoSpaceDN/>
              <w:bidi w:val="0"/>
              <w:adjustRightInd/>
              <w:snapToGrid w:val="0"/>
              <w:spacing w:beforeLines="0" w:afterLines="0" w:line="360" w:lineRule="auto"/>
              <w:jc w:val="center"/>
              <w:textAlignment w:val="auto"/>
              <w:rPr>
                <w:rFonts w:hint="default" w:ascii="Times New Roman" w:hAnsi="Times New Roman" w:eastAsia="宋体" w:cs="Times New Roman"/>
                <w:b/>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color w:val="000000" w:themeColor="text1"/>
                <w:sz w:val="24"/>
                <w:szCs w:val="24"/>
                <w:highlight w:val="none"/>
                <w:lang w:val="en-US" w:eastAsia="zh-CN"/>
                <w14:textFill>
                  <w14:solidFill>
                    <w14:schemeClr w14:val="tx1"/>
                  </w14:solidFill>
                </w14:textFill>
              </w:rPr>
              <w:t>表4-1</w:t>
            </w:r>
            <w:r>
              <w:rPr>
                <w:rFonts w:hint="eastAsia" w:ascii="Times New Roman" w:hAnsi="Times New Roman" w:eastAsia="宋体" w:cs="Times New Roman"/>
                <w:b/>
                <w:color w:val="000000" w:themeColor="text1"/>
                <w:sz w:val="24"/>
                <w:szCs w:val="24"/>
                <w:highlight w:val="none"/>
                <w:lang w:val="en-US" w:eastAsia="zh-CN"/>
                <w14:textFill>
                  <w14:solidFill>
                    <w14:schemeClr w14:val="tx1"/>
                  </w14:solidFill>
                </w14:textFill>
              </w:rPr>
              <w:t xml:space="preserve">  </w:t>
            </w:r>
            <w:r>
              <w:rPr>
                <w:rFonts w:hint="default" w:ascii="Times New Roman" w:hAnsi="Times New Roman" w:eastAsia="宋体" w:cs="Times New Roman"/>
                <w:b/>
                <w:color w:val="000000" w:themeColor="text1"/>
                <w:sz w:val="24"/>
                <w:szCs w:val="24"/>
                <w:highlight w:val="none"/>
                <w:lang w:val="en-US" w:eastAsia="zh-CN"/>
                <w14:textFill>
                  <w14:solidFill>
                    <w14:schemeClr w14:val="tx1"/>
                  </w14:solidFill>
                </w14:textFill>
              </w:rPr>
              <w:t>石灰石原料堆存及装卸过程产排颗粒物情况汇总表</w:t>
            </w:r>
          </w:p>
          <w:tbl>
            <w:tblPr>
              <w:tblStyle w:val="24"/>
              <w:tblW w:w="4998" w:type="pct"/>
              <w:tblInd w:w="0" w:type="dxa"/>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Layout w:type="fixed"/>
              <w:tblCellMar>
                <w:top w:w="0" w:type="dxa"/>
                <w:left w:w="10" w:type="dxa"/>
                <w:bottom w:w="0" w:type="dxa"/>
                <w:right w:w="10" w:type="dxa"/>
              </w:tblCellMar>
            </w:tblPr>
            <w:tblGrid>
              <w:gridCol w:w="1793"/>
              <w:gridCol w:w="974"/>
              <w:gridCol w:w="5371"/>
            </w:tblGrid>
            <w:tr w14:paraId="6545E360">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440" w:hRule="atLeast"/>
              </w:trPr>
              <w:tc>
                <w:tcPr>
                  <w:tcW w:w="1101" w:type="pct"/>
                  <w:tcBorders>
                    <w:tl2br w:val="nil"/>
                    <w:tr2bl w:val="nil"/>
                  </w:tcBorders>
                  <w:vAlign w:val="center"/>
                </w:tcPr>
                <w:p w14:paraId="23BE7147">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参数</w:t>
                  </w:r>
                </w:p>
              </w:tc>
              <w:tc>
                <w:tcPr>
                  <w:tcW w:w="598" w:type="pct"/>
                  <w:tcBorders>
                    <w:tl2br w:val="nil"/>
                    <w:tr2bl w:val="nil"/>
                  </w:tcBorders>
                  <w:vAlign w:val="center"/>
                </w:tcPr>
                <w:p w14:paraId="4FF2F4DA">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数值</w:t>
                  </w:r>
                </w:p>
              </w:tc>
              <w:tc>
                <w:tcPr>
                  <w:tcW w:w="3300" w:type="pct"/>
                  <w:tcBorders>
                    <w:tl2br w:val="nil"/>
                    <w:tr2bl w:val="nil"/>
                  </w:tcBorders>
                  <w:vAlign w:val="center"/>
                </w:tcPr>
                <w:p w14:paraId="37838145">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备注</w:t>
                  </w:r>
                </w:p>
              </w:tc>
            </w:tr>
            <w:tr w14:paraId="093A36F7">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440" w:hRule="atLeast"/>
              </w:trPr>
              <w:tc>
                <w:tcPr>
                  <w:tcW w:w="1101" w:type="pct"/>
                  <w:tcBorders>
                    <w:tl2br w:val="nil"/>
                    <w:tr2bl w:val="nil"/>
                  </w:tcBorders>
                  <w:vAlign w:val="center"/>
                </w:tcPr>
                <w:p w14:paraId="6B2CBC17">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N</w:t>
                  </w:r>
                  <w:r>
                    <w:rPr>
                      <w:rFonts w:hint="default" w:ascii="Times New Roman" w:hAnsi="Times New Roman" w:eastAsia="宋体" w:cs="Times New Roman"/>
                      <w:color w:val="000000" w:themeColor="text1"/>
                      <w:sz w:val="21"/>
                      <w:szCs w:val="21"/>
                      <w:highlight w:val="none"/>
                      <w:vertAlign w:val="subscript"/>
                      <w14:textFill>
                        <w14:solidFill>
                          <w14:schemeClr w14:val="tx1"/>
                        </w14:solidFill>
                      </w14:textFill>
                    </w:rPr>
                    <w:t>c</w:t>
                  </w:r>
                  <w:r>
                    <w:rPr>
                      <w:rFonts w:hint="default" w:ascii="Times New Roman" w:hAnsi="Times New Roman" w:eastAsia="宋体" w:cs="Times New Roman"/>
                      <w:color w:val="000000" w:themeColor="text1"/>
                      <w:sz w:val="21"/>
                      <w:szCs w:val="21"/>
                      <w:highlight w:val="none"/>
                      <w14:textFill>
                        <w14:solidFill>
                          <w14:schemeClr w14:val="tx1"/>
                        </w14:solidFill>
                      </w14:textFill>
                    </w:rPr>
                    <w:t>（车）</w:t>
                  </w:r>
                </w:p>
              </w:tc>
              <w:tc>
                <w:tcPr>
                  <w:tcW w:w="598" w:type="pct"/>
                  <w:tcBorders>
                    <w:tl2br w:val="nil"/>
                    <w:tr2bl w:val="nil"/>
                  </w:tcBorders>
                  <w:vAlign w:val="center"/>
                </w:tcPr>
                <w:p w14:paraId="13B908C5">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750</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w:t>
                  </w:r>
                </w:p>
              </w:tc>
              <w:tc>
                <w:tcPr>
                  <w:tcW w:w="3300" w:type="pct"/>
                  <w:tcBorders>
                    <w:tl2br w:val="nil"/>
                    <w:tr2bl w:val="nil"/>
                  </w:tcBorders>
                  <w:vAlign w:val="center"/>
                </w:tcPr>
                <w:p w14:paraId="0401B6D7">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石灰石年用量为</w:t>
                  </w:r>
                  <w:r>
                    <w:rPr>
                      <w:rFonts w:hint="eastAsia" w:ascii="Times New Roman" w:hAnsi="Times New Roman" w:cs="Times New Roman"/>
                      <w:color w:val="000000" w:themeColor="text1"/>
                      <w:kern w:val="0"/>
                      <w:sz w:val="21"/>
                      <w:szCs w:val="21"/>
                      <w:highlight w:val="none"/>
                      <w:lang w:val="en-US" w:eastAsia="zh-CN"/>
                      <w14:textFill>
                        <w14:solidFill>
                          <w14:schemeClr w14:val="tx1"/>
                        </w14:solidFill>
                      </w14:textFill>
                    </w:rPr>
                    <w:t>300150</w:t>
                  </w:r>
                  <w:r>
                    <w:rPr>
                      <w:rFonts w:hint="default" w:ascii="Times New Roman" w:hAnsi="Times New Roman" w:eastAsia="宋体" w:cs="Times New Roman"/>
                      <w:color w:val="000000" w:themeColor="text1"/>
                      <w:sz w:val="21"/>
                      <w:szCs w:val="21"/>
                      <w:highlight w:val="none"/>
                      <w14:textFill>
                        <w14:solidFill>
                          <w14:schemeClr w14:val="tx1"/>
                        </w14:solidFill>
                      </w14:textFill>
                    </w:rPr>
                    <w:t>吨</w:t>
                  </w:r>
                </w:p>
              </w:tc>
            </w:tr>
            <w:tr w14:paraId="2E202412">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440" w:hRule="atLeast"/>
              </w:trPr>
              <w:tc>
                <w:tcPr>
                  <w:tcW w:w="1101" w:type="pct"/>
                  <w:tcBorders>
                    <w:tl2br w:val="nil"/>
                    <w:tr2bl w:val="nil"/>
                  </w:tcBorders>
                  <w:vAlign w:val="center"/>
                </w:tcPr>
                <w:p w14:paraId="19FCE091">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D（吨</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车）</w:t>
                  </w:r>
                </w:p>
              </w:tc>
              <w:tc>
                <w:tcPr>
                  <w:tcW w:w="598" w:type="pct"/>
                  <w:tcBorders>
                    <w:tl2br w:val="nil"/>
                    <w:tr2bl w:val="nil"/>
                  </w:tcBorders>
                  <w:vAlign w:val="center"/>
                </w:tcPr>
                <w:p w14:paraId="2B56A2CB">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40</w:t>
                  </w:r>
                </w:p>
              </w:tc>
              <w:tc>
                <w:tcPr>
                  <w:tcW w:w="3300" w:type="pct"/>
                  <w:tcBorders>
                    <w:tl2br w:val="nil"/>
                    <w:tr2bl w:val="nil"/>
                  </w:tcBorders>
                  <w:vAlign w:val="center"/>
                </w:tcPr>
                <w:p w14:paraId="0F25BA50">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大吨位自卸车</w:t>
                  </w:r>
                </w:p>
              </w:tc>
            </w:tr>
            <w:tr w14:paraId="79C184B1">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900" w:hRule="atLeast"/>
              </w:trPr>
              <w:tc>
                <w:tcPr>
                  <w:tcW w:w="1101" w:type="pct"/>
                  <w:tcBorders>
                    <w:tl2br w:val="nil"/>
                    <w:tr2bl w:val="nil"/>
                  </w:tcBorders>
                  <w:vAlign w:val="center"/>
                </w:tcPr>
                <w:p w14:paraId="2B0CA184">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a/</w:t>
                  </w:r>
                  <w:r>
                    <w:rPr>
                      <w:rFonts w:hint="default" w:ascii="Times New Roman" w:hAnsi="Times New Roman" w:eastAsia="宋体" w:cs="Times New Roman"/>
                      <w:color w:val="000000" w:themeColor="text1"/>
                      <w:sz w:val="21"/>
                      <w:szCs w:val="21"/>
                      <w:highlight w:val="none"/>
                      <w14:textFill>
                        <w14:solidFill>
                          <w14:schemeClr w14:val="tx1"/>
                        </w14:solidFill>
                      </w14:textFill>
                    </w:rPr>
                    <w:t>b（千克</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吨）</w:t>
                  </w:r>
                </w:p>
              </w:tc>
              <w:tc>
                <w:tcPr>
                  <w:tcW w:w="598" w:type="pct"/>
                  <w:tcBorders>
                    <w:tl2br w:val="nil"/>
                    <w:tr2bl w:val="nil"/>
                  </w:tcBorders>
                  <w:vAlign w:val="center"/>
                </w:tcPr>
                <w:p w14:paraId="42444441">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8.5</w:t>
                  </w:r>
                </w:p>
              </w:tc>
              <w:tc>
                <w:tcPr>
                  <w:tcW w:w="3300" w:type="pct"/>
                  <w:tcBorders>
                    <w:tl2br w:val="nil"/>
                    <w:tr2bl w:val="nil"/>
                  </w:tcBorders>
                  <w:vAlign w:val="center"/>
                </w:tcPr>
                <w:p w14:paraId="0ADEADB3">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《固体物料堆存颗粒物产排污核算系数手册》中附录1和附录2查表得出内蒙古自治区a为0.0017，b为0.0002</w:t>
                  </w:r>
                </w:p>
              </w:tc>
            </w:tr>
            <w:tr w14:paraId="45AC10BF">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920" w:hRule="atLeast"/>
              </w:trPr>
              <w:tc>
                <w:tcPr>
                  <w:tcW w:w="1101" w:type="pct"/>
                  <w:tcBorders>
                    <w:tl2br w:val="nil"/>
                    <w:tr2bl w:val="nil"/>
                  </w:tcBorders>
                  <w:vAlign w:val="center"/>
                </w:tcPr>
                <w:p w14:paraId="144AD42E">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E</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f</w:t>
                  </w:r>
                  <w:r>
                    <w:rPr>
                      <w:rFonts w:hint="default" w:ascii="Times New Roman" w:hAnsi="Times New Roman" w:eastAsia="宋体" w:cs="Times New Roman"/>
                      <w:color w:val="000000" w:themeColor="text1"/>
                      <w:sz w:val="21"/>
                      <w:szCs w:val="21"/>
                      <w:highlight w:val="none"/>
                      <w14:textFill>
                        <w14:solidFill>
                          <w14:schemeClr w14:val="tx1"/>
                        </w14:solidFill>
                      </w14:textFill>
                    </w:rPr>
                    <w:t>（千克</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平方米）</w:t>
                  </w:r>
                </w:p>
              </w:tc>
              <w:tc>
                <w:tcPr>
                  <w:tcW w:w="598" w:type="pct"/>
                  <w:tcBorders>
                    <w:tl2br w:val="nil"/>
                    <w:tr2bl w:val="nil"/>
                  </w:tcBorders>
                  <w:vAlign w:val="center"/>
                </w:tcPr>
                <w:p w14:paraId="2CCC26EC">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10.2492</w:t>
                  </w:r>
                </w:p>
              </w:tc>
              <w:tc>
                <w:tcPr>
                  <w:tcW w:w="3300" w:type="pct"/>
                  <w:tcBorders>
                    <w:tl2br w:val="nil"/>
                    <w:tr2bl w:val="nil"/>
                  </w:tcBorders>
                  <w:vAlign w:val="center"/>
                </w:tcPr>
                <w:p w14:paraId="4057BDD3">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《固体物料堆存颗粒物产排污核算系数手册》中附录3查表得出</w:t>
                  </w:r>
                </w:p>
              </w:tc>
            </w:tr>
            <w:tr w14:paraId="53CBB82B">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420" w:hRule="atLeast"/>
              </w:trPr>
              <w:tc>
                <w:tcPr>
                  <w:tcW w:w="1101" w:type="pct"/>
                  <w:tcBorders>
                    <w:tl2br w:val="nil"/>
                    <w:tr2bl w:val="nil"/>
                  </w:tcBorders>
                  <w:vAlign w:val="center"/>
                </w:tcPr>
                <w:p w14:paraId="69A3E137">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S（平方米）</w:t>
                  </w:r>
                </w:p>
              </w:tc>
              <w:tc>
                <w:tcPr>
                  <w:tcW w:w="598" w:type="pct"/>
                  <w:tcBorders>
                    <w:tl2br w:val="nil"/>
                    <w:tr2bl w:val="nil"/>
                  </w:tcBorders>
                  <w:vAlign w:val="center"/>
                </w:tcPr>
                <w:p w14:paraId="3D84A47D">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6075</w:t>
                  </w:r>
                </w:p>
              </w:tc>
              <w:tc>
                <w:tcPr>
                  <w:tcW w:w="3300" w:type="pct"/>
                  <w:tcBorders>
                    <w:tl2br w:val="nil"/>
                    <w:tr2bl w:val="nil"/>
                  </w:tcBorders>
                  <w:vAlign w:val="center"/>
                </w:tcPr>
                <w:p w14:paraId="197B76F7">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原料库建筑面积6075m</w:t>
                  </w:r>
                  <w:r>
                    <w:rPr>
                      <w:rFonts w:hint="eastAsia" w:ascii="Times New Roman" w:hAnsi="Times New Roman" w:cs="Times New Roman"/>
                      <w:color w:val="000000" w:themeColor="text1"/>
                      <w:sz w:val="21"/>
                      <w:szCs w:val="21"/>
                      <w:highlight w:val="none"/>
                      <w:vertAlign w:val="superscript"/>
                      <w:lang w:val="en-US" w:eastAsia="zh-CN"/>
                      <w14:textFill>
                        <w14:solidFill>
                          <w14:schemeClr w14:val="tx1"/>
                        </w14:solidFill>
                      </w14:textFill>
                    </w:rPr>
                    <w:t>2</w:t>
                  </w:r>
                </w:p>
              </w:tc>
            </w:tr>
            <w:tr w14:paraId="3C837031">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440" w:hRule="atLeast"/>
              </w:trPr>
              <w:tc>
                <w:tcPr>
                  <w:tcW w:w="1101" w:type="pct"/>
                  <w:tcBorders>
                    <w:tl2br w:val="nil"/>
                    <w:tr2bl w:val="nil"/>
                  </w:tcBorders>
                  <w:vAlign w:val="center"/>
                </w:tcPr>
                <w:p w14:paraId="6CD755A0">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P（吨）</w:t>
                  </w:r>
                </w:p>
              </w:tc>
              <w:tc>
                <w:tcPr>
                  <w:tcW w:w="598" w:type="pct"/>
                  <w:tcBorders>
                    <w:tl2br w:val="nil"/>
                    <w:tr2bl w:val="nil"/>
                  </w:tcBorders>
                  <w:vAlign w:val="center"/>
                </w:tcPr>
                <w:p w14:paraId="633789C5">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2675.89</w:t>
                  </w:r>
                </w:p>
              </w:tc>
              <w:tc>
                <w:tcPr>
                  <w:tcW w:w="3300" w:type="pct"/>
                  <w:tcBorders>
                    <w:tl2br w:val="nil"/>
                    <w:tr2bl w:val="nil"/>
                  </w:tcBorders>
                  <w:vAlign w:val="center"/>
                </w:tcPr>
                <w:p w14:paraId="24CC5B1A">
                  <w:pPr>
                    <w:keepNext w:val="0"/>
                    <w:keepLines w:val="0"/>
                    <w:pageBreakBefore w:val="0"/>
                    <w:widowControl w:val="0"/>
                    <w:kinsoku/>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w:t>
                  </w:r>
                </w:p>
              </w:tc>
            </w:tr>
          </w:tbl>
          <w:p w14:paraId="2CC54C41">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根据计算，原料堆存及装卸过程颗粒物产生量为</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2675.89</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t</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a，产生速率为</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1114.95</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kg/h</w:t>
            </w:r>
          </w:p>
          <w:p w14:paraId="391876EE">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③</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上料粉尘</w:t>
            </w:r>
          </w:p>
          <w:p w14:paraId="6880DB04">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项目石灰石经铲车运至上料口上料，上料过程会有粉尘产生，参照《逸散性工业粉尘控制技术》中</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表22-1混凝土分批搅拌厂的散逸尘排放因子</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中</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沙和粒料贮存送料上堆</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排污系数，上料口粉尘排污系数为0.02kg/t原料。本项目所需石灰石为300</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150</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t/a，粉尘产生量为</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6</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t/a</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w:t>
            </w:r>
          </w:p>
          <w:p w14:paraId="16D8488F">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yellow"/>
                <w:lang w:val="en-US" w:eastAsia="zh-CN"/>
                <w14:textFill>
                  <w14:solidFill>
                    <w14:schemeClr w14:val="tx1"/>
                  </w14:solidFill>
                </w14:textFill>
              </w:rPr>
            </w:pP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原料库装卸、原料贮存、上料</w:t>
            </w:r>
            <w:r>
              <w:rPr>
                <w:rFonts w:hint="default" w:ascii="Times New Roman" w:hAnsi="Times New Roman" w:eastAsia="宋体" w:cs="Times New Roman"/>
                <w:snapToGrid w:val="0"/>
                <w:color w:val="000000" w:themeColor="text1"/>
                <w:kern w:val="0"/>
                <w:sz w:val="24"/>
                <w:highlight w:val="none"/>
                <w:lang w:eastAsia="zh-CN"/>
                <w14:textFill>
                  <w14:solidFill>
                    <w14:schemeClr w14:val="tx1"/>
                  </w14:solidFill>
                </w14:textFill>
              </w:rPr>
              <w:t>粉尘</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总产生量为2684.89t/a，产生速率为1118.7kg/h。本项目原料装卸、贮存及上料口均位于封闭式原料库内，原料装卸过程采用雾炮降尘措施，根据</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排放源统计调查产排污核算方法和系数手册》附表2《固体物料堆存颗粒物产排污核算系数手册》中附录4查表得出洒水抑尘Cm为74%，《固体物料堆存颗粒物产排污核算系数手册》中附录5堆场类型控制效率，封闭式厂房可截留99%无组织粉尘，仅有少量粉尘通过车间门窗逸出，则无组织粉尘排放量为</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6.98</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t/a，排放速率为</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2.91</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kg/h。</w:t>
            </w:r>
          </w:p>
          <w:p w14:paraId="7A441699">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2</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）石灰石</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磨粉粉尘</w:t>
            </w:r>
          </w:p>
          <w:p w14:paraId="75F0A744">
            <w:pPr>
              <w:pStyle w:val="8"/>
              <w:keepNext w:val="0"/>
              <w:keepLines w:val="0"/>
              <w:pageBreakBefore w:val="0"/>
              <w:widowControl w:val="0"/>
              <w:numPr>
                <w:ilvl w:val="0"/>
                <w:numId w:val="0"/>
              </w:numPr>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bCs/>
                <w:color w:val="000000" w:themeColor="text1"/>
                <w:sz w:val="24"/>
                <w:highlight w:val="none"/>
                <w:lang w:val="en-US" w:eastAsia="zh-CN"/>
                <w14:textFill>
                  <w14:solidFill>
                    <w14:schemeClr w14:val="tx1"/>
                  </w14:solidFill>
                </w14:textFill>
              </w:rPr>
            </w:pPr>
            <w:r>
              <w:rPr>
                <w:rFonts w:hint="default" w:ascii="Times New Roman" w:hAnsi="Times New Roman" w:cs="Times New Roman"/>
                <w:bCs/>
                <w:color w:val="000000" w:themeColor="text1"/>
                <w:sz w:val="24"/>
                <w:highlight w:val="none"/>
                <w:lang w:eastAsia="zh-CN"/>
                <w14:textFill>
                  <w14:solidFill>
                    <w14:schemeClr w14:val="tx1"/>
                  </w14:solidFill>
                </w14:textFill>
              </w:rPr>
              <w:t>本项目</w:t>
            </w:r>
            <w:r>
              <w:rPr>
                <w:rFonts w:hint="eastAsia" w:ascii="Times New Roman" w:hAnsi="Times New Roman" w:cs="Times New Roman"/>
                <w:bCs/>
                <w:color w:val="000000" w:themeColor="text1"/>
                <w:sz w:val="24"/>
                <w:highlight w:val="none"/>
                <w:lang w:val="en-US" w:eastAsia="zh-CN"/>
                <w14:textFill>
                  <w14:solidFill>
                    <w14:schemeClr w14:val="tx1"/>
                  </w14:solidFill>
                </w14:textFill>
              </w:rPr>
              <w:t>设有4条粉</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磨</w:t>
            </w:r>
            <w:r>
              <w:rPr>
                <w:rFonts w:hint="eastAsia" w:ascii="Times New Roman" w:hAnsi="Times New Roman" w:cs="Times New Roman"/>
                <w:bCs/>
                <w:color w:val="000000" w:themeColor="text1"/>
                <w:sz w:val="24"/>
                <w:highlight w:val="none"/>
                <w:lang w:val="en-US" w:eastAsia="zh-CN"/>
                <w14:textFill>
                  <w14:solidFill>
                    <w14:schemeClr w14:val="tx1"/>
                  </w14:solidFill>
                </w14:textFill>
              </w:rPr>
              <w:t>生产线</w:t>
            </w:r>
            <w:r>
              <w:rPr>
                <w:rFonts w:hint="default" w:ascii="Times New Roman" w:hAnsi="Times New Roman" w:cs="Times New Roman"/>
                <w:bCs/>
                <w:color w:val="000000" w:themeColor="text1"/>
                <w:sz w:val="24"/>
                <w:highlight w:val="none"/>
                <w:lang w:val="en-US" w:eastAsia="zh-CN"/>
                <w14:textFill>
                  <w14:solidFill>
                    <w14:schemeClr w14:val="tx1"/>
                  </w14:solidFill>
                </w14:textFill>
              </w:rPr>
              <w:t>。</w:t>
            </w:r>
            <w:r>
              <w:rPr>
                <w:rFonts w:hint="eastAsia" w:ascii="Times New Roman" w:hAnsi="Times New Roman" w:cs="Times New Roman"/>
                <w:bCs/>
                <w:color w:val="000000" w:themeColor="text1"/>
                <w:sz w:val="24"/>
                <w:highlight w:val="none"/>
                <w:lang w:val="en-US" w:eastAsia="zh-CN"/>
                <w14:textFill>
                  <w14:solidFill>
                    <w14:schemeClr w14:val="tx1"/>
                  </w14:solidFill>
                </w14:textFill>
              </w:rPr>
              <w:t>粉墨工序</w:t>
            </w:r>
            <w:r>
              <w:rPr>
                <w:rFonts w:hint="default" w:ascii="Times New Roman" w:hAnsi="Times New Roman" w:cs="Times New Roman"/>
                <w:bCs/>
                <w:color w:val="000000" w:themeColor="text1"/>
                <w:sz w:val="24"/>
                <w:highlight w:val="none"/>
                <w:lang w:val="en-US" w:eastAsia="zh-CN"/>
                <w14:textFill>
                  <w14:solidFill>
                    <w14:schemeClr w14:val="tx1"/>
                  </w14:solidFill>
                </w14:textFill>
              </w:rPr>
              <w:t>粉尘产生量参照</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根据《第二次全国污染源普查产排污核算系数手册》</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30</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99其他非金属矿物制品制造行业”</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中粉磨产污系数为</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1.19</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kg/t</w:t>
            </w:r>
            <w:r>
              <w:rPr>
                <w:rFonts w:hint="default" w:ascii="Times New Roman" w:hAnsi="Times New Roman" w:cs="Times New Roman"/>
                <w:bCs/>
                <w:color w:val="000000" w:themeColor="text1"/>
                <w:sz w:val="24"/>
                <w:highlight w:val="none"/>
                <w:lang w:val="en-US" w:eastAsia="zh-CN"/>
                <w14:textFill>
                  <w14:solidFill>
                    <w14:schemeClr w14:val="tx1"/>
                  </w14:solidFill>
                </w14:textFill>
              </w:rPr>
              <w:t>-产品，</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项目磨粉机设置封闭式外罩，外罩顶部设置与脉冲式布袋除尘器配套的风量为50000m</w:t>
            </w:r>
            <w:r>
              <w:rPr>
                <w:rFonts w:hint="default" w:ascii="Times New Roman" w:hAnsi="Times New Roman" w:eastAsia="宋体" w:cs="Times New Roman"/>
                <w:snapToGrid w:val="0"/>
                <w:color w:val="000000" w:themeColor="text1"/>
                <w:kern w:val="0"/>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/引风机</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上料时运行</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cs="Times New Roman"/>
                <w:bCs/>
                <w:color w:val="000000" w:themeColor="text1"/>
                <w:sz w:val="24"/>
                <w:highlight w:val="none"/>
                <w:lang w:val="en-US" w:eastAsia="zh-CN"/>
                <w14:textFill>
                  <w14:solidFill>
                    <w14:schemeClr w14:val="tx1"/>
                  </w14:solidFill>
                </w14:textFill>
              </w:rPr>
              <w:t>本项目各种粉料参照</w:t>
            </w:r>
            <w:r>
              <w:rPr>
                <w:rFonts w:hint="eastAsia" w:ascii="Times New Roman" w:hAnsi="Times New Roman" w:cs="Times New Roman"/>
                <w:bCs/>
                <w:color w:val="000000" w:themeColor="text1"/>
                <w:sz w:val="24"/>
                <w:highlight w:val="none"/>
                <w:lang w:val="en-US" w:eastAsia="zh-CN"/>
                <w14:textFill>
                  <w14:solidFill>
                    <w14:schemeClr w14:val="tx1"/>
                  </w14:solidFill>
                </w14:textFill>
              </w:rPr>
              <w:t>粉磨产污</w:t>
            </w:r>
            <w:r>
              <w:rPr>
                <w:rFonts w:hint="default" w:ascii="Times New Roman" w:hAnsi="Times New Roman" w:cs="Times New Roman"/>
                <w:bCs/>
                <w:color w:val="000000" w:themeColor="text1"/>
                <w:sz w:val="24"/>
                <w:highlight w:val="none"/>
                <w:lang w:val="en-US" w:eastAsia="zh-CN"/>
                <w14:textFill>
                  <w14:solidFill>
                    <w14:schemeClr w14:val="tx1"/>
                  </w14:solidFill>
                </w14:textFill>
              </w:rPr>
              <w:t>系数，本项目各筒仓粉尘产排情况</w:t>
            </w:r>
            <w:r>
              <w:rPr>
                <w:rFonts w:hint="eastAsia" w:ascii="Times New Roman" w:hAnsi="Times New Roman" w:cs="Times New Roman"/>
                <w:bCs/>
                <w:color w:val="000000" w:themeColor="text1"/>
                <w:sz w:val="24"/>
                <w:highlight w:val="none"/>
                <w:lang w:val="en-US" w:eastAsia="zh-CN"/>
                <w14:textFill>
                  <w14:solidFill>
                    <w14:schemeClr w14:val="tx1"/>
                  </w14:solidFill>
                </w14:textFill>
              </w:rPr>
              <w:t>见下</w:t>
            </w:r>
            <w:r>
              <w:rPr>
                <w:rFonts w:hint="default" w:ascii="Times New Roman" w:hAnsi="Times New Roman" w:cs="Times New Roman"/>
                <w:bCs/>
                <w:color w:val="000000" w:themeColor="text1"/>
                <w:sz w:val="24"/>
                <w:highlight w:val="none"/>
                <w:lang w:val="en-US" w:eastAsia="zh-CN"/>
                <w14:textFill>
                  <w14:solidFill>
                    <w14:schemeClr w14:val="tx1"/>
                  </w14:solidFill>
                </w14:textFill>
              </w:rPr>
              <w:t>表所示。本项目</w:t>
            </w:r>
            <w:r>
              <w:rPr>
                <w:rFonts w:hint="eastAsia" w:ascii="Times New Roman" w:hAnsi="Times New Roman" w:cs="Times New Roman"/>
                <w:bCs/>
                <w:color w:val="000000" w:themeColor="text1"/>
                <w:sz w:val="24"/>
                <w:highlight w:val="none"/>
                <w:lang w:val="en-US" w:eastAsia="zh-CN"/>
                <w14:textFill>
                  <w14:solidFill>
                    <w14:schemeClr w14:val="tx1"/>
                  </w14:solidFill>
                </w14:textFill>
              </w:rPr>
              <w:t>每条粉墨生产线</w:t>
            </w:r>
            <w:r>
              <w:rPr>
                <w:rFonts w:hint="default" w:ascii="Times New Roman" w:hAnsi="Times New Roman" w:cs="Times New Roman"/>
                <w:bCs/>
                <w:color w:val="000000" w:themeColor="text1"/>
                <w:sz w:val="24"/>
                <w:highlight w:val="none"/>
                <w:lang w:val="en-US" w:eastAsia="zh-CN"/>
                <w14:textFill>
                  <w14:solidFill>
                    <w14:schemeClr w14:val="tx1"/>
                  </w14:solidFill>
                </w14:textFill>
              </w:rPr>
              <w:t>均</w:t>
            </w:r>
            <w:r>
              <w:rPr>
                <w:rFonts w:hint="eastAsia" w:ascii="Times New Roman" w:hAnsi="Times New Roman" w:cs="Times New Roman"/>
                <w:bCs/>
                <w:color w:val="000000" w:themeColor="text1"/>
                <w:sz w:val="24"/>
                <w:highlight w:val="none"/>
                <w:lang w:val="en-US" w:eastAsia="zh-CN"/>
                <w14:textFill>
                  <w14:solidFill>
                    <w14:schemeClr w14:val="tx1"/>
                  </w14:solidFill>
                </w14:textFill>
              </w:rPr>
              <w:t>采取负压收集+脉冲</w:t>
            </w:r>
            <w:r>
              <w:rPr>
                <w:rFonts w:hint="default" w:ascii="Times New Roman" w:hAnsi="Times New Roman" w:cs="Times New Roman"/>
                <w:bCs/>
                <w:color w:val="000000" w:themeColor="text1"/>
                <w:sz w:val="24"/>
                <w:highlight w:val="none"/>
                <w:lang w:val="en-US" w:eastAsia="zh-CN"/>
                <w14:textFill>
                  <w14:solidFill>
                    <w14:schemeClr w14:val="tx1"/>
                  </w14:solidFill>
                </w14:textFill>
              </w:rPr>
              <w:t>布袋除尘器</w:t>
            </w:r>
            <w:r>
              <w:rPr>
                <w:rFonts w:hint="eastAsia" w:ascii="Times New Roman" w:hAnsi="Times New Roman" w:cs="Times New Roman"/>
                <w:bCs/>
                <w:color w:val="000000" w:themeColor="text1"/>
                <w:sz w:val="24"/>
                <w:highlight w:val="none"/>
                <w:lang w:val="en-US" w:eastAsia="zh-CN"/>
                <w14:textFill>
                  <w14:solidFill>
                    <w14:schemeClr w14:val="tx1"/>
                  </w14:solidFill>
                </w14:textFill>
              </w:rPr>
              <w:t>（TA001~TA004）</w:t>
            </w:r>
            <w:r>
              <w:rPr>
                <w:rFonts w:hint="default" w:ascii="Times New Roman" w:hAnsi="Times New Roman" w:cs="Times New Roman"/>
                <w:bCs/>
                <w:color w:val="000000" w:themeColor="text1"/>
                <w:sz w:val="24"/>
                <w:highlight w:val="none"/>
                <w:lang w:val="en-US" w:eastAsia="zh-CN"/>
                <w14:textFill>
                  <w14:solidFill>
                    <w14:schemeClr w14:val="tx1"/>
                  </w14:solidFill>
                </w14:textFill>
              </w:rPr>
              <w:t>，</w:t>
            </w:r>
            <w:r>
              <w:rPr>
                <w:rFonts w:hint="eastAsia" w:ascii="Times New Roman" w:hAnsi="Times New Roman" w:cs="Times New Roman"/>
                <w:bCs/>
                <w:color w:val="000000" w:themeColor="text1"/>
                <w:sz w:val="24"/>
                <w:highlight w:val="none"/>
                <w:lang w:val="en-US" w:eastAsia="zh-CN"/>
                <w14:textFill>
                  <w14:solidFill>
                    <w14:schemeClr w14:val="tx1"/>
                  </w14:solidFill>
                </w14:textFill>
              </w:rPr>
              <w:t>布袋除尘器</w:t>
            </w:r>
            <w:r>
              <w:rPr>
                <w:rFonts w:hint="default" w:ascii="Times New Roman" w:hAnsi="Times New Roman" w:cs="Times New Roman"/>
                <w:bCs/>
                <w:color w:val="000000" w:themeColor="text1"/>
                <w:sz w:val="24"/>
                <w:highlight w:val="none"/>
                <w:lang w:val="en-US" w:eastAsia="zh-CN"/>
                <w14:textFill>
                  <w14:solidFill>
                    <w14:schemeClr w14:val="tx1"/>
                  </w14:solidFill>
                </w14:textFill>
              </w:rPr>
              <w:t>除尘效率</w:t>
            </w:r>
            <w:r>
              <w:rPr>
                <w:rFonts w:hint="eastAsia" w:ascii="Times New Roman" w:hAnsi="Times New Roman" w:cs="Times New Roman"/>
                <w:bCs/>
                <w:color w:val="000000" w:themeColor="text1"/>
                <w:sz w:val="24"/>
                <w:highlight w:val="none"/>
                <w:lang w:val="en-US" w:eastAsia="zh-CN"/>
                <w14:textFill>
                  <w14:solidFill>
                    <w14:schemeClr w14:val="tx1"/>
                  </w14:solidFill>
                </w14:textFill>
              </w:rPr>
              <w:t>均为</w:t>
            </w:r>
            <w:r>
              <w:rPr>
                <w:rFonts w:hint="default" w:ascii="Times New Roman" w:hAnsi="Times New Roman" w:cs="Times New Roman"/>
                <w:bCs/>
                <w:color w:val="000000" w:themeColor="text1"/>
                <w:sz w:val="24"/>
                <w:highlight w:val="none"/>
                <w:lang w:val="en-US" w:eastAsia="zh-CN"/>
                <w14:textFill>
                  <w14:solidFill>
                    <w14:schemeClr w14:val="tx1"/>
                  </w14:solidFill>
                </w14:textFill>
              </w:rPr>
              <w:t>99%，经各自</w:t>
            </w:r>
            <w:r>
              <w:rPr>
                <w:rFonts w:hint="eastAsia" w:ascii="Times New Roman" w:hAnsi="Times New Roman" w:cs="Times New Roman"/>
                <w:bCs/>
                <w:color w:val="000000" w:themeColor="text1"/>
                <w:sz w:val="24"/>
                <w:highlight w:val="none"/>
                <w:lang w:val="en-US" w:eastAsia="zh-CN"/>
                <w14:textFill>
                  <w14:solidFill>
                    <w14:schemeClr w14:val="tx1"/>
                  </w14:solidFill>
                </w14:textFill>
              </w:rPr>
              <w:t>生产线配套的15米高的</w:t>
            </w:r>
            <w:r>
              <w:rPr>
                <w:rFonts w:hint="default" w:ascii="Times New Roman" w:hAnsi="Times New Roman" w:cs="Times New Roman"/>
                <w:bCs/>
                <w:color w:val="000000" w:themeColor="text1"/>
                <w:sz w:val="24"/>
                <w:highlight w:val="none"/>
                <w:lang w:val="en-US" w:eastAsia="zh-CN"/>
                <w14:textFill>
                  <w14:solidFill>
                    <w14:schemeClr w14:val="tx1"/>
                  </w14:solidFill>
                </w14:textFill>
              </w:rPr>
              <w:t>排气筒</w:t>
            </w:r>
            <w:r>
              <w:rPr>
                <w:rFonts w:hint="eastAsia" w:ascii="Times New Roman" w:hAnsi="Times New Roman" w:cs="Times New Roman"/>
                <w:bCs/>
                <w:color w:val="000000" w:themeColor="text1"/>
                <w:sz w:val="24"/>
                <w:highlight w:val="none"/>
                <w:lang w:val="en-US" w:eastAsia="zh-CN"/>
                <w14:textFill>
                  <w14:solidFill>
                    <w14:schemeClr w14:val="tx1"/>
                  </w14:solidFill>
                </w14:textFill>
              </w:rPr>
              <w:t>（DA001~DA004）分别</w:t>
            </w:r>
            <w:r>
              <w:rPr>
                <w:rFonts w:hint="default" w:ascii="Times New Roman" w:hAnsi="Times New Roman" w:cs="Times New Roman"/>
                <w:bCs/>
                <w:color w:val="000000" w:themeColor="text1"/>
                <w:sz w:val="24"/>
                <w:highlight w:val="none"/>
                <w:lang w:val="en-US" w:eastAsia="zh-CN"/>
                <w14:textFill>
                  <w14:solidFill>
                    <w14:schemeClr w14:val="tx1"/>
                  </w14:solidFill>
                </w14:textFill>
              </w:rPr>
              <w:t>排放。</w:t>
            </w:r>
          </w:p>
          <w:p w14:paraId="71F5DC5E">
            <w:pPr>
              <w:pStyle w:val="8"/>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0" w:firstLineChars="0"/>
              <w:jc w:val="center"/>
              <w:textAlignment w:val="auto"/>
              <w:rPr>
                <w:rFonts w:hint="default" w:ascii="Times New Roman" w:hAnsi="Times New Roman" w:cs="Times New Roman"/>
                <w:b/>
                <w:bCs w:val="0"/>
                <w:color w:val="000000" w:themeColor="text1"/>
                <w:sz w:val="24"/>
                <w:highlight w:val="none"/>
                <w:lang w:val="en-US" w:eastAsia="zh-CN"/>
                <w14:textFill>
                  <w14:solidFill>
                    <w14:schemeClr w14:val="tx1"/>
                  </w14:solidFill>
                </w14:textFill>
              </w:rPr>
            </w:pPr>
            <w:r>
              <w:rPr>
                <w:rFonts w:hint="default" w:ascii="Times New Roman" w:hAnsi="Times New Roman" w:cs="Times New Roman"/>
                <w:b/>
                <w:bCs w:val="0"/>
                <w:color w:val="000000" w:themeColor="text1"/>
                <w:sz w:val="24"/>
                <w:highlight w:val="none"/>
                <w:lang w:val="en-US" w:eastAsia="zh-CN"/>
                <w14:textFill>
                  <w14:solidFill>
                    <w14:schemeClr w14:val="tx1"/>
                  </w14:solidFill>
                </w14:textFill>
              </w:rPr>
              <w:t>表</w:t>
            </w:r>
            <w:r>
              <w:rPr>
                <w:rFonts w:hint="eastAsia" w:ascii="Times New Roman" w:hAnsi="Times New Roman" w:cs="Times New Roman"/>
                <w:b/>
                <w:bCs w:val="0"/>
                <w:color w:val="000000" w:themeColor="text1"/>
                <w:sz w:val="24"/>
                <w:highlight w:val="none"/>
                <w:lang w:val="en-US" w:eastAsia="zh-CN"/>
                <w14:textFill>
                  <w14:solidFill>
                    <w14:schemeClr w14:val="tx1"/>
                  </w14:solidFill>
                </w14:textFill>
              </w:rPr>
              <w:t>4-2</w:t>
            </w:r>
            <w:r>
              <w:rPr>
                <w:rFonts w:hint="default" w:ascii="Times New Roman" w:hAnsi="Times New Roman" w:cs="Times New Roman"/>
                <w:b/>
                <w:bCs w:val="0"/>
                <w:color w:val="000000" w:themeColor="text1"/>
                <w:sz w:val="24"/>
                <w:highlight w:val="none"/>
                <w:lang w:val="en-US" w:eastAsia="zh-CN"/>
                <w14:textFill>
                  <w14:solidFill>
                    <w14:schemeClr w14:val="tx1"/>
                  </w14:solidFill>
                </w14:textFill>
              </w:rPr>
              <w:t xml:space="preserve">  粉尘产排情况一览表</w:t>
            </w:r>
          </w:p>
          <w:tbl>
            <w:tblPr>
              <w:tblStyle w:val="25"/>
              <w:tblW w:w="8137" w:type="dxa"/>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
              <w:gridCol w:w="818"/>
              <w:gridCol w:w="675"/>
              <w:gridCol w:w="765"/>
              <w:gridCol w:w="1020"/>
              <w:gridCol w:w="674"/>
              <w:gridCol w:w="636"/>
              <w:gridCol w:w="899"/>
              <w:gridCol w:w="844"/>
              <w:gridCol w:w="708"/>
              <w:gridCol w:w="672"/>
            </w:tblGrid>
            <w:tr w14:paraId="28D01FC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trPr>
              <w:tc>
                <w:tcPr>
                  <w:tcW w:w="426" w:type="dxa"/>
                  <w:tcBorders>
                    <w:tl2br w:val="nil"/>
                    <w:tr2bl w:val="nil"/>
                  </w:tcBorders>
                  <w:noWrap w:val="0"/>
                  <w:vAlign w:val="center"/>
                </w:tcPr>
                <w:p w14:paraId="131F6C88">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序号</w:t>
                  </w:r>
                </w:p>
              </w:tc>
              <w:tc>
                <w:tcPr>
                  <w:tcW w:w="818" w:type="dxa"/>
                  <w:tcBorders>
                    <w:tl2br w:val="nil"/>
                    <w:tr2bl w:val="nil"/>
                  </w:tcBorders>
                  <w:noWrap w:val="0"/>
                  <w:vAlign w:val="center"/>
                </w:tcPr>
                <w:p w14:paraId="67F52D6D">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排气筒编号</w:t>
                  </w:r>
                </w:p>
              </w:tc>
              <w:tc>
                <w:tcPr>
                  <w:tcW w:w="675" w:type="dxa"/>
                  <w:tcBorders>
                    <w:tl2br w:val="nil"/>
                    <w:tr2bl w:val="nil"/>
                  </w:tcBorders>
                  <w:noWrap w:val="0"/>
                  <w:vAlign w:val="center"/>
                </w:tcPr>
                <w:p w14:paraId="09753066">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总用量t/a</w:t>
                  </w:r>
                </w:p>
              </w:tc>
              <w:tc>
                <w:tcPr>
                  <w:tcW w:w="765" w:type="dxa"/>
                  <w:tcBorders>
                    <w:tl2br w:val="nil"/>
                    <w:tr2bl w:val="nil"/>
                  </w:tcBorders>
                  <w:noWrap w:val="0"/>
                  <w:vAlign w:val="center"/>
                </w:tcPr>
                <w:p w14:paraId="26E71AC6">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产生量t/a</w:t>
                  </w:r>
                </w:p>
              </w:tc>
              <w:tc>
                <w:tcPr>
                  <w:tcW w:w="1020" w:type="dxa"/>
                  <w:tcBorders>
                    <w:tl2br w:val="nil"/>
                    <w:tr2bl w:val="nil"/>
                  </w:tcBorders>
                  <w:noWrap w:val="0"/>
                  <w:vAlign w:val="center"/>
                </w:tcPr>
                <w:p w14:paraId="65EFBAB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产生浓度mg/m</w:t>
                  </w:r>
                  <w:r>
                    <w:rPr>
                      <w:rFonts w:hint="default" w:ascii="Times New Roman" w:hAnsi="Times New Roman" w:cs="Times New Roman"/>
                      <w:bCs/>
                      <w:color w:val="000000" w:themeColor="text1"/>
                      <w:sz w:val="21"/>
                      <w:szCs w:val="21"/>
                      <w:highlight w:val="none"/>
                      <w:vertAlign w:val="superscript"/>
                      <w:lang w:val="en-US" w:eastAsia="zh-CN"/>
                      <w14:textFill>
                        <w14:solidFill>
                          <w14:schemeClr w14:val="tx1"/>
                        </w14:solidFill>
                      </w14:textFill>
                    </w:rPr>
                    <w:t>3</w:t>
                  </w:r>
                </w:p>
              </w:tc>
              <w:tc>
                <w:tcPr>
                  <w:tcW w:w="674" w:type="dxa"/>
                  <w:tcBorders>
                    <w:tl2br w:val="nil"/>
                    <w:tr2bl w:val="nil"/>
                  </w:tcBorders>
                  <w:noWrap w:val="0"/>
                  <w:vAlign w:val="center"/>
                </w:tcPr>
                <w:p w14:paraId="2C54F8A8">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产生速率</w:t>
                  </w:r>
                  <w:r>
                    <w:rPr>
                      <w:rFonts w:hint="default" w:ascii="Times New Roman" w:hAnsi="Times New Roman" w:eastAsia="宋体" w:cs="Times New Roman"/>
                      <w:color w:val="000000" w:themeColor="text1"/>
                      <w:sz w:val="21"/>
                      <w:szCs w:val="21"/>
                      <w14:textFill>
                        <w14:solidFill>
                          <w14:schemeClr w14:val="tx1"/>
                        </w14:solidFill>
                      </w14:textFill>
                    </w:rPr>
                    <w:t>kg/h</w:t>
                  </w:r>
                </w:p>
              </w:tc>
              <w:tc>
                <w:tcPr>
                  <w:tcW w:w="636" w:type="dxa"/>
                  <w:tcBorders>
                    <w:tl2br w:val="nil"/>
                    <w:tr2bl w:val="nil"/>
                  </w:tcBorders>
                  <w:noWrap w:val="0"/>
                  <w:vAlign w:val="center"/>
                </w:tcPr>
                <w:p w14:paraId="54B170F6">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风量m</w:t>
                  </w:r>
                  <w:r>
                    <w:rPr>
                      <w:rFonts w:hint="default" w:ascii="Times New Roman" w:hAnsi="Times New Roman" w:cs="Times New Roman"/>
                      <w:bCs/>
                      <w:color w:val="000000" w:themeColor="text1"/>
                      <w:sz w:val="21"/>
                      <w:szCs w:val="21"/>
                      <w:highlight w:val="none"/>
                      <w:vertAlign w:val="superscript"/>
                      <w:lang w:val="en-US" w:eastAsia="zh-CN"/>
                      <w14:textFill>
                        <w14:solidFill>
                          <w14:schemeClr w14:val="tx1"/>
                        </w14:solidFill>
                      </w14:textFill>
                    </w:rPr>
                    <w:t>3</w:t>
                  </w: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/h</w:t>
                  </w:r>
                </w:p>
              </w:tc>
              <w:tc>
                <w:tcPr>
                  <w:tcW w:w="899" w:type="dxa"/>
                  <w:tcBorders>
                    <w:tl2br w:val="nil"/>
                    <w:tr2bl w:val="nil"/>
                  </w:tcBorders>
                  <w:noWrap w:val="0"/>
                  <w:vAlign w:val="center"/>
                </w:tcPr>
                <w:p w14:paraId="494B4785">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排放量t/a</w:t>
                  </w:r>
                </w:p>
              </w:tc>
              <w:tc>
                <w:tcPr>
                  <w:tcW w:w="844" w:type="dxa"/>
                  <w:tcBorders>
                    <w:tl2br w:val="nil"/>
                    <w:tr2bl w:val="nil"/>
                  </w:tcBorders>
                  <w:noWrap w:val="0"/>
                  <w:vAlign w:val="center"/>
                </w:tcPr>
                <w:p w14:paraId="7D949E3C">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排放浓度mg/m</w:t>
                  </w:r>
                  <w:r>
                    <w:rPr>
                      <w:rFonts w:hint="default" w:ascii="Times New Roman" w:hAnsi="Times New Roman" w:cs="Times New Roman"/>
                      <w:bCs/>
                      <w:color w:val="000000" w:themeColor="text1"/>
                      <w:sz w:val="21"/>
                      <w:szCs w:val="21"/>
                      <w:highlight w:val="none"/>
                      <w:vertAlign w:val="superscript"/>
                      <w:lang w:val="en-US" w:eastAsia="zh-CN"/>
                      <w14:textFill>
                        <w14:solidFill>
                          <w14:schemeClr w14:val="tx1"/>
                        </w14:solidFill>
                      </w14:textFill>
                    </w:rPr>
                    <w:t>3</w:t>
                  </w:r>
                </w:p>
              </w:tc>
              <w:tc>
                <w:tcPr>
                  <w:tcW w:w="708" w:type="dxa"/>
                  <w:tcBorders>
                    <w:tl2br w:val="nil"/>
                    <w:tr2bl w:val="nil"/>
                  </w:tcBorders>
                  <w:noWrap w:val="0"/>
                  <w:vAlign w:val="center"/>
                </w:tcPr>
                <w:p w14:paraId="04EF413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排放速率</w:t>
                  </w:r>
                  <w:r>
                    <w:rPr>
                      <w:rFonts w:hint="default" w:ascii="Times New Roman" w:hAnsi="Times New Roman" w:eastAsia="宋体" w:cs="Times New Roman"/>
                      <w:color w:val="000000" w:themeColor="text1"/>
                      <w:sz w:val="21"/>
                      <w:szCs w:val="21"/>
                      <w14:textFill>
                        <w14:solidFill>
                          <w14:schemeClr w14:val="tx1"/>
                        </w14:solidFill>
                      </w14:textFill>
                    </w:rPr>
                    <w:t>kg/h</w:t>
                  </w:r>
                </w:p>
              </w:tc>
              <w:tc>
                <w:tcPr>
                  <w:tcW w:w="672" w:type="dxa"/>
                  <w:tcBorders>
                    <w:tl2br w:val="nil"/>
                    <w:tr2bl w:val="nil"/>
                  </w:tcBorders>
                  <w:noWrap w:val="0"/>
                  <w:vAlign w:val="center"/>
                </w:tcPr>
                <w:p w14:paraId="14E84552">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排气筒高度m</w:t>
                  </w:r>
                </w:p>
              </w:tc>
            </w:tr>
            <w:tr w14:paraId="7E58361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trPr>
              <w:tc>
                <w:tcPr>
                  <w:tcW w:w="426" w:type="dxa"/>
                  <w:tcBorders>
                    <w:tl2br w:val="nil"/>
                    <w:tr2bl w:val="nil"/>
                  </w:tcBorders>
                  <w:noWrap w:val="0"/>
                  <w:vAlign w:val="center"/>
                </w:tcPr>
                <w:p w14:paraId="362FF854">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1</w:t>
                  </w:r>
                </w:p>
              </w:tc>
              <w:tc>
                <w:tcPr>
                  <w:tcW w:w="818" w:type="dxa"/>
                  <w:tcBorders>
                    <w:tl2br w:val="nil"/>
                    <w:tr2bl w:val="nil"/>
                  </w:tcBorders>
                  <w:noWrap w:val="0"/>
                  <w:vAlign w:val="center"/>
                </w:tcPr>
                <w:p w14:paraId="06A665FF">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DA001</w:t>
                  </w:r>
                </w:p>
              </w:tc>
              <w:tc>
                <w:tcPr>
                  <w:tcW w:w="675" w:type="dxa"/>
                  <w:tcBorders>
                    <w:tl2br w:val="nil"/>
                    <w:tr2bl w:val="nil"/>
                  </w:tcBorders>
                  <w:noWrap w:val="0"/>
                  <w:vAlign w:val="center"/>
                </w:tcPr>
                <w:p w14:paraId="1B638623">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75037.5</w:t>
                  </w:r>
                </w:p>
              </w:tc>
              <w:tc>
                <w:tcPr>
                  <w:tcW w:w="765" w:type="dxa"/>
                  <w:tcBorders>
                    <w:tl2br w:val="nil"/>
                    <w:tr2bl w:val="nil"/>
                  </w:tcBorders>
                  <w:noWrap w:val="0"/>
                  <w:vAlign w:val="center"/>
                </w:tcPr>
                <w:p w14:paraId="4589BB91">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89.29</w:t>
                  </w:r>
                </w:p>
              </w:tc>
              <w:tc>
                <w:tcPr>
                  <w:tcW w:w="1020" w:type="dxa"/>
                  <w:tcBorders>
                    <w:tl2br w:val="nil"/>
                    <w:tr2bl w:val="nil"/>
                  </w:tcBorders>
                  <w:noWrap w:val="0"/>
                  <w:vAlign w:val="center"/>
                </w:tcPr>
                <w:p w14:paraId="3680E3BF">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744.08</w:t>
                  </w:r>
                </w:p>
              </w:tc>
              <w:tc>
                <w:tcPr>
                  <w:tcW w:w="674" w:type="dxa"/>
                  <w:tcBorders>
                    <w:tl2br w:val="nil"/>
                    <w:tr2bl w:val="nil"/>
                  </w:tcBorders>
                  <w:noWrap w:val="0"/>
                  <w:vAlign w:val="center"/>
                </w:tcPr>
                <w:p w14:paraId="6BE83C0D">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37.2</w:t>
                  </w:r>
                </w:p>
              </w:tc>
              <w:tc>
                <w:tcPr>
                  <w:tcW w:w="636" w:type="dxa"/>
                  <w:tcBorders>
                    <w:tl2br w:val="nil"/>
                    <w:tr2bl w:val="nil"/>
                  </w:tcBorders>
                  <w:noWrap w:val="0"/>
                  <w:vAlign w:val="center"/>
                </w:tcPr>
                <w:p w14:paraId="65B02AC1">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50000</w:t>
                  </w:r>
                </w:p>
              </w:tc>
              <w:tc>
                <w:tcPr>
                  <w:tcW w:w="899" w:type="dxa"/>
                  <w:tcBorders>
                    <w:tl2br w:val="nil"/>
                    <w:tr2bl w:val="nil"/>
                  </w:tcBorders>
                  <w:noWrap w:val="0"/>
                  <w:vAlign w:val="center"/>
                </w:tcPr>
                <w:p w14:paraId="0D89A804">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0.8929</w:t>
                  </w:r>
                </w:p>
              </w:tc>
              <w:tc>
                <w:tcPr>
                  <w:tcW w:w="844" w:type="dxa"/>
                  <w:tcBorders>
                    <w:tl2br w:val="nil"/>
                    <w:tr2bl w:val="nil"/>
                  </w:tcBorders>
                  <w:noWrap w:val="0"/>
                  <w:vAlign w:val="center"/>
                </w:tcPr>
                <w:p w14:paraId="5D2A62D5">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7.44</w:t>
                  </w:r>
                </w:p>
              </w:tc>
              <w:tc>
                <w:tcPr>
                  <w:tcW w:w="708" w:type="dxa"/>
                  <w:tcBorders>
                    <w:tl2br w:val="nil"/>
                    <w:tr2bl w:val="nil"/>
                  </w:tcBorders>
                  <w:noWrap w:val="0"/>
                  <w:vAlign w:val="center"/>
                </w:tcPr>
                <w:p w14:paraId="5084BB3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0.372</w:t>
                  </w:r>
                </w:p>
              </w:tc>
              <w:tc>
                <w:tcPr>
                  <w:tcW w:w="672" w:type="dxa"/>
                  <w:tcBorders>
                    <w:tl2br w:val="nil"/>
                    <w:tr2bl w:val="nil"/>
                  </w:tcBorders>
                  <w:noWrap w:val="0"/>
                  <w:vAlign w:val="center"/>
                </w:tcPr>
                <w:p w14:paraId="33847896">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15</w:t>
                  </w:r>
                </w:p>
              </w:tc>
            </w:tr>
            <w:tr w14:paraId="43FFE5D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trPr>
              <w:tc>
                <w:tcPr>
                  <w:tcW w:w="426" w:type="dxa"/>
                  <w:tcBorders>
                    <w:tl2br w:val="nil"/>
                    <w:tr2bl w:val="nil"/>
                  </w:tcBorders>
                  <w:noWrap w:val="0"/>
                  <w:vAlign w:val="center"/>
                </w:tcPr>
                <w:p w14:paraId="1CF3B7E6">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2</w:t>
                  </w:r>
                </w:p>
              </w:tc>
              <w:tc>
                <w:tcPr>
                  <w:tcW w:w="818" w:type="dxa"/>
                  <w:tcBorders>
                    <w:tl2br w:val="nil"/>
                    <w:tr2bl w:val="nil"/>
                  </w:tcBorders>
                  <w:noWrap w:val="0"/>
                  <w:vAlign w:val="center"/>
                </w:tcPr>
                <w:p w14:paraId="07F46C88">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DA002</w:t>
                  </w:r>
                </w:p>
              </w:tc>
              <w:tc>
                <w:tcPr>
                  <w:tcW w:w="675" w:type="dxa"/>
                  <w:tcBorders>
                    <w:tl2br w:val="nil"/>
                    <w:tr2bl w:val="nil"/>
                  </w:tcBorders>
                  <w:shd w:val="clear" w:color="auto" w:fill="auto"/>
                  <w:noWrap w:val="0"/>
                  <w:vAlign w:val="center"/>
                </w:tcPr>
                <w:p w14:paraId="3777A886">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75037.5</w:t>
                  </w:r>
                </w:p>
              </w:tc>
              <w:tc>
                <w:tcPr>
                  <w:tcW w:w="765" w:type="dxa"/>
                  <w:tcBorders>
                    <w:tl2br w:val="nil"/>
                    <w:tr2bl w:val="nil"/>
                  </w:tcBorders>
                  <w:shd w:val="clear" w:color="auto" w:fill="auto"/>
                  <w:noWrap w:val="0"/>
                  <w:vAlign w:val="center"/>
                </w:tcPr>
                <w:p w14:paraId="07C7E48B">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89.29</w:t>
                  </w:r>
                </w:p>
              </w:tc>
              <w:tc>
                <w:tcPr>
                  <w:tcW w:w="1020" w:type="dxa"/>
                  <w:tcBorders>
                    <w:tl2br w:val="nil"/>
                    <w:tr2bl w:val="nil"/>
                  </w:tcBorders>
                  <w:shd w:val="clear" w:color="auto" w:fill="auto"/>
                  <w:noWrap w:val="0"/>
                  <w:vAlign w:val="center"/>
                </w:tcPr>
                <w:p w14:paraId="7D8DE647">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744.08</w:t>
                  </w:r>
                </w:p>
              </w:tc>
              <w:tc>
                <w:tcPr>
                  <w:tcW w:w="674" w:type="dxa"/>
                  <w:tcBorders>
                    <w:tl2br w:val="nil"/>
                    <w:tr2bl w:val="nil"/>
                  </w:tcBorders>
                  <w:shd w:val="clear" w:color="auto" w:fill="auto"/>
                  <w:noWrap w:val="0"/>
                  <w:vAlign w:val="center"/>
                </w:tcPr>
                <w:p w14:paraId="51E7D36D">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eastAsia"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37.2</w:t>
                  </w:r>
                </w:p>
              </w:tc>
              <w:tc>
                <w:tcPr>
                  <w:tcW w:w="636" w:type="dxa"/>
                  <w:tcBorders>
                    <w:tl2br w:val="nil"/>
                    <w:tr2bl w:val="nil"/>
                  </w:tcBorders>
                  <w:shd w:val="clear" w:color="auto" w:fill="auto"/>
                  <w:noWrap w:val="0"/>
                  <w:vAlign w:val="center"/>
                </w:tcPr>
                <w:p w14:paraId="04FF996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50000</w:t>
                  </w:r>
                </w:p>
              </w:tc>
              <w:tc>
                <w:tcPr>
                  <w:tcW w:w="899" w:type="dxa"/>
                  <w:tcBorders>
                    <w:tl2br w:val="nil"/>
                    <w:tr2bl w:val="nil"/>
                  </w:tcBorders>
                  <w:shd w:val="clear" w:color="auto" w:fill="auto"/>
                  <w:noWrap w:val="0"/>
                  <w:vAlign w:val="center"/>
                </w:tcPr>
                <w:p w14:paraId="0FACFAFA">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0.8929</w:t>
                  </w:r>
                </w:p>
              </w:tc>
              <w:tc>
                <w:tcPr>
                  <w:tcW w:w="844" w:type="dxa"/>
                  <w:tcBorders>
                    <w:tl2br w:val="nil"/>
                    <w:tr2bl w:val="nil"/>
                  </w:tcBorders>
                  <w:shd w:val="clear" w:color="auto" w:fill="auto"/>
                  <w:noWrap w:val="0"/>
                  <w:vAlign w:val="center"/>
                </w:tcPr>
                <w:p w14:paraId="4B12E3BB">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7.44</w:t>
                  </w:r>
                </w:p>
              </w:tc>
              <w:tc>
                <w:tcPr>
                  <w:tcW w:w="708" w:type="dxa"/>
                  <w:tcBorders>
                    <w:tl2br w:val="nil"/>
                    <w:tr2bl w:val="nil"/>
                  </w:tcBorders>
                  <w:shd w:val="clear" w:color="auto" w:fill="auto"/>
                  <w:noWrap w:val="0"/>
                  <w:vAlign w:val="center"/>
                </w:tcPr>
                <w:p w14:paraId="7766AA69">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eastAsia"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0.372</w:t>
                  </w:r>
                </w:p>
              </w:tc>
              <w:tc>
                <w:tcPr>
                  <w:tcW w:w="672" w:type="dxa"/>
                  <w:tcBorders>
                    <w:tl2br w:val="nil"/>
                    <w:tr2bl w:val="nil"/>
                  </w:tcBorders>
                  <w:shd w:val="clear" w:color="auto" w:fill="auto"/>
                  <w:noWrap w:val="0"/>
                  <w:vAlign w:val="center"/>
                </w:tcPr>
                <w:p w14:paraId="28CDF016">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15</w:t>
                  </w:r>
                </w:p>
              </w:tc>
            </w:tr>
            <w:tr w14:paraId="6D1257E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trPr>
              <w:tc>
                <w:tcPr>
                  <w:tcW w:w="426" w:type="dxa"/>
                  <w:tcBorders>
                    <w:tl2br w:val="nil"/>
                    <w:tr2bl w:val="nil"/>
                  </w:tcBorders>
                  <w:noWrap w:val="0"/>
                  <w:vAlign w:val="center"/>
                </w:tcPr>
                <w:p w14:paraId="6529DA15">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3</w:t>
                  </w:r>
                </w:p>
              </w:tc>
              <w:tc>
                <w:tcPr>
                  <w:tcW w:w="818" w:type="dxa"/>
                  <w:tcBorders>
                    <w:tl2br w:val="nil"/>
                    <w:tr2bl w:val="nil"/>
                  </w:tcBorders>
                  <w:shd w:val="clear" w:color="auto" w:fill="auto"/>
                  <w:noWrap w:val="0"/>
                  <w:vAlign w:val="center"/>
                </w:tcPr>
                <w:p w14:paraId="0FDCC674">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DA003</w:t>
                  </w:r>
                </w:p>
              </w:tc>
              <w:tc>
                <w:tcPr>
                  <w:tcW w:w="675" w:type="dxa"/>
                  <w:tcBorders>
                    <w:tl2br w:val="nil"/>
                    <w:tr2bl w:val="nil"/>
                  </w:tcBorders>
                  <w:shd w:val="clear" w:color="auto" w:fill="auto"/>
                  <w:noWrap w:val="0"/>
                  <w:vAlign w:val="center"/>
                </w:tcPr>
                <w:p w14:paraId="49FADF78">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75037.5</w:t>
                  </w:r>
                </w:p>
              </w:tc>
              <w:tc>
                <w:tcPr>
                  <w:tcW w:w="765" w:type="dxa"/>
                  <w:tcBorders>
                    <w:tl2br w:val="nil"/>
                    <w:tr2bl w:val="nil"/>
                  </w:tcBorders>
                  <w:shd w:val="clear" w:color="auto" w:fill="auto"/>
                  <w:noWrap w:val="0"/>
                  <w:vAlign w:val="center"/>
                </w:tcPr>
                <w:p w14:paraId="7565C0C1">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89.29</w:t>
                  </w:r>
                </w:p>
              </w:tc>
              <w:tc>
                <w:tcPr>
                  <w:tcW w:w="1020" w:type="dxa"/>
                  <w:tcBorders>
                    <w:tl2br w:val="nil"/>
                    <w:tr2bl w:val="nil"/>
                  </w:tcBorders>
                  <w:shd w:val="clear" w:color="auto" w:fill="auto"/>
                  <w:noWrap w:val="0"/>
                  <w:vAlign w:val="center"/>
                </w:tcPr>
                <w:p w14:paraId="6027CEB1">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744.08</w:t>
                  </w:r>
                </w:p>
              </w:tc>
              <w:tc>
                <w:tcPr>
                  <w:tcW w:w="674" w:type="dxa"/>
                  <w:tcBorders>
                    <w:tl2br w:val="nil"/>
                    <w:tr2bl w:val="nil"/>
                  </w:tcBorders>
                  <w:shd w:val="clear" w:color="auto" w:fill="auto"/>
                  <w:noWrap w:val="0"/>
                  <w:vAlign w:val="center"/>
                </w:tcPr>
                <w:p w14:paraId="330A1F9B">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eastAsia"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37.2</w:t>
                  </w:r>
                </w:p>
              </w:tc>
              <w:tc>
                <w:tcPr>
                  <w:tcW w:w="636" w:type="dxa"/>
                  <w:tcBorders>
                    <w:tl2br w:val="nil"/>
                    <w:tr2bl w:val="nil"/>
                  </w:tcBorders>
                  <w:shd w:val="clear" w:color="auto" w:fill="auto"/>
                  <w:noWrap w:val="0"/>
                  <w:vAlign w:val="center"/>
                </w:tcPr>
                <w:p w14:paraId="7971AEDD">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50000</w:t>
                  </w:r>
                </w:p>
              </w:tc>
              <w:tc>
                <w:tcPr>
                  <w:tcW w:w="899" w:type="dxa"/>
                  <w:tcBorders>
                    <w:tl2br w:val="nil"/>
                    <w:tr2bl w:val="nil"/>
                  </w:tcBorders>
                  <w:shd w:val="clear" w:color="auto" w:fill="auto"/>
                  <w:noWrap w:val="0"/>
                  <w:vAlign w:val="center"/>
                </w:tcPr>
                <w:p w14:paraId="3948489A">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0.8929</w:t>
                  </w:r>
                </w:p>
              </w:tc>
              <w:tc>
                <w:tcPr>
                  <w:tcW w:w="844" w:type="dxa"/>
                  <w:tcBorders>
                    <w:tl2br w:val="nil"/>
                    <w:tr2bl w:val="nil"/>
                  </w:tcBorders>
                  <w:shd w:val="clear" w:color="auto" w:fill="auto"/>
                  <w:noWrap w:val="0"/>
                  <w:vAlign w:val="center"/>
                </w:tcPr>
                <w:p w14:paraId="3F76B2E7">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7.44</w:t>
                  </w:r>
                </w:p>
              </w:tc>
              <w:tc>
                <w:tcPr>
                  <w:tcW w:w="708" w:type="dxa"/>
                  <w:tcBorders>
                    <w:tl2br w:val="nil"/>
                    <w:tr2bl w:val="nil"/>
                  </w:tcBorders>
                  <w:shd w:val="clear" w:color="auto" w:fill="auto"/>
                  <w:noWrap w:val="0"/>
                  <w:vAlign w:val="center"/>
                </w:tcPr>
                <w:p w14:paraId="7FE9ABAD">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eastAsia"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0.372</w:t>
                  </w:r>
                </w:p>
              </w:tc>
              <w:tc>
                <w:tcPr>
                  <w:tcW w:w="672" w:type="dxa"/>
                  <w:tcBorders>
                    <w:tl2br w:val="nil"/>
                    <w:tr2bl w:val="nil"/>
                  </w:tcBorders>
                  <w:shd w:val="clear" w:color="auto" w:fill="auto"/>
                  <w:noWrap w:val="0"/>
                  <w:vAlign w:val="center"/>
                </w:tcPr>
                <w:p w14:paraId="5C0CA856">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15</w:t>
                  </w:r>
                </w:p>
              </w:tc>
            </w:tr>
            <w:tr w14:paraId="2AA38CD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426" w:type="dxa"/>
                  <w:tcBorders>
                    <w:tl2br w:val="nil"/>
                    <w:tr2bl w:val="nil"/>
                  </w:tcBorders>
                  <w:noWrap w:val="0"/>
                  <w:vAlign w:val="center"/>
                </w:tcPr>
                <w:p w14:paraId="59F83C37">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4</w:t>
                  </w:r>
                </w:p>
              </w:tc>
              <w:tc>
                <w:tcPr>
                  <w:tcW w:w="818" w:type="dxa"/>
                  <w:tcBorders>
                    <w:tl2br w:val="nil"/>
                    <w:tr2bl w:val="nil"/>
                  </w:tcBorders>
                  <w:shd w:val="clear" w:color="auto" w:fill="auto"/>
                  <w:noWrap w:val="0"/>
                  <w:vAlign w:val="center"/>
                </w:tcPr>
                <w:p w14:paraId="3125C2C3">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DA004</w:t>
                  </w:r>
                </w:p>
              </w:tc>
              <w:tc>
                <w:tcPr>
                  <w:tcW w:w="675" w:type="dxa"/>
                  <w:tcBorders>
                    <w:tl2br w:val="nil"/>
                    <w:tr2bl w:val="nil"/>
                  </w:tcBorders>
                  <w:shd w:val="clear" w:color="auto" w:fill="auto"/>
                  <w:noWrap w:val="0"/>
                  <w:vAlign w:val="center"/>
                </w:tcPr>
                <w:p w14:paraId="40FAFC54">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75037.5</w:t>
                  </w:r>
                </w:p>
              </w:tc>
              <w:tc>
                <w:tcPr>
                  <w:tcW w:w="765" w:type="dxa"/>
                  <w:tcBorders>
                    <w:tl2br w:val="nil"/>
                    <w:tr2bl w:val="nil"/>
                  </w:tcBorders>
                  <w:shd w:val="clear" w:color="auto" w:fill="auto"/>
                  <w:noWrap w:val="0"/>
                  <w:vAlign w:val="center"/>
                </w:tcPr>
                <w:p w14:paraId="76076F7F">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89.29</w:t>
                  </w:r>
                </w:p>
              </w:tc>
              <w:tc>
                <w:tcPr>
                  <w:tcW w:w="1020" w:type="dxa"/>
                  <w:tcBorders>
                    <w:tl2br w:val="nil"/>
                    <w:tr2bl w:val="nil"/>
                  </w:tcBorders>
                  <w:shd w:val="clear" w:color="auto" w:fill="auto"/>
                  <w:noWrap w:val="0"/>
                  <w:vAlign w:val="center"/>
                </w:tcPr>
                <w:p w14:paraId="0B043D23">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744.08</w:t>
                  </w:r>
                </w:p>
              </w:tc>
              <w:tc>
                <w:tcPr>
                  <w:tcW w:w="674" w:type="dxa"/>
                  <w:tcBorders>
                    <w:tl2br w:val="nil"/>
                    <w:tr2bl w:val="nil"/>
                  </w:tcBorders>
                  <w:shd w:val="clear" w:color="auto" w:fill="auto"/>
                  <w:noWrap w:val="0"/>
                  <w:vAlign w:val="center"/>
                </w:tcPr>
                <w:p w14:paraId="027CB455">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eastAsia"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37.2</w:t>
                  </w:r>
                </w:p>
              </w:tc>
              <w:tc>
                <w:tcPr>
                  <w:tcW w:w="636" w:type="dxa"/>
                  <w:tcBorders>
                    <w:tl2br w:val="nil"/>
                    <w:tr2bl w:val="nil"/>
                  </w:tcBorders>
                  <w:shd w:val="clear" w:color="auto" w:fill="auto"/>
                  <w:noWrap w:val="0"/>
                  <w:vAlign w:val="center"/>
                </w:tcPr>
                <w:p w14:paraId="3EC4C238">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50000</w:t>
                  </w:r>
                </w:p>
              </w:tc>
              <w:tc>
                <w:tcPr>
                  <w:tcW w:w="899" w:type="dxa"/>
                  <w:tcBorders>
                    <w:tl2br w:val="nil"/>
                    <w:tr2bl w:val="nil"/>
                  </w:tcBorders>
                  <w:shd w:val="clear" w:color="auto" w:fill="auto"/>
                  <w:noWrap w:val="0"/>
                  <w:vAlign w:val="center"/>
                </w:tcPr>
                <w:p w14:paraId="14C2D9EC">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0.8929</w:t>
                  </w:r>
                </w:p>
              </w:tc>
              <w:tc>
                <w:tcPr>
                  <w:tcW w:w="844" w:type="dxa"/>
                  <w:tcBorders>
                    <w:tl2br w:val="nil"/>
                    <w:tr2bl w:val="nil"/>
                  </w:tcBorders>
                  <w:shd w:val="clear" w:color="auto" w:fill="auto"/>
                  <w:noWrap w:val="0"/>
                  <w:vAlign w:val="center"/>
                </w:tcPr>
                <w:p w14:paraId="76C05190">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7.44</w:t>
                  </w:r>
                </w:p>
              </w:tc>
              <w:tc>
                <w:tcPr>
                  <w:tcW w:w="708" w:type="dxa"/>
                  <w:tcBorders>
                    <w:tl2br w:val="nil"/>
                    <w:tr2bl w:val="nil"/>
                  </w:tcBorders>
                  <w:shd w:val="clear" w:color="auto" w:fill="auto"/>
                  <w:noWrap w:val="0"/>
                  <w:vAlign w:val="center"/>
                </w:tcPr>
                <w:p w14:paraId="4AD3B623">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eastAsia"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0.372</w:t>
                  </w:r>
                </w:p>
              </w:tc>
              <w:tc>
                <w:tcPr>
                  <w:tcW w:w="672" w:type="dxa"/>
                  <w:tcBorders>
                    <w:tl2br w:val="nil"/>
                    <w:tr2bl w:val="nil"/>
                  </w:tcBorders>
                  <w:shd w:val="clear" w:color="auto" w:fill="auto"/>
                  <w:noWrap w:val="0"/>
                  <w:vAlign w:val="center"/>
                </w:tcPr>
                <w:p w14:paraId="56A44AD9">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000000" w:themeColor="text1"/>
                      <w:kern w:val="2"/>
                      <w:sz w:val="21"/>
                      <w:szCs w:val="21"/>
                      <w:highlight w:val="none"/>
                      <w:vertAlign w:val="baseline"/>
                      <w:lang w:val="en-US" w:eastAsia="zh-CN" w:bidi="ar-SA"/>
                      <w14:textFill>
                        <w14:solidFill>
                          <w14:schemeClr w14:val="tx1"/>
                        </w14:solidFill>
                      </w14:textFill>
                    </w:rPr>
                  </w:pPr>
                  <w:r>
                    <w:rPr>
                      <w:rFonts w:hint="eastAsia" w:ascii="Times New Roman" w:hAnsi="Times New Roman" w:cs="Times New Roman"/>
                      <w:bCs/>
                      <w:color w:val="000000" w:themeColor="text1"/>
                      <w:sz w:val="21"/>
                      <w:szCs w:val="21"/>
                      <w:highlight w:val="none"/>
                      <w:vertAlign w:val="baseline"/>
                      <w:lang w:val="en-US" w:eastAsia="zh-CN"/>
                      <w14:textFill>
                        <w14:solidFill>
                          <w14:schemeClr w14:val="tx1"/>
                        </w14:solidFill>
                      </w14:textFill>
                    </w:rPr>
                    <w:t>15</w:t>
                  </w:r>
                </w:p>
              </w:tc>
            </w:tr>
          </w:tbl>
          <w:p w14:paraId="736F30B6">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cs="Times New Roman"/>
                <w:bCs/>
                <w:color w:val="000000" w:themeColor="text1"/>
                <w:sz w:val="24"/>
                <w:highlight w:val="none"/>
                <w:lang w:val="en-US" w:eastAsia="zh-CN"/>
                <w14:textFill>
                  <w14:solidFill>
                    <w14:schemeClr w14:val="tx1"/>
                  </w14:solidFill>
                </w14:textFill>
              </w:rPr>
              <w:t>根据上表各计算结果，</w:t>
            </w:r>
            <w:r>
              <w:rPr>
                <w:rFonts w:hint="eastAsia" w:ascii="Times New Roman" w:hAnsi="Times New Roman"/>
                <w:color w:val="000000" w:themeColor="text1"/>
                <w:sz w:val="24"/>
                <w:highlight w:val="none"/>
                <w14:textFill>
                  <w14:solidFill>
                    <w14:schemeClr w14:val="tx1"/>
                  </w14:solidFill>
                </w14:textFill>
              </w:rPr>
              <w:t>项目</w:t>
            </w:r>
            <w:r>
              <w:rPr>
                <w:rFonts w:hint="eastAsia" w:ascii="Times New Roman" w:hAnsi="Times New Roman"/>
                <w:color w:val="000000" w:themeColor="text1"/>
                <w:sz w:val="24"/>
                <w:highlight w:val="none"/>
                <w:lang w:val="en-US" w:eastAsia="zh-CN"/>
                <w14:textFill>
                  <w14:solidFill>
                    <w14:schemeClr w14:val="tx1"/>
                  </w14:solidFill>
                </w14:textFill>
              </w:rPr>
              <w:t>运营期有组织</w:t>
            </w:r>
            <w:r>
              <w:rPr>
                <w:rFonts w:hint="eastAsia" w:ascii="Times New Roman" w:hAnsi="Times New Roman"/>
                <w:color w:val="000000" w:themeColor="text1"/>
                <w:sz w:val="24"/>
                <w:highlight w:val="none"/>
                <w14:textFill>
                  <w14:solidFill>
                    <w14:schemeClr w14:val="tx1"/>
                  </w14:solidFill>
                </w14:textFill>
              </w:rPr>
              <w:t>排放的颗粒物浓度</w:t>
            </w:r>
            <w:r>
              <w:rPr>
                <w:rFonts w:hint="eastAsia" w:ascii="Times New Roman" w:hAnsi="Times New Roman"/>
                <w:color w:val="000000" w:themeColor="text1"/>
                <w:sz w:val="24"/>
                <w:highlight w:val="none"/>
                <w:lang w:val="en-US" w:eastAsia="zh-CN"/>
                <w14:textFill>
                  <w14:solidFill>
                    <w14:schemeClr w14:val="tx1"/>
                  </w14:solidFill>
                </w14:textFill>
              </w:rPr>
              <w:t>能够满足</w:t>
            </w:r>
            <w:r>
              <w:rPr>
                <w:rFonts w:hint="eastAsia" w:ascii="Times New Roman" w:hAnsi="Times New Roman"/>
                <w:color w:val="000000" w:themeColor="text1"/>
                <w:sz w:val="24"/>
                <w:highlight w:val="none"/>
                <w14:textFill>
                  <w14:solidFill>
                    <w14:schemeClr w14:val="tx1"/>
                  </w14:solidFill>
                </w14:textFill>
              </w:rPr>
              <w:t>《石灰、电石工业大气污染物排放标准》（GB 41618-2022）中的</w:t>
            </w:r>
            <w:r>
              <w:rPr>
                <w:rFonts w:hint="eastAsia" w:ascii="Times New Roman" w:hAnsi="Times New Roman"/>
                <w:color w:val="000000" w:themeColor="text1"/>
                <w:sz w:val="24"/>
                <w:highlight w:val="none"/>
                <w:lang w:val="en-US" w:eastAsia="zh-CN"/>
                <w14:textFill>
                  <w14:solidFill>
                    <w14:schemeClr w14:val="tx1"/>
                  </w14:solidFill>
                </w14:textFill>
              </w:rPr>
              <w:t>标准</w:t>
            </w:r>
            <w:r>
              <w:rPr>
                <w:rFonts w:hint="eastAsia" w:ascii="Times New Roman" w:hAnsi="Times New Roman"/>
                <w:color w:val="000000" w:themeColor="text1"/>
                <w:sz w:val="24"/>
                <w:highlight w:val="none"/>
                <w14:textFill>
                  <w14:solidFill>
                    <w14:schemeClr w14:val="tx1"/>
                  </w14:solidFill>
                </w14:textFill>
              </w:rPr>
              <w:t>限值要求</w:t>
            </w:r>
            <w:r>
              <w:rPr>
                <w:rFonts w:hint="eastAsia" w:ascii="Times New Roman" w:hAnsi="Times New Roman"/>
                <w:color w:val="000000" w:themeColor="text1"/>
                <w:sz w:val="24"/>
                <w:highlight w:val="none"/>
                <w:lang w:val="en-US" w:eastAsia="zh-CN"/>
                <w14:textFill>
                  <w14:solidFill>
                    <w14:schemeClr w14:val="tx1"/>
                  </w14:solidFill>
                </w14:textFill>
              </w:rPr>
              <w:t>。</w:t>
            </w:r>
          </w:p>
          <w:p w14:paraId="0B60C6ED">
            <w:pPr>
              <w:pStyle w:val="8"/>
              <w:keepNext w:val="0"/>
              <w:keepLines w:val="0"/>
              <w:pageBreakBefore w:val="0"/>
              <w:widowControl w:val="0"/>
              <w:kinsoku/>
              <w:wordWrap/>
              <w:overflowPunct/>
              <w:topLinePunct w:val="0"/>
              <w:autoSpaceDE/>
              <w:autoSpaceDN/>
              <w:bidi w:val="0"/>
              <w:adjustRightInd/>
              <w:snapToGrid w:val="0"/>
              <w:spacing w:beforeLines="0" w:line="360" w:lineRule="auto"/>
              <w:ind w:firstLine="48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w:t>
            </w:r>
            <w:r>
              <w:rPr>
                <w:rFonts w:hint="eastAsia" w:ascii="Times New Roman" w:hAnsi="Times New Roman" w:cs="宋体"/>
                <w:color w:val="000000" w:themeColor="text1"/>
                <w:sz w:val="24"/>
                <w:highlight w:val="none"/>
                <w:lang w:val="en-US" w:eastAsia="zh-CN"/>
                <w14:textFill>
                  <w14:solidFill>
                    <w14:schemeClr w14:val="tx1"/>
                  </w14:solidFill>
                </w14:textFill>
              </w:rPr>
              <w:t>3</w:t>
            </w:r>
            <w:r>
              <w:rPr>
                <w:rFonts w:hint="eastAsia" w:ascii="Times New Roman" w:hAnsi="Times New Roman" w:eastAsia="宋体" w:cs="宋体"/>
                <w:color w:val="000000" w:themeColor="text1"/>
                <w:sz w:val="24"/>
                <w:highlight w:val="none"/>
                <w14:textFill>
                  <w14:solidFill>
                    <w14:schemeClr w14:val="tx1"/>
                  </w14:solidFill>
                </w14:textFill>
              </w:rPr>
              <w:t>）运输车辆动力起尘</w:t>
            </w:r>
          </w:p>
          <w:p w14:paraId="7D7A16B2">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根据有关资料介绍，车辆行驶产生的扬尘，在完全干燥情况下，可按下列经验公式计算：</w:t>
            </w:r>
          </w:p>
          <w:p w14:paraId="507F54CE">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Q=0.123(V/5)(W/6.8)</w:t>
            </w:r>
            <w:r>
              <w:rPr>
                <w:rFonts w:hint="default" w:ascii="Times New Roman" w:hAnsi="Times New Roman" w:eastAsia="宋体" w:cs="Times New Roman"/>
                <w:color w:val="000000" w:themeColor="text1"/>
                <w:sz w:val="24"/>
                <w:szCs w:val="24"/>
                <w:highlight w:val="none"/>
                <w:vertAlign w:val="superscript"/>
                <w14:textFill>
                  <w14:solidFill>
                    <w14:schemeClr w14:val="tx1"/>
                  </w14:solidFill>
                </w14:textFill>
              </w:rPr>
              <w:t>0.85</w:t>
            </w:r>
            <w:r>
              <w:rPr>
                <w:rFonts w:hint="default" w:ascii="Times New Roman" w:hAnsi="Times New Roman" w:eastAsia="宋体" w:cs="Times New Roman"/>
                <w:color w:val="000000" w:themeColor="text1"/>
                <w:sz w:val="24"/>
                <w:highlight w:val="none"/>
                <w14:textFill>
                  <w14:solidFill>
                    <w14:schemeClr w14:val="tx1"/>
                  </w14:solidFill>
                </w14:textFill>
              </w:rPr>
              <w:t>(P/0.5)</w:t>
            </w:r>
            <w:r>
              <w:rPr>
                <w:rFonts w:hint="default" w:ascii="Times New Roman" w:hAnsi="Times New Roman" w:eastAsia="宋体" w:cs="Times New Roman"/>
                <w:color w:val="000000" w:themeColor="text1"/>
                <w:sz w:val="24"/>
                <w:highlight w:val="none"/>
                <w:vertAlign w:val="superscript"/>
                <w14:textFill>
                  <w14:solidFill>
                    <w14:schemeClr w14:val="tx1"/>
                  </w14:solidFill>
                </w14:textFill>
              </w:rPr>
              <w:t>0.75</w:t>
            </w:r>
          </w:p>
          <w:p w14:paraId="0152971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式中：Q</w:t>
            </w:r>
            <w:r>
              <w:rPr>
                <w:rFonts w:hint="eastAsia" w:ascii="Times New Roman" w:hAnsi="Times New Roman" w:eastAsia="宋体" w:cs="宋体"/>
                <w:i/>
                <w:color w:val="000000" w:themeColor="text1"/>
                <w:sz w:val="24"/>
                <w:highlight w:val="none"/>
                <w14:textFill>
                  <w14:solidFill>
                    <w14:schemeClr w14:val="tx1"/>
                  </w14:solidFill>
                </w14:textFill>
              </w:rPr>
              <w:t>——</w:t>
            </w:r>
            <w:r>
              <w:rPr>
                <w:rFonts w:hint="eastAsia" w:ascii="Times New Roman" w:hAnsi="Times New Roman" w:eastAsia="宋体" w:cs="宋体"/>
                <w:color w:val="000000" w:themeColor="text1"/>
                <w:sz w:val="24"/>
                <w:highlight w:val="none"/>
                <w14:textFill>
                  <w14:solidFill>
                    <w14:schemeClr w14:val="tx1"/>
                  </w14:solidFill>
                </w14:textFill>
              </w:rPr>
              <w:t>汽车行驶产生的扬尘量，kg/km</w:t>
            </w:r>
            <w:r>
              <w:rPr>
                <w:rFonts w:hint="eastAsia" w:ascii="Times New Roman" w:hAnsi="Times New Roman" w:eastAsia="宋体" w:cs="宋体"/>
                <w:b/>
                <w:color w:val="000000" w:themeColor="text1"/>
                <w:sz w:val="24"/>
                <w:highlight w:val="none"/>
                <w:vertAlign w:val="superscript"/>
                <w14:textFill>
                  <w14:solidFill>
                    <w14:schemeClr w14:val="tx1"/>
                  </w14:solidFill>
                </w14:textFill>
              </w:rPr>
              <w:t>.</w:t>
            </w:r>
            <w:r>
              <w:rPr>
                <w:rFonts w:hint="eastAsia" w:ascii="Times New Roman" w:hAnsi="Times New Roman" w:eastAsia="宋体" w:cs="宋体"/>
                <w:color w:val="000000" w:themeColor="text1"/>
                <w:sz w:val="24"/>
                <w:highlight w:val="none"/>
                <w14:textFill>
                  <w14:solidFill>
                    <w14:schemeClr w14:val="tx1"/>
                  </w14:solidFill>
                </w14:textFill>
              </w:rPr>
              <w:t>辆；</w:t>
            </w:r>
          </w:p>
          <w:p w14:paraId="4065B864">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V——汽车速度，km/h；</w:t>
            </w:r>
          </w:p>
          <w:p w14:paraId="69732421">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W——汽车载重量，t；</w:t>
            </w:r>
          </w:p>
          <w:p w14:paraId="64BE2926">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14:textFill>
                  <w14:solidFill>
                    <w14:schemeClr w14:val="tx1"/>
                  </w14:solidFill>
                </w14:textFill>
              </w:rPr>
              <w:t>P——道路表面粉尘量，kg/m</w:t>
            </w:r>
            <w:r>
              <w:rPr>
                <w:rFonts w:hint="eastAsia" w:ascii="Times New Roman" w:hAnsi="Times New Roman" w:eastAsia="宋体" w:cs="宋体"/>
                <w:color w:val="000000" w:themeColor="text1"/>
                <w:sz w:val="24"/>
                <w:highlight w:val="none"/>
                <w:vertAlign w:val="superscript"/>
                <w14:textFill>
                  <w14:solidFill>
                    <w14:schemeClr w14:val="tx1"/>
                  </w14:solidFill>
                </w14:textFill>
              </w:rPr>
              <w:t>2</w:t>
            </w:r>
            <w:r>
              <w:rPr>
                <w:rFonts w:hint="eastAsia" w:ascii="Times New Roman" w:hAnsi="Times New Roman" w:eastAsia="宋体" w:cs="宋体"/>
                <w:color w:val="000000" w:themeColor="text1"/>
                <w:sz w:val="24"/>
                <w:highlight w:val="none"/>
                <w14:textFill>
                  <w14:solidFill>
                    <w14:schemeClr w14:val="tx1"/>
                  </w14:solidFill>
                </w14:textFill>
              </w:rPr>
              <w:t>。</w:t>
            </w:r>
          </w:p>
          <w:p w14:paraId="5613BED8">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eastAsia" w:ascii="Times New Roman" w:hAnsi="Times New Roman" w:eastAsia="宋体" w:cs="宋体"/>
                <w:color w:val="000000" w:themeColor="text1"/>
                <w:sz w:val="24"/>
                <w:highlight w:val="none"/>
                <w14:textFill>
                  <w14:solidFill>
                    <w14:schemeClr w14:val="tx1"/>
                  </w14:solidFill>
                </w14:textFill>
              </w:rPr>
            </w:pPr>
            <w:r>
              <w:rPr>
                <w:rFonts w:hint="eastAsia" w:ascii="Times New Roman" w:hAnsi="Times New Roman" w:cs="宋体"/>
                <w:color w:val="000000" w:themeColor="text1"/>
                <w:sz w:val="24"/>
                <w:highlight w:val="none"/>
                <w:lang w:val="en-US" w:eastAsia="zh-CN"/>
                <w14:textFill>
                  <w14:solidFill>
                    <w14:schemeClr w14:val="tx1"/>
                  </w14:solidFill>
                </w14:textFill>
              </w:rPr>
              <w:t>下表</w:t>
            </w:r>
            <w:r>
              <w:rPr>
                <w:rFonts w:hint="eastAsia" w:ascii="Times New Roman" w:hAnsi="Times New Roman" w:eastAsia="宋体" w:cs="宋体"/>
                <w:color w:val="000000" w:themeColor="text1"/>
                <w:sz w:val="24"/>
                <w:highlight w:val="none"/>
                <w14:textFill>
                  <w14:solidFill>
                    <w14:schemeClr w14:val="tx1"/>
                  </w14:solidFill>
                </w14:textFill>
              </w:rPr>
              <w:t>为一辆载重10t的卡车，通过一段长度为1km的路面时，不同路面清洁程度，不同行驶速度情况下的扬尘量。由此可见，在同样路面清洁程度条件下，车速越快，扬尘量越大；而在同样车速情况下，路面越脏，则扬尘量越大。因此限速行驶和保持路面清洁是减少汽车扬尘的有效手段。</w:t>
            </w:r>
          </w:p>
          <w:p w14:paraId="59AC0394">
            <w:pPr>
              <w:keepNext w:val="0"/>
              <w:keepLines w:val="0"/>
              <w:pageBreakBefore w:val="0"/>
              <w:widowControl w:val="0"/>
              <w:kinsoku/>
              <w:wordWrap/>
              <w:overflowPunct/>
              <w:topLinePunct w:val="0"/>
              <w:autoSpaceDE/>
              <w:autoSpaceDN/>
              <w:bidi w:val="0"/>
              <w:adjustRightInd/>
              <w:snapToGrid w:val="0"/>
              <w:spacing w:beforeLines="0" w:line="360" w:lineRule="auto"/>
              <w:ind w:right="26" w:rightChars="0"/>
              <w:jc w:val="center"/>
              <w:textAlignment w:val="auto"/>
              <w:rPr>
                <w:rFonts w:hint="eastAsia" w:ascii="Times New Roman" w:hAnsi="Times New Roman" w:eastAsia="宋体" w:cs="宋体"/>
                <w:b/>
                <w:color w:val="000000" w:themeColor="text1"/>
                <w:sz w:val="24"/>
                <w:highlight w:val="none"/>
                <w14:textFill>
                  <w14:solidFill>
                    <w14:schemeClr w14:val="tx1"/>
                  </w14:solidFill>
                </w14:textFill>
              </w:rPr>
            </w:pPr>
            <w:r>
              <w:rPr>
                <w:rFonts w:hint="eastAsia" w:ascii="Times New Roman" w:hAnsi="Times New Roman" w:eastAsia="宋体" w:cs="宋体"/>
                <w:b/>
                <w:color w:val="000000" w:themeColor="text1"/>
                <w:sz w:val="24"/>
                <w:highlight w:val="none"/>
                <w14:textFill>
                  <w14:solidFill>
                    <w14:schemeClr w14:val="tx1"/>
                  </w14:solidFill>
                </w14:textFill>
              </w:rPr>
              <w:t>表</w:t>
            </w:r>
            <w:r>
              <w:rPr>
                <w:rFonts w:hint="eastAsia" w:ascii="Times New Roman" w:hAnsi="Times New Roman" w:cs="宋体"/>
                <w:b/>
                <w:color w:val="000000" w:themeColor="text1"/>
                <w:sz w:val="24"/>
                <w:highlight w:val="none"/>
                <w:lang w:val="en-US" w:eastAsia="zh-CN"/>
                <w14:textFill>
                  <w14:solidFill>
                    <w14:schemeClr w14:val="tx1"/>
                  </w14:solidFill>
                </w14:textFill>
              </w:rPr>
              <w:t>4-3</w:t>
            </w:r>
            <w:r>
              <w:rPr>
                <w:rFonts w:hint="eastAsia" w:ascii="Times New Roman" w:hAnsi="Times New Roman" w:eastAsia="宋体" w:cs="宋体"/>
                <w:b/>
                <w:color w:val="000000" w:themeColor="text1"/>
                <w:sz w:val="24"/>
                <w:highlight w:val="none"/>
                <w14:textFill>
                  <w14:solidFill>
                    <w14:schemeClr w14:val="tx1"/>
                  </w14:solidFill>
                </w14:textFill>
              </w:rPr>
              <w:t xml:space="preserve"> </w:t>
            </w:r>
            <w:r>
              <w:rPr>
                <w:rFonts w:hint="eastAsia" w:ascii="Times New Roman" w:hAnsi="Times New Roman" w:cs="宋体"/>
                <w:b/>
                <w:color w:val="000000" w:themeColor="text1"/>
                <w:sz w:val="24"/>
                <w:highlight w:val="none"/>
                <w:lang w:val="en-US" w:eastAsia="zh-CN"/>
                <w14:textFill>
                  <w14:solidFill>
                    <w14:schemeClr w14:val="tx1"/>
                  </w14:solidFill>
                </w14:textFill>
              </w:rPr>
              <w:t xml:space="preserve"> </w:t>
            </w:r>
            <w:r>
              <w:rPr>
                <w:rFonts w:hint="eastAsia" w:ascii="Times New Roman" w:hAnsi="Times New Roman" w:eastAsia="宋体" w:cs="宋体"/>
                <w:b/>
                <w:color w:val="000000" w:themeColor="text1"/>
                <w:sz w:val="24"/>
                <w:highlight w:val="none"/>
                <w14:textFill>
                  <w14:solidFill>
                    <w14:schemeClr w14:val="tx1"/>
                  </w14:solidFill>
                </w14:textFill>
              </w:rPr>
              <w:t>在不同车速和路面清洁程度的汽车扬尘  单位：kg/km</w:t>
            </w:r>
            <w:r>
              <w:rPr>
                <w:rFonts w:hint="eastAsia" w:ascii="Times New Roman" w:hAnsi="Times New Roman" w:eastAsia="宋体" w:cs="宋体"/>
                <w:b/>
                <w:color w:val="000000" w:themeColor="text1"/>
                <w:sz w:val="24"/>
                <w:highlight w:val="none"/>
                <w:vertAlign w:val="superscript"/>
                <w14:textFill>
                  <w14:solidFill>
                    <w14:schemeClr w14:val="tx1"/>
                  </w14:solidFill>
                </w14:textFill>
              </w:rPr>
              <w:t>.</w:t>
            </w:r>
            <w:r>
              <w:rPr>
                <w:rFonts w:hint="eastAsia" w:ascii="Times New Roman" w:hAnsi="Times New Roman" w:eastAsia="宋体" w:cs="宋体"/>
                <w:b/>
                <w:color w:val="000000" w:themeColor="text1"/>
                <w:sz w:val="24"/>
                <w:highlight w:val="none"/>
                <w14:textFill>
                  <w14:solidFill>
                    <w14:schemeClr w14:val="tx1"/>
                  </w14:solidFill>
                </w14:textFill>
              </w:rPr>
              <w:t>辆</w:t>
            </w:r>
          </w:p>
          <w:tbl>
            <w:tblPr>
              <w:tblStyle w:val="24"/>
              <w:tblW w:w="8155"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1142"/>
              <w:gridCol w:w="1232"/>
              <w:gridCol w:w="1052"/>
              <w:gridCol w:w="1142"/>
              <w:gridCol w:w="1142"/>
              <w:gridCol w:w="1228"/>
              <w:gridCol w:w="1217"/>
            </w:tblGrid>
            <w:tr w14:paraId="6FF97B30">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12" w:space="0"/>
                    <w:left w:val="single" w:color="auto" w:sz="6" w:space="0"/>
                    <w:bottom w:val="single" w:color="auto" w:sz="6" w:space="0"/>
                    <w:tl2br w:val="single" w:color="auto" w:sz="4" w:space="0"/>
                  </w:tcBorders>
                  <w:noWrap w:val="0"/>
                  <w:vAlign w:val="center"/>
                </w:tcPr>
                <w:p w14:paraId="5421B60F">
                  <w:pPr>
                    <w:pStyle w:val="8"/>
                    <w:spacing w:line="400" w:lineRule="exact"/>
                    <w:ind w:left="-2" w:firstLine="0" w:firstLineChars="0"/>
                    <w:jc w:val="right"/>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车速</w:t>
                  </w:r>
                </w:p>
                <w:p w14:paraId="30984021">
                  <w:pPr>
                    <w:pStyle w:val="8"/>
                    <w:spacing w:line="400" w:lineRule="exact"/>
                    <w:ind w:left="-2" w:firstLine="0" w:firstLineChars="0"/>
                    <w:jc w:val="left"/>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P</w:t>
                  </w:r>
                </w:p>
              </w:tc>
              <w:tc>
                <w:tcPr>
                  <w:tcW w:w="1232" w:type="dxa"/>
                  <w:tcBorders>
                    <w:top w:val="single" w:color="auto" w:sz="12" w:space="0"/>
                    <w:bottom w:val="single" w:color="auto" w:sz="6" w:space="0"/>
                  </w:tcBorders>
                  <w:noWrap w:val="0"/>
                  <w:vAlign w:val="center"/>
                </w:tcPr>
                <w:p w14:paraId="56F4B213">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0.1</w:t>
                  </w:r>
                  <w:r>
                    <w:rPr>
                      <w:rFonts w:hint="eastAsia" w:ascii="Times New Roman" w:hAnsi="Times New Roman"/>
                      <w:color w:val="000000" w:themeColor="text1"/>
                      <w:sz w:val="21"/>
                      <w:szCs w:val="21"/>
                      <w:highlight w:val="none"/>
                      <w:lang w:eastAsia="zh-CN"/>
                      <w14:textFill>
                        <w14:solidFill>
                          <w14:schemeClr w14:val="tx1"/>
                        </w14:solidFill>
                      </w14:textFill>
                    </w:rPr>
                    <w:t>(</w:t>
                  </w:r>
                  <w:r>
                    <w:rPr>
                      <w:rFonts w:ascii="Times New Roman" w:hAnsi="Times New Roman"/>
                      <w:color w:val="000000" w:themeColor="text1"/>
                      <w:sz w:val="21"/>
                      <w:szCs w:val="21"/>
                      <w:highlight w:val="none"/>
                      <w14:textFill>
                        <w14:solidFill>
                          <w14:schemeClr w14:val="tx1"/>
                        </w14:solidFill>
                      </w14:textFill>
                    </w:rPr>
                    <w:t>kg/m</w:t>
                  </w:r>
                  <w:r>
                    <w:rPr>
                      <w:rFonts w:ascii="Times New Roman" w:hAnsi="Times New Roman"/>
                      <w:color w:val="000000" w:themeColor="text1"/>
                      <w:sz w:val="21"/>
                      <w:szCs w:val="21"/>
                      <w:highlight w:val="none"/>
                      <w:vertAlign w:val="superscript"/>
                      <w14:textFill>
                        <w14:solidFill>
                          <w14:schemeClr w14:val="tx1"/>
                        </w14:solidFill>
                      </w14:textFill>
                    </w:rPr>
                    <w:t>2</w:t>
                  </w:r>
                  <w:r>
                    <w:rPr>
                      <w:rFonts w:ascii="Times New Roman" w:hAnsi="Times New Roman"/>
                      <w:color w:val="000000" w:themeColor="text1"/>
                      <w:sz w:val="21"/>
                      <w:szCs w:val="21"/>
                      <w:highlight w:val="none"/>
                      <w14:textFill>
                        <w14:solidFill>
                          <w14:schemeClr w14:val="tx1"/>
                        </w14:solidFill>
                      </w14:textFill>
                    </w:rPr>
                    <w:t>）</w:t>
                  </w:r>
                </w:p>
              </w:tc>
              <w:tc>
                <w:tcPr>
                  <w:tcW w:w="1052" w:type="dxa"/>
                  <w:tcBorders>
                    <w:top w:val="single" w:color="auto" w:sz="12" w:space="0"/>
                    <w:bottom w:val="single" w:color="auto" w:sz="6" w:space="0"/>
                  </w:tcBorders>
                  <w:noWrap w:val="0"/>
                  <w:vAlign w:val="center"/>
                </w:tcPr>
                <w:p w14:paraId="6F1FE178">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0.2（kg/m</w:t>
                  </w:r>
                  <w:r>
                    <w:rPr>
                      <w:rFonts w:ascii="Times New Roman" w:hAnsi="Times New Roman"/>
                      <w:color w:val="000000" w:themeColor="text1"/>
                      <w:sz w:val="21"/>
                      <w:szCs w:val="21"/>
                      <w:highlight w:val="none"/>
                      <w:vertAlign w:val="superscript"/>
                      <w14:textFill>
                        <w14:solidFill>
                          <w14:schemeClr w14:val="tx1"/>
                        </w14:solidFill>
                      </w14:textFill>
                    </w:rPr>
                    <w:t>2</w:t>
                  </w:r>
                  <w:r>
                    <w:rPr>
                      <w:rFonts w:ascii="Times New Roman" w:hAnsi="Times New Roman"/>
                      <w:color w:val="000000" w:themeColor="text1"/>
                      <w:sz w:val="21"/>
                      <w:szCs w:val="21"/>
                      <w:highlight w:val="none"/>
                      <w14:textFill>
                        <w14:solidFill>
                          <w14:schemeClr w14:val="tx1"/>
                        </w14:solidFill>
                      </w14:textFill>
                    </w:rPr>
                    <w:t>）</w:t>
                  </w:r>
                </w:p>
              </w:tc>
              <w:tc>
                <w:tcPr>
                  <w:tcW w:w="1142" w:type="dxa"/>
                  <w:tcBorders>
                    <w:top w:val="single" w:color="auto" w:sz="12" w:space="0"/>
                    <w:bottom w:val="single" w:color="auto" w:sz="6" w:space="0"/>
                  </w:tcBorders>
                  <w:noWrap w:val="0"/>
                  <w:vAlign w:val="center"/>
                </w:tcPr>
                <w:p w14:paraId="3F32C54A">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0.3（kg/m</w:t>
                  </w:r>
                  <w:r>
                    <w:rPr>
                      <w:rFonts w:ascii="Times New Roman" w:hAnsi="Times New Roman"/>
                      <w:color w:val="000000" w:themeColor="text1"/>
                      <w:sz w:val="21"/>
                      <w:szCs w:val="21"/>
                      <w:highlight w:val="none"/>
                      <w:vertAlign w:val="superscript"/>
                      <w14:textFill>
                        <w14:solidFill>
                          <w14:schemeClr w14:val="tx1"/>
                        </w14:solidFill>
                      </w14:textFill>
                    </w:rPr>
                    <w:t>2</w:t>
                  </w:r>
                  <w:r>
                    <w:rPr>
                      <w:rFonts w:ascii="Times New Roman" w:hAnsi="Times New Roman"/>
                      <w:color w:val="000000" w:themeColor="text1"/>
                      <w:sz w:val="21"/>
                      <w:szCs w:val="21"/>
                      <w:highlight w:val="none"/>
                      <w14:textFill>
                        <w14:solidFill>
                          <w14:schemeClr w14:val="tx1"/>
                        </w14:solidFill>
                      </w14:textFill>
                    </w:rPr>
                    <w:t>）</w:t>
                  </w:r>
                </w:p>
              </w:tc>
              <w:tc>
                <w:tcPr>
                  <w:tcW w:w="1142" w:type="dxa"/>
                  <w:tcBorders>
                    <w:top w:val="single" w:color="auto" w:sz="12" w:space="0"/>
                    <w:bottom w:val="single" w:color="auto" w:sz="6" w:space="0"/>
                  </w:tcBorders>
                  <w:noWrap w:val="0"/>
                  <w:vAlign w:val="center"/>
                </w:tcPr>
                <w:p w14:paraId="2297DD68">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0.4（kg/m</w:t>
                  </w:r>
                  <w:r>
                    <w:rPr>
                      <w:rFonts w:ascii="Times New Roman" w:hAnsi="Times New Roman"/>
                      <w:color w:val="000000" w:themeColor="text1"/>
                      <w:sz w:val="21"/>
                      <w:szCs w:val="21"/>
                      <w:highlight w:val="none"/>
                      <w:vertAlign w:val="superscript"/>
                      <w14:textFill>
                        <w14:solidFill>
                          <w14:schemeClr w14:val="tx1"/>
                        </w14:solidFill>
                      </w14:textFill>
                    </w:rPr>
                    <w:t>2</w:t>
                  </w:r>
                  <w:r>
                    <w:rPr>
                      <w:rFonts w:ascii="Times New Roman" w:hAnsi="Times New Roman"/>
                      <w:color w:val="000000" w:themeColor="text1"/>
                      <w:sz w:val="21"/>
                      <w:szCs w:val="21"/>
                      <w:highlight w:val="none"/>
                      <w14:textFill>
                        <w14:solidFill>
                          <w14:schemeClr w14:val="tx1"/>
                        </w14:solidFill>
                      </w14:textFill>
                    </w:rPr>
                    <w:t>）</w:t>
                  </w:r>
                </w:p>
              </w:tc>
              <w:tc>
                <w:tcPr>
                  <w:tcW w:w="1228" w:type="dxa"/>
                  <w:tcBorders>
                    <w:top w:val="single" w:color="auto" w:sz="12" w:space="0"/>
                    <w:bottom w:val="single" w:color="auto" w:sz="6" w:space="0"/>
                  </w:tcBorders>
                  <w:noWrap w:val="0"/>
                  <w:vAlign w:val="center"/>
                </w:tcPr>
                <w:p w14:paraId="63CB2C52">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0.5（kg/m</w:t>
                  </w:r>
                  <w:r>
                    <w:rPr>
                      <w:rFonts w:ascii="Times New Roman" w:hAnsi="Times New Roman"/>
                      <w:color w:val="000000" w:themeColor="text1"/>
                      <w:sz w:val="21"/>
                      <w:szCs w:val="21"/>
                      <w:highlight w:val="none"/>
                      <w:vertAlign w:val="superscript"/>
                      <w14:textFill>
                        <w14:solidFill>
                          <w14:schemeClr w14:val="tx1"/>
                        </w14:solidFill>
                      </w14:textFill>
                    </w:rPr>
                    <w:t>2</w:t>
                  </w:r>
                  <w:r>
                    <w:rPr>
                      <w:rFonts w:ascii="Times New Roman" w:hAnsi="Times New Roman"/>
                      <w:color w:val="000000" w:themeColor="text1"/>
                      <w:sz w:val="21"/>
                      <w:szCs w:val="21"/>
                      <w:highlight w:val="none"/>
                      <w14:textFill>
                        <w14:solidFill>
                          <w14:schemeClr w14:val="tx1"/>
                        </w14:solidFill>
                      </w14:textFill>
                    </w:rPr>
                    <w:t>）</w:t>
                  </w:r>
                </w:p>
              </w:tc>
              <w:tc>
                <w:tcPr>
                  <w:tcW w:w="1217" w:type="dxa"/>
                  <w:tcBorders>
                    <w:top w:val="single" w:color="auto" w:sz="12" w:space="0"/>
                    <w:bottom w:val="single" w:color="auto" w:sz="6" w:space="0"/>
                    <w:right w:val="single" w:color="auto" w:sz="6" w:space="0"/>
                  </w:tcBorders>
                  <w:noWrap w:val="0"/>
                  <w:vAlign w:val="center"/>
                </w:tcPr>
                <w:p w14:paraId="76A04D91">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1.0（kg/m</w:t>
                  </w:r>
                  <w:r>
                    <w:rPr>
                      <w:rFonts w:ascii="Times New Roman" w:hAnsi="Times New Roman"/>
                      <w:color w:val="000000" w:themeColor="text1"/>
                      <w:sz w:val="21"/>
                      <w:szCs w:val="21"/>
                      <w:highlight w:val="none"/>
                      <w:vertAlign w:val="superscript"/>
                      <w14:textFill>
                        <w14:solidFill>
                          <w14:schemeClr w14:val="tx1"/>
                        </w14:solidFill>
                      </w14:textFill>
                    </w:rPr>
                    <w:t>2</w:t>
                  </w:r>
                  <w:r>
                    <w:rPr>
                      <w:rFonts w:ascii="Times New Roman" w:hAnsi="Times New Roman"/>
                      <w:color w:val="000000" w:themeColor="text1"/>
                      <w:sz w:val="21"/>
                      <w:szCs w:val="21"/>
                      <w:highlight w:val="none"/>
                      <w14:textFill>
                        <w14:solidFill>
                          <w14:schemeClr w14:val="tx1"/>
                        </w14:solidFill>
                      </w14:textFill>
                    </w:rPr>
                    <w:t>）</w:t>
                  </w:r>
                </w:p>
              </w:tc>
            </w:tr>
            <w:tr w14:paraId="267286B1">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6" w:space="0"/>
                    <w:left w:val="single" w:color="auto" w:sz="6" w:space="0"/>
                    <w:bottom w:val="single" w:color="auto" w:sz="6" w:space="0"/>
                  </w:tcBorders>
                  <w:noWrap w:val="0"/>
                  <w:vAlign w:val="center"/>
                </w:tcPr>
                <w:p w14:paraId="2550E4EB">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5</w:t>
                  </w:r>
                  <w:r>
                    <w:rPr>
                      <w:rFonts w:ascii="Times New Roman" w:hAnsi="Times New Roman" w:eastAsia="仿宋_GB2312"/>
                      <w:color w:val="000000" w:themeColor="text1"/>
                      <w:sz w:val="21"/>
                      <w:szCs w:val="21"/>
                      <w:highlight w:val="none"/>
                      <w14:textFill>
                        <w14:solidFill>
                          <w14:schemeClr w14:val="tx1"/>
                        </w14:solidFill>
                      </w14:textFill>
                    </w:rPr>
                    <w:t>（km/h）</w:t>
                  </w:r>
                </w:p>
              </w:tc>
              <w:tc>
                <w:tcPr>
                  <w:tcW w:w="1232" w:type="dxa"/>
                  <w:tcBorders>
                    <w:top w:val="single" w:color="auto" w:sz="6" w:space="0"/>
                    <w:bottom w:val="single" w:color="auto" w:sz="6" w:space="0"/>
                  </w:tcBorders>
                  <w:noWrap w:val="0"/>
                  <w:vAlign w:val="center"/>
                </w:tcPr>
                <w:p w14:paraId="12DF1727">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0.051056</w:t>
                  </w:r>
                </w:p>
              </w:tc>
              <w:tc>
                <w:tcPr>
                  <w:tcW w:w="1052" w:type="dxa"/>
                  <w:tcBorders>
                    <w:top w:val="single" w:color="auto" w:sz="6" w:space="0"/>
                    <w:bottom w:val="single" w:color="auto" w:sz="6" w:space="0"/>
                  </w:tcBorders>
                  <w:noWrap w:val="0"/>
                  <w:vAlign w:val="center"/>
                </w:tcPr>
                <w:p w14:paraId="2A91AEA1">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0.085865</w:t>
                  </w:r>
                </w:p>
              </w:tc>
              <w:tc>
                <w:tcPr>
                  <w:tcW w:w="1142" w:type="dxa"/>
                  <w:tcBorders>
                    <w:top w:val="single" w:color="auto" w:sz="6" w:space="0"/>
                    <w:bottom w:val="single" w:color="auto" w:sz="6" w:space="0"/>
                  </w:tcBorders>
                  <w:noWrap w:val="0"/>
                  <w:vAlign w:val="center"/>
                </w:tcPr>
                <w:p w14:paraId="5D04ADA9">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0.116382</w:t>
                  </w:r>
                </w:p>
              </w:tc>
              <w:tc>
                <w:tcPr>
                  <w:tcW w:w="1142" w:type="dxa"/>
                  <w:tcBorders>
                    <w:top w:val="single" w:color="auto" w:sz="6" w:space="0"/>
                    <w:bottom w:val="single" w:color="auto" w:sz="6" w:space="0"/>
                  </w:tcBorders>
                  <w:noWrap w:val="0"/>
                  <w:vAlign w:val="center"/>
                </w:tcPr>
                <w:p w14:paraId="47289922">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0.144408</w:t>
                  </w:r>
                </w:p>
              </w:tc>
              <w:tc>
                <w:tcPr>
                  <w:tcW w:w="1228" w:type="dxa"/>
                  <w:tcBorders>
                    <w:top w:val="single" w:color="auto" w:sz="6" w:space="0"/>
                    <w:bottom w:val="single" w:color="auto" w:sz="6" w:space="0"/>
                  </w:tcBorders>
                  <w:noWrap w:val="0"/>
                  <w:vAlign w:val="center"/>
                </w:tcPr>
                <w:p w14:paraId="78949B1D">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0.170715</w:t>
                  </w:r>
                </w:p>
              </w:tc>
              <w:tc>
                <w:tcPr>
                  <w:tcW w:w="1217" w:type="dxa"/>
                  <w:tcBorders>
                    <w:top w:val="single" w:color="auto" w:sz="6" w:space="0"/>
                    <w:bottom w:val="single" w:color="auto" w:sz="6" w:space="0"/>
                    <w:right w:val="single" w:color="auto" w:sz="6" w:space="0"/>
                  </w:tcBorders>
                  <w:noWrap w:val="0"/>
                  <w:vAlign w:val="center"/>
                </w:tcPr>
                <w:p w14:paraId="65B68D7C">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0.287108</w:t>
                  </w:r>
                </w:p>
              </w:tc>
            </w:tr>
            <w:tr w14:paraId="34ACC527">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6" w:space="0"/>
                    <w:left w:val="single" w:color="auto" w:sz="6" w:space="0"/>
                    <w:bottom w:val="single" w:color="auto" w:sz="6" w:space="0"/>
                  </w:tcBorders>
                  <w:noWrap w:val="0"/>
                  <w:vAlign w:val="center"/>
                </w:tcPr>
                <w:p w14:paraId="5395E1FE">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10</w:t>
                  </w:r>
                  <w:r>
                    <w:rPr>
                      <w:rFonts w:ascii="Times New Roman" w:hAnsi="Times New Roman" w:eastAsia="仿宋_GB2312"/>
                      <w:color w:val="000000" w:themeColor="text1"/>
                      <w:sz w:val="21"/>
                      <w:szCs w:val="21"/>
                      <w:highlight w:val="none"/>
                      <w14:textFill>
                        <w14:solidFill>
                          <w14:schemeClr w14:val="tx1"/>
                        </w14:solidFill>
                      </w14:textFill>
                    </w:rPr>
                    <w:t>（km/h）</w:t>
                  </w:r>
                </w:p>
              </w:tc>
              <w:tc>
                <w:tcPr>
                  <w:tcW w:w="1232" w:type="dxa"/>
                  <w:tcBorders>
                    <w:top w:val="single" w:color="auto" w:sz="6" w:space="0"/>
                    <w:bottom w:val="single" w:color="auto" w:sz="6" w:space="0"/>
                  </w:tcBorders>
                  <w:noWrap w:val="0"/>
                  <w:vAlign w:val="center"/>
                </w:tcPr>
                <w:p w14:paraId="72E114A4">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0.102112</w:t>
                  </w:r>
                </w:p>
              </w:tc>
              <w:tc>
                <w:tcPr>
                  <w:tcW w:w="1052" w:type="dxa"/>
                  <w:tcBorders>
                    <w:top w:val="single" w:color="auto" w:sz="6" w:space="0"/>
                    <w:bottom w:val="single" w:color="auto" w:sz="6" w:space="0"/>
                  </w:tcBorders>
                  <w:noWrap w:val="0"/>
                  <w:vAlign w:val="center"/>
                </w:tcPr>
                <w:p w14:paraId="7E5249E8">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0.171731</w:t>
                  </w:r>
                </w:p>
              </w:tc>
              <w:tc>
                <w:tcPr>
                  <w:tcW w:w="1142" w:type="dxa"/>
                  <w:tcBorders>
                    <w:top w:val="single" w:color="auto" w:sz="6" w:space="0"/>
                    <w:bottom w:val="single" w:color="auto" w:sz="6" w:space="0"/>
                  </w:tcBorders>
                  <w:noWrap w:val="0"/>
                  <w:vAlign w:val="center"/>
                </w:tcPr>
                <w:p w14:paraId="57E40516">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0.232764</w:t>
                  </w:r>
                </w:p>
              </w:tc>
              <w:tc>
                <w:tcPr>
                  <w:tcW w:w="1142" w:type="dxa"/>
                  <w:tcBorders>
                    <w:top w:val="single" w:color="auto" w:sz="6" w:space="0"/>
                    <w:bottom w:val="single" w:color="auto" w:sz="6" w:space="0"/>
                  </w:tcBorders>
                  <w:noWrap w:val="0"/>
                  <w:vAlign w:val="center"/>
                </w:tcPr>
                <w:p w14:paraId="0341322B">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0.288815</w:t>
                  </w:r>
                </w:p>
              </w:tc>
              <w:tc>
                <w:tcPr>
                  <w:tcW w:w="1228" w:type="dxa"/>
                  <w:tcBorders>
                    <w:top w:val="single" w:color="auto" w:sz="6" w:space="0"/>
                    <w:bottom w:val="single" w:color="auto" w:sz="6" w:space="0"/>
                  </w:tcBorders>
                  <w:noWrap w:val="0"/>
                  <w:vAlign w:val="center"/>
                </w:tcPr>
                <w:p w14:paraId="6E0F3102">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0.341431</w:t>
                  </w:r>
                </w:p>
              </w:tc>
              <w:tc>
                <w:tcPr>
                  <w:tcW w:w="1217" w:type="dxa"/>
                  <w:tcBorders>
                    <w:top w:val="single" w:color="auto" w:sz="6" w:space="0"/>
                    <w:bottom w:val="single" w:color="auto" w:sz="6" w:space="0"/>
                    <w:right w:val="single" w:color="auto" w:sz="6" w:space="0"/>
                  </w:tcBorders>
                  <w:noWrap w:val="0"/>
                  <w:vAlign w:val="center"/>
                </w:tcPr>
                <w:p w14:paraId="114073CA">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0.574216</w:t>
                  </w:r>
                </w:p>
              </w:tc>
            </w:tr>
            <w:tr w14:paraId="0E1CC98A">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6" w:space="0"/>
                    <w:left w:val="single" w:color="auto" w:sz="6" w:space="0"/>
                    <w:bottom w:val="single" w:color="auto" w:sz="6" w:space="0"/>
                  </w:tcBorders>
                  <w:noWrap w:val="0"/>
                  <w:vAlign w:val="center"/>
                </w:tcPr>
                <w:p w14:paraId="7C9D374A">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15</w:t>
                  </w:r>
                  <w:r>
                    <w:rPr>
                      <w:rFonts w:ascii="Times New Roman" w:hAnsi="Times New Roman" w:eastAsia="仿宋_GB2312"/>
                      <w:color w:val="000000" w:themeColor="text1"/>
                      <w:sz w:val="21"/>
                      <w:szCs w:val="21"/>
                      <w:highlight w:val="none"/>
                      <w14:textFill>
                        <w14:solidFill>
                          <w14:schemeClr w14:val="tx1"/>
                        </w14:solidFill>
                      </w14:textFill>
                    </w:rPr>
                    <w:t>（km/h）</w:t>
                  </w:r>
                </w:p>
              </w:tc>
              <w:tc>
                <w:tcPr>
                  <w:tcW w:w="1232" w:type="dxa"/>
                  <w:tcBorders>
                    <w:top w:val="single" w:color="auto" w:sz="6" w:space="0"/>
                    <w:bottom w:val="single" w:color="auto" w:sz="6" w:space="0"/>
                  </w:tcBorders>
                  <w:noWrap w:val="0"/>
                  <w:vAlign w:val="center"/>
                </w:tcPr>
                <w:p w14:paraId="2132CE27">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0.153167</w:t>
                  </w:r>
                </w:p>
              </w:tc>
              <w:tc>
                <w:tcPr>
                  <w:tcW w:w="1052" w:type="dxa"/>
                  <w:tcBorders>
                    <w:top w:val="single" w:color="auto" w:sz="6" w:space="0"/>
                    <w:bottom w:val="single" w:color="auto" w:sz="6" w:space="0"/>
                  </w:tcBorders>
                  <w:noWrap w:val="0"/>
                  <w:vAlign w:val="center"/>
                </w:tcPr>
                <w:p w14:paraId="5A32F81F">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0.257596</w:t>
                  </w:r>
                </w:p>
              </w:tc>
              <w:tc>
                <w:tcPr>
                  <w:tcW w:w="1142" w:type="dxa"/>
                  <w:tcBorders>
                    <w:top w:val="single" w:color="auto" w:sz="6" w:space="0"/>
                    <w:bottom w:val="single" w:color="auto" w:sz="6" w:space="0"/>
                  </w:tcBorders>
                  <w:noWrap w:val="0"/>
                  <w:vAlign w:val="center"/>
                </w:tcPr>
                <w:p w14:paraId="4B3AF520">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0.349146</w:t>
                  </w:r>
                </w:p>
              </w:tc>
              <w:tc>
                <w:tcPr>
                  <w:tcW w:w="1142" w:type="dxa"/>
                  <w:tcBorders>
                    <w:top w:val="single" w:color="auto" w:sz="6" w:space="0"/>
                    <w:bottom w:val="single" w:color="auto" w:sz="6" w:space="0"/>
                  </w:tcBorders>
                  <w:noWrap w:val="0"/>
                  <w:vAlign w:val="center"/>
                </w:tcPr>
                <w:p w14:paraId="41F3899F">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0.433223</w:t>
                  </w:r>
                </w:p>
              </w:tc>
              <w:tc>
                <w:tcPr>
                  <w:tcW w:w="1228" w:type="dxa"/>
                  <w:tcBorders>
                    <w:top w:val="single" w:color="auto" w:sz="6" w:space="0"/>
                    <w:bottom w:val="single" w:color="auto" w:sz="6" w:space="0"/>
                  </w:tcBorders>
                  <w:noWrap w:val="0"/>
                  <w:vAlign w:val="center"/>
                </w:tcPr>
                <w:p w14:paraId="3B635140">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0.512146</w:t>
                  </w:r>
                </w:p>
              </w:tc>
              <w:tc>
                <w:tcPr>
                  <w:tcW w:w="1217" w:type="dxa"/>
                  <w:tcBorders>
                    <w:top w:val="single" w:color="auto" w:sz="6" w:space="0"/>
                    <w:bottom w:val="single" w:color="auto" w:sz="6" w:space="0"/>
                    <w:right w:val="single" w:color="auto" w:sz="6" w:space="0"/>
                  </w:tcBorders>
                  <w:noWrap w:val="0"/>
                  <w:vAlign w:val="center"/>
                </w:tcPr>
                <w:p w14:paraId="3D65EF7E">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0.861323</w:t>
                  </w:r>
                </w:p>
              </w:tc>
            </w:tr>
            <w:tr w14:paraId="0FA45CF0">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6" w:space="0"/>
                    <w:left w:val="single" w:color="auto" w:sz="6" w:space="0"/>
                    <w:bottom w:val="single" w:color="auto" w:sz="12" w:space="0"/>
                  </w:tcBorders>
                  <w:noWrap w:val="0"/>
                  <w:vAlign w:val="center"/>
                </w:tcPr>
                <w:p w14:paraId="7F87F491">
                  <w:pPr>
                    <w:pStyle w:val="8"/>
                    <w:spacing w:line="400" w:lineRule="exact"/>
                    <w:ind w:left="-2" w:firstLine="0" w:firstLineChars="0"/>
                    <w:jc w:val="center"/>
                    <w:rPr>
                      <w:rFonts w:ascii="Times New Roman" w:hAnsi="Times New Roman"/>
                      <w:color w:val="000000" w:themeColor="text1"/>
                      <w:sz w:val="21"/>
                      <w:szCs w:val="21"/>
                      <w:highlight w:val="none"/>
                      <w14:textFill>
                        <w14:solidFill>
                          <w14:schemeClr w14:val="tx1"/>
                        </w14:solidFill>
                      </w14:textFill>
                    </w:rPr>
                  </w:pPr>
                  <w:r>
                    <w:rPr>
                      <w:rFonts w:ascii="Times New Roman" w:hAnsi="Times New Roman"/>
                      <w:color w:val="000000" w:themeColor="text1"/>
                      <w:sz w:val="21"/>
                      <w:szCs w:val="21"/>
                      <w:highlight w:val="none"/>
                      <w14:textFill>
                        <w14:solidFill>
                          <w14:schemeClr w14:val="tx1"/>
                        </w14:solidFill>
                      </w14:textFill>
                    </w:rPr>
                    <w:t>25</w:t>
                  </w:r>
                  <w:r>
                    <w:rPr>
                      <w:rFonts w:ascii="Times New Roman" w:hAnsi="Times New Roman" w:eastAsia="仿宋_GB2312"/>
                      <w:color w:val="000000" w:themeColor="text1"/>
                      <w:sz w:val="21"/>
                      <w:szCs w:val="21"/>
                      <w:highlight w:val="none"/>
                      <w14:textFill>
                        <w14:solidFill>
                          <w14:schemeClr w14:val="tx1"/>
                        </w14:solidFill>
                      </w14:textFill>
                    </w:rPr>
                    <w:t>（km/h）</w:t>
                  </w:r>
                </w:p>
              </w:tc>
              <w:tc>
                <w:tcPr>
                  <w:tcW w:w="1232" w:type="dxa"/>
                  <w:tcBorders>
                    <w:top w:val="single" w:color="auto" w:sz="6" w:space="0"/>
                    <w:bottom w:val="single" w:color="auto" w:sz="12" w:space="0"/>
                  </w:tcBorders>
                  <w:noWrap w:val="0"/>
                  <w:vAlign w:val="center"/>
                </w:tcPr>
                <w:p w14:paraId="0FAC7377">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0.255279</w:t>
                  </w:r>
                </w:p>
              </w:tc>
              <w:tc>
                <w:tcPr>
                  <w:tcW w:w="1052" w:type="dxa"/>
                  <w:tcBorders>
                    <w:top w:val="single" w:color="auto" w:sz="6" w:space="0"/>
                    <w:bottom w:val="single" w:color="auto" w:sz="12" w:space="0"/>
                  </w:tcBorders>
                  <w:noWrap w:val="0"/>
                  <w:vAlign w:val="center"/>
                </w:tcPr>
                <w:p w14:paraId="4E078D41">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0.429326</w:t>
                  </w:r>
                </w:p>
              </w:tc>
              <w:tc>
                <w:tcPr>
                  <w:tcW w:w="1142" w:type="dxa"/>
                  <w:tcBorders>
                    <w:top w:val="single" w:color="auto" w:sz="6" w:space="0"/>
                    <w:bottom w:val="single" w:color="auto" w:sz="12" w:space="0"/>
                  </w:tcBorders>
                  <w:noWrap w:val="0"/>
                  <w:vAlign w:val="center"/>
                </w:tcPr>
                <w:p w14:paraId="1A69EFCC">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0.581910</w:t>
                  </w:r>
                </w:p>
              </w:tc>
              <w:tc>
                <w:tcPr>
                  <w:tcW w:w="1142" w:type="dxa"/>
                  <w:tcBorders>
                    <w:top w:val="single" w:color="auto" w:sz="6" w:space="0"/>
                    <w:bottom w:val="single" w:color="auto" w:sz="12" w:space="0"/>
                  </w:tcBorders>
                  <w:noWrap w:val="0"/>
                  <w:vAlign w:val="center"/>
                </w:tcPr>
                <w:p w14:paraId="48937F55">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0.722038</w:t>
                  </w:r>
                </w:p>
              </w:tc>
              <w:tc>
                <w:tcPr>
                  <w:tcW w:w="1228" w:type="dxa"/>
                  <w:tcBorders>
                    <w:top w:val="single" w:color="auto" w:sz="6" w:space="0"/>
                    <w:bottom w:val="single" w:color="auto" w:sz="12" w:space="0"/>
                  </w:tcBorders>
                  <w:noWrap w:val="0"/>
                  <w:vAlign w:val="center"/>
                </w:tcPr>
                <w:p w14:paraId="695CF441">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0.853577</w:t>
                  </w:r>
                </w:p>
              </w:tc>
              <w:tc>
                <w:tcPr>
                  <w:tcW w:w="1217" w:type="dxa"/>
                  <w:tcBorders>
                    <w:top w:val="single" w:color="auto" w:sz="6" w:space="0"/>
                    <w:bottom w:val="single" w:color="auto" w:sz="12" w:space="0"/>
                    <w:right w:val="single" w:color="auto" w:sz="6" w:space="0"/>
                  </w:tcBorders>
                  <w:noWrap w:val="0"/>
                  <w:vAlign w:val="center"/>
                </w:tcPr>
                <w:p w14:paraId="37ACD66C">
                  <w:pPr>
                    <w:spacing w:line="400" w:lineRule="exact"/>
                    <w:jc w:val="center"/>
                    <w:rPr>
                      <w:rFonts w:ascii="Times New Roman" w:hAnsi="Times New Roman" w:eastAsia="仿宋_GB2312"/>
                      <w:color w:val="000000" w:themeColor="text1"/>
                      <w:sz w:val="21"/>
                      <w:szCs w:val="21"/>
                      <w:highlight w:val="none"/>
                      <w14:textFill>
                        <w14:solidFill>
                          <w14:schemeClr w14:val="tx1"/>
                        </w14:solidFill>
                      </w14:textFill>
                    </w:rPr>
                  </w:pPr>
                  <w:r>
                    <w:rPr>
                      <w:rFonts w:ascii="Times New Roman" w:hAnsi="Times New Roman" w:eastAsia="仿宋_GB2312"/>
                      <w:color w:val="000000" w:themeColor="text1"/>
                      <w:sz w:val="21"/>
                      <w:szCs w:val="21"/>
                      <w:highlight w:val="none"/>
                      <w14:textFill>
                        <w14:solidFill>
                          <w14:schemeClr w14:val="tx1"/>
                        </w14:solidFill>
                      </w14:textFill>
                    </w:rPr>
                    <w:t>1.435339</w:t>
                  </w:r>
                </w:p>
              </w:tc>
            </w:tr>
          </w:tbl>
          <w:p w14:paraId="48F6C646">
            <w:pPr>
              <w:pStyle w:val="8"/>
              <w:keepNext w:val="0"/>
              <w:keepLines w:val="0"/>
              <w:pageBreakBefore w:val="0"/>
              <w:widowControl w:val="0"/>
              <w:kinsoku/>
              <w:wordWrap/>
              <w:overflowPunct/>
              <w:topLinePunct w:val="0"/>
              <w:autoSpaceDE/>
              <w:autoSpaceDN/>
              <w:bidi w:val="0"/>
              <w:adjustRightInd/>
              <w:snapToGrid w:val="0"/>
              <w:spacing w:beforeLines="0" w:line="360" w:lineRule="auto"/>
              <w:ind w:left="-2" w:firstLine="480"/>
              <w:textAlignment w:val="auto"/>
              <w:rPr>
                <w:rFonts w:hint="default" w:ascii="Times New Roman" w:hAnsi="Times New Roman" w:cs="Times New Roman"/>
                <w:bCs/>
                <w:color w:val="000000" w:themeColor="text1"/>
                <w:sz w:val="24"/>
                <w:highlight w:val="none"/>
                <w:lang w:eastAsia="zh-CN"/>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本项目车辆在厂区内行驶距离按</w:t>
            </w:r>
            <w:r>
              <w:rPr>
                <w:rFonts w:hint="default" w:ascii="Times New Roman" w:hAnsi="Times New Roman" w:cs="Times New Roman"/>
                <w:color w:val="000000" w:themeColor="text1"/>
                <w:sz w:val="24"/>
                <w:highlight w:val="none"/>
                <w:lang w:val="en-US" w:eastAsia="zh-CN"/>
                <w14:textFill>
                  <w14:solidFill>
                    <w14:schemeClr w14:val="tx1"/>
                  </w14:solidFill>
                </w14:textFill>
              </w:rPr>
              <w:t>100</w:t>
            </w:r>
            <w:r>
              <w:rPr>
                <w:rFonts w:hint="default" w:ascii="Times New Roman" w:hAnsi="Times New Roman" w:cs="Times New Roman"/>
                <w:color w:val="000000" w:themeColor="text1"/>
                <w:sz w:val="24"/>
                <w:highlight w:val="none"/>
                <w14:textFill>
                  <w14:solidFill>
                    <w14:schemeClr w14:val="tx1"/>
                  </w14:solidFill>
                </w14:textFill>
              </w:rPr>
              <w:t>m计，平均每天发车空、重载</w:t>
            </w:r>
            <w:r>
              <w:rPr>
                <w:rFonts w:hint="default" w:ascii="Times New Roman" w:hAnsi="Times New Roman" w:cs="Times New Roman"/>
                <w:color w:val="000000" w:themeColor="text1"/>
                <w:sz w:val="24"/>
                <w:highlight w:val="none"/>
                <w:lang w:val="en-US" w:eastAsia="zh-CN"/>
                <w14:textFill>
                  <w14:solidFill>
                    <w14:schemeClr w14:val="tx1"/>
                  </w14:solidFill>
                </w14:textFill>
              </w:rPr>
              <w:t>共</w:t>
            </w:r>
            <w:r>
              <w:rPr>
                <w:rFonts w:hint="eastAsia" w:ascii="Times New Roman" w:hAnsi="Times New Roman" w:cs="Times New Roman"/>
                <w:color w:val="000000" w:themeColor="text1"/>
                <w:sz w:val="24"/>
                <w:highlight w:val="none"/>
                <w:lang w:val="en-US" w:eastAsia="zh-CN"/>
                <w14:textFill>
                  <w14:solidFill>
                    <w14:schemeClr w14:val="tx1"/>
                  </w14:solidFill>
                </w14:textFill>
              </w:rPr>
              <w:t>5</w:t>
            </w:r>
            <w:r>
              <w:rPr>
                <w:rFonts w:hint="default" w:ascii="Times New Roman" w:hAnsi="Times New Roman" w:cs="Times New Roman"/>
                <w:color w:val="000000" w:themeColor="text1"/>
                <w:sz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highlight w:val="none"/>
                <w14:textFill>
                  <w14:solidFill>
                    <w14:schemeClr w14:val="tx1"/>
                  </w14:solidFill>
                </w14:textFill>
              </w:rPr>
              <w:t>次，空车重约10t，重车重约</w:t>
            </w:r>
            <w:r>
              <w:rPr>
                <w:rFonts w:hint="eastAsia" w:ascii="Times New Roman" w:hAnsi="Times New Roman" w:cs="Times New Roman"/>
                <w:color w:val="000000" w:themeColor="text1"/>
                <w:sz w:val="24"/>
                <w:highlight w:val="none"/>
                <w:lang w:val="en-US" w:eastAsia="zh-CN"/>
                <w14:textFill>
                  <w14:solidFill>
                    <w14:schemeClr w14:val="tx1"/>
                  </w14:solidFill>
                </w14:textFill>
              </w:rPr>
              <w:t>50</w:t>
            </w:r>
            <w:r>
              <w:rPr>
                <w:rFonts w:hint="default" w:ascii="Times New Roman" w:hAnsi="Times New Roman" w:cs="Times New Roman"/>
                <w:color w:val="000000" w:themeColor="text1"/>
                <w:sz w:val="24"/>
                <w:highlight w:val="none"/>
                <w14:textFill>
                  <w14:solidFill>
                    <w14:schemeClr w14:val="tx1"/>
                  </w14:solidFill>
                </w14:textFill>
              </w:rPr>
              <w:t>t，均以速度1</w:t>
            </w:r>
            <w:r>
              <w:rPr>
                <w:rFonts w:hint="default" w:ascii="Times New Roman" w:hAnsi="Times New Roman" w:cs="Times New Roman"/>
                <w:color w:val="000000" w:themeColor="text1"/>
                <w:sz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highlight w:val="none"/>
                <w14:textFill>
                  <w14:solidFill>
                    <w14:schemeClr w14:val="tx1"/>
                  </w14:solidFill>
                </w14:textFill>
              </w:rPr>
              <w:t>km/h行驶，道路路况以0.</w:t>
            </w:r>
            <w:r>
              <w:rPr>
                <w:rFonts w:hint="default" w:ascii="Times New Roman" w:hAnsi="Times New Roman" w:cs="Times New Roman"/>
                <w:color w:val="000000" w:themeColor="text1"/>
                <w:sz w:val="24"/>
                <w:highlight w:val="none"/>
                <w:lang w:val="en-US" w:eastAsia="zh-CN"/>
                <w14:textFill>
                  <w14:solidFill>
                    <w14:schemeClr w14:val="tx1"/>
                  </w14:solidFill>
                </w14:textFill>
              </w:rPr>
              <w:t>1</w:t>
            </w:r>
            <w:r>
              <w:rPr>
                <w:rFonts w:hint="default" w:ascii="Times New Roman" w:hAnsi="Times New Roman" w:cs="Times New Roman"/>
                <w:color w:val="000000" w:themeColor="text1"/>
                <w:sz w:val="24"/>
                <w:highlight w:val="none"/>
                <w14:textFill>
                  <w14:solidFill>
                    <w14:schemeClr w14:val="tx1"/>
                  </w14:solidFill>
                </w14:textFill>
              </w:rPr>
              <w:t>kg/m</w:t>
            </w:r>
            <w:r>
              <w:rPr>
                <w:rFonts w:hint="default" w:ascii="Times New Roman" w:hAnsi="Times New Roman" w:cs="Times New Roman"/>
                <w:color w:val="000000" w:themeColor="text1"/>
                <w:sz w:val="24"/>
                <w:highlight w:val="none"/>
                <w:vertAlign w:val="superscript"/>
                <w14:textFill>
                  <w14:solidFill>
                    <w14:schemeClr w14:val="tx1"/>
                  </w14:solidFill>
                </w14:textFill>
              </w:rPr>
              <w:t>2</w:t>
            </w:r>
            <w:r>
              <w:rPr>
                <w:rFonts w:hint="default" w:ascii="Times New Roman" w:hAnsi="Times New Roman" w:cs="Times New Roman"/>
                <w:color w:val="000000" w:themeColor="text1"/>
                <w:sz w:val="24"/>
                <w:highlight w:val="none"/>
                <w14:textFill>
                  <w14:solidFill>
                    <w14:schemeClr w14:val="tx1"/>
                  </w14:solidFill>
                </w14:textFill>
              </w:rPr>
              <w:t>计，则经计算，项目汽车动力起尘量为</w:t>
            </w:r>
            <w:r>
              <w:rPr>
                <w:rFonts w:hint="default" w:ascii="Times New Roman" w:hAnsi="Times New Roman" w:cs="Times New Roman"/>
                <w:color w:val="000000" w:themeColor="text1"/>
                <w:sz w:val="24"/>
                <w:highlight w:val="none"/>
                <w:lang w:val="en-US" w:eastAsia="zh-CN"/>
                <w14:textFill>
                  <w14:solidFill>
                    <w14:schemeClr w14:val="tx1"/>
                  </w14:solidFill>
                </w14:textFill>
              </w:rPr>
              <w:t>0.</w:t>
            </w:r>
            <w:r>
              <w:rPr>
                <w:rFonts w:hint="eastAsia" w:ascii="Times New Roman" w:hAnsi="Times New Roman" w:cs="Times New Roman"/>
                <w:color w:val="000000" w:themeColor="text1"/>
                <w:sz w:val="24"/>
                <w:highlight w:val="none"/>
                <w:lang w:val="en-US" w:eastAsia="zh-CN"/>
                <w14:textFill>
                  <w14:solidFill>
                    <w14:schemeClr w14:val="tx1"/>
                  </w14:solidFill>
                </w14:textFill>
              </w:rPr>
              <w:t>306</w:t>
            </w:r>
            <w:r>
              <w:rPr>
                <w:rFonts w:hint="default" w:ascii="Times New Roman" w:hAnsi="Times New Roman" w:cs="Times New Roman"/>
                <w:color w:val="000000" w:themeColor="text1"/>
                <w:sz w:val="24"/>
                <w:highlight w:val="none"/>
                <w14:textFill>
                  <w14:solidFill>
                    <w14:schemeClr w14:val="tx1"/>
                  </w14:solidFill>
                </w14:textFill>
              </w:rPr>
              <w:t>t/a。针对以上情况，项目建设方对厂区</w:t>
            </w:r>
            <w:r>
              <w:rPr>
                <w:rFonts w:hint="default" w:ascii="Times New Roman" w:hAnsi="Times New Roman" w:cs="Times New Roman"/>
                <w:color w:val="000000" w:themeColor="text1"/>
                <w:sz w:val="24"/>
                <w:highlight w:val="none"/>
                <w:lang w:val="en-US" w:eastAsia="zh-CN"/>
                <w14:textFill>
                  <w14:solidFill>
                    <w14:schemeClr w14:val="tx1"/>
                  </w14:solidFill>
                </w14:textFill>
              </w:rPr>
              <w:t>运输</w:t>
            </w:r>
            <w:r>
              <w:rPr>
                <w:rFonts w:hint="default" w:ascii="Times New Roman" w:hAnsi="Times New Roman" w:cs="Times New Roman"/>
                <w:color w:val="000000" w:themeColor="text1"/>
                <w:sz w:val="24"/>
                <w:highlight w:val="none"/>
                <w14:textFill>
                  <w14:solidFill>
                    <w14:schemeClr w14:val="tx1"/>
                  </w14:solidFill>
                </w14:textFill>
              </w:rPr>
              <w:t>道路</w:t>
            </w:r>
            <w:r>
              <w:rPr>
                <w:rFonts w:hint="eastAsia" w:ascii="Times New Roman" w:hAnsi="Times New Roman" w:cs="Times New Roman"/>
                <w:color w:val="000000" w:themeColor="text1"/>
                <w:sz w:val="24"/>
                <w:highlight w:val="none"/>
                <w:lang w:val="en-US" w:eastAsia="zh-CN"/>
                <w14:textFill>
                  <w14:solidFill>
                    <w14:schemeClr w14:val="tx1"/>
                  </w14:solidFill>
                </w14:textFill>
              </w:rPr>
              <w:t>采取砂石路</w:t>
            </w:r>
            <w:r>
              <w:rPr>
                <w:rFonts w:hint="default" w:ascii="Times New Roman" w:hAnsi="Times New Roman" w:cs="Times New Roman"/>
                <w:color w:val="000000" w:themeColor="text1"/>
                <w:sz w:val="24"/>
                <w:highlight w:val="none"/>
                <w:lang w:val="en-US" w:eastAsia="zh-CN"/>
                <w14:textFill>
                  <w14:solidFill>
                    <w14:schemeClr w14:val="tx1"/>
                  </w14:solidFill>
                </w14:textFill>
              </w:rPr>
              <w:t>硬化</w:t>
            </w:r>
            <w:r>
              <w:rPr>
                <w:rFonts w:hint="default" w:ascii="Times New Roman" w:hAnsi="Times New Roman" w:cs="Times New Roman"/>
                <w:color w:val="000000" w:themeColor="text1"/>
                <w:sz w:val="24"/>
                <w:highlight w:val="none"/>
                <w14:textFill>
                  <w14:solidFill>
                    <w14:schemeClr w14:val="tx1"/>
                  </w14:solidFill>
                </w14:textFill>
              </w:rPr>
              <w:t>，派专人定期对路面进行洒水，车辆减速行驶，</w:t>
            </w:r>
            <w:r>
              <w:rPr>
                <w:rFonts w:hint="default" w:ascii="Times New Roman" w:hAnsi="Times New Roman" w:cs="Times New Roman"/>
                <w:color w:val="000000" w:themeColor="text1"/>
                <w:sz w:val="24"/>
                <w:highlight w:val="none"/>
                <w:lang w:eastAsia="zh-CN"/>
                <w14:textFill>
                  <w14:solidFill>
                    <w14:schemeClr w14:val="tx1"/>
                  </w14:solidFill>
                </w14:textFill>
              </w:rPr>
              <w:t>原料运输车辆</w:t>
            </w:r>
            <w:r>
              <w:rPr>
                <w:rFonts w:hint="default" w:ascii="Times New Roman" w:hAnsi="Times New Roman" w:cs="Times New Roman"/>
                <w:color w:val="000000" w:themeColor="text1"/>
                <w:sz w:val="24"/>
                <w:highlight w:val="none"/>
                <w:lang w:val="en-US" w:eastAsia="zh-CN"/>
                <w14:textFill>
                  <w14:solidFill>
                    <w14:schemeClr w14:val="tx1"/>
                  </w14:solidFill>
                </w14:textFill>
              </w:rPr>
              <w:t>100%苫盖，车辆限速，</w:t>
            </w:r>
            <w:r>
              <w:rPr>
                <w:rFonts w:hint="eastAsia" w:ascii="Times New Roman" w:hAnsi="Times New Roman" w:cs="Times New Roman"/>
                <w:color w:val="000000" w:themeColor="text1"/>
                <w:sz w:val="24"/>
                <w:highlight w:val="none"/>
                <w:lang w:val="en-US" w:eastAsia="zh-CN"/>
                <w14:textFill>
                  <w14:solidFill>
                    <w14:schemeClr w14:val="tx1"/>
                  </w14:solidFill>
                </w14:textFill>
              </w:rPr>
              <w:t>石灰石</w:t>
            </w:r>
            <w:r>
              <w:rPr>
                <w:rFonts w:hint="default" w:ascii="Times New Roman" w:hAnsi="Times New Roman" w:cs="Times New Roman"/>
                <w:color w:val="000000" w:themeColor="text1"/>
                <w:sz w:val="24"/>
                <w:highlight w:val="none"/>
                <w:lang w:val="en-US" w:eastAsia="zh-CN"/>
                <w14:textFill>
                  <w14:solidFill>
                    <w14:schemeClr w14:val="tx1"/>
                  </w14:solidFill>
                </w14:textFill>
              </w:rPr>
              <w:t>罐车运输，出厂车辆采取雾炮机措施，</w:t>
            </w:r>
            <w:r>
              <w:rPr>
                <w:rFonts w:hint="default" w:ascii="Times New Roman" w:hAnsi="Times New Roman" w:cs="Times New Roman"/>
                <w:color w:val="000000" w:themeColor="text1"/>
                <w:sz w:val="24"/>
                <w:highlight w:val="none"/>
                <w14:textFill>
                  <w14:solidFill>
                    <w14:schemeClr w14:val="tx1"/>
                  </w14:solidFill>
                </w14:textFill>
              </w:rPr>
              <w:t>采取这一系列措施后，抑尘效率至少可以达到</w:t>
            </w:r>
            <w:r>
              <w:rPr>
                <w:rFonts w:hint="default" w:ascii="Times New Roman" w:hAnsi="Times New Roman" w:cs="Times New Roman"/>
                <w:color w:val="000000" w:themeColor="text1"/>
                <w:sz w:val="24"/>
                <w:highlight w:val="none"/>
                <w:lang w:val="en-US" w:eastAsia="zh-CN"/>
                <w14:textFill>
                  <w14:solidFill>
                    <w14:schemeClr w14:val="tx1"/>
                  </w14:solidFill>
                </w14:textFill>
              </w:rPr>
              <w:t>99</w:t>
            </w:r>
            <w:r>
              <w:rPr>
                <w:rFonts w:hint="default" w:ascii="Times New Roman" w:hAnsi="Times New Roman" w:cs="Times New Roman"/>
                <w:color w:val="000000" w:themeColor="text1"/>
                <w:sz w:val="24"/>
                <w:highlight w:val="none"/>
                <w14:textFill>
                  <w14:solidFill>
                    <w14:schemeClr w14:val="tx1"/>
                  </w14:solidFill>
                </w14:textFill>
              </w:rPr>
              <w:t>%，则</w:t>
            </w:r>
            <w:r>
              <w:rPr>
                <w:rFonts w:hint="eastAsia" w:ascii="Times New Roman" w:hAnsi="Times New Roman" w:cs="Times New Roman"/>
                <w:color w:val="000000" w:themeColor="text1"/>
                <w:sz w:val="24"/>
                <w:highlight w:val="none"/>
                <w:lang w:val="en-US" w:eastAsia="zh-CN"/>
                <w14:textFill>
                  <w14:solidFill>
                    <w14:schemeClr w14:val="tx1"/>
                  </w14:solidFill>
                </w14:textFill>
              </w:rPr>
              <w:t>排放量</w:t>
            </w:r>
            <w:r>
              <w:rPr>
                <w:rFonts w:hint="default" w:ascii="Times New Roman" w:hAnsi="Times New Roman" w:cs="Times New Roman"/>
                <w:color w:val="000000" w:themeColor="text1"/>
                <w:sz w:val="24"/>
                <w:highlight w:val="none"/>
                <w14:textFill>
                  <w14:solidFill>
                    <w14:schemeClr w14:val="tx1"/>
                  </w14:solidFill>
                </w14:textFill>
              </w:rPr>
              <w:t>为</w:t>
            </w:r>
            <w:r>
              <w:rPr>
                <w:rFonts w:hint="eastAsia" w:ascii="Times New Roman" w:hAnsi="Times New Roman" w:cs="Times New Roman"/>
                <w:color w:val="000000" w:themeColor="text1"/>
                <w:sz w:val="24"/>
                <w:highlight w:val="none"/>
                <w:lang w:val="en-US" w:eastAsia="zh-CN"/>
                <w14:textFill>
                  <w14:solidFill>
                    <w14:schemeClr w14:val="tx1"/>
                  </w14:solidFill>
                </w14:textFill>
              </w:rPr>
              <w:t>0.00306</w:t>
            </w:r>
            <w:r>
              <w:rPr>
                <w:rFonts w:hint="default" w:ascii="Times New Roman" w:hAnsi="Times New Roman" w:cs="Times New Roman"/>
                <w:color w:val="000000" w:themeColor="text1"/>
                <w:sz w:val="24"/>
                <w:highlight w:val="none"/>
                <w14:textFill>
                  <w14:solidFill>
                    <w14:schemeClr w14:val="tx1"/>
                  </w14:solidFill>
                </w14:textFill>
              </w:rPr>
              <w:t>t/a</w:t>
            </w:r>
            <w:r>
              <w:rPr>
                <w:rFonts w:hint="eastAsia" w:ascii="Times New Roman" w:hAnsi="Times New Roman"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bCs/>
                <w:color w:val="000000" w:themeColor="text1"/>
                <w:sz w:val="24"/>
                <w:highlight w:val="none"/>
                <w:lang w:val="en-US" w:eastAsia="zh-CN"/>
                <w14:textFill>
                  <w14:solidFill>
                    <w14:schemeClr w14:val="tx1"/>
                  </w14:solidFill>
                </w14:textFill>
              </w:rPr>
              <w:t>排放浓度能够满足《大气污染物综合排放标准》（GB16297-1996）</w:t>
            </w:r>
            <w:r>
              <w:rPr>
                <w:rFonts w:hint="default" w:ascii="Times New Roman" w:hAnsi="Times New Roman" w:eastAsia="宋体" w:cs="Times New Roman"/>
                <w:color w:val="000000" w:themeColor="text1"/>
                <w:sz w:val="24"/>
                <w:highlight w:val="none"/>
                <w:lang w:eastAsia="zh-CN"/>
                <w14:textFill>
                  <w14:solidFill>
                    <w14:schemeClr w14:val="tx1"/>
                  </w14:solidFill>
                </w14:textFill>
              </w:rPr>
              <w:t>表</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中</w:t>
            </w:r>
            <w:r>
              <w:rPr>
                <w:rFonts w:hint="default" w:ascii="Times New Roman" w:hAnsi="Times New Roman" w:eastAsia="宋体" w:cs="Times New Roman"/>
                <w:color w:val="000000" w:themeColor="text1"/>
                <w:sz w:val="24"/>
                <w:highlight w:val="none"/>
                <w:lang w:eastAsia="zh-CN"/>
                <w14:textFill>
                  <w14:solidFill>
                    <w14:schemeClr w14:val="tx1"/>
                  </w14:solidFill>
                </w14:textFill>
              </w:rPr>
              <w:t>无组织排放标准限值要求</w:t>
            </w:r>
            <w:r>
              <w:rPr>
                <w:rFonts w:hint="default" w:ascii="Times New Roman" w:hAnsi="Times New Roman" w:cs="Times New Roman"/>
                <w:color w:val="000000" w:themeColor="text1"/>
                <w:sz w:val="24"/>
                <w:highlight w:val="none"/>
                <w:lang w:eastAsia="zh-CN"/>
                <w14:textFill>
                  <w14:solidFill>
                    <w14:schemeClr w14:val="tx1"/>
                  </w14:solidFill>
                </w14:textFill>
              </w:rPr>
              <w:t>。</w:t>
            </w:r>
          </w:p>
          <w:p w14:paraId="0BC9BC69">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4</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储罐粉尘</w:t>
            </w:r>
          </w:p>
          <w:p w14:paraId="74C4F6DB">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green"/>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本项目共设置</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4</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座储存粉料的储存罐，仓顶粉尘通过顶部配备的脉冲式滤芯除尘器处理后排放。参照《排放源统计调查产排污核算方法和系数手册3021水泥制品制造</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含2033砼结构构件制造、3029其他水泥类似制品制造</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行业系数手册》中物料输送贮存过程的产污系数为0.12kg/t产品，生产规模为30万t/a</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则</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单个</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筒仓粉尘产生量为</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0.9</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t/a，布袋除尘器的平均除尘效率为99%。</w:t>
            </w:r>
          </w:p>
          <w:p w14:paraId="1FBACF5F">
            <w:pPr>
              <w:pStyle w:val="8"/>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0" w:firstLineChars="0"/>
              <w:jc w:val="center"/>
              <w:textAlignment w:val="auto"/>
              <w:rPr>
                <w:rFonts w:hint="default" w:ascii="Times New Roman" w:hAnsi="Times New Roman" w:cs="Times New Roman"/>
                <w:b/>
                <w:bCs w:val="0"/>
                <w:color w:val="auto"/>
                <w:sz w:val="24"/>
                <w:highlight w:val="none"/>
                <w:lang w:val="en-US" w:eastAsia="zh-CN"/>
              </w:rPr>
            </w:pPr>
            <w:r>
              <w:rPr>
                <w:rFonts w:hint="default" w:ascii="Times New Roman" w:hAnsi="Times New Roman" w:cs="Times New Roman"/>
                <w:b/>
                <w:bCs w:val="0"/>
                <w:color w:val="auto"/>
                <w:sz w:val="24"/>
                <w:highlight w:val="none"/>
                <w:lang w:val="en-US" w:eastAsia="zh-CN"/>
              </w:rPr>
              <w:t>表</w:t>
            </w:r>
            <w:r>
              <w:rPr>
                <w:rFonts w:hint="eastAsia" w:ascii="Times New Roman" w:hAnsi="Times New Roman" w:cs="Times New Roman"/>
                <w:b/>
                <w:bCs w:val="0"/>
                <w:color w:val="auto"/>
                <w:sz w:val="24"/>
                <w:highlight w:val="none"/>
                <w:lang w:val="en-US" w:eastAsia="zh-CN"/>
              </w:rPr>
              <w:t>4-4</w:t>
            </w:r>
            <w:r>
              <w:rPr>
                <w:rFonts w:hint="default" w:ascii="Times New Roman" w:hAnsi="Times New Roman" w:cs="Times New Roman"/>
                <w:b/>
                <w:bCs w:val="0"/>
                <w:color w:val="auto"/>
                <w:sz w:val="24"/>
                <w:highlight w:val="none"/>
                <w:lang w:val="en-US" w:eastAsia="zh-CN"/>
              </w:rPr>
              <w:t xml:space="preserve">  储罐粉尘产排情况一览表</w:t>
            </w:r>
          </w:p>
          <w:tbl>
            <w:tblPr>
              <w:tblStyle w:val="25"/>
              <w:tblW w:w="8008" w:type="dxa"/>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2"/>
              <w:gridCol w:w="1045"/>
              <w:gridCol w:w="947"/>
              <w:gridCol w:w="723"/>
              <w:gridCol w:w="1126"/>
              <w:gridCol w:w="839"/>
              <w:gridCol w:w="830"/>
              <w:gridCol w:w="1119"/>
              <w:gridCol w:w="927"/>
            </w:tblGrid>
            <w:tr w14:paraId="1DB3892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atLeast"/>
              </w:trPr>
              <w:tc>
                <w:tcPr>
                  <w:tcW w:w="452" w:type="dxa"/>
                  <w:tcBorders>
                    <w:tl2br w:val="nil"/>
                    <w:tr2bl w:val="nil"/>
                  </w:tcBorders>
                  <w:noWrap w:val="0"/>
                  <w:vAlign w:val="center"/>
                </w:tcPr>
                <w:p w14:paraId="3F08F5BF">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序号</w:t>
                  </w:r>
                </w:p>
              </w:tc>
              <w:tc>
                <w:tcPr>
                  <w:tcW w:w="1045" w:type="dxa"/>
                  <w:tcBorders>
                    <w:tl2br w:val="nil"/>
                    <w:tr2bl w:val="nil"/>
                  </w:tcBorders>
                  <w:noWrap w:val="0"/>
                  <w:vAlign w:val="center"/>
                </w:tcPr>
                <w:p w14:paraId="5BB7D9FB">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储罐名称</w:t>
                  </w:r>
                </w:p>
              </w:tc>
              <w:tc>
                <w:tcPr>
                  <w:tcW w:w="947" w:type="dxa"/>
                  <w:tcBorders>
                    <w:tl2br w:val="nil"/>
                    <w:tr2bl w:val="nil"/>
                  </w:tcBorders>
                  <w:noWrap w:val="0"/>
                  <w:vAlign w:val="center"/>
                </w:tcPr>
                <w:p w14:paraId="52A75D44">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总用量t/a</w:t>
                  </w:r>
                </w:p>
              </w:tc>
              <w:tc>
                <w:tcPr>
                  <w:tcW w:w="723" w:type="dxa"/>
                  <w:tcBorders>
                    <w:tl2br w:val="nil"/>
                    <w:tr2bl w:val="nil"/>
                  </w:tcBorders>
                  <w:noWrap w:val="0"/>
                  <w:vAlign w:val="center"/>
                </w:tcPr>
                <w:p w14:paraId="250123D1">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产生量t/a</w:t>
                  </w:r>
                </w:p>
              </w:tc>
              <w:tc>
                <w:tcPr>
                  <w:tcW w:w="1126" w:type="dxa"/>
                  <w:tcBorders>
                    <w:tl2br w:val="nil"/>
                    <w:tr2bl w:val="nil"/>
                  </w:tcBorders>
                  <w:noWrap w:val="0"/>
                  <w:vAlign w:val="center"/>
                </w:tcPr>
                <w:p w14:paraId="688FE4F3">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产生浓度mg/m</w:t>
                  </w:r>
                  <w:r>
                    <w:rPr>
                      <w:rFonts w:hint="default" w:ascii="Times New Roman" w:hAnsi="Times New Roman" w:cs="Times New Roman"/>
                      <w:bCs/>
                      <w:color w:val="auto"/>
                      <w:sz w:val="21"/>
                      <w:szCs w:val="21"/>
                      <w:highlight w:val="none"/>
                      <w:vertAlign w:val="superscript"/>
                      <w:lang w:val="en-US" w:eastAsia="zh-CN"/>
                    </w:rPr>
                    <w:t>3</w:t>
                  </w:r>
                </w:p>
              </w:tc>
              <w:tc>
                <w:tcPr>
                  <w:tcW w:w="839" w:type="dxa"/>
                  <w:tcBorders>
                    <w:tl2br w:val="nil"/>
                    <w:tr2bl w:val="nil"/>
                  </w:tcBorders>
                  <w:noWrap w:val="0"/>
                  <w:vAlign w:val="center"/>
                </w:tcPr>
                <w:p w14:paraId="54FD5610">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风量m</w:t>
                  </w:r>
                  <w:r>
                    <w:rPr>
                      <w:rFonts w:hint="default" w:ascii="Times New Roman" w:hAnsi="Times New Roman" w:cs="Times New Roman"/>
                      <w:bCs/>
                      <w:color w:val="auto"/>
                      <w:sz w:val="21"/>
                      <w:szCs w:val="21"/>
                      <w:highlight w:val="none"/>
                      <w:vertAlign w:val="superscript"/>
                      <w:lang w:val="en-US" w:eastAsia="zh-CN"/>
                    </w:rPr>
                    <w:t>3</w:t>
                  </w:r>
                  <w:r>
                    <w:rPr>
                      <w:rFonts w:hint="default" w:ascii="Times New Roman" w:hAnsi="Times New Roman" w:cs="Times New Roman"/>
                      <w:bCs/>
                      <w:color w:val="auto"/>
                      <w:sz w:val="21"/>
                      <w:szCs w:val="21"/>
                      <w:highlight w:val="none"/>
                      <w:vertAlign w:val="baseline"/>
                      <w:lang w:val="en-US" w:eastAsia="zh-CN"/>
                    </w:rPr>
                    <w:t>/h</w:t>
                  </w:r>
                </w:p>
              </w:tc>
              <w:tc>
                <w:tcPr>
                  <w:tcW w:w="830" w:type="dxa"/>
                  <w:tcBorders>
                    <w:tl2br w:val="nil"/>
                    <w:tr2bl w:val="nil"/>
                  </w:tcBorders>
                  <w:noWrap w:val="0"/>
                  <w:vAlign w:val="center"/>
                </w:tcPr>
                <w:p w14:paraId="3E409B9E">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排放量t/a</w:t>
                  </w:r>
                </w:p>
              </w:tc>
              <w:tc>
                <w:tcPr>
                  <w:tcW w:w="1119" w:type="dxa"/>
                  <w:tcBorders>
                    <w:tl2br w:val="nil"/>
                    <w:tr2bl w:val="nil"/>
                  </w:tcBorders>
                  <w:noWrap w:val="0"/>
                  <w:vAlign w:val="center"/>
                </w:tcPr>
                <w:p w14:paraId="5FFD00BF">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排放浓度mg/m</w:t>
                  </w:r>
                  <w:r>
                    <w:rPr>
                      <w:rFonts w:hint="default" w:ascii="Times New Roman" w:hAnsi="Times New Roman" w:cs="Times New Roman"/>
                      <w:bCs/>
                      <w:color w:val="auto"/>
                      <w:sz w:val="21"/>
                      <w:szCs w:val="21"/>
                      <w:highlight w:val="none"/>
                      <w:vertAlign w:val="superscript"/>
                      <w:lang w:val="en-US" w:eastAsia="zh-CN"/>
                    </w:rPr>
                    <w:t>3</w:t>
                  </w:r>
                </w:p>
              </w:tc>
              <w:tc>
                <w:tcPr>
                  <w:tcW w:w="927" w:type="dxa"/>
                  <w:tcBorders>
                    <w:tl2br w:val="nil"/>
                    <w:tr2bl w:val="nil"/>
                  </w:tcBorders>
                  <w:noWrap w:val="0"/>
                  <w:vAlign w:val="center"/>
                </w:tcPr>
                <w:p w14:paraId="6B40ACC5">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排气筒高度m</w:t>
                  </w:r>
                </w:p>
              </w:tc>
            </w:tr>
            <w:tr w14:paraId="10BEE5C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trPr>
              <w:tc>
                <w:tcPr>
                  <w:tcW w:w="452" w:type="dxa"/>
                  <w:tcBorders>
                    <w:tl2br w:val="nil"/>
                    <w:tr2bl w:val="nil"/>
                  </w:tcBorders>
                  <w:noWrap w:val="0"/>
                  <w:vAlign w:val="center"/>
                </w:tcPr>
                <w:p w14:paraId="075697A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1</w:t>
                  </w:r>
                </w:p>
              </w:tc>
              <w:tc>
                <w:tcPr>
                  <w:tcW w:w="1045" w:type="dxa"/>
                  <w:tcBorders>
                    <w:tl2br w:val="nil"/>
                    <w:tr2bl w:val="nil"/>
                  </w:tcBorders>
                  <w:noWrap w:val="0"/>
                  <w:vAlign w:val="center"/>
                </w:tcPr>
                <w:p w14:paraId="2FB7E306">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color w:val="auto"/>
                      <w:sz w:val="21"/>
                      <w:szCs w:val="21"/>
                      <w:highlight w:val="none"/>
                      <w:lang w:val="en-US" w:eastAsia="zh-CN"/>
                    </w:rPr>
                    <w:t>DA005</w:t>
                  </w:r>
                </w:p>
              </w:tc>
              <w:tc>
                <w:tcPr>
                  <w:tcW w:w="947" w:type="dxa"/>
                  <w:tcBorders>
                    <w:tl2br w:val="nil"/>
                    <w:tr2bl w:val="nil"/>
                  </w:tcBorders>
                  <w:noWrap w:val="0"/>
                  <w:vAlign w:val="center"/>
                </w:tcPr>
                <w:p w14:paraId="3498F898">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7500</w:t>
                  </w:r>
                </w:p>
              </w:tc>
              <w:tc>
                <w:tcPr>
                  <w:tcW w:w="723" w:type="dxa"/>
                  <w:tcBorders>
                    <w:tl2br w:val="nil"/>
                    <w:tr2bl w:val="nil"/>
                  </w:tcBorders>
                  <w:noWrap w:val="0"/>
                  <w:vAlign w:val="center"/>
                </w:tcPr>
                <w:p w14:paraId="0A3321E8">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0.9</w:t>
                  </w:r>
                </w:p>
              </w:tc>
              <w:tc>
                <w:tcPr>
                  <w:tcW w:w="1126" w:type="dxa"/>
                  <w:tcBorders>
                    <w:tl2br w:val="nil"/>
                    <w:tr2bl w:val="nil"/>
                  </w:tcBorders>
                  <w:noWrap w:val="0"/>
                  <w:vAlign w:val="center"/>
                </w:tcPr>
                <w:p w14:paraId="0A363BA1">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187.5</w:t>
                  </w:r>
                </w:p>
              </w:tc>
              <w:tc>
                <w:tcPr>
                  <w:tcW w:w="839" w:type="dxa"/>
                  <w:tcBorders>
                    <w:tl2br w:val="nil"/>
                    <w:tr2bl w:val="nil"/>
                  </w:tcBorders>
                  <w:noWrap w:val="0"/>
                  <w:vAlign w:val="center"/>
                </w:tcPr>
                <w:p w14:paraId="1D79AD4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2000</w:t>
                  </w:r>
                </w:p>
              </w:tc>
              <w:tc>
                <w:tcPr>
                  <w:tcW w:w="830" w:type="dxa"/>
                  <w:tcBorders>
                    <w:tl2br w:val="nil"/>
                    <w:tr2bl w:val="nil"/>
                  </w:tcBorders>
                  <w:noWrap w:val="0"/>
                  <w:vAlign w:val="center"/>
                </w:tcPr>
                <w:p w14:paraId="301D1070">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0.009</w:t>
                  </w:r>
                </w:p>
              </w:tc>
              <w:tc>
                <w:tcPr>
                  <w:tcW w:w="1119" w:type="dxa"/>
                  <w:tcBorders>
                    <w:tl2br w:val="nil"/>
                    <w:tr2bl w:val="nil"/>
                  </w:tcBorders>
                  <w:noWrap w:val="0"/>
                  <w:vAlign w:val="center"/>
                </w:tcPr>
                <w:p w14:paraId="558E1B1D">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1.88</w:t>
                  </w:r>
                </w:p>
              </w:tc>
              <w:tc>
                <w:tcPr>
                  <w:tcW w:w="927" w:type="dxa"/>
                  <w:tcBorders>
                    <w:tl2br w:val="nil"/>
                    <w:tr2bl w:val="nil"/>
                  </w:tcBorders>
                  <w:noWrap w:val="0"/>
                  <w:vAlign w:val="center"/>
                </w:tcPr>
                <w:p w14:paraId="73F5DB10">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bCs/>
                      <w:color w:val="auto"/>
                      <w:sz w:val="21"/>
                      <w:szCs w:val="21"/>
                      <w:highlight w:val="none"/>
                      <w:vertAlign w:val="baseline"/>
                      <w:lang w:val="en-US" w:eastAsia="zh-CN"/>
                    </w:rPr>
                    <w:t>24</w:t>
                  </w:r>
                </w:p>
              </w:tc>
            </w:tr>
            <w:tr w14:paraId="4C0D459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trPr>
              <w:tc>
                <w:tcPr>
                  <w:tcW w:w="452" w:type="dxa"/>
                  <w:tcBorders>
                    <w:tl2br w:val="nil"/>
                    <w:tr2bl w:val="nil"/>
                  </w:tcBorders>
                  <w:noWrap w:val="0"/>
                  <w:vAlign w:val="center"/>
                </w:tcPr>
                <w:p w14:paraId="560F9552">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2</w:t>
                  </w:r>
                </w:p>
              </w:tc>
              <w:tc>
                <w:tcPr>
                  <w:tcW w:w="1045" w:type="dxa"/>
                  <w:tcBorders>
                    <w:tl2br w:val="nil"/>
                    <w:tr2bl w:val="nil"/>
                  </w:tcBorders>
                  <w:noWrap w:val="0"/>
                  <w:vAlign w:val="center"/>
                </w:tcPr>
                <w:p w14:paraId="6D6FBDD9">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color w:val="auto"/>
                      <w:sz w:val="21"/>
                      <w:szCs w:val="21"/>
                      <w:highlight w:val="none"/>
                      <w:lang w:val="en-US" w:eastAsia="zh-CN"/>
                    </w:rPr>
                    <w:t>DA006</w:t>
                  </w:r>
                </w:p>
              </w:tc>
              <w:tc>
                <w:tcPr>
                  <w:tcW w:w="947" w:type="dxa"/>
                  <w:tcBorders>
                    <w:tl2br w:val="nil"/>
                    <w:tr2bl w:val="nil"/>
                  </w:tcBorders>
                  <w:shd w:val="clear" w:color="auto" w:fill="auto"/>
                  <w:noWrap w:val="0"/>
                  <w:vAlign w:val="center"/>
                </w:tcPr>
                <w:p w14:paraId="484107F5">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7500</w:t>
                  </w:r>
                </w:p>
              </w:tc>
              <w:tc>
                <w:tcPr>
                  <w:tcW w:w="723" w:type="dxa"/>
                  <w:tcBorders>
                    <w:tl2br w:val="nil"/>
                    <w:tr2bl w:val="nil"/>
                  </w:tcBorders>
                  <w:shd w:val="clear" w:color="auto" w:fill="auto"/>
                  <w:noWrap w:val="0"/>
                  <w:vAlign w:val="center"/>
                </w:tcPr>
                <w:p w14:paraId="70FF753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0.9</w:t>
                  </w:r>
                </w:p>
              </w:tc>
              <w:tc>
                <w:tcPr>
                  <w:tcW w:w="1126" w:type="dxa"/>
                  <w:tcBorders>
                    <w:tl2br w:val="nil"/>
                    <w:tr2bl w:val="nil"/>
                  </w:tcBorders>
                  <w:shd w:val="clear" w:color="auto" w:fill="auto"/>
                  <w:noWrap w:val="0"/>
                  <w:vAlign w:val="center"/>
                </w:tcPr>
                <w:p w14:paraId="3DA9B30A">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187.5</w:t>
                  </w:r>
                </w:p>
              </w:tc>
              <w:tc>
                <w:tcPr>
                  <w:tcW w:w="839" w:type="dxa"/>
                  <w:tcBorders>
                    <w:tl2br w:val="nil"/>
                    <w:tr2bl w:val="nil"/>
                  </w:tcBorders>
                  <w:shd w:val="clear" w:color="auto" w:fill="auto"/>
                  <w:noWrap w:val="0"/>
                  <w:vAlign w:val="center"/>
                </w:tcPr>
                <w:p w14:paraId="138FB03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2000</w:t>
                  </w:r>
                </w:p>
              </w:tc>
              <w:tc>
                <w:tcPr>
                  <w:tcW w:w="830" w:type="dxa"/>
                  <w:tcBorders>
                    <w:tl2br w:val="nil"/>
                    <w:tr2bl w:val="nil"/>
                  </w:tcBorders>
                  <w:shd w:val="clear" w:color="auto" w:fill="auto"/>
                  <w:noWrap w:val="0"/>
                  <w:vAlign w:val="center"/>
                </w:tcPr>
                <w:p w14:paraId="2DAD02AD">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0.009</w:t>
                  </w:r>
                </w:p>
              </w:tc>
              <w:tc>
                <w:tcPr>
                  <w:tcW w:w="1119" w:type="dxa"/>
                  <w:tcBorders>
                    <w:tl2br w:val="nil"/>
                    <w:tr2bl w:val="nil"/>
                  </w:tcBorders>
                  <w:shd w:val="clear" w:color="auto" w:fill="auto"/>
                  <w:noWrap w:val="0"/>
                  <w:vAlign w:val="center"/>
                </w:tcPr>
                <w:p w14:paraId="6C50D60B">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1.88</w:t>
                  </w:r>
                </w:p>
              </w:tc>
              <w:tc>
                <w:tcPr>
                  <w:tcW w:w="927" w:type="dxa"/>
                  <w:tcBorders>
                    <w:tl2br w:val="nil"/>
                    <w:tr2bl w:val="nil"/>
                  </w:tcBorders>
                  <w:shd w:val="clear" w:color="auto" w:fill="auto"/>
                  <w:noWrap w:val="0"/>
                  <w:vAlign w:val="center"/>
                </w:tcPr>
                <w:p w14:paraId="070D4E25">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24</w:t>
                  </w:r>
                </w:p>
              </w:tc>
            </w:tr>
            <w:tr w14:paraId="4C89359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trPr>
              <w:tc>
                <w:tcPr>
                  <w:tcW w:w="452" w:type="dxa"/>
                  <w:tcBorders>
                    <w:tl2br w:val="nil"/>
                    <w:tr2bl w:val="nil"/>
                  </w:tcBorders>
                  <w:noWrap w:val="0"/>
                  <w:vAlign w:val="center"/>
                </w:tcPr>
                <w:p w14:paraId="088C2C27">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3</w:t>
                  </w:r>
                </w:p>
              </w:tc>
              <w:tc>
                <w:tcPr>
                  <w:tcW w:w="1045" w:type="dxa"/>
                  <w:tcBorders>
                    <w:tl2br w:val="nil"/>
                    <w:tr2bl w:val="nil"/>
                  </w:tcBorders>
                  <w:noWrap w:val="0"/>
                  <w:vAlign w:val="center"/>
                </w:tcPr>
                <w:p w14:paraId="143DD2C7">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color w:val="auto"/>
                      <w:sz w:val="21"/>
                      <w:szCs w:val="21"/>
                      <w:highlight w:val="none"/>
                      <w:lang w:val="en-US" w:eastAsia="zh-CN"/>
                    </w:rPr>
                    <w:t>DA007</w:t>
                  </w:r>
                </w:p>
              </w:tc>
              <w:tc>
                <w:tcPr>
                  <w:tcW w:w="947" w:type="dxa"/>
                  <w:tcBorders>
                    <w:tl2br w:val="nil"/>
                    <w:tr2bl w:val="nil"/>
                  </w:tcBorders>
                  <w:shd w:val="clear" w:color="auto" w:fill="auto"/>
                  <w:noWrap w:val="0"/>
                  <w:vAlign w:val="center"/>
                </w:tcPr>
                <w:p w14:paraId="731902E9">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7500</w:t>
                  </w:r>
                </w:p>
              </w:tc>
              <w:tc>
                <w:tcPr>
                  <w:tcW w:w="723" w:type="dxa"/>
                  <w:tcBorders>
                    <w:tl2br w:val="nil"/>
                    <w:tr2bl w:val="nil"/>
                  </w:tcBorders>
                  <w:shd w:val="clear" w:color="auto" w:fill="auto"/>
                  <w:noWrap w:val="0"/>
                  <w:vAlign w:val="center"/>
                </w:tcPr>
                <w:p w14:paraId="07ED6460">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0.9</w:t>
                  </w:r>
                </w:p>
              </w:tc>
              <w:tc>
                <w:tcPr>
                  <w:tcW w:w="1126" w:type="dxa"/>
                  <w:tcBorders>
                    <w:tl2br w:val="nil"/>
                    <w:tr2bl w:val="nil"/>
                  </w:tcBorders>
                  <w:shd w:val="clear" w:color="auto" w:fill="auto"/>
                  <w:noWrap w:val="0"/>
                  <w:vAlign w:val="center"/>
                </w:tcPr>
                <w:p w14:paraId="51299C6F">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187.5</w:t>
                  </w:r>
                </w:p>
              </w:tc>
              <w:tc>
                <w:tcPr>
                  <w:tcW w:w="839" w:type="dxa"/>
                  <w:tcBorders>
                    <w:tl2br w:val="nil"/>
                    <w:tr2bl w:val="nil"/>
                  </w:tcBorders>
                  <w:shd w:val="clear" w:color="auto" w:fill="auto"/>
                  <w:noWrap w:val="0"/>
                  <w:vAlign w:val="center"/>
                </w:tcPr>
                <w:p w14:paraId="45AA7E7C">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2000</w:t>
                  </w:r>
                </w:p>
              </w:tc>
              <w:tc>
                <w:tcPr>
                  <w:tcW w:w="830" w:type="dxa"/>
                  <w:tcBorders>
                    <w:tl2br w:val="nil"/>
                    <w:tr2bl w:val="nil"/>
                  </w:tcBorders>
                  <w:shd w:val="clear" w:color="auto" w:fill="auto"/>
                  <w:noWrap w:val="0"/>
                  <w:vAlign w:val="center"/>
                </w:tcPr>
                <w:p w14:paraId="5BD7882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0.009</w:t>
                  </w:r>
                </w:p>
              </w:tc>
              <w:tc>
                <w:tcPr>
                  <w:tcW w:w="1119" w:type="dxa"/>
                  <w:tcBorders>
                    <w:tl2br w:val="nil"/>
                    <w:tr2bl w:val="nil"/>
                  </w:tcBorders>
                  <w:shd w:val="clear" w:color="auto" w:fill="auto"/>
                  <w:noWrap w:val="0"/>
                  <w:vAlign w:val="center"/>
                </w:tcPr>
                <w:p w14:paraId="18550223">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1.88</w:t>
                  </w:r>
                </w:p>
              </w:tc>
              <w:tc>
                <w:tcPr>
                  <w:tcW w:w="927" w:type="dxa"/>
                  <w:tcBorders>
                    <w:tl2br w:val="nil"/>
                    <w:tr2bl w:val="nil"/>
                  </w:tcBorders>
                  <w:shd w:val="clear" w:color="auto" w:fill="auto"/>
                  <w:noWrap w:val="0"/>
                  <w:vAlign w:val="center"/>
                </w:tcPr>
                <w:p w14:paraId="580F5978">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24</w:t>
                  </w:r>
                </w:p>
              </w:tc>
            </w:tr>
            <w:tr w14:paraId="732BE15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3" w:hRule="atLeast"/>
              </w:trPr>
              <w:tc>
                <w:tcPr>
                  <w:tcW w:w="452" w:type="dxa"/>
                  <w:tcBorders>
                    <w:tl2br w:val="nil"/>
                    <w:tr2bl w:val="nil"/>
                  </w:tcBorders>
                  <w:noWrap w:val="0"/>
                  <w:vAlign w:val="center"/>
                </w:tcPr>
                <w:p w14:paraId="2DC8F73C">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4</w:t>
                  </w:r>
                </w:p>
              </w:tc>
              <w:tc>
                <w:tcPr>
                  <w:tcW w:w="1045" w:type="dxa"/>
                  <w:tcBorders>
                    <w:tl2br w:val="nil"/>
                    <w:tr2bl w:val="nil"/>
                  </w:tcBorders>
                  <w:noWrap w:val="0"/>
                  <w:vAlign w:val="center"/>
                </w:tcPr>
                <w:p w14:paraId="7722222C">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cs="Times New Roman"/>
                      <w:bCs/>
                      <w:color w:val="auto"/>
                      <w:sz w:val="21"/>
                      <w:szCs w:val="21"/>
                      <w:highlight w:val="none"/>
                      <w:vertAlign w:val="baseline"/>
                      <w:lang w:val="en-US" w:eastAsia="zh-CN"/>
                    </w:rPr>
                  </w:pPr>
                  <w:r>
                    <w:rPr>
                      <w:rFonts w:hint="eastAsia" w:ascii="Times New Roman" w:hAnsi="Times New Roman" w:cs="Times New Roman"/>
                      <w:color w:val="auto"/>
                      <w:sz w:val="21"/>
                      <w:szCs w:val="21"/>
                      <w:highlight w:val="none"/>
                      <w:lang w:val="en-US" w:eastAsia="zh-CN"/>
                    </w:rPr>
                    <w:t>DA008</w:t>
                  </w:r>
                </w:p>
              </w:tc>
              <w:tc>
                <w:tcPr>
                  <w:tcW w:w="947" w:type="dxa"/>
                  <w:tcBorders>
                    <w:tl2br w:val="nil"/>
                    <w:tr2bl w:val="nil"/>
                  </w:tcBorders>
                  <w:shd w:val="clear" w:color="auto" w:fill="auto"/>
                  <w:noWrap w:val="0"/>
                  <w:vAlign w:val="center"/>
                </w:tcPr>
                <w:p w14:paraId="43D2A419">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7500</w:t>
                  </w:r>
                </w:p>
              </w:tc>
              <w:tc>
                <w:tcPr>
                  <w:tcW w:w="723" w:type="dxa"/>
                  <w:tcBorders>
                    <w:tl2br w:val="nil"/>
                    <w:tr2bl w:val="nil"/>
                  </w:tcBorders>
                  <w:shd w:val="clear" w:color="auto" w:fill="auto"/>
                  <w:noWrap w:val="0"/>
                  <w:vAlign w:val="center"/>
                </w:tcPr>
                <w:p w14:paraId="1AB20FE3">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0.9</w:t>
                  </w:r>
                </w:p>
              </w:tc>
              <w:tc>
                <w:tcPr>
                  <w:tcW w:w="1126" w:type="dxa"/>
                  <w:tcBorders>
                    <w:tl2br w:val="nil"/>
                    <w:tr2bl w:val="nil"/>
                  </w:tcBorders>
                  <w:shd w:val="clear" w:color="auto" w:fill="auto"/>
                  <w:noWrap w:val="0"/>
                  <w:vAlign w:val="center"/>
                </w:tcPr>
                <w:p w14:paraId="010FE7ED">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187.5</w:t>
                  </w:r>
                </w:p>
              </w:tc>
              <w:tc>
                <w:tcPr>
                  <w:tcW w:w="839" w:type="dxa"/>
                  <w:tcBorders>
                    <w:tl2br w:val="nil"/>
                    <w:tr2bl w:val="nil"/>
                  </w:tcBorders>
                  <w:shd w:val="clear" w:color="auto" w:fill="auto"/>
                  <w:noWrap w:val="0"/>
                  <w:vAlign w:val="center"/>
                </w:tcPr>
                <w:p w14:paraId="6DF4F651">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2000</w:t>
                  </w:r>
                </w:p>
              </w:tc>
              <w:tc>
                <w:tcPr>
                  <w:tcW w:w="830" w:type="dxa"/>
                  <w:tcBorders>
                    <w:tl2br w:val="nil"/>
                    <w:tr2bl w:val="nil"/>
                  </w:tcBorders>
                  <w:shd w:val="clear" w:color="auto" w:fill="auto"/>
                  <w:noWrap w:val="0"/>
                  <w:vAlign w:val="center"/>
                </w:tcPr>
                <w:p w14:paraId="044557A4">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0.009</w:t>
                  </w:r>
                </w:p>
              </w:tc>
              <w:tc>
                <w:tcPr>
                  <w:tcW w:w="1119" w:type="dxa"/>
                  <w:tcBorders>
                    <w:tl2br w:val="nil"/>
                    <w:tr2bl w:val="nil"/>
                  </w:tcBorders>
                  <w:shd w:val="clear" w:color="auto" w:fill="auto"/>
                  <w:noWrap w:val="0"/>
                  <w:vAlign w:val="center"/>
                </w:tcPr>
                <w:p w14:paraId="7BCE340F">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1.88</w:t>
                  </w:r>
                </w:p>
              </w:tc>
              <w:tc>
                <w:tcPr>
                  <w:tcW w:w="927" w:type="dxa"/>
                  <w:tcBorders>
                    <w:tl2br w:val="nil"/>
                    <w:tr2bl w:val="nil"/>
                  </w:tcBorders>
                  <w:shd w:val="clear" w:color="auto" w:fill="auto"/>
                  <w:noWrap w:val="0"/>
                  <w:vAlign w:val="center"/>
                </w:tcPr>
                <w:p w14:paraId="636AC017">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bCs/>
                      <w:color w:val="auto"/>
                      <w:kern w:val="2"/>
                      <w:sz w:val="21"/>
                      <w:szCs w:val="21"/>
                      <w:highlight w:val="none"/>
                      <w:vertAlign w:val="baseline"/>
                      <w:lang w:val="en-US" w:eastAsia="zh-CN" w:bidi="ar-SA"/>
                    </w:rPr>
                  </w:pPr>
                  <w:r>
                    <w:rPr>
                      <w:rFonts w:hint="eastAsia" w:ascii="Times New Roman" w:hAnsi="Times New Roman" w:cs="Times New Roman"/>
                      <w:bCs/>
                      <w:color w:val="auto"/>
                      <w:sz w:val="21"/>
                      <w:szCs w:val="21"/>
                      <w:highlight w:val="none"/>
                      <w:vertAlign w:val="baseline"/>
                      <w:lang w:val="en-US" w:eastAsia="zh-CN"/>
                    </w:rPr>
                    <w:t>24</w:t>
                  </w:r>
                </w:p>
              </w:tc>
            </w:tr>
          </w:tbl>
          <w:p w14:paraId="26B492A0">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2" w:firstLineChars="200"/>
              <w:textAlignment w:val="auto"/>
              <w:rPr>
                <w:rFonts w:hint="default"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t>1.2大气污染物排放量核算</w:t>
            </w:r>
          </w:p>
          <w:p w14:paraId="3F12D07F">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本项目运营期排放的大气污染物为颗粒物，污染物排放情况见表4-</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5</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所示。</w:t>
            </w:r>
          </w:p>
        </w:tc>
      </w:tr>
    </w:tbl>
    <w:p w14:paraId="7A370197">
      <w:pPr>
        <w:rPr>
          <w:rFonts w:hint="default" w:ascii="Times New Roman" w:hAnsi="Times New Roman" w:eastAsia="黑体" w:cs="Times New Roman"/>
          <w:snapToGrid w:val="0"/>
          <w:sz w:val="30"/>
          <w:szCs w:val="24"/>
          <w:highlight w:val="yellow"/>
        </w:rPr>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14:paraId="1DE83CDD">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2" w:firstLineChars="200"/>
        <w:jc w:val="center"/>
        <w:textAlignment w:val="auto"/>
        <w:rPr>
          <w:rFonts w:hint="default" w:ascii="Times New Roman" w:hAnsi="Times New Roman" w:eastAsia="宋体" w:cs="宋体"/>
          <w:b/>
          <w:color w:val="auto"/>
          <w:sz w:val="24"/>
          <w:highlight w:val="none"/>
          <w:lang w:val="en-US" w:eastAsia="zh-CN"/>
        </w:rPr>
      </w:pPr>
      <w:r>
        <w:rPr>
          <w:rFonts w:hint="default" w:ascii="Times New Roman" w:hAnsi="Times New Roman" w:eastAsia="宋体" w:cs="宋体"/>
          <w:b/>
          <w:color w:val="auto"/>
          <w:sz w:val="24"/>
          <w:highlight w:val="none"/>
          <w:lang w:val="en-US" w:eastAsia="zh-CN"/>
        </w:rPr>
        <w:t>表4-</w:t>
      </w:r>
      <w:r>
        <w:rPr>
          <w:rFonts w:hint="eastAsia" w:ascii="Times New Roman" w:hAnsi="Times New Roman" w:cs="宋体"/>
          <w:b/>
          <w:color w:val="auto"/>
          <w:sz w:val="24"/>
          <w:highlight w:val="none"/>
          <w:lang w:val="en-US" w:eastAsia="zh-CN"/>
        </w:rPr>
        <w:t>5</w:t>
      </w:r>
      <w:r>
        <w:rPr>
          <w:rFonts w:hint="eastAsia" w:ascii="Times New Roman" w:hAnsi="Times New Roman" w:eastAsia="宋体" w:cs="宋体"/>
          <w:b/>
          <w:color w:val="auto"/>
          <w:sz w:val="24"/>
          <w:highlight w:val="none"/>
          <w:lang w:val="en-US" w:eastAsia="zh-CN"/>
        </w:rPr>
        <w:t xml:space="preserve">  </w:t>
      </w:r>
      <w:r>
        <w:rPr>
          <w:rFonts w:hint="default" w:ascii="Times New Roman" w:hAnsi="Times New Roman" w:eastAsia="宋体" w:cs="宋体"/>
          <w:b/>
          <w:color w:val="auto"/>
          <w:sz w:val="24"/>
          <w:highlight w:val="none"/>
          <w:lang w:val="en-US" w:eastAsia="zh-CN"/>
        </w:rPr>
        <w:t>废气污染物产生及排放量情况表</w:t>
      </w:r>
    </w:p>
    <w:tbl>
      <w:tblPr>
        <w:tblStyle w:val="24"/>
        <w:tblW w:w="4995" w:type="pct"/>
        <w:tblInd w:w="0" w:type="dxa"/>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Layout w:type="fixed"/>
        <w:tblCellMar>
          <w:top w:w="0" w:type="dxa"/>
          <w:left w:w="10" w:type="dxa"/>
          <w:bottom w:w="0" w:type="dxa"/>
          <w:right w:w="10" w:type="dxa"/>
        </w:tblCellMar>
      </w:tblPr>
      <w:tblGrid>
        <w:gridCol w:w="432"/>
        <w:gridCol w:w="592"/>
        <w:gridCol w:w="544"/>
        <w:gridCol w:w="538"/>
        <w:gridCol w:w="1289"/>
        <w:gridCol w:w="1125"/>
        <w:gridCol w:w="1469"/>
        <w:gridCol w:w="813"/>
        <w:gridCol w:w="1009"/>
        <w:gridCol w:w="1141"/>
        <w:gridCol w:w="756"/>
        <w:gridCol w:w="689"/>
        <w:gridCol w:w="3046"/>
      </w:tblGrid>
      <w:tr w14:paraId="10B42C39">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580" w:hRule="atLeast"/>
        </w:trPr>
        <w:tc>
          <w:tcPr>
            <w:tcW w:w="160" w:type="pct"/>
            <w:vMerge w:val="restart"/>
            <w:tcBorders>
              <w:tl2br w:val="nil"/>
              <w:tr2bl w:val="nil"/>
            </w:tcBorders>
            <w:vAlign w:val="center"/>
          </w:tcPr>
          <w:p w14:paraId="011C9AEE">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220" w:type="pct"/>
            <w:vMerge w:val="restart"/>
            <w:tcBorders>
              <w:tl2br w:val="nil"/>
              <w:tr2bl w:val="nil"/>
            </w:tcBorders>
            <w:vAlign w:val="center"/>
          </w:tcPr>
          <w:p w14:paraId="7817ED54">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污染源</w:t>
            </w:r>
          </w:p>
        </w:tc>
        <w:tc>
          <w:tcPr>
            <w:tcW w:w="202" w:type="pct"/>
            <w:vMerge w:val="restart"/>
            <w:tcBorders>
              <w:tl2br w:val="nil"/>
              <w:tr2bl w:val="nil"/>
            </w:tcBorders>
            <w:vAlign w:val="center"/>
          </w:tcPr>
          <w:p w14:paraId="0FC8E306">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w:t>
            </w:r>
          </w:p>
          <w:p w14:paraId="13CCBD55">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放方式</w:t>
            </w:r>
          </w:p>
        </w:tc>
        <w:tc>
          <w:tcPr>
            <w:tcW w:w="200" w:type="pct"/>
            <w:vMerge w:val="restart"/>
            <w:tcBorders>
              <w:tl2br w:val="nil"/>
              <w:tr2bl w:val="nil"/>
            </w:tcBorders>
            <w:vAlign w:val="center"/>
          </w:tcPr>
          <w:p w14:paraId="2C6E0B6E">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污染因子</w:t>
            </w:r>
          </w:p>
        </w:tc>
        <w:tc>
          <w:tcPr>
            <w:tcW w:w="897" w:type="pct"/>
            <w:gridSpan w:val="2"/>
            <w:tcBorders>
              <w:tl2br w:val="nil"/>
              <w:tr2bl w:val="nil"/>
            </w:tcBorders>
            <w:vAlign w:val="center"/>
          </w:tcPr>
          <w:p w14:paraId="6D12E4D4">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污染物产生情况</w:t>
            </w:r>
          </w:p>
        </w:tc>
        <w:tc>
          <w:tcPr>
            <w:tcW w:w="546" w:type="pct"/>
            <w:vMerge w:val="restart"/>
            <w:tcBorders>
              <w:tl2br w:val="nil"/>
              <w:tr2bl w:val="nil"/>
            </w:tcBorders>
            <w:vAlign w:val="center"/>
          </w:tcPr>
          <w:p w14:paraId="54AAF0F3">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c>
          <w:tcPr>
            <w:tcW w:w="1102" w:type="pct"/>
            <w:gridSpan w:val="3"/>
            <w:tcBorders>
              <w:tl2br w:val="nil"/>
              <w:tr2bl w:val="nil"/>
            </w:tcBorders>
            <w:vAlign w:val="center"/>
          </w:tcPr>
          <w:p w14:paraId="78E97FD5">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污染物排放情况</w:t>
            </w:r>
          </w:p>
        </w:tc>
        <w:tc>
          <w:tcPr>
            <w:tcW w:w="281" w:type="pct"/>
            <w:vMerge w:val="restart"/>
            <w:tcBorders>
              <w:tl2br w:val="nil"/>
              <w:tr2bl w:val="nil"/>
            </w:tcBorders>
            <w:vAlign w:val="center"/>
          </w:tcPr>
          <w:p w14:paraId="6FE2FD59">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运行时间h/a</w:t>
            </w:r>
          </w:p>
        </w:tc>
        <w:tc>
          <w:tcPr>
            <w:tcW w:w="256" w:type="pct"/>
            <w:vMerge w:val="restart"/>
            <w:tcBorders>
              <w:tl2br w:val="nil"/>
              <w:tr2bl w:val="nil"/>
            </w:tcBorders>
            <w:vAlign w:val="center"/>
          </w:tcPr>
          <w:p w14:paraId="502FE886">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排气筒高度</w:t>
            </w:r>
          </w:p>
        </w:tc>
        <w:tc>
          <w:tcPr>
            <w:tcW w:w="1132" w:type="pct"/>
            <w:vMerge w:val="restart"/>
            <w:tcBorders>
              <w:tl2br w:val="nil"/>
              <w:tr2bl w:val="nil"/>
            </w:tcBorders>
            <w:vAlign w:val="center"/>
          </w:tcPr>
          <w:p w14:paraId="57E4D4C8">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排放标准</w:t>
            </w:r>
          </w:p>
        </w:tc>
      </w:tr>
      <w:tr w14:paraId="3793AB82">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880" w:hRule="atLeast"/>
        </w:trPr>
        <w:tc>
          <w:tcPr>
            <w:tcW w:w="160" w:type="pct"/>
            <w:vMerge w:val="continue"/>
            <w:tcBorders>
              <w:tl2br w:val="nil"/>
              <w:tr2bl w:val="nil"/>
            </w:tcBorders>
            <w:vAlign w:val="center"/>
          </w:tcPr>
          <w:p w14:paraId="3CF32A3A">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20" w:type="pct"/>
            <w:vMerge w:val="continue"/>
            <w:tcBorders>
              <w:tl2br w:val="nil"/>
              <w:tr2bl w:val="nil"/>
            </w:tcBorders>
            <w:vAlign w:val="center"/>
          </w:tcPr>
          <w:p w14:paraId="04AFED87">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02" w:type="pct"/>
            <w:vMerge w:val="continue"/>
            <w:tcBorders>
              <w:tl2br w:val="nil"/>
              <w:tr2bl w:val="nil"/>
            </w:tcBorders>
            <w:vAlign w:val="center"/>
          </w:tcPr>
          <w:p w14:paraId="5D369536">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00" w:type="pct"/>
            <w:vMerge w:val="continue"/>
            <w:tcBorders>
              <w:tl2br w:val="nil"/>
              <w:tr2bl w:val="nil"/>
            </w:tcBorders>
            <w:vAlign w:val="center"/>
          </w:tcPr>
          <w:p w14:paraId="44D95521">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479" w:type="pct"/>
            <w:tcBorders>
              <w:tl2br w:val="nil"/>
              <w:tr2bl w:val="nil"/>
            </w:tcBorders>
            <w:vAlign w:val="center"/>
          </w:tcPr>
          <w:p w14:paraId="24472B0B">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t/a</w:t>
            </w:r>
          </w:p>
        </w:tc>
        <w:tc>
          <w:tcPr>
            <w:tcW w:w="418" w:type="pct"/>
            <w:tcBorders>
              <w:tl2br w:val="nil"/>
              <w:tr2bl w:val="nil"/>
            </w:tcBorders>
            <w:vAlign w:val="center"/>
          </w:tcPr>
          <w:p w14:paraId="49C0C5A7">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546" w:type="pct"/>
            <w:vMerge w:val="continue"/>
            <w:tcBorders>
              <w:tl2br w:val="nil"/>
              <w:tr2bl w:val="nil"/>
            </w:tcBorders>
            <w:vAlign w:val="center"/>
          </w:tcPr>
          <w:p w14:paraId="2588898A">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302" w:type="pct"/>
            <w:tcBorders>
              <w:tl2br w:val="nil"/>
              <w:tr2bl w:val="nil"/>
            </w:tcBorders>
            <w:vAlign w:val="center"/>
          </w:tcPr>
          <w:p w14:paraId="27AF386F">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t/a</w:t>
            </w:r>
          </w:p>
        </w:tc>
        <w:tc>
          <w:tcPr>
            <w:tcW w:w="375" w:type="pct"/>
            <w:tcBorders>
              <w:tl2br w:val="nil"/>
              <w:tr2bl w:val="nil"/>
            </w:tcBorders>
            <w:vAlign w:val="center"/>
          </w:tcPr>
          <w:p w14:paraId="0488BEB1">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424" w:type="pct"/>
            <w:tcBorders>
              <w:tl2br w:val="nil"/>
              <w:tr2bl w:val="nil"/>
            </w:tcBorders>
            <w:vAlign w:val="center"/>
          </w:tcPr>
          <w:p w14:paraId="0AF0B16D">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281" w:type="pct"/>
            <w:vMerge w:val="continue"/>
            <w:tcBorders>
              <w:tl2br w:val="nil"/>
              <w:tr2bl w:val="nil"/>
            </w:tcBorders>
            <w:vAlign w:val="center"/>
          </w:tcPr>
          <w:p w14:paraId="12B03FD1">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56" w:type="pct"/>
            <w:vMerge w:val="continue"/>
            <w:tcBorders>
              <w:tl2br w:val="nil"/>
              <w:tr2bl w:val="nil"/>
            </w:tcBorders>
            <w:vAlign w:val="center"/>
          </w:tcPr>
          <w:p w14:paraId="6BDEEA73">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1132" w:type="pct"/>
            <w:vMerge w:val="continue"/>
            <w:tcBorders>
              <w:tl2br w:val="nil"/>
              <w:tr2bl w:val="nil"/>
            </w:tcBorders>
            <w:vAlign w:val="center"/>
          </w:tcPr>
          <w:p w14:paraId="72B89227">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r>
      <w:tr w14:paraId="0A3EDBED">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1480" w:hRule="atLeast"/>
        </w:trPr>
        <w:tc>
          <w:tcPr>
            <w:tcW w:w="160" w:type="pct"/>
            <w:tcBorders>
              <w:tl2br w:val="nil"/>
              <w:tr2bl w:val="nil"/>
            </w:tcBorders>
            <w:vAlign w:val="center"/>
          </w:tcPr>
          <w:p w14:paraId="2FD1FED0">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220" w:type="pct"/>
            <w:tcBorders>
              <w:tl2br w:val="nil"/>
              <w:tr2bl w:val="nil"/>
            </w:tcBorders>
            <w:vAlign w:val="center"/>
          </w:tcPr>
          <w:p w14:paraId="4D64DC29">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原料库装卸、原料贮存、上料粉尘</w:t>
            </w:r>
          </w:p>
        </w:tc>
        <w:tc>
          <w:tcPr>
            <w:tcW w:w="202" w:type="pct"/>
            <w:tcBorders>
              <w:tl2br w:val="nil"/>
              <w:tr2bl w:val="nil"/>
            </w:tcBorders>
            <w:vAlign w:val="center"/>
          </w:tcPr>
          <w:p w14:paraId="41DEF6A8">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无组织</w:t>
            </w:r>
          </w:p>
        </w:tc>
        <w:tc>
          <w:tcPr>
            <w:tcW w:w="200" w:type="pct"/>
            <w:tcBorders>
              <w:tl2br w:val="nil"/>
              <w:tr2bl w:val="nil"/>
            </w:tcBorders>
            <w:vAlign w:val="center"/>
          </w:tcPr>
          <w:p w14:paraId="640A98C4">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颗粒物</w:t>
            </w:r>
          </w:p>
        </w:tc>
        <w:tc>
          <w:tcPr>
            <w:tcW w:w="479" w:type="pct"/>
            <w:tcBorders>
              <w:tl2br w:val="nil"/>
              <w:tr2bl w:val="nil"/>
            </w:tcBorders>
            <w:vAlign w:val="center"/>
          </w:tcPr>
          <w:p w14:paraId="1DC31F71">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2684.89</w:t>
            </w:r>
          </w:p>
        </w:tc>
        <w:tc>
          <w:tcPr>
            <w:tcW w:w="418" w:type="pct"/>
            <w:tcBorders>
              <w:tl2br w:val="nil"/>
              <w:tr2bl w:val="nil"/>
            </w:tcBorders>
            <w:vAlign w:val="center"/>
          </w:tcPr>
          <w:p w14:paraId="6D32B6C1">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1118.7</w:t>
            </w:r>
          </w:p>
        </w:tc>
        <w:tc>
          <w:tcPr>
            <w:tcW w:w="546" w:type="pct"/>
            <w:tcBorders>
              <w:tl2br w:val="nil"/>
              <w:tr2bl w:val="nil"/>
            </w:tcBorders>
            <w:vAlign w:val="center"/>
          </w:tcPr>
          <w:p w14:paraId="4899F60F">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原料</w:t>
            </w:r>
            <w:r>
              <w:rPr>
                <w:rFonts w:hint="eastAsia" w:ascii="Times New Roman" w:hAnsi="Times New Roman" w:cs="Times New Roman"/>
                <w:color w:val="auto"/>
                <w:sz w:val="21"/>
                <w:szCs w:val="21"/>
                <w:highlight w:val="none"/>
                <w:lang w:val="en-US" w:eastAsia="zh-CN"/>
              </w:rPr>
              <w:t>库</w:t>
            </w:r>
            <w:r>
              <w:rPr>
                <w:rFonts w:hint="default" w:ascii="Times New Roman" w:hAnsi="Times New Roman" w:eastAsia="宋体" w:cs="Times New Roman"/>
                <w:color w:val="auto"/>
                <w:sz w:val="21"/>
                <w:szCs w:val="21"/>
                <w:highlight w:val="none"/>
                <w:lang w:val="en-US" w:eastAsia="zh-CN"/>
              </w:rPr>
              <w:t>全封闭</w:t>
            </w:r>
            <w:r>
              <w:rPr>
                <w:rFonts w:hint="default" w:ascii="Times New Roman" w:hAnsi="Times New Roman" w:eastAsia="宋体" w:cs="Times New Roman"/>
                <w:color w:val="auto"/>
                <w:sz w:val="21"/>
                <w:szCs w:val="21"/>
                <w:highlight w:val="none"/>
              </w:rPr>
              <w:t>，并配套雾炮车降尘</w:t>
            </w:r>
          </w:p>
        </w:tc>
        <w:tc>
          <w:tcPr>
            <w:tcW w:w="302" w:type="pct"/>
            <w:tcBorders>
              <w:tl2br w:val="nil"/>
              <w:tr2bl w:val="nil"/>
            </w:tcBorders>
            <w:vAlign w:val="center"/>
          </w:tcPr>
          <w:p w14:paraId="76CE1104">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6.98</w:t>
            </w:r>
          </w:p>
        </w:tc>
        <w:tc>
          <w:tcPr>
            <w:tcW w:w="375" w:type="pct"/>
            <w:tcBorders>
              <w:tl2br w:val="nil"/>
              <w:tr2bl w:val="nil"/>
            </w:tcBorders>
            <w:vAlign w:val="center"/>
          </w:tcPr>
          <w:p w14:paraId="5634676D">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2.91</w:t>
            </w:r>
          </w:p>
        </w:tc>
        <w:tc>
          <w:tcPr>
            <w:tcW w:w="424" w:type="pct"/>
            <w:tcBorders>
              <w:tl2br w:val="nil"/>
              <w:tr2bl w:val="nil"/>
            </w:tcBorders>
            <w:vAlign w:val="center"/>
          </w:tcPr>
          <w:p w14:paraId="59A3DDEB">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p>
        </w:tc>
        <w:tc>
          <w:tcPr>
            <w:tcW w:w="281" w:type="pct"/>
            <w:tcBorders>
              <w:tl2br w:val="nil"/>
              <w:tr2bl w:val="nil"/>
            </w:tcBorders>
            <w:vAlign w:val="center"/>
          </w:tcPr>
          <w:p w14:paraId="3181FFB7">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2400</w:t>
            </w:r>
          </w:p>
        </w:tc>
        <w:tc>
          <w:tcPr>
            <w:tcW w:w="256" w:type="pct"/>
            <w:tcBorders>
              <w:tl2br w:val="nil"/>
              <w:tr2bl w:val="nil"/>
            </w:tcBorders>
            <w:vAlign w:val="center"/>
          </w:tcPr>
          <w:p w14:paraId="45C07DF1">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val="en-US" w:eastAsia="zh-CN"/>
              </w:rPr>
              <w:t>/</w:t>
            </w:r>
          </w:p>
        </w:tc>
        <w:tc>
          <w:tcPr>
            <w:tcW w:w="1132" w:type="pct"/>
            <w:tcBorders>
              <w:tl2br w:val="nil"/>
              <w:tr2bl w:val="nil"/>
            </w:tcBorders>
            <w:vAlign w:val="center"/>
          </w:tcPr>
          <w:p w14:paraId="3DBE852A">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《大气污染物综合排放标准》（GB16297-1996）</w:t>
            </w:r>
            <w:r>
              <w:rPr>
                <w:rFonts w:hint="eastAsia" w:ascii="Times New Roman" w:hAnsi="Times New Roman" w:cs="Times New Roman"/>
                <w:color w:val="auto"/>
                <w:sz w:val="21"/>
                <w:szCs w:val="21"/>
                <w:highlight w:val="none"/>
                <w:lang w:val="en-US" w:eastAsia="zh-CN"/>
              </w:rPr>
              <w:t>；</w:t>
            </w:r>
            <w:r>
              <w:rPr>
                <w:rFonts w:hint="eastAsia" w:ascii="Times New Roman" w:hAnsi="Times New Roman"/>
                <w:color w:val="auto"/>
                <w:sz w:val="21"/>
                <w:szCs w:val="21"/>
                <w:highlight w:val="none"/>
              </w:rPr>
              <w:t>《石灰、电石工业大气污染物排放标准》（GB 41618-2022）</w:t>
            </w:r>
          </w:p>
        </w:tc>
      </w:tr>
      <w:tr w14:paraId="1E9E2ABA">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2095" w:hRule="atLeast"/>
        </w:trPr>
        <w:tc>
          <w:tcPr>
            <w:tcW w:w="160" w:type="pct"/>
            <w:vMerge w:val="restart"/>
            <w:tcBorders>
              <w:tl2br w:val="nil"/>
              <w:tr2bl w:val="nil"/>
            </w:tcBorders>
            <w:vAlign w:val="center"/>
          </w:tcPr>
          <w:p w14:paraId="3D7CFD3F">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val="en-US" w:eastAsia="zh-CN"/>
              </w:rPr>
              <w:t>2</w:t>
            </w:r>
          </w:p>
        </w:tc>
        <w:tc>
          <w:tcPr>
            <w:tcW w:w="220" w:type="pct"/>
            <w:vMerge w:val="restart"/>
            <w:tcBorders>
              <w:tl2br w:val="nil"/>
              <w:tr2bl w:val="nil"/>
            </w:tcBorders>
            <w:vAlign w:val="center"/>
          </w:tcPr>
          <w:p w14:paraId="3ADE4512">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石灰石磨粉工序</w:t>
            </w:r>
          </w:p>
        </w:tc>
        <w:tc>
          <w:tcPr>
            <w:tcW w:w="202" w:type="pct"/>
            <w:tcBorders>
              <w:tl2br w:val="nil"/>
              <w:tr2bl w:val="nil"/>
            </w:tcBorders>
            <w:vAlign w:val="center"/>
          </w:tcPr>
          <w:p w14:paraId="71CCB796">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bCs/>
                <w:color w:val="auto"/>
                <w:sz w:val="21"/>
                <w:szCs w:val="21"/>
                <w:highlight w:val="none"/>
                <w:vertAlign w:val="baseline"/>
                <w:lang w:val="en-US" w:eastAsia="zh-CN"/>
              </w:rPr>
              <w:t>DA001</w:t>
            </w:r>
          </w:p>
        </w:tc>
        <w:tc>
          <w:tcPr>
            <w:tcW w:w="200" w:type="pct"/>
            <w:tcBorders>
              <w:tl2br w:val="nil"/>
              <w:tr2bl w:val="nil"/>
            </w:tcBorders>
            <w:vAlign w:val="center"/>
          </w:tcPr>
          <w:p w14:paraId="6EF455BB">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颗粒物</w:t>
            </w:r>
          </w:p>
        </w:tc>
        <w:tc>
          <w:tcPr>
            <w:tcW w:w="479" w:type="pct"/>
            <w:tcBorders>
              <w:tl2br w:val="nil"/>
              <w:tr2bl w:val="nil"/>
            </w:tcBorders>
            <w:vAlign w:val="center"/>
          </w:tcPr>
          <w:p w14:paraId="6276382F">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89.29</w:t>
            </w:r>
          </w:p>
        </w:tc>
        <w:tc>
          <w:tcPr>
            <w:tcW w:w="418" w:type="pct"/>
            <w:tcBorders>
              <w:tl2br w:val="nil"/>
              <w:tr2bl w:val="nil"/>
            </w:tcBorders>
            <w:vAlign w:val="center"/>
          </w:tcPr>
          <w:p w14:paraId="7CC9F93C">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37.2</w:t>
            </w:r>
          </w:p>
        </w:tc>
        <w:tc>
          <w:tcPr>
            <w:tcW w:w="546" w:type="pct"/>
            <w:tcBorders>
              <w:tl2br w:val="nil"/>
              <w:tr2bl w:val="nil"/>
            </w:tcBorders>
            <w:vAlign w:val="center"/>
          </w:tcPr>
          <w:p w14:paraId="3A9BC14A">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val="en-US" w:eastAsia="zh-CN"/>
              </w:rPr>
              <w:t>粉尘通过负压收集+</w:t>
            </w:r>
            <w:r>
              <w:rPr>
                <w:rFonts w:hint="default" w:ascii="Times New Roman" w:hAnsi="Times New Roman" w:eastAsia="宋体" w:cs="Times New Roman"/>
                <w:color w:val="auto"/>
                <w:sz w:val="21"/>
                <w:szCs w:val="21"/>
                <w:highlight w:val="none"/>
              </w:rPr>
              <w:t>脉冲</w:t>
            </w:r>
            <w:r>
              <w:rPr>
                <w:rFonts w:hint="eastAsia" w:ascii="Times New Roman" w:hAnsi="Times New Roman" w:cs="Times New Roman"/>
                <w:color w:val="auto"/>
                <w:sz w:val="21"/>
                <w:szCs w:val="21"/>
                <w:highlight w:val="none"/>
                <w:lang w:val="en-US" w:eastAsia="zh-CN"/>
              </w:rPr>
              <w:t>布袋</w:t>
            </w:r>
            <w:r>
              <w:rPr>
                <w:rFonts w:hint="default" w:ascii="Times New Roman" w:hAnsi="Times New Roman" w:eastAsia="宋体" w:cs="Times New Roman"/>
                <w:color w:val="auto"/>
                <w:sz w:val="21"/>
                <w:szCs w:val="21"/>
                <w:highlight w:val="none"/>
              </w:rPr>
              <w:t>除尘器处理后经15米高排气筒排放，除尘效率99</w:t>
            </w:r>
            <w:r>
              <w:rPr>
                <w:rFonts w:hint="eastAsia" w:ascii="Times New Roman" w:hAnsi="Times New Roman" w:eastAsia="宋体" w:cs="Times New Roman"/>
                <w:color w:val="auto"/>
                <w:sz w:val="21"/>
                <w:szCs w:val="21"/>
                <w:highlight w:val="none"/>
                <w:lang w:val="en-US" w:eastAsia="zh-CN"/>
              </w:rPr>
              <w:t>%</w:t>
            </w:r>
          </w:p>
        </w:tc>
        <w:tc>
          <w:tcPr>
            <w:tcW w:w="302" w:type="pct"/>
            <w:tcBorders>
              <w:tl2br w:val="nil"/>
              <w:tr2bl w:val="nil"/>
            </w:tcBorders>
            <w:vAlign w:val="center"/>
          </w:tcPr>
          <w:p w14:paraId="7DCD9F0C">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0.8929</w:t>
            </w:r>
          </w:p>
        </w:tc>
        <w:tc>
          <w:tcPr>
            <w:tcW w:w="375" w:type="pct"/>
            <w:tcBorders>
              <w:tl2br w:val="nil"/>
              <w:tr2bl w:val="nil"/>
            </w:tcBorders>
            <w:vAlign w:val="center"/>
          </w:tcPr>
          <w:p w14:paraId="27CA3CA2">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0.372</w:t>
            </w:r>
          </w:p>
        </w:tc>
        <w:tc>
          <w:tcPr>
            <w:tcW w:w="424" w:type="pct"/>
            <w:tcBorders>
              <w:tl2br w:val="nil"/>
              <w:tr2bl w:val="nil"/>
            </w:tcBorders>
            <w:vAlign w:val="center"/>
          </w:tcPr>
          <w:p w14:paraId="198DD7F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eastAsia" w:ascii="Times New Roman" w:hAnsi="Times New Roman" w:cs="Times New Roman"/>
                <w:bCs/>
                <w:color w:val="auto"/>
                <w:sz w:val="21"/>
                <w:szCs w:val="21"/>
                <w:highlight w:val="none"/>
                <w:vertAlign w:val="baseline"/>
                <w:lang w:val="en-US" w:eastAsia="zh-CN"/>
              </w:rPr>
              <w:t>7.44</w:t>
            </w:r>
          </w:p>
        </w:tc>
        <w:tc>
          <w:tcPr>
            <w:tcW w:w="281" w:type="pct"/>
            <w:tcBorders>
              <w:tl2br w:val="nil"/>
              <w:tr2bl w:val="nil"/>
            </w:tcBorders>
            <w:vAlign w:val="center"/>
          </w:tcPr>
          <w:p w14:paraId="6DF30EC5">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2400</w:t>
            </w:r>
          </w:p>
        </w:tc>
        <w:tc>
          <w:tcPr>
            <w:tcW w:w="256" w:type="pct"/>
            <w:tcBorders>
              <w:tl2br w:val="nil"/>
              <w:tr2bl w:val="nil"/>
            </w:tcBorders>
            <w:vAlign w:val="center"/>
          </w:tcPr>
          <w:p w14:paraId="3F5E7F0F">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15</w:t>
            </w:r>
          </w:p>
        </w:tc>
        <w:tc>
          <w:tcPr>
            <w:tcW w:w="1132" w:type="pct"/>
            <w:tcBorders>
              <w:tl2br w:val="nil"/>
              <w:tr2bl w:val="nil"/>
            </w:tcBorders>
            <w:vAlign w:val="center"/>
          </w:tcPr>
          <w:p w14:paraId="06A490F1">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olor w:val="auto"/>
                <w:sz w:val="21"/>
                <w:szCs w:val="21"/>
                <w:highlight w:val="none"/>
              </w:rPr>
              <w:t>《石灰、电石工业大气污染物排放标准》（GB 41618-2022）</w:t>
            </w:r>
          </w:p>
        </w:tc>
      </w:tr>
      <w:tr w14:paraId="01A22239">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2095" w:hRule="atLeast"/>
        </w:trPr>
        <w:tc>
          <w:tcPr>
            <w:tcW w:w="160" w:type="pct"/>
            <w:vMerge w:val="continue"/>
            <w:tcBorders>
              <w:tl2br w:val="nil"/>
              <w:tr2bl w:val="nil"/>
            </w:tcBorders>
            <w:vAlign w:val="center"/>
          </w:tcPr>
          <w:p w14:paraId="70F465F3">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20" w:type="pct"/>
            <w:vMerge w:val="continue"/>
            <w:tcBorders>
              <w:tl2br w:val="nil"/>
              <w:tr2bl w:val="nil"/>
            </w:tcBorders>
            <w:vAlign w:val="center"/>
          </w:tcPr>
          <w:p w14:paraId="4D80C58E">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02" w:type="pct"/>
            <w:tcBorders>
              <w:tl2br w:val="nil"/>
              <w:tr2bl w:val="nil"/>
            </w:tcBorders>
            <w:vAlign w:val="center"/>
          </w:tcPr>
          <w:p w14:paraId="10678A11">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bCs/>
                <w:color w:val="auto"/>
                <w:sz w:val="21"/>
                <w:szCs w:val="21"/>
                <w:highlight w:val="none"/>
                <w:vertAlign w:val="baseline"/>
                <w:lang w:val="en-US" w:eastAsia="zh-CN"/>
              </w:rPr>
              <w:t>DA002</w:t>
            </w:r>
          </w:p>
        </w:tc>
        <w:tc>
          <w:tcPr>
            <w:tcW w:w="200" w:type="pct"/>
            <w:tcBorders>
              <w:tl2br w:val="nil"/>
              <w:tr2bl w:val="nil"/>
            </w:tcBorders>
            <w:vAlign w:val="center"/>
          </w:tcPr>
          <w:p w14:paraId="75DDD51A">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颗粒物</w:t>
            </w:r>
          </w:p>
        </w:tc>
        <w:tc>
          <w:tcPr>
            <w:tcW w:w="479" w:type="pct"/>
            <w:tcBorders>
              <w:tl2br w:val="nil"/>
              <w:tr2bl w:val="nil"/>
            </w:tcBorders>
            <w:vAlign w:val="center"/>
          </w:tcPr>
          <w:p w14:paraId="7786BF63">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89.29</w:t>
            </w:r>
          </w:p>
        </w:tc>
        <w:tc>
          <w:tcPr>
            <w:tcW w:w="418" w:type="pct"/>
            <w:tcBorders>
              <w:tl2br w:val="nil"/>
              <w:tr2bl w:val="nil"/>
            </w:tcBorders>
            <w:vAlign w:val="center"/>
          </w:tcPr>
          <w:p w14:paraId="68C6BCAC">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37.2</w:t>
            </w:r>
          </w:p>
        </w:tc>
        <w:tc>
          <w:tcPr>
            <w:tcW w:w="546" w:type="pct"/>
            <w:tcBorders>
              <w:tl2br w:val="nil"/>
              <w:tr2bl w:val="nil"/>
            </w:tcBorders>
            <w:vAlign w:val="center"/>
          </w:tcPr>
          <w:p w14:paraId="389DFF8C">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粉尘通过负压收集+</w:t>
            </w:r>
            <w:r>
              <w:rPr>
                <w:rFonts w:hint="default" w:ascii="Times New Roman" w:hAnsi="Times New Roman" w:eastAsia="宋体" w:cs="Times New Roman"/>
                <w:color w:val="auto"/>
                <w:sz w:val="21"/>
                <w:szCs w:val="21"/>
                <w:highlight w:val="none"/>
              </w:rPr>
              <w:t>脉冲</w:t>
            </w:r>
            <w:r>
              <w:rPr>
                <w:rFonts w:hint="eastAsia" w:ascii="Times New Roman" w:hAnsi="Times New Roman" w:cs="Times New Roman"/>
                <w:color w:val="auto"/>
                <w:sz w:val="21"/>
                <w:szCs w:val="21"/>
                <w:highlight w:val="none"/>
                <w:lang w:val="en-US" w:eastAsia="zh-CN"/>
              </w:rPr>
              <w:t>布袋</w:t>
            </w:r>
            <w:r>
              <w:rPr>
                <w:rFonts w:hint="default" w:ascii="Times New Roman" w:hAnsi="Times New Roman" w:eastAsia="宋体" w:cs="Times New Roman"/>
                <w:color w:val="auto"/>
                <w:sz w:val="21"/>
                <w:szCs w:val="21"/>
                <w:highlight w:val="none"/>
              </w:rPr>
              <w:t>除尘器处理后经15米高排气筒排放，除尘效率99</w:t>
            </w:r>
            <w:r>
              <w:rPr>
                <w:rFonts w:hint="eastAsia" w:ascii="Times New Roman" w:hAnsi="Times New Roman" w:eastAsia="宋体" w:cs="Times New Roman"/>
                <w:color w:val="auto"/>
                <w:sz w:val="21"/>
                <w:szCs w:val="21"/>
                <w:highlight w:val="none"/>
                <w:lang w:val="en-US" w:eastAsia="zh-CN"/>
              </w:rPr>
              <w:t>%</w:t>
            </w:r>
          </w:p>
        </w:tc>
        <w:tc>
          <w:tcPr>
            <w:tcW w:w="302" w:type="pct"/>
            <w:tcBorders>
              <w:tl2br w:val="nil"/>
              <w:tr2bl w:val="nil"/>
            </w:tcBorders>
            <w:vAlign w:val="center"/>
          </w:tcPr>
          <w:p w14:paraId="2CDBC502">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0.8929</w:t>
            </w:r>
          </w:p>
        </w:tc>
        <w:tc>
          <w:tcPr>
            <w:tcW w:w="375" w:type="pct"/>
            <w:tcBorders>
              <w:tl2br w:val="nil"/>
              <w:tr2bl w:val="nil"/>
            </w:tcBorders>
            <w:vAlign w:val="center"/>
          </w:tcPr>
          <w:p w14:paraId="0B9AA6BD">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0.372</w:t>
            </w:r>
          </w:p>
        </w:tc>
        <w:tc>
          <w:tcPr>
            <w:tcW w:w="424" w:type="pct"/>
            <w:tcBorders>
              <w:tl2br w:val="nil"/>
              <w:tr2bl w:val="nil"/>
            </w:tcBorders>
            <w:vAlign w:val="center"/>
          </w:tcPr>
          <w:p w14:paraId="7F6A8566">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7.44</w:t>
            </w:r>
          </w:p>
        </w:tc>
        <w:tc>
          <w:tcPr>
            <w:tcW w:w="281" w:type="pct"/>
            <w:tcBorders>
              <w:tl2br w:val="nil"/>
              <w:tr2bl w:val="nil"/>
            </w:tcBorders>
            <w:vAlign w:val="center"/>
          </w:tcPr>
          <w:p w14:paraId="0DD8348D">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2400</w:t>
            </w:r>
          </w:p>
        </w:tc>
        <w:tc>
          <w:tcPr>
            <w:tcW w:w="256" w:type="pct"/>
            <w:tcBorders>
              <w:tl2br w:val="nil"/>
              <w:tr2bl w:val="nil"/>
            </w:tcBorders>
            <w:vAlign w:val="center"/>
          </w:tcPr>
          <w:p w14:paraId="71E8C8F3">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15</w:t>
            </w:r>
          </w:p>
        </w:tc>
        <w:tc>
          <w:tcPr>
            <w:tcW w:w="1132" w:type="pct"/>
            <w:tcBorders>
              <w:tl2br w:val="nil"/>
              <w:tr2bl w:val="nil"/>
            </w:tcBorders>
            <w:vAlign w:val="center"/>
          </w:tcPr>
          <w:p w14:paraId="7598F873">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olor w:val="auto"/>
                <w:sz w:val="21"/>
                <w:szCs w:val="21"/>
                <w:highlight w:val="none"/>
              </w:rPr>
              <w:t>《石灰、电石工业大气污染物排放标准》（GB 41618-2022）</w:t>
            </w:r>
          </w:p>
        </w:tc>
      </w:tr>
      <w:tr w14:paraId="16ECB20E">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2095" w:hRule="atLeast"/>
        </w:trPr>
        <w:tc>
          <w:tcPr>
            <w:tcW w:w="160" w:type="pct"/>
            <w:vMerge w:val="continue"/>
            <w:tcBorders>
              <w:tl2br w:val="nil"/>
              <w:tr2bl w:val="nil"/>
            </w:tcBorders>
            <w:vAlign w:val="center"/>
          </w:tcPr>
          <w:p w14:paraId="1640BEB8">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20" w:type="pct"/>
            <w:vMerge w:val="continue"/>
            <w:tcBorders>
              <w:tl2br w:val="nil"/>
              <w:tr2bl w:val="nil"/>
            </w:tcBorders>
            <w:vAlign w:val="center"/>
          </w:tcPr>
          <w:p w14:paraId="56922703">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02" w:type="pct"/>
            <w:tcBorders>
              <w:tl2br w:val="nil"/>
              <w:tr2bl w:val="nil"/>
            </w:tcBorders>
            <w:vAlign w:val="center"/>
          </w:tcPr>
          <w:p w14:paraId="2A1EA81A">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bCs/>
                <w:color w:val="auto"/>
                <w:sz w:val="21"/>
                <w:szCs w:val="21"/>
                <w:highlight w:val="none"/>
                <w:vertAlign w:val="baseline"/>
                <w:lang w:val="en-US" w:eastAsia="zh-CN"/>
              </w:rPr>
              <w:t>DA003</w:t>
            </w:r>
          </w:p>
        </w:tc>
        <w:tc>
          <w:tcPr>
            <w:tcW w:w="200" w:type="pct"/>
            <w:tcBorders>
              <w:tl2br w:val="nil"/>
              <w:tr2bl w:val="nil"/>
            </w:tcBorders>
            <w:vAlign w:val="center"/>
          </w:tcPr>
          <w:p w14:paraId="548C772B">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颗粒物</w:t>
            </w:r>
          </w:p>
        </w:tc>
        <w:tc>
          <w:tcPr>
            <w:tcW w:w="479" w:type="pct"/>
            <w:tcBorders>
              <w:tl2br w:val="nil"/>
              <w:tr2bl w:val="nil"/>
            </w:tcBorders>
            <w:vAlign w:val="center"/>
          </w:tcPr>
          <w:p w14:paraId="65DCC3D6">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89.29</w:t>
            </w:r>
          </w:p>
        </w:tc>
        <w:tc>
          <w:tcPr>
            <w:tcW w:w="418" w:type="pct"/>
            <w:tcBorders>
              <w:tl2br w:val="nil"/>
              <w:tr2bl w:val="nil"/>
            </w:tcBorders>
            <w:vAlign w:val="center"/>
          </w:tcPr>
          <w:p w14:paraId="679FD740">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37.2</w:t>
            </w:r>
          </w:p>
        </w:tc>
        <w:tc>
          <w:tcPr>
            <w:tcW w:w="546" w:type="pct"/>
            <w:tcBorders>
              <w:tl2br w:val="nil"/>
              <w:tr2bl w:val="nil"/>
            </w:tcBorders>
            <w:vAlign w:val="center"/>
          </w:tcPr>
          <w:p w14:paraId="0E1E1B6C">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粉尘通过负压收集+</w:t>
            </w:r>
            <w:r>
              <w:rPr>
                <w:rFonts w:hint="default" w:ascii="Times New Roman" w:hAnsi="Times New Roman" w:eastAsia="宋体" w:cs="Times New Roman"/>
                <w:color w:val="auto"/>
                <w:sz w:val="21"/>
                <w:szCs w:val="21"/>
                <w:highlight w:val="none"/>
              </w:rPr>
              <w:t>脉冲</w:t>
            </w:r>
            <w:r>
              <w:rPr>
                <w:rFonts w:hint="eastAsia" w:ascii="Times New Roman" w:hAnsi="Times New Roman" w:cs="Times New Roman"/>
                <w:color w:val="auto"/>
                <w:sz w:val="21"/>
                <w:szCs w:val="21"/>
                <w:highlight w:val="none"/>
                <w:lang w:val="en-US" w:eastAsia="zh-CN"/>
              </w:rPr>
              <w:t>布袋</w:t>
            </w:r>
            <w:r>
              <w:rPr>
                <w:rFonts w:hint="default" w:ascii="Times New Roman" w:hAnsi="Times New Roman" w:eastAsia="宋体" w:cs="Times New Roman"/>
                <w:color w:val="auto"/>
                <w:sz w:val="21"/>
                <w:szCs w:val="21"/>
                <w:highlight w:val="none"/>
              </w:rPr>
              <w:t>除尘器处理后经15米高排气筒排放，除尘效率99</w:t>
            </w:r>
            <w:r>
              <w:rPr>
                <w:rFonts w:hint="eastAsia" w:ascii="Times New Roman" w:hAnsi="Times New Roman" w:eastAsia="宋体" w:cs="Times New Roman"/>
                <w:color w:val="auto"/>
                <w:sz w:val="21"/>
                <w:szCs w:val="21"/>
                <w:highlight w:val="none"/>
                <w:lang w:val="en-US" w:eastAsia="zh-CN"/>
              </w:rPr>
              <w:t>%</w:t>
            </w:r>
          </w:p>
        </w:tc>
        <w:tc>
          <w:tcPr>
            <w:tcW w:w="302" w:type="pct"/>
            <w:tcBorders>
              <w:tl2br w:val="nil"/>
              <w:tr2bl w:val="nil"/>
            </w:tcBorders>
            <w:vAlign w:val="center"/>
          </w:tcPr>
          <w:p w14:paraId="56928EB4">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0.8929</w:t>
            </w:r>
          </w:p>
        </w:tc>
        <w:tc>
          <w:tcPr>
            <w:tcW w:w="375" w:type="pct"/>
            <w:tcBorders>
              <w:tl2br w:val="nil"/>
              <w:tr2bl w:val="nil"/>
            </w:tcBorders>
            <w:vAlign w:val="center"/>
          </w:tcPr>
          <w:p w14:paraId="76CFC13A">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0.372</w:t>
            </w:r>
          </w:p>
        </w:tc>
        <w:tc>
          <w:tcPr>
            <w:tcW w:w="424" w:type="pct"/>
            <w:tcBorders>
              <w:tl2br w:val="nil"/>
              <w:tr2bl w:val="nil"/>
            </w:tcBorders>
            <w:vAlign w:val="center"/>
          </w:tcPr>
          <w:p w14:paraId="184811F7">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7.44</w:t>
            </w:r>
          </w:p>
        </w:tc>
        <w:tc>
          <w:tcPr>
            <w:tcW w:w="281" w:type="pct"/>
            <w:tcBorders>
              <w:tl2br w:val="nil"/>
              <w:tr2bl w:val="nil"/>
            </w:tcBorders>
            <w:vAlign w:val="center"/>
          </w:tcPr>
          <w:p w14:paraId="3316DB2E">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2400</w:t>
            </w:r>
          </w:p>
        </w:tc>
        <w:tc>
          <w:tcPr>
            <w:tcW w:w="256" w:type="pct"/>
            <w:tcBorders>
              <w:tl2br w:val="nil"/>
              <w:tr2bl w:val="nil"/>
            </w:tcBorders>
            <w:vAlign w:val="center"/>
          </w:tcPr>
          <w:p w14:paraId="5AA63E55">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15</w:t>
            </w:r>
          </w:p>
        </w:tc>
        <w:tc>
          <w:tcPr>
            <w:tcW w:w="1132" w:type="pct"/>
            <w:tcBorders>
              <w:tl2br w:val="nil"/>
              <w:tr2bl w:val="nil"/>
            </w:tcBorders>
            <w:vAlign w:val="center"/>
          </w:tcPr>
          <w:p w14:paraId="3DE9BA99">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olor w:val="auto"/>
                <w:sz w:val="21"/>
                <w:szCs w:val="21"/>
                <w:highlight w:val="none"/>
              </w:rPr>
              <w:t>《石灰、电石工业大气污染物排放标准》（GB 41618-2022）</w:t>
            </w:r>
          </w:p>
        </w:tc>
      </w:tr>
      <w:tr w14:paraId="4EC62296">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1260" w:hRule="atLeast"/>
        </w:trPr>
        <w:tc>
          <w:tcPr>
            <w:tcW w:w="160" w:type="pct"/>
            <w:vMerge w:val="continue"/>
            <w:tcBorders>
              <w:tl2br w:val="nil"/>
              <w:tr2bl w:val="nil"/>
            </w:tcBorders>
            <w:vAlign w:val="center"/>
          </w:tcPr>
          <w:p w14:paraId="0C8B93AF">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20" w:type="pct"/>
            <w:vMerge w:val="continue"/>
            <w:tcBorders>
              <w:tl2br w:val="nil"/>
              <w:tr2bl w:val="nil"/>
            </w:tcBorders>
            <w:vAlign w:val="center"/>
          </w:tcPr>
          <w:p w14:paraId="75097A21">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rPr>
            </w:pPr>
          </w:p>
        </w:tc>
        <w:tc>
          <w:tcPr>
            <w:tcW w:w="202" w:type="pct"/>
            <w:tcBorders>
              <w:tl2br w:val="nil"/>
              <w:tr2bl w:val="nil"/>
            </w:tcBorders>
            <w:vAlign w:val="center"/>
          </w:tcPr>
          <w:p w14:paraId="588E9688">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bCs/>
                <w:color w:val="auto"/>
                <w:sz w:val="21"/>
                <w:szCs w:val="21"/>
                <w:highlight w:val="none"/>
                <w:vertAlign w:val="baseline"/>
                <w:lang w:val="en-US" w:eastAsia="zh-CN"/>
              </w:rPr>
              <w:t>DA004</w:t>
            </w:r>
          </w:p>
        </w:tc>
        <w:tc>
          <w:tcPr>
            <w:tcW w:w="200" w:type="pct"/>
            <w:tcBorders>
              <w:tl2br w:val="nil"/>
              <w:tr2bl w:val="nil"/>
            </w:tcBorders>
            <w:vAlign w:val="center"/>
          </w:tcPr>
          <w:p w14:paraId="51784928">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颗粒物</w:t>
            </w:r>
          </w:p>
        </w:tc>
        <w:tc>
          <w:tcPr>
            <w:tcW w:w="479" w:type="pct"/>
            <w:tcBorders>
              <w:tl2br w:val="nil"/>
              <w:tr2bl w:val="nil"/>
            </w:tcBorders>
            <w:vAlign w:val="center"/>
          </w:tcPr>
          <w:p w14:paraId="20018144">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89.29</w:t>
            </w:r>
          </w:p>
        </w:tc>
        <w:tc>
          <w:tcPr>
            <w:tcW w:w="418" w:type="pct"/>
            <w:tcBorders>
              <w:tl2br w:val="nil"/>
              <w:tr2bl w:val="nil"/>
            </w:tcBorders>
            <w:vAlign w:val="center"/>
          </w:tcPr>
          <w:p w14:paraId="7508C380">
            <w:pPr>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bCs/>
                <w:color w:val="auto"/>
                <w:sz w:val="21"/>
                <w:szCs w:val="21"/>
                <w:highlight w:val="none"/>
                <w:vertAlign w:val="baseline"/>
                <w:lang w:val="en-US" w:eastAsia="zh-CN"/>
              </w:rPr>
              <w:t>37.2</w:t>
            </w:r>
          </w:p>
        </w:tc>
        <w:tc>
          <w:tcPr>
            <w:tcW w:w="546" w:type="pct"/>
            <w:tcBorders>
              <w:tl2br w:val="nil"/>
              <w:tr2bl w:val="nil"/>
            </w:tcBorders>
            <w:vAlign w:val="center"/>
          </w:tcPr>
          <w:p w14:paraId="45DDD8E7">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粉尘通过负压收集+</w:t>
            </w:r>
            <w:r>
              <w:rPr>
                <w:rFonts w:hint="default" w:ascii="Times New Roman" w:hAnsi="Times New Roman" w:eastAsia="宋体" w:cs="Times New Roman"/>
                <w:color w:val="auto"/>
                <w:sz w:val="21"/>
                <w:szCs w:val="21"/>
                <w:highlight w:val="none"/>
              </w:rPr>
              <w:t>脉冲</w:t>
            </w:r>
            <w:r>
              <w:rPr>
                <w:rFonts w:hint="eastAsia" w:ascii="Times New Roman" w:hAnsi="Times New Roman" w:cs="Times New Roman"/>
                <w:color w:val="auto"/>
                <w:sz w:val="21"/>
                <w:szCs w:val="21"/>
                <w:highlight w:val="none"/>
                <w:lang w:val="en-US" w:eastAsia="zh-CN"/>
              </w:rPr>
              <w:t>布袋</w:t>
            </w:r>
            <w:r>
              <w:rPr>
                <w:rFonts w:hint="default" w:ascii="Times New Roman" w:hAnsi="Times New Roman" w:eastAsia="宋体" w:cs="Times New Roman"/>
                <w:color w:val="auto"/>
                <w:sz w:val="21"/>
                <w:szCs w:val="21"/>
                <w:highlight w:val="none"/>
              </w:rPr>
              <w:t>除尘器处理后经15米高排气筒排放，除尘效率99</w:t>
            </w:r>
            <w:r>
              <w:rPr>
                <w:rFonts w:hint="eastAsia" w:ascii="Times New Roman" w:hAnsi="Times New Roman" w:eastAsia="宋体" w:cs="Times New Roman"/>
                <w:color w:val="auto"/>
                <w:sz w:val="21"/>
                <w:szCs w:val="21"/>
                <w:highlight w:val="none"/>
                <w:lang w:val="en-US" w:eastAsia="zh-CN"/>
              </w:rPr>
              <w:t>%</w:t>
            </w:r>
          </w:p>
        </w:tc>
        <w:tc>
          <w:tcPr>
            <w:tcW w:w="302" w:type="pct"/>
            <w:tcBorders>
              <w:tl2br w:val="nil"/>
              <w:tr2bl w:val="nil"/>
            </w:tcBorders>
            <w:vAlign w:val="center"/>
          </w:tcPr>
          <w:p w14:paraId="4F0F102B">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eastAsia" w:ascii="Times New Roman" w:hAnsi="Times New Roman" w:cs="Times New Roman"/>
                <w:bCs/>
                <w:color w:val="auto"/>
                <w:sz w:val="21"/>
                <w:szCs w:val="21"/>
                <w:highlight w:val="none"/>
                <w:vertAlign w:val="baseline"/>
                <w:lang w:val="en-US" w:eastAsia="zh-CN"/>
              </w:rPr>
              <w:t>0.8929</w:t>
            </w:r>
          </w:p>
        </w:tc>
        <w:tc>
          <w:tcPr>
            <w:tcW w:w="375" w:type="pct"/>
            <w:tcBorders>
              <w:tl2br w:val="nil"/>
              <w:tr2bl w:val="nil"/>
            </w:tcBorders>
            <w:vAlign w:val="center"/>
          </w:tcPr>
          <w:p w14:paraId="68A39629">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eastAsia" w:ascii="Times New Roman" w:hAnsi="Times New Roman" w:cs="Times New Roman"/>
                <w:bCs/>
                <w:color w:val="auto"/>
                <w:sz w:val="21"/>
                <w:szCs w:val="21"/>
                <w:highlight w:val="none"/>
                <w:vertAlign w:val="baseline"/>
                <w:lang w:val="en-US" w:eastAsia="zh-CN"/>
              </w:rPr>
              <w:t>0.372</w:t>
            </w:r>
          </w:p>
        </w:tc>
        <w:tc>
          <w:tcPr>
            <w:tcW w:w="424" w:type="pct"/>
            <w:tcBorders>
              <w:tl2br w:val="nil"/>
              <w:tr2bl w:val="nil"/>
            </w:tcBorders>
            <w:vAlign w:val="center"/>
          </w:tcPr>
          <w:p w14:paraId="1F43E31F">
            <w:pPr>
              <w:pStyle w:val="8"/>
              <w:keepNext w:val="0"/>
              <w:keepLines w:val="0"/>
              <w:pageBreakBefore w:val="0"/>
              <w:widowControl w:val="0"/>
              <w:kinsoku/>
              <w:wordWrap/>
              <w:overflowPunct/>
              <w:topLinePunct w:val="0"/>
              <w:autoSpaceDE/>
              <w:autoSpaceDN/>
              <w:bidi w:val="0"/>
              <w:adjustRightInd/>
              <w:snapToGrid/>
              <w:spacing w:beforeLines="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bCs/>
                <w:color w:val="auto"/>
                <w:sz w:val="21"/>
                <w:szCs w:val="21"/>
                <w:highlight w:val="none"/>
                <w:vertAlign w:val="baseline"/>
                <w:lang w:val="en-US" w:eastAsia="zh-CN"/>
              </w:rPr>
              <w:t>7.44</w:t>
            </w:r>
          </w:p>
        </w:tc>
        <w:tc>
          <w:tcPr>
            <w:tcW w:w="281" w:type="pct"/>
            <w:tcBorders>
              <w:tl2br w:val="nil"/>
              <w:tr2bl w:val="nil"/>
            </w:tcBorders>
            <w:vAlign w:val="center"/>
          </w:tcPr>
          <w:p w14:paraId="4235754E">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2400</w:t>
            </w:r>
          </w:p>
        </w:tc>
        <w:tc>
          <w:tcPr>
            <w:tcW w:w="256" w:type="pct"/>
            <w:tcBorders>
              <w:tl2br w:val="nil"/>
              <w:tr2bl w:val="nil"/>
            </w:tcBorders>
            <w:vAlign w:val="center"/>
          </w:tcPr>
          <w:p w14:paraId="03AA800E">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15</w:t>
            </w:r>
          </w:p>
        </w:tc>
        <w:tc>
          <w:tcPr>
            <w:tcW w:w="1132" w:type="pct"/>
            <w:tcBorders>
              <w:tl2br w:val="nil"/>
              <w:tr2bl w:val="nil"/>
            </w:tcBorders>
            <w:vAlign w:val="center"/>
          </w:tcPr>
          <w:p w14:paraId="627E9981">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olor w:val="auto"/>
                <w:sz w:val="21"/>
                <w:szCs w:val="21"/>
                <w:highlight w:val="none"/>
              </w:rPr>
              <w:t>《石灰、电石工业大气污染物排放标准》（GB 41618-2022）</w:t>
            </w:r>
          </w:p>
        </w:tc>
      </w:tr>
      <w:tr w14:paraId="61A9EDDF">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1241" w:hRule="atLeast"/>
        </w:trPr>
        <w:tc>
          <w:tcPr>
            <w:tcW w:w="160" w:type="pct"/>
            <w:vMerge w:val="restart"/>
            <w:tcBorders>
              <w:tl2br w:val="nil"/>
              <w:tr2bl w:val="nil"/>
            </w:tcBorders>
            <w:vAlign w:val="center"/>
          </w:tcPr>
          <w:p w14:paraId="576AA100">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w:t>
            </w:r>
          </w:p>
        </w:tc>
        <w:tc>
          <w:tcPr>
            <w:tcW w:w="220" w:type="pct"/>
            <w:tcBorders>
              <w:tl2br w:val="nil"/>
              <w:tr2bl w:val="nil"/>
            </w:tcBorders>
            <w:shd w:val="clear" w:color="auto" w:fill="auto"/>
            <w:vAlign w:val="center"/>
          </w:tcPr>
          <w:p w14:paraId="0261F247">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储罐粉尘</w:t>
            </w:r>
          </w:p>
        </w:tc>
        <w:tc>
          <w:tcPr>
            <w:tcW w:w="202" w:type="pct"/>
            <w:tcBorders>
              <w:tl2br w:val="nil"/>
              <w:tr2bl w:val="nil"/>
            </w:tcBorders>
            <w:shd w:val="clear" w:color="auto" w:fill="auto"/>
            <w:vAlign w:val="center"/>
          </w:tcPr>
          <w:p w14:paraId="742F5724">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DA005</w:t>
            </w:r>
          </w:p>
        </w:tc>
        <w:tc>
          <w:tcPr>
            <w:tcW w:w="200" w:type="pct"/>
            <w:tcBorders>
              <w:tl2br w:val="nil"/>
              <w:tr2bl w:val="nil"/>
            </w:tcBorders>
            <w:shd w:val="clear" w:color="auto" w:fill="auto"/>
            <w:vAlign w:val="center"/>
          </w:tcPr>
          <w:p w14:paraId="4F7CBD5D">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颗粒物</w:t>
            </w:r>
          </w:p>
        </w:tc>
        <w:tc>
          <w:tcPr>
            <w:tcW w:w="479" w:type="pct"/>
            <w:tcBorders>
              <w:tl2br w:val="nil"/>
              <w:tr2bl w:val="nil"/>
            </w:tcBorders>
            <w:shd w:val="clear" w:color="auto" w:fill="auto"/>
            <w:vAlign w:val="center"/>
          </w:tcPr>
          <w:p w14:paraId="6300E098">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0.9</w:t>
            </w:r>
          </w:p>
        </w:tc>
        <w:tc>
          <w:tcPr>
            <w:tcW w:w="418" w:type="pct"/>
            <w:tcBorders>
              <w:tl2br w:val="nil"/>
              <w:tr2bl w:val="nil"/>
            </w:tcBorders>
            <w:shd w:val="clear" w:color="auto" w:fill="auto"/>
            <w:vAlign w:val="center"/>
          </w:tcPr>
          <w:p w14:paraId="2AE315F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0.375</w:t>
            </w:r>
          </w:p>
        </w:tc>
        <w:tc>
          <w:tcPr>
            <w:tcW w:w="546" w:type="pct"/>
            <w:tcBorders>
              <w:tl2br w:val="nil"/>
              <w:tr2bl w:val="nil"/>
            </w:tcBorders>
            <w:shd w:val="clear" w:color="auto" w:fill="auto"/>
            <w:vAlign w:val="center"/>
          </w:tcPr>
          <w:p w14:paraId="6AEB30EB">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经仓顶自带脉冲式滤芯除尘器过滤后顶部排放</w:t>
            </w:r>
          </w:p>
        </w:tc>
        <w:tc>
          <w:tcPr>
            <w:tcW w:w="302" w:type="pct"/>
            <w:tcBorders>
              <w:tl2br w:val="nil"/>
              <w:tr2bl w:val="nil"/>
            </w:tcBorders>
            <w:shd w:val="clear" w:color="auto" w:fill="auto"/>
            <w:vAlign w:val="center"/>
          </w:tcPr>
          <w:p w14:paraId="138ED27C">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0.009</w:t>
            </w:r>
          </w:p>
        </w:tc>
        <w:tc>
          <w:tcPr>
            <w:tcW w:w="375" w:type="pct"/>
            <w:tcBorders>
              <w:tl2br w:val="nil"/>
              <w:tr2bl w:val="nil"/>
            </w:tcBorders>
            <w:shd w:val="clear" w:color="auto" w:fill="auto"/>
            <w:vAlign w:val="center"/>
          </w:tcPr>
          <w:p w14:paraId="7E504226">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0.00375</w:t>
            </w:r>
          </w:p>
        </w:tc>
        <w:tc>
          <w:tcPr>
            <w:tcW w:w="424" w:type="pct"/>
            <w:tcBorders>
              <w:tl2br w:val="nil"/>
              <w:tr2bl w:val="nil"/>
            </w:tcBorders>
            <w:shd w:val="clear" w:color="auto" w:fill="auto"/>
            <w:vAlign w:val="center"/>
          </w:tcPr>
          <w:p w14:paraId="3A6D8934">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1.88</w:t>
            </w:r>
          </w:p>
        </w:tc>
        <w:tc>
          <w:tcPr>
            <w:tcW w:w="281" w:type="pct"/>
            <w:tcBorders>
              <w:tl2br w:val="nil"/>
              <w:tr2bl w:val="nil"/>
            </w:tcBorders>
            <w:shd w:val="clear" w:color="auto" w:fill="auto"/>
            <w:vAlign w:val="center"/>
          </w:tcPr>
          <w:p w14:paraId="49EB40C1">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2400</w:t>
            </w:r>
          </w:p>
        </w:tc>
        <w:tc>
          <w:tcPr>
            <w:tcW w:w="256" w:type="pct"/>
            <w:tcBorders>
              <w:tl2br w:val="nil"/>
              <w:tr2bl w:val="nil"/>
            </w:tcBorders>
            <w:shd w:val="clear" w:color="auto" w:fill="auto"/>
            <w:vAlign w:val="center"/>
          </w:tcPr>
          <w:p w14:paraId="662F277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24</w:t>
            </w:r>
          </w:p>
        </w:tc>
        <w:tc>
          <w:tcPr>
            <w:tcW w:w="1132" w:type="pct"/>
            <w:tcBorders>
              <w:tl2br w:val="nil"/>
              <w:tr2bl w:val="nil"/>
            </w:tcBorders>
            <w:shd w:val="clear" w:color="auto" w:fill="auto"/>
            <w:vAlign w:val="center"/>
          </w:tcPr>
          <w:p w14:paraId="713275D7">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olor w:val="auto"/>
                <w:sz w:val="21"/>
                <w:szCs w:val="21"/>
                <w:highlight w:val="none"/>
              </w:rPr>
              <w:t>《石灰、电石工业大气污染物排放标准》（GB 41618-2022）</w:t>
            </w:r>
          </w:p>
        </w:tc>
      </w:tr>
      <w:tr w14:paraId="63365A62">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924" w:hRule="atLeast"/>
        </w:trPr>
        <w:tc>
          <w:tcPr>
            <w:tcW w:w="160" w:type="pct"/>
            <w:vMerge w:val="continue"/>
            <w:tcBorders>
              <w:tl2br w:val="nil"/>
              <w:tr2bl w:val="nil"/>
            </w:tcBorders>
            <w:vAlign w:val="center"/>
          </w:tcPr>
          <w:p w14:paraId="2ADAC1CF">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eastAsia" w:ascii="Times New Roman" w:hAnsi="Times New Roman" w:cs="Times New Roman"/>
                <w:color w:val="auto"/>
                <w:sz w:val="21"/>
                <w:szCs w:val="21"/>
                <w:highlight w:val="none"/>
                <w:lang w:val="en-US" w:eastAsia="zh-CN"/>
              </w:rPr>
            </w:pPr>
          </w:p>
        </w:tc>
        <w:tc>
          <w:tcPr>
            <w:tcW w:w="592" w:type="dxa"/>
            <w:tcBorders>
              <w:tl2br w:val="nil"/>
              <w:tr2bl w:val="nil"/>
            </w:tcBorders>
            <w:shd w:val="clear" w:color="auto" w:fill="auto"/>
            <w:vAlign w:val="center"/>
          </w:tcPr>
          <w:p w14:paraId="0A64AAE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储罐粉尘</w:t>
            </w:r>
          </w:p>
        </w:tc>
        <w:tc>
          <w:tcPr>
            <w:tcW w:w="544" w:type="dxa"/>
            <w:tcBorders>
              <w:tl2br w:val="nil"/>
              <w:tr2bl w:val="nil"/>
            </w:tcBorders>
            <w:shd w:val="clear" w:color="auto" w:fill="auto"/>
            <w:vAlign w:val="center"/>
          </w:tcPr>
          <w:p w14:paraId="291C9783">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DA006</w:t>
            </w:r>
          </w:p>
        </w:tc>
        <w:tc>
          <w:tcPr>
            <w:tcW w:w="538" w:type="dxa"/>
            <w:tcBorders>
              <w:tl2br w:val="nil"/>
              <w:tr2bl w:val="nil"/>
            </w:tcBorders>
            <w:shd w:val="clear" w:color="auto" w:fill="auto"/>
            <w:vAlign w:val="center"/>
          </w:tcPr>
          <w:p w14:paraId="4BC5E816">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颗粒物</w:t>
            </w:r>
          </w:p>
        </w:tc>
        <w:tc>
          <w:tcPr>
            <w:tcW w:w="1289" w:type="dxa"/>
            <w:tcBorders>
              <w:tl2br w:val="nil"/>
              <w:tr2bl w:val="nil"/>
            </w:tcBorders>
            <w:shd w:val="clear" w:color="auto" w:fill="auto"/>
            <w:vAlign w:val="center"/>
          </w:tcPr>
          <w:p w14:paraId="4B5227C1">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0.9</w:t>
            </w:r>
          </w:p>
        </w:tc>
        <w:tc>
          <w:tcPr>
            <w:tcW w:w="1125" w:type="dxa"/>
            <w:tcBorders>
              <w:tl2br w:val="nil"/>
              <w:tr2bl w:val="nil"/>
            </w:tcBorders>
            <w:shd w:val="clear" w:color="auto" w:fill="auto"/>
            <w:vAlign w:val="center"/>
          </w:tcPr>
          <w:p w14:paraId="027FC76F">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kern w:val="2"/>
                <w:sz w:val="21"/>
                <w:szCs w:val="21"/>
                <w:highlight w:val="none"/>
                <w:lang w:val="en-US" w:eastAsia="zh-CN" w:bidi="ar-SA"/>
              </w:rPr>
              <w:t>0.375</w:t>
            </w:r>
          </w:p>
        </w:tc>
        <w:tc>
          <w:tcPr>
            <w:tcW w:w="1469" w:type="dxa"/>
            <w:tcBorders>
              <w:tl2br w:val="nil"/>
              <w:tr2bl w:val="nil"/>
            </w:tcBorders>
            <w:shd w:val="clear" w:color="auto" w:fill="auto"/>
            <w:vAlign w:val="center"/>
          </w:tcPr>
          <w:p w14:paraId="07C92FE7">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经仓顶自带脉冲式滤芯除尘器过滤后顶部排放</w:t>
            </w:r>
          </w:p>
        </w:tc>
        <w:tc>
          <w:tcPr>
            <w:tcW w:w="813" w:type="dxa"/>
            <w:tcBorders>
              <w:tl2br w:val="nil"/>
              <w:tr2bl w:val="nil"/>
            </w:tcBorders>
            <w:shd w:val="clear" w:color="auto" w:fill="auto"/>
            <w:vAlign w:val="center"/>
          </w:tcPr>
          <w:p w14:paraId="4498EF5B">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0.009</w:t>
            </w:r>
          </w:p>
        </w:tc>
        <w:tc>
          <w:tcPr>
            <w:tcW w:w="1009" w:type="dxa"/>
            <w:tcBorders>
              <w:tl2br w:val="nil"/>
              <w:tr2bl w:val="nil"/>
            </w:tcBorders>
            <w:shd w:val="clear" w:color="auto" w:fill="auto"/>
            <w:vAlign w:val="center"/>
          </w:tcPr>
          <w:p w14:paraId="17E208C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0.00375</w:t>
            </w:r>
          </w:p>
        </w:tc>
        <w:tc>
          <w:tcPr>
            <w:tcW w:w="1141" w:type="dxa"/>
            <w:tcBorders>
              <w:tl2br w:val="nil"/>
              <w:tr2bl w:val="nil"/>
            </w:tcBorders>
            <w:shd w:val="clear" w:color="auto" w:fill="auto"/>
            <w:vAlign w:val="center"/>
          </w:tcPr>
          <w:p w14:paraId="0AA036BA">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1.88</w:t>
            </w:r>
          </w:p>
        </w:tc>
        <w:tc>
          <w:tcPr>
            <w:tcW w:w="756" w:type="dxa"/>
            <w:tcBorders>
              <w:tl2br w:val="nil"/>
              <w:tr2bl w:val="nil"/>
            </w:tcBorders>
            <w:shd w:val="clear" w:color="auto" w:fill="auto"/>
            <w:vAlign w:val="center"/>
          </w:tcPr>
          <w:p w14:paraId="6424A0E3">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2400</w:t>
            </w:r>
          </w:p>
        </w:tc>
        <w:tc>
          <w:tcPr>
            <w:tcW w:w="689" w:type="dxa"/>
            <w:tcBorders>
              <w:tl2br w:val="nil"/>
              <w:tr2bl w:val="nil"/>
            </w:tcBorders>
            <w:shd w:val="clear" w:color="auto" w:fill="auto"/>
            <w:vAlign w:val="center"/>
          </w:tcPr>
          <w:p w14:paraId="0F64214D">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24</w:t>
            </w:r>
          </w:p>
        </w:tc>
        <w:tc>
          <w:tcPr>
            <w:tcW w:w="3046" w:type="dxa"/>
            <w:tcBorders>
              <w:tl2br w:val="nil"/>
              <w:tr2bl w:val="nil"/>
            </w:tcBorders>
            <w:shd w:val="clear" w:color="auto" w:fill="auto"/>
            <w:vAlign w:val="center"/>
          </w:tcPr>
          <w:p w14:paraId="62BE7650">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《石灰、电石工业大气污染物排放标准》（GB 41618-2022）</w:t>
            </w:r>
          </w:p>
        </w:tc>
      </w:tr>
      <w:tr w14:paraId="1D0D9EF4">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924" w:hRule="atLeast"/>
        </w:trPr>
        <w:tc>
          <w:tcPr>
            <w:tcW w:w="160" w:type="pct"/>
            <w:vMerge w:val="continue"/>
            <w:tcBorders>
              <w:tl2br w:val="nil"/>
              <w:tr2bl w:val="nil"/>
            </w:tcBorders>
            <w:vAlign w:val="center"/>
          </w:tcPr>
          <w:p w14:paraId="62098252">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eastAsia" w:ascii="Times New Roman" w:hAnsi="Times New Roman" w:cs="Times New Roman"/>
                <w:color w:val="auto"/>
                <w:sz w:val="21"/>
                <w:szCs w:val="21"/>
                <w:highlight w:val="none"/>
                <w:lang w:val="en-US" w:eastAsia="zh-CN"/>
              </w:rPr>
            </w:pPr>
          </w:p>
        </w:tc>
        <w:tc>
          <w:tcPr>
            <w:tcW w:w="592" w:type="dxa"/>
            <w:tcBorders>
              <w:tl2br w:val="nil"/>
              <w:tr2bl w:val="nil"/>
            </w:tcBorders>
            <w:shd w:val="clear" w:color="auto" w:fill="auto"/>
            <w:vAlign w:val="center"/>
          </w:tcPr>
          <w:p w14:paraId="2DBF8048">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储罐粉尘</w:t>
            </w:r>
          </w:p>
        </w:tc>
        <w:tc>
          <w:tcPr>
            <w:tcW w:w="544" w:type="dxa"/>
            <w:tcBorders>
              <w:tl2br w:val="nil"/>
              <w:tr2bl w:val="nil"/>
            </w:tcBorders>
            <w:shd w:val="clear" w:color="auto" w:fill="auto"/>
            <w:vAlign w:val="center"/>
          </w:tcPr>
          <w:p w14:paraId="3DC234EA">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DA007</w:t>
            </w:r>
          </w:p>
        </w:tc>
        <w:tc>
          <w:tcPr>
            <w:tcW w:w="538" w:type="dxa"/>
            <w:tcBorders>
              <w:tl2br w:val="nil"/>
              <w:tr2bl w:val="nil"/>
            </w:tcBorders>
            <w:shd w:val="clear" w:color="auto" w:fill="auto"/>
            <w:vAlign w:val="center"/>
          </w:tcPr>
          <w:p w14:paraId="0C96A1D8">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颗粒物</w:t>
            </w:r>
          </w:p>
        </w:tc>
        <w:tc>
          <w:tcPr>
            <w:tcW w:w="1289" w:type="dxa"/>
            <w:tcBorders>
              <w:tl2br w:val="nil"/>
              <w:tr2bl w:val="nil"/>
            </w:tcBorders>
            <w:shd w:val="clear" w:color="auto" w:fill="auto"/>
            <w:vAlign w:val="center"/>
          </w:tcPr>
          <w:p w14:paraId="50070776">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0.9</w:t>
            </w:r>
          </w:p>
        </w:tc>
        <w:tc>
          <w:tcPr>
            <w:tcW w:w="1125" w:type="dxa"/>
            <w:tcBorders>
              <w:tl2br w:val="nil"/>
              <w:tr2bl w:val="nil"/>
            </w:tcBorders>
            <w:shd w:val="clear" w:color="auto" w:fill="auto"/>
            <w:vAlign w:val="center"/>
          </w:tcPr>
          <w:p w14:paraId="15D54939">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kern w:val="2"/>
                <w:sz w:val="21"/>
                <w:szCs w:val="21"/>
                <w:highlight w:val="none"/>
                <w:lang w:val="en-US" w:eastAsia="zh-CN" w:bidi="ar-SA"/>
              </w:rPr>
              <w:t>0.375</w:t>
            </w:r>
          </w:p>
        </w:tc>
        <w:tc>
          <w:tcPr>
            <w:tcW w:w="1469" w:type="dxa"/>
            <w:tcBorders>
              <w:tl2br w:val="nil"/>
              <w:tr2bl w:val="nil"/>
            </w:tcBorders>
            <w:shd w:val="clear" w:color="auto" w:fill="auto"/>
            <w:vAlign w:val="center"/>
          </w:tcPr>
          <w:p w14:paraId="68EFA170">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经仓顶自带脉冲式滤芯除尘器过滤后顶部排放</w:t>
            </w:r>
          </w:p>
        </w:tc>
        <w:tc>
          <w:tcPr>
            <w:tcW w:w="813" w:type="dxa"/>
            <w:tcBorders>
              <w:tl2br w:val="nil"/>
              <w:tr2bl w:val="nil"/>
            </w:tcBorders>
            <w:shd w:val="clear" w:color="auto" w:fill="auto"/>
            <w:vAlign w:val="center"/>
          </w:tcPr>
          <w:p w14:paraId="4F4C634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0.009</w:t>
            </w:r>
          </w:p>
        </w:tc>
        <w:tc>
          <w:tcPr>
            <w:tcW w:w="1009" w:type="dxa"/>
            <w:tcBorders>
              <w:tl2br w:val="nil"/>
              <w:tr2bl w:val="nil"/>
            </w:tcBorders>
            <w:shd w:val="clear" w:color="auto" w:fill="auto"/>
            <w:vAlign w:val="center"/>
          </w:tcPr>
          <w:p w14:paraId="613E6329">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0.00375</w:t>
            </w:r>
          </w:p>
        </w:tc>
        <w:tc>
          <w:tcPr>
            <w:tcW w:w="1141" w:type="dxa"/>
            <w:tcBorders>
              <w:tl2br w:val="nil"/>
              <w:tr2bl w:val="nil"/>
            </w:tcBorders>
            <w:shd w:val="clear" w:color="auto" w:fill="auto"/>
            <w:vAlign w:val="center"/>
          </w:tcPr>
          <w:p w14:paraId="3EC4AC8A">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1.88</w:t>
            </w:r>
          </w:p>
        </w:tc>
        <w:tc>
          <w:tcPr>
            <w:tcW w:w="756" w:type="dxa"/>
            <w:tcBorders>
              <w:tl2br w:val="nil"/>
              <w:tr2bl w:val="nil"/>
            </w:tcBorders>
            <w:shd w:val="clear" w:color="auto" w:fill="auto"/>
            <w:vAlign w:val="center"/>
          </w:tcPr>
          <w:p w14:paraId="18DDEFE2">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2400</w:t>
            </w:r>
          </w:p>
        </w:tc>
        <w:tc>
          <w:tcPr>
            <w:tcW w:w="689" w:type="dxa"/>
            <w:tcBorders>
              <w:tl2br w:val="nil"/>
              <w:tr2bl w:val="nil"/>
            </w:tcBorders>
            <w:shd w:val="clear" w:color="auto" w:fill="auto"/>
            <w:vAlign w:val="center"/>
          </w:tcPr>
          <w:p w14:paraId="37B3F7D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24</w:t>
            </w:r>
          </w:p>
        </w:tc>
        <w:tc>
          <w:tcPr>
            <w:tcW w:w="3046" w:type="dxa"/>
            <w:tcBorders>
              <w:tl2br w:val="nil"/>
              <w:tr2bl w:val="nil"/>
            </w:tcBorders>
            <w:shd w:val="clear" w:color="auto" w:fill="auto"/>
            <w:vAlign w:val="center"/>
          </w:tcPr>
          <w:p w14:paraId="1C63B656">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《石灰、电石工业大气污染物排放标准》（GB 41618-2022）</w:t>
            </w:r>
          </w:p>
        </w:tc>
      </w:tr>
      <w:tr w14:paraId="3FC78666">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287" w:hRule="atLeast"/>
        </w:trPr>
        <w:tc>
          <w:tcPr>
            <w:tcW w:w="160" w:type="pct"/>
            <w:vMerge w:val="continue"/>
            <w:tcBorders>
              <w:tl2br w:val="nil"/>
              <w:tr2bl w:val="nil"/>
            </w:tcBorders>
            <w:vAlign w:val="center"/>
          </w:tcPr>
          <w:p w14:paraId="3E71D7D4">
            <w:pPr>
              <w:keepNext w:val="0"/>
              <w:keepLines w:val="0"/>
              <w:pageBreakBefore w:val="0"/>
              <w:widowControl w:val="0"/>
              <w:kinsoku/>
              <w:overflowPunct/>
              <w:topLinePunct w:val="0"/>
              <w:autoSpaceDE/>
              <w:autoSpaceDN/>
              <w:bidi w:val="0"/>
              <w:adjustRightInd/>
              <w:snapToGrid/>
              <w:spacing w:line="240" w:lineRule="auto"/>
              <w:ind w:left="0" w:right="0"/>
              <w:jc w:val="center"/>
              <w:textAlignment w:val="auto"/>
              <w:rPr>
                <w:rFonts w:hint="eastAsia" w:ascii="Times New Roman" w:hAnsi="Times New Roman" w:cs="Times New Roman"/>
                <w:color w:val="auto"/>
                <w:sz w:val="21"/>
                <w:szCs w:val="21"/>
                <w:highlight w:val="none"/>
                <w:lang w:val="en-US" w:eastAsia="zh-CN"/>
              </w:rPr>
            </w:pPr>
          </w:p>
        </w:tc>
        <w:tc>
          <w:tcPr>
            <w:tcW w:w="592" w:type="dxa"/>
            <w:tcBorders>
              <w:tl2br w:val="nil"/>
              <w:tr2bl w:val="nil"/>
            </w:tcBorders>
            <w:shd w:val="clear" w:color="auto" w:fill="auto"/>
            <w:vAlign w:val="center"/>
          </w:tcPr>
          <w:p w14:paraId="3976ADB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储罐粉尘</w:t>
            </w:r>
          </w:p>
        </w:tc>
        <w:tc>
          <w:tcPr>
            <w:tcW w:w="544" w:type="dxa"/>
            <w:tcBorders>
              <w:tl2br w:val="nil"/>
              <w:tr2bl w:val="nil"/>
            </w:tcBorders>
            <w:shd w:val="clear" w:color="auto" w:fill="auto"/>
            <w:vAlign w:val="center"/>
          </w:tcPr>
          <w:p w14:paraId="1FC54B58">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DA008</w:t>
            </w:r>
          </w:p>
        </w:tc>
        <w:tc>
          <w:tcPr>
            <w:tcW w:w="538" w:type="dxa"/>
            <w:tcBorders>
              <w:tl2br w:val="nil"/>
              <w:tr2bl w:val="nil"/>
            </w:tcBorders>
            <w:shd w:val="clear" w:color="auto" w:fill="auto"/>
            <w:vAlign w:val="center"/>
          </w:tcPr>
          <w:p w14:paraId="4448ABDA">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颗粒物</w:t>
            </w:r>
          </w:p>
        </w:tc>
        <w:tc>
          <w:tcPr>
            <w:tcW w:w="1289" w:type="dxa"/>
            <w:tcBorders>
              <w:tl2br w:val="nil"/>
              <w:tr2bl w:val="nil"/>
            </w:tcBorders>
            <w:shd w:val="clear" w:color="auto" w:fill="auto"/>
            <w:vAlign w:val="center"/>
          </w:tcPr>
          <w:p w14:paraId="28EDB16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0.9</w:t>
            </w:r>
          </w:p>
        </w:tc>
        <w:tc>
          <w:tcPr>
            <w:tcW w:w="1125" w:type="dxa"/>
            <w:tcBorders>
              <w:tl2br w:val="nil"/>
              <w:tr2bl w:val="nil"/>
            </w:tcBorders>
            <w:shd w:val="clear" w:color="auto" w:fill="auto"/>
            <w:vAlign w:val="center"/>
          </w:tcPr>
          <w:p w14:paraId="2994C96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kern w:val="2"/>
                <w:sz w:val="21"/>
                <w:szCs w:val="21"/>
                <w:highlight w:val="none"/>
                <w:lang w:val="en-US" w:eastAsia="zh-CN" w:bidi="ar-SA"/>
              </w:rPr>
              <w:t>0.375</w:t>
            </w:r>
          </w:p>
        </w:tc>
        <w:tc>
          <w:tcPr>
            <w:tcW w:w="1469" w:type="dxa"/>
            <w:tcBorders>
              <w:tl2br w:val="nil"/>
              <w:tr2bl w:val="nil"/>
            </w:tcBorders>
            <w:shd w:val="clear" w:color="auto" w:fill="auto"/>
            <w:vAlign w:val="center"/>
          </w:tcPr>
          <w:p w14:paraId="6D124E5A">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经仓顶自带脉冲式滤芯除尘器过滤后顶部排放</w:t>
            </w:r>
          </w:p>
        </w:tc>
        <w:tc>
          <w:tcPr>
            <w:tcW w:w="813" w:type="dxa"/>
            <w:tcBorders>
              <w:tl2br w:val="nil"/>
              <w:tr2bl w:val="nil"/>
            </w:tcBorders>
            <w:shd w:val="clear" w:color="auto" w:fill="auto"/>
            <w:vAlign w:val="center"/>
          </w:tcPr>
          <w:p w14:paraId="3612E2D8">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0.009</w:t>
            </w:r>
          </w:p>
        </w:tc>
        <w:tc>
          <w:tcPr>
            <w:tcW w:w="1009" w:type="dxa"/>
            <w:tcBorders>
              <w:tl2br w:val="nil"/>
              <w:tr2bl w:val="nil"/>
            </w:tcBorders>
            <w:shd w:val="clear" w:color="auto" w:fill="auto"/>
            <w:vAlign w:val="center"/>
          </w:tcPr>
          <w:p w14:paraId="2A45846D">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0.00375</w:t>
            </w:r>
          </w:p>
        </w:tc>
        <w:tc>
          <w:tcPr>
            <w:tcW w:w="1141" w:type="dxa"/>
            <w:tcBorders>
              <w:tl2br w:val="nil"/>
              <w:tr2bl w:val="nil"/>
            </w:tcBorders>
            <w:shd w:val="clear" w:color="auto" w:fill="auto"/>
            <w:vAlign w:val="center"/>
          </w:tcPr>
          <w:p w14:paraId="5F322157">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1.88</w:t>
            </w:r>
          </w:p>
        </w:tc>
        <w:tc>
          <w:tcPr>
            <w:tcW w:w="756" w:type="dxa"/>
            <w:tcBorders>
              <w:tl2br w:val="nil"/>
              <w:tr2bl w:val="nil"/>
            </w:tcBorders>
            <w:shd w:val="clear" w:color="auto" w:fill="auto"/>
            <w:vAlign w:val="center"/>
          </w:tcPr>
          <w:p w14:paraId="61270273">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2400</w:t>
            </w:r>
          </w:p>
        </w:tc>
        <w:tc>
          <w:tcPr>
            <w:tcW w:w="689" w:type="dxa"/>
            <w:tcBorders>
              <w:tl2br w:val="nil"/>
              <w:tr2bl w:val="nil"/>
            </w:tcBorders>
            <w:shd w:val="clear" w:color="auto" w:fill="auto"/>
            <w:vAlign w:val="center"/>
          </w:tcPr>
          <w:p w14:paraId="309CEA5B">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24</w:t>
            </w:r>
          </w:p>
        </w:tc>
        <w:tc>
          <w:tcPr>
            <w:tcW w:w="3046" w:type="dxa"/>
            <w:tcBorders>
              <w:tl2br w:val="nil"/>
              <w:tr2bl w:val="nil"/>
            </w:tcBorders>
            <w:shd w:val="clear" w:color="auto" w:fill="auto"/>
            <w:vAlign w:val="center"/>
          </w:tcPr>
          <w:p w14:paraId="120EC2E2">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《石灰、电石工业大气污染物排放标准》（GB 41618-2022）</w:t>
            </w:r>
          </w:p>
        </w:tc>
      </w:tr>
      <w:tr w14:paraId="6A3E798F">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1640" w:hRule="atLeast"/>
        </w:trPr>
        <w:tc>
          <w:tcPr>
            <w:tcW w:w="160" w:type="pct"/>
            <w:tcBorders>
              <w:tl2br w:val="nil"/>
              <w:tr2bl w:val="nil"/>
            </w:tcBorders>
            <w:shd w:val="clear" w:color="auto" w:fill="auto"/>
            <w:vAlign w:val="center"/>
          </w:tcPr>
          <w:p w14:paraId="45849F01">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4</w:t>
            </w:r>
          </w:p>
        </w:tc>
        <w:tc>
          <w:tcPr>
            <w:tcW w:w="220" w:type="pct"/>
            <w:tcBorders>
              <w:tl2br w:val="nil"/>
              <w:tr2bl w:val="nil"/>
            </w:tcBorders>
            <w:shd w:val="clear" w:color="auto" w:fill="auto"/>
            <w:vAlign w:val="center"/>
          </w:tcPr>
          <w:p w14:paraId="213768C8">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车辆</w:t>
            </w:r>
          </w:p>
          <w:p w14:paraId="66571DD8">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运输粉尘</w:t>
            </w:r>
          </w:p>
        </w:tc>
        <w:tc>
          <w:tcPr>
            <w:tcW w:w="202" w:type="pct"/>
            <w:tcBorders>
              <w:tl2br w:val="nil"/>
              <w:tr2bl w:val="nil"/>
            </w:tcBorders>
            <w:shd w:val="clear" w:color="auto" w:fill="auto"/>
            <w:vAlign w:val="center"/>
          </w:tcPr>
          <w:p w14:paraId="29A0CFAF">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无组织</w:t>
            </w:r>
          </w:p>
        </w:tc>
        <w:tc>
          <w:tcPr>
            <w:tcW w:w="200" w:type="pct"/>
            <w:tcBorders>
              <w:tl2br w:val="nil"/>
              <w:tr2bl w:val="nil"/>
            </w:tcBorders>
            <w:shd w:val="clear" w:color="auto" w:fill="auto"/>
            <w:vAlign w:val="center"/>
          </w:tcPr>
          <w:p w14:paraId="6F1DF69E">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颗粒物</w:t>
            </w:r>
          </w:p>
        </w:tc>
        <w:tc>
          <w:tcPr>
            <w:tcW w:w="479" w:type="pct"/>
            <w:tcBorders>
              <w:tl2br w:val="nil"/>
              <w:tr2bl w:val="nil"/>
            </w:tcBorders>
            <w:shd w:val="clear" w:color="auto" w:fill="auto"/>
            <w:vAlign w:val="center"/>
          </w:tcPr>
          <w:p w14:paraId="6E801C6B">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0.306</w:t>
            </w:r>
          </w:p>
        </w:tc>
        <w:tc>
          <w:tcPr>
            <w:tcW w:w="418" w:type="pct"/>
            <w:tcBorders>
              <w:tl2br w:val="nil"/>
              <w:tr2bl w:val="nil"/>
            </w:tcBorders>
            <w:shd w:val="clear" w:color="auto" w:fill="auto"/>
            <w:vAlign w:val="center"/>
          </w:tcPr>
          <w:p w14:paraId="47EF102E">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w:t>
            </w:r>
            <w:r>
              <w:rPr>
                <w:rFonts w:hint="eastAsia" w:ascii="Times New Roman" w:hAnsi="Times New Roman" w:cs="Times New Roman"/>
                <w:color w:val="auto"/>
                <w:sz w:val="21"/>
                <w:szCs w:val="21"/>
                <w:highlight w:val="none"/>
                <w:lang w:val="en-US" w:eastAsia="zh-CN"/>
              </w:rPr>
              <w:t>1275</w:t>
            </w:r>
          </w:p>
        </w:tc>
        <w:tc>
          <w:tcPr>
            <w:tcW w:w="546" w:type="pct"/>
            <w:tcBorders>
              <w:tl2br w:val="nil"/>
              <w:tr2bl w:val="nil"/>
            </w:tcBorders>
            <w:shd w:val="clear" w:color="auto" w:fill="auto"/>
            <w:vAlign w:val="center"/>
          </w:tcPr>
          <w:p w14:paraId="06DD68C3">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洒水抑尘</w:t>
            </w:r>
            <w:r>
              <w:rPr>
                <w:rFonts w:hint="eastAsia" w:ascii="Times New Roman" w:hAnsi="Times New Roman" w:eastAsia="宋体" w:cs="Times New Roman"/>
                <w:color w:val="auto"/>
                <w:sz w:val="21"/>
                <w:szCs w:val="21"/>
                <w:highlight w:val="none"/>
                <w:lang w:eastAsia="zh-CN"/>
              </w:rPr>
              <w:t>，车辆减速行驶，原料运输车辆</w:t>
            </w:r>
            <w:r>
              <w:rPr>
                <w:rFonts w:hint="eastAsia" w:ascii="Times New Roman" w:hAnsi="Times New Roman" w:eastAsia="宋体" w:cs="Times New Roman"/>
                <w:color w:val="auto"/>
                <w:sz w:val="21"/>
                <w:szCs w:val="21"/>
                <w:highlight w:val="none"/>
                <w:lang w:val="en-US" w:eastAsia="zh-CN"/>
              </w:rPr>
              <w:t>100%苫盖</w:t>
            </w:r>
          </w:p>
        </w:tc>
        <w:tc>
          <w:tcPr>
            <w:tcW w:w="302" w:type="pct"/>
            <w:tcBorders>
              <w:tl2br w:val="nil"/>
              <w:tr2bl w:val="nil"/>
            </w:tcBorders>
            <w:shd w:val="clear" w:color="auto" w:fill="auto"/>
            <w:vAlign w:val="center"/>
          </w:tcPr>
          <w:p w14:paraId="344758E9">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0.00306</w:t>
            </w:r>
          </w:p>
        </w:tc>
        <w:tc>
          <w:tcPr>
            <w:tcW w:w="375" w:type="pct"/>
            <w:tcBorders>
              <w:tl2br w:val="nil"/>
              <w:tr2bl w:val="nil"/>
            </w:tcBorders>
            <w:shd w:val="clear" w:color="auto" w:fill="auto"/>
            <w:vAlign w:val="center"/>
          </w:tcPr>
          <w:p w14:paraId="27B4E113">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0.001275</w:t>
            </w:r>
          </w:p>
        </w:tc>
        <w:tc>
          <w:tcPr>
            <w:tcW w:w="424" w:type="pct"/>
            <w:tcBorders>
              <w:tl2br w:val="nil"/>
              <w:tr2bl w:val="nil"/>
            </w:tcBorders>
            <w:shd w:val="clear" w:color="auto" w:fill="auto"/>
            <w:vAlign w:val="center"/>
          </w:tcPr>
          <w:p w14:paraId="1E93AFC7">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w:t>
            </w:r>
          </w:p>
        </w:tc>
        <w:tc>
          <w:tcPr>
            <w:tcW w:w="281" w:type="pct"/>
            <w:tcBorders>
              <w:tl2br w:val="nil"/>
              <w:tr2bl w:val="nil"/>
            </w:tcBorders>
            <w:shd w:val="clear" w:color="auto" w:fill="auto"/>
            <w:vAlign w:val="center"/>
          </w:tcPr>
          <w:p w14:paraId="6A384645">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2400</w:t>
            </w:r>
          </w:p>
        </w:tc>
        <w:tc>
          <w:tcPr>
            <w:tcW w:w="256" w:type="pct"/>
            <w:tcBorders>
              <w:tl2br w:val="nil"/>
              <w:tr2bl w:val="nil"/>
            </w:tcBorders>
            <w:shd w:val="clear" w:color="auto" w:fill="auto"/>
            <w:vAlign w:val="center"/>
          </w:tcPr>
          <w:p w14:paraId="14AC5DDA">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w:t>
            </w:r>
          </w:p>
        </w:tc>
        <w:tc>
          <w:tcPr>
            <w:tcW w:w="1132" w:type="pct"/>
            <w:tcBorders>
              <w:tl2br w:val="nil"/>
              <w:tr2bl w:val="nil"/>
            </w:tcBorders>
            <w:shd w:val="clear" w:color="auto" w:fill="auto"/>
            <w:vAlign w:val="center"/>
          </w:tcPr>
          <w:p w14:paraId="3B4E580D">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《大气污染物综合排放标准》（GB16297-1996）</w:t>
            </w:r>
          </w:p>
        </w:tc>
      </w:tr>
    </w:tbl>
    <w:p w14:paraId="7656BDEA">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注：1.石灰石磨粉工序共4台磨粉机，每台各配套1套“</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负压收集+</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脉冲布袋除尘器+15m高排气筒”，因源强相同，表中合并列出。单台排气筒颗粒物排放浓度为7.44mg/m</w:t>
      </w:r>
      <w:r>
        <w:rPr>
          <w:rFonts w:hint="eastAsia" w:ascii="Times New Roman" w:hAnsi="Times New Roman" w:cs="Times New Roman"/>
          <w:snapToGrid w:val="0"/>
          <w:color w:val="000000" w:themeColor="text1"/>
          <w:kern w:val="0"/>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，满足《石灰、电石工业大气污染物排放标准》（GB 41618-2022）表1限值（20mg/m</w:t>
      </w:r>
      <w:r>
        <w:rPr>
          <w:rFonts w:hint="eastAsia" w:ascii="Times New Roman" w:hAnsi="Times New Roman" w:cs="Times New Roman"/>
          <w:snapToGrid w:val="0"/>
          <w:color w:val="000000" w:themeColor="text1"/>
          <w:kern w:val="0"/>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）要求。</w:t>
      </w:r>
    </w:p>
    <w:p w14:paraId="78A87BB6">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2.项目运营期还应确保厂区内（厂房外门窗处）颗粒物无组织排放满足《石灰、电石工业大气污染物排放标准》（GB 41618-2022）表A.1中5.0mg/m</w:t>
      </w:r>
      <w:r>
        <w:rPr>
          <w:rFonts w:hint="eastAsia" w:ascii="Times New Roman" w:hAnsi="Times New Roman" w:cs="Times New Roman"/>
          <w:snapToGrid w:val="0"/>
          <w:color w:val="000000" w:themeColor="text1"/>
          <w:kern w:val="0"/>
          <w:sz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（1h平均浓度值）的限值要求。</w:t>
      </w:r>
    </w:p>
    <w:p w14:paraId="163EB8E4">
      <w:pPr>
        <w:pStyle w:val="2"/>
        <w:rPr>
          <w:rFonts w:hint="default" w:ascii="Times New Roman" w:hAnsi="Times New Roman" w:eastAsia="黑体" w:cs="Times New Roman"/>
          <w:snapToGrid w:val="0"/>
          <w:sz w:val="30"/>
          <w:szCs w:val="24"/>
          <w:highlight w:val="yellow"/>
        </w:rPr>
      </w:pPr>
    </w:p>
    <w:p w14:paraId="6A1CA28A">
      <w:pPr>
        <w:pStyle w:val="2"/>
        <w:rPr>
          <w:rFonts w:hint="default" w:ascii="Times New Roman" w:hAnsi="Times New Roman" w:eastAsia="黑体" w:cs="Times New Roman"/>
          <w:snapToGrid w:val="0"/>
          <w:sz w:val="30"/>
          <w:szCs w:val="24"/>
          <w:highlight w:val="yellow"/>
        </w:rPr>
        <w:sectPr>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tbl>
      <w:tblPr>
        <w:tblStyle w:val="24"/>
        <w:tblW w:w="898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3"/>
        <w:gridCol w:w="8397"/>
      </w:tblGrid>
      <w:tr w14:paraId="4C154B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10" w:hRule="atLeast"/>
          <w:jc w:val="center"/>
        </w:trPr>
        <w:tc>
          <w:tcPr>
            <w:tcW w:w="583" w:type="dxa"/>
            <w:tcBorders>
              <w:top w:val="single" w:color="auto" w:sz="4" w:space="0"/>
              <w:left w:val="single" w:color="auto" w:sz="8" w:space="0"/>
              <w:bottom w:val="single" w:color="auto" w:sz="8" w:space="0"/>
              <w:right w:val="single" w:color="auto" w:sz="4" w:space="0"/>
              <w:tl2br w:val="nil"/>
              <w:tr2bl w:val="nil"/>
            </w:tcBorders>
            <w:noWrap w:val="0"/>
            <w:tcMar>
              <w:left w:w="28" w:type="dxa"/>
              <w:right w:w="28" w:type="dxa"/>
            </w:tcMar>
            <w:vAlign w:val="center"/>
          </w:tcPr>
          <w:p w14:paraId="3E9FE13C">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运营</w:t>
            </w:r>
          </w:p>
          <w:p w14:paraId="43266076">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期环</w:t>
            </w:r>
          </w:p>
          <w:p w14:paraId="56035B1F">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境影</w:t>
            </w:r>
          </w:p>
          <w:p w14:paraId="5BF06D42">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响和</w:t>
            </w:r>
          </w:p>
          <w:p w14:paraId="352BD991">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保护</w:t>
            </w:r>
          </w:p>
          <w:p w14:paraId="77F43C9B">
            <w:pPr>
              <w:adjustRightInd w:val="0"/>
              <w:snapToGrid w:val="0"/>
              <w:spacing w:beforeLines="0" w:afterLine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措施</w:t>
            </w:r>
          </w:p>
        </w:tc>
        <w:tc>
          <w:tcPr>
            <w:tcW w:w="8397" w:type="dxa"/>
            <w:tcBorders>
              <w:top w:val="single" w:color="auto" w:sz="4" w:space="0"/>
              <w:left w:val="single" w:color="auto" w:sz="4" w:space="0"/>
              <w:bottom w:val="single" w:color="auto" w:sz="8" w:space="0"/>
              <w:right w:val="single" w:color="auto" w:sz="8" w:space="0"/>
              <w:tl2br w:val="nil"/>
              <w:tr2bl w:val="nil"/>
            </w:tcBorders>
            <w:noWrap w:val="0"/>
            <w:vAlign w:val="center"/>
          </w:tcPr>
          <w:p w14:paraId="11678C52">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2" w:firstLineChars="200"/>
              <w:textAlignment w:val="auto"/>
              <w:rPr>
                <w:rFonts w:hint="default"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t>1.5</w:t>
            </w:r>
            <w:r>
              <w:rPr>
                <w:rFonts w:hint="eastAsia" w:ascii="Times New Roman" w:hAnsi="Times New Roman" w:cs="Times New Roman"/>
                <w:b/>
                <w:bCs/>
                <w:snapToGrid w:val="0"/>
                <w:color w:val="000000" w:themeColor="text1"/>
                <w:kern w:val="0"/>
                <w:sz w:val="24"/>
                <w:highlight w:val="none"/>
                <w:lang w:val="en-US" w:eastAsia="zh-CN"/>
                <w14:textFill>
                  <w14:solidFill>
                    <w14:schemeClr w14:val="tx1"/>
                  </w14:solidFill>
                </w14:textFill>
              </w:rPr>
              <w:t>废</w:t>
            </w:r>
            <w:r>
              <w:rPr>
                <w:rFonts w:hint="default"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t>气处理措施可行性分析</w:t>
            </w:r>
          </w:p>
          <w:p w14:paraId="0FFD2D39">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本项目有组织废气污染源采用脉冲式布袋除尘器进行治理</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储存罐仓顶配备脉冲式滤芯除尘器。</w:t>
            </w:r>
          </w:p>
          <w:p w14:paraId="1761E1CC">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废气处理率可达性分析</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p>
          <w:p w14:paraId="29585FAB">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滤筒除尘</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滤筒除尘器的结构是由进风管、排风管、箱体、灰斗、清灰装置、导流装置、气流分流分布板、滤筒及电控装置组成。含尘气体进入除尘器灰斗后，由于气流断面突然扩大及气流分布板作用，气流中一部分粗大颗粒在动和惯性力作用下沉降在灰斗</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粒度细、密度小的尘粒进入滤尘室后，通过布袋扩散和筛滤等组合效应，使粉尘沉积在滤袋表面上，净化后的气体进入净气室由排风管经风机排出。滤筒除尘器的阻力随滤袋表面粉尘层厚度的增加而增大。阻力达到某一规定值时进行清灰。此时PLC程序控制电磁脉冲阀的启闭，首先一分室提升阀关闭，将过滤气流截断，然后电磁脉冲阀开启，压缩空气以</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极短时间</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在上箱体内迅速膨胀，涌入滤筒，使滤筒膨胀变形产生振动，并在逆向气流冲刷的作用下，附着在滤袋外表面上的粉尘被剥离落入灰斗中。清灰完毕后，电磁脉冲阀关闭，提升阀打开，该室又恢复过滤状态。清灰各室依次进行，从第一室清灰开始至下一次清灰开始为一个清灰周期。脱落的粉尘掉入灰斗内通过卸灰阀排出。</w:t>
            </w:r>
          </w:p>
          <w:p w14:paraId="121DA0F4">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《覆膜滤筒除尘器清除超细粉尘的过滤风速和清灰参数》</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材料与冶金学报，2022</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021(005)-376~381，赵杨、钟圣俊、苗楠、钟明君</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提出</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单位面积的过滤风速为0.8</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1.4m/min时，除尘器的压力损失为99</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300Pa，过滤效率为</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98.02%～99.12%</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项目在确保过滤面积、压力损失满足相应要求的条件下，滤</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筒式</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除尘设施去除效率取99%是可行的。</w:t>
            </w:r>
          </w:p>
          <w:p w14:paraId="7F38EA2B">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yellow"/>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脉冲式布袋除尘</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脉冲布袋除尘器由灰斗、上箱体、中箱体、下箱体等部分组成，上、中、下箱体为分室结构。工作时，含尘气体由进风道进入灰斗，粗尘粒直接落入灰斗底部，细尘粒随气流转折向上进入中、下箱体，粉尘积附在滤袋外表面，过滤后的气体进入上箱体至净气集合管-排风道，经排风机排至大气。清灰过程是先切断该室的净气出口风道，使该室的布袋处于无气流通过的状态</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分室停风清灰</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然后开启脉冲阀用压缩空气进行脉冲喷吹清灰，切断阀关闭时间足以保证在喷吹后从滤袋上剥离的粉尘沉降至灰斗，避免了粉尘在脱离滤袋表面后又随气流附集到相邻滤袋表面的现象，使滤袋清灰彻底，并由可编程序控制仪对排气阀、脉冲阀及卸灰阀等进行全自动控制。根据《排污许可证申请与核发技术规范废弃资源加工工业》</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HJ1034一2019</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，对于生产过程中产生的含颗粒物的废气，其可行技术为袋式除尘法。项目采用</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“负压收集+</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布袋除尘器+排气筒</w:t>
            </w:r>
            <w:r>
              <w:rPr>
                <w:rFonts w:hint="eastAsia" w:ascii="Times New Roman" w:hAnsi="Times New Roman" w:cs="Times New Roman"/>
                <w:snapToGrid w:val="0"/>
                <w:color w:val="000000" w:themeColor="text1"/>
                <w:kern w:val="0"/>
                <w:sz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废气处理装置对有组织颗粒物进行处理，经布袋除尘器净化后的气体通过排气筒排入大气环境中，排放浓度满足相关标准要求，项目采取的除尘措施属于可行技术。因此本项目废气污染治理设施是可行的。</w:t>
            </w:r>
          </w:p>
          <w:p w14:paraId="4617624A">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auto"/>
                <w:kern w:val="0"/>
                <w:sz w:val="24"/>
                <w:highlight w:val="none"/>
                <w:lang w:val="en-US" w:eastAsia="zh-CN"/>
              </w:rPr>
            </w:pPr>
            <w:r>
              <w:rPr>
                <w:rFonts w:hint="default" w:ascii="Times New Roman" w:hAnsi="Times New Roman" w:eastAsia="宋体" w:cs="Times New Roman"/>
                <w:snapToGrid w:val="0"/>
                <w:color w:val="auto"/>
                <w:kern w:val="0"/>
                <w:sz w:val="24"/>
                <w:highlight w:val="none"/>
                <w:lang w:val="en-US" w:eastAsia="zh-CN"/>
              </w:rPr>
              <w:t>参考《排放源统计调查产排污核算方法和系数手册》中</w:t>
            </w:r>
            <w:r>
              <w:rPr>
                <w:rFonts w:hint="eastAsia" w:ascii="Times New Roman" w:hAnsi="Times New Roman" w:eastAsia="宋体" w:cs="Times New Roman"/>
                <w:snapToGrid w:val="0"/>
                <w:color w:val="auto"/>
                <w:kern w:val="0"/>
                <w:sz w:val="24"/>
                <w:highlight w:val="none"/>
                <w:lang w:val="en-US" w:eastAsia="zh-CN"/>
              </w:rPr>
              <w:t>“</w:t>
            </w:r>
            <w:r>
              <w:rPr>
                <w:rFonts w:hint="default" w:ascii="Times New Roman" w:hAnsi="Times New Roman" w:eastAsia="宋体" w:cs="Times New Roman"/>
                <w:snapToGrid w:val="0"/>
                <w:color w:val="auto"/>
                <w:kern w:val="0"/>
                <w:sz w:val="24"/>
                <w:highlight w:val="none"/>
                <w:lang w:val="en-US" w:eastAsia="zh-CN"/>
              </w:rPr>
              <w:t>1011石灰石、石膏开采行业系数表</w:t>
            </w:r>
            <w:r>
              <w:rPr>
                <w:rFonts w:hint="eastAsia" w:ascii="Times New Roman" w:hAnsi="Times New Roman" w:eastAsia="宋体" w:cs="Times New Roman"/>
                <w:snapToGrid w:val="0"/>
                <w:color w:val="auto"/>
                <w:kern w:val="0"/>
                <w:sz w:val="24"/>
                <w:highlight w:val="none"/>
                <w:lang w:val="en-US" w:eastAsia="zh-CN"/>
              </w:rPr>
              <w:t>”</w:t>
            </w:r>
            <w:r>
              <w:rPr>
                <w:rFonts w:hint="default" w:ascii="Times New Roman" w:hAnsi="Times New Roman" w:eastAsia="宋体" w:cs="Times New Roman"/>
                <w:snapToGrid w:val="0"/>
                <w:color w:val="auto"/>
                <w:kern w:val="0"/>
                <w:sz w:val="24"/>
                <w:highlight w:val="none"/>
                <w:lang w:val="en-US" w:eastAsia="zh-CN"/>
              </w:rPr>
              <w:t>，布袋除尘器的平均除尘效率为99.7%</w:t>
            </w:r>
            <w:r>
              <w:rPr>
                <w:rFonts w:hint="eastAsia" w:ascii="Times New Roman" w:hAnsi="Times New Roman" w:eastAsia="宋体" w:cs="Times New Roman"/>
                <w:snapToGrid w:val="0"/>
                <w:color w:val="auto"/>
                <w:kern w:val="0"/>
                <w:sz w:val="24"/>
                <w:highlight w:val="none"/>
                <w:lang w:val="en-US" w:eastAsia="zh-CN"/>
              </w:rPr>
              <w:t>。</w:t>
            </w:r>
            <w:r>
              <w:rPr>
                <w:rFonts w:hint="default" w:ascii="Times New Roman" w:hAnsi="Times New Roman" w:eastAsia="宋体" w:cs="Times New Roman"/>
                <w:snapToGrid w:val="0"/>
                <w:color w:val="auto"/>
                <w:kern w:val="0"/>
                <w:sz w:val="24"/>
                <w:highlight w:val="none"/>
                <w:lang w:val="en-US" w:eastAsia="zh-CN"/>
              </w:rPr>
              <w:t>本次评价取99%。以上措施均属于排污许可技术规范及现行环保要求推荐的可行污染防治措施，满足相应规范要求，</w:t>
            </w:r>
            <w:r>
              <w:rPr>
                <w:rFonts w:hint="eastAsia" w:ascii="Times New Roman" w:hAnsi="Times New Roman"/>
                <w:color w:val="auto"/>
                <w:sz w:val="24"/>
                <w:highlight w:val="none"/>
              </w:rPr>
              <w:t>项目</w:t>
            </w:r>
            <w:r>
              <w:rPr>
                <w:rFonts w:hint="eastAsia" w:ascii="Times New Roman" w:hAnsi="Times New Roman"/>
                <w:color w:val="auto"/>
                <w:sz w:val="24"/>
                <w:highlight w:val="none"/>
                <w:lang w:val="en-US" w:eastAsia="zh-CN"/>
              </w:rPr>
              <w:t>运营期有组织</w:t>
            </w:r>
            <w:r>
              <w:rPr>
                <w:rFonts w:hint="eastAsia" w:ascii="Times New Roman" w:hAnsi="Times New Roman"/>
                <w:color w:val="auto"/>
                <w:sz w:val="24"/>
                <w:highlight w:val="none"/>
              </w:rPr>
              <w:t>排放的颗粒物浓度执行《石灰、电石工业大气污染物排放标准》（GB 41618-2022）</w:t>
            </w:r>
            <w:r>
              <w:rPr>
                <w:rFonts w:hint="eastAsia" w:ascii="Times New Roman" w:hAnsi="Times New Roman"/>
                <w:color w:val="auto"/>
                <w:sz w:val="24"/>
                <w:highlight w:val="none"/>
                <w:lang w:val="en-US" w:eastAsia="zh-CN"/>
              </w:rPr>
              <w:t>表1</w:t>
            </w:r>
            <w:r>
              <w:rPr>
                <w:rFonts w:hint="eastAsia" w:ascii="Times New Roman" w:hAnsi="Times New Roman"/>
                <w:color w:val="auto"/>
                <w:sz w:val="24"/>
                <w:highlight w:val="none"/>
              </w:rPr>
              <w:t>中</w:t>
            </w:r>
            <w:r>
              <w:rPr>
                <w:rFonts w:hint="eastAsia" w:ascii="Times New Roman" w:hAnsi="Times New Roman"/>
                <w:color w:val="auto"/>
                <w:sz w:val="24"/>
                <w:highlight w:val="none"/>
                <w:lang w:val="en-US" w:eastAsia="zh-CN"/>
              </w:rPr>
              <w:t>颗粒物</w:t>
            </w:r>
            <w:r>
              <w:rPr>
                <w:rFonts w:hint="default" w:ascii="Times New Roman" w:hAnsi="Times New Roman" w:eastAsia="宋体" w:cs="Times New Roman"/>
                <w:snapToGrid w:val="0"/>
                <w:color w:val="auto"/>
                <w:kern w:val="0"/>
                <w:sz w:val="24"/>
                <w:highlight w:val="none"/>
                <w:lang w:val="en-US" w:eastAsia="zh-CN"/>
              </w:rPr>
              <w:t>20mg/m</w:t>
            </w:r>
            <w:r>
              <w:rPr>
                <w:rFonts w:hint="eastAsia" w:ascii="Times New Roman" w:hAnsi="Times New Roman" w:cs="Times New Roman"/>
                <w:snapToGrid w:val="0"/>
                <w:color w:val="auto"/>
                <w:kern w:val="0"/>
                <w:sz w:val="24"/>
                <w:highlight w:val="none"/>
                <w:vertAlign w:val="superscript"/>
                <w:lang w:val="en-US" w:eastAsia="zh-CN"/>
              </w:rPr>
              <w:t>3</w:t>
            </w:r>
            <w:r>
              <w:rPr>
                <w:rFonts w:hint="eastAsia" w:ascii="Times New Roman" w:hAnsi="Times New Roman"/>
                <w:color w:val="auto"/>
                <w:sz w:val="24"/>
                <w:highlight w:val="none"/>
              </w:rPr>
              <w:t>的相关限值要求</w:t>
            </w:r>
            <w:r>
              <w:rPr>
                <w:rFonts w:hint="eastAsia" w:ascii="Times New Roman" w:hAnsi="Times New Roman"/>
                <w:color w:val="auto"/>
                <w:sz w:val="24"/>
                <w:highlight w:val="none"/>
                <w:lang w:eastAsia="zh-CN"/>
              </w:rPr>
              <w:t>；</w:t>
            </w:r>
            <w:r>
              <w:rPr>
                <w:rFonts w:hint="default" w:ascii="Times New Roman" w:hAnsi="Times New Roman" w:eastAsia="宋体" w:cs="Times New Roman"/>
                <w:snapToGrid w:val="0"/>
                <w:color w:val="auto"/>
                <w:kern w:val="0"/>
                <w:sz w:val="24"/>
                <w:highlight w:val="none"/>
                <w:lang w:val="en-US" w:eastAsia="zh-CN"/>
              </w:rPr>
              <w:t>厂</w:t>
            </w:r>
            <w:r>
              <w:rPr>
                <w:rFonts w:hint="eastAsia" w:ascii="Times New Roman" w:hAnsi="Times New Roman" w:cs="Times New Roman"/>
                <w:snapToGrid w:val="0"/>
                <w:color w:val="auto"/>
                <w:kern w:val="0"/>
                <w:sz w:val="24"/>
                <w:highlight w:val="none"/>
                <w:lang w:val="en-US" w:eastAsia="zh-CN"/>
              </w:rPr>
              <w:t>区内</w:t>
            </w:r>
            <w:r>
              <w:rPr>
                <w:rFonts w:hint="default" w:ascii="Times New Roman" w:hAnsi="Times New Roman" w:eastAsia="宋体" w:cs="Times New Roman"/>
                <w:snapToGrid w:val="0"/>
                <w:color w:val="auto"/>
                <w:kern w:val="0"/>
                <w:sz w:val="24"/>
                <w:highlight w:val="none"/>
                <w:lang w:val="en-US" w:eastAsia="zh-CN"/>
              </w:rPr>
              <w:t>无组织排放可满足</w:t>
            </w:r>
            <w:r>
              <w:rPr>
                <w:rFonts w:hint="eastAsia" w:ascii="Times New Roman" w:hAnsi="Times New Roman"/>
                <w:color w:val="auto"/>
                <w:sz w:val="24"/>
                <w:highlight w:val="none"/>
              </w:rPr>
              <w:t>《石灰、电石工业大气污染物排放标准》（GB 41618-2022）</w:t>
            </w:r>
            <w:r>
              <w:rPr>
                <w:rFonts w:hint="eastAsia" w:ascii="Times New Roman" w:hAnsi="Times New Roman"/>
                <w:color w:val="auto"/>
                <w:sz w:val="24"/>
                <w:highlight w:val="none"/>
                <w:lang w:val="en-US" w:eastAsia="zh-CN"/>
              </w:rPr>
              <w:t>表</w:t>
            </w:r>
            <w:r>
              <w:rPr>
                <w:rFonts w:hint="eastAsia" w:ascii="Times New Roman" w:hAnsi="Times New Roman"/>
                <w:color w:val="auto"/>
                <w:sz w:val="24"/>
                <w:highlight w:val="none"/>
              </w:rPr>
              <w:t>中</w:t>
            </w:r>
            <w:r>
              <w:rPr>
                <w:rFonts w:hint="eastAsia" w:ascii="Times New Roman" w:hAnsi="Times New Roman"/>
                <w:color w:val="auto"/>
                <w:sz w:val="24"/>
                <w:highlight w:val="none"/>
                <w:lang w:val="en-US" w:eastAsia="zh-CN"/>
              </w:rPr>
              <w:t>规定</w:t>
            </w:r>
            <w:r>
              <w:rPr>
                <w:rFonts w:hint="eastAsia" w:ascii="Times New Roman" w:hAnsi="Times New Roman" w:cs="Times New Roman"/>
                <w:snapToGrid w:val="0"/>
                <w:color w:val="auto"/>
                <w:kern w:val="0"/>
                <w:sz w:val="24"/>
                <w:highlight w:val="none"/>
                <w:lang w:val="en-US" w:eastAsia="zh-CN"/>
              </w:rPr>
              <w:t>5.0</w:t>
            </w:r>
            <w:r>
              <w:rPr>
                <w:rFonts w:hint="default" w:ascii="Times New Roman" w:hAnsi="Times New Roman" w:eastAsia="宋体" w:cs="Times New Roman"/>
                <w:snapToGrid w:val="0"/>
                <w:color w:val="auto"/>
                <w:kern w:val="0"/>
                <w:sz w:val="24"/>
                <w:highlight w:val="none"/>
                <w:lang w:val="en-US" w:eastAsia="zh-CN"/>
              </w:rPr>
              <w:t>mg/m</w:t>
            </w:r>
            <w:r>
              <w:rPr>
                <w:rFonts w:hint="eastAsia" w:ascii="Times New Roman" w:hAnsi="Times New Roman" w:cs="Times New Roman"/>
                <w:snapToGrid w:val="0"/>
                <w:color w:val="auto"/>
                <w:kern w:val="0"/>
                <w:sz w:val="24"/>
                <w:highlight w:val="none"/>
                <w:vertAlign w:val="superscript"/>
                <w:lang w:val="en-US" w:eastAsia="zh-CN"/>
              </w:rPr>
              <w:t>3</w:t>
            </w:r>
            <w:r>
              <w:rPr>
                <w:rFonts w:hint="eastAsia" w:ascii="Times New Roman" w:hAnsi="Times New Roman" w:cs="Times New Roman"/>
                <w:snapToGrid w:val="0"/>
                <w:color w:val="auto"/>
                <w:kern w:val="0"/>
                <w:sz w:val="24"/>
                <w:highlight w:val="none"/>
                <w:lang w:val="en-US" w:eastAsia="zh-CN"/>
              </w:rPr>
              <w:t>的限值</w:t>
            </w:r>
            <w:r>
              <w:rPr>
                <w:rFonts w:hint="default" w:ascii="Times New Roman" w:hAnsi="Times New Roman" w:eastAsia="宋体" w:cs="Times New Roman"/>
                <w:snapToGrid w:val="0"/>
                <w:color w:val="auto"/>
                <w:kern w:val="0"/>
                <w:sz w:val="24"/>
                <w:highlight w:val="none"/>
                <w:lang w:val="en-US" w:eastAsia="zh-CN"/>
              </w:rPr>
              <w:t>要求</w:t>
            </w:r>
            <w:r>
              <w:rPr>
                <w:rFonts w:hint="eastAsia" w:ascii="Times New Roman" w:hAnsi="Times New Roman" w:cs="Times New Roman"/>
                <w:snapToGrid w:val="0"/>
                <w:color w:val="auto"/>
                <w:kern w:val="0"/>
                <w:sz w:val="24"/>
                <w:highlight w:val="none"/>
                <w:lang w:val="en-US" w:eastAsia="zh-CN"/>
              </w:rPr>
              <w:t>；厂界无组织排放满足《大气污染物综合排放标准》（GB16297-1996）表2中1.</w:t>
            </w:r>
            <w:r>
              <w:rPr>
                <w:rFonts w:hint="default" w:ascii="Times New Roman" w:hAnsi="Times New Roman" w:eastAsia="宋体" w:cs="Times New Roman"/>
                <w:snapToGrid w:val="0"/>
                <w:color w:val="auto"/>
                <w:kern w:val="0"/>
                <w:sz w:val="24"/>
                <w:highlight w:val="none"/>
                <w:lang w:val="en-US" w:eastAsia="zh-CN"/>
              </w:rPr>
              <w:t>0mg/m</w:t>
            </w:r>
            <w:r>
              <w:rPr>
                <w:rFonts w:hint="eastAsia" w:ascii="Times New Roman" w:hAnsi="Times New Roman" w:cs="Times New Roman"/>
                <w:snapToGrid w:val="0"/>
                <w:color w:val="auto"/>
                <w:kern w:val="0"/>
                <w:sz w:val="24"/>
                <w:highlight w:val="none"/>
                <w:vertAlign w:val="superscript"/>
                <w:lang w:val="en-US" w:eastAsia="zh-CN"/>
              </w:rPr>
              <w:t>3</w:t>
            </w:r>
            <w:r>
              <w:rPr>
                <w:rFonts w:hint="eastAsia" w:ascii="Times New Roman" w:hAnsi="Times New Roman"/>
                <w:color w:val="auto"/>
                <w:sz w:val="24"/>
                <w:highlight w:val="none"/>
              </w:rPr>
              <w:t>的相关限值要求</w:t>
            </w:r>
            <w:r>
              <w:rPr>
                <w:rFonts w:hint="default" w:ascii="Times New Roman" w:hAnsi="Times New Roman" w:eastAsia="宋体" w:cs="Times New Roman"/>
                <w:snapToGrid w:val="0"/>
                <w:color w:val="auto"/>
                <w:kern w:val="0"/>
                <w:sz w:val="24"/>
                <w:highlight w:val="none"/>
                <w:lang w:val="en-US" w:eastAsia="zh-CN"/>
              </w:rPr>
              <w:t>。</w:t>
            </w:r>
          </w:p>
          <w:p w14:paraId="42ED47AD">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本项目位于环境空气质量达标区，采取上述大气污染防治措施后，各项污染物可达标排放，对环境空气环境影响较小。</w:t>
            </w:r>
          </w:p>
          <w:p w14:paraId="4BA55E4E">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2" w:firstLineChars="200"/>
              <w:textAlignment w:val="auto"/>
              <w:rPr>
                <w:rFonts w:hint="default"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t>1.6非正常</w:t>
            </w:r>
            <w:r>
              <w:rPr>
                <w:rFonts w:hint="eastAsia"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t>情况</w:t>
            </w:r>
            <w:r>
              <w:rPr>
                <w:rFonts w:hint="default"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t>排放</w:t>
            </w:r>
          </w:p>
          <w:p w14:paraId="65447A83">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本次评价非正常工况主要考虑项目除尘设施出现故障，不具备正常的污染物处理能力。</w:t>
            </w:r>
          </w:p>
          <w:p w14:paraId="1BB254C7">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非正常工况下，排</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气筒</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排放的部分污染物浓度超标，为防止生产废气非正常工况排放，企业必须加强废气处理设施的管理，定期检修，确保废气处理设施正常运行，在废气处理设备停止运行或出现故障时，产生废气的各工序也必须相应停止。为杜绝废气非正常排放，应采取以下措施确保废气达标排放</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p>
          <w:p w14:paraId="50165E96">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（1）</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定期对废气处理设备进行隐患排查，确保废气处理系统正常运行</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p>
          <w:p w14:paraId="29470B7D">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（2）</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建立健全的环保管理机构，对环保管理人员和技术人员进行岗位培训，委托具有专业资质的环境监测单位对项目排放的各类污染物进行定期监测</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p>
          <w:p w14:paraId="0B9783CD">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（3）</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应定期维护、检修废气净化装置，以保持废气处理装置的净化能力和净化容量</w:t>
            </w: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w:t>
            </w:r>
          </w:p>
          <w:p w14:paraId="0B231E57">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（4）</w:t>
            </w:r>
            <w:r>
              <w:rPr>
                <w:rFonts w:hint="default" w:ascii="Times New Roman" w:hAnsi="Times New Roman" w:eastAsia="宋体" w:cs="Times New Roman"/>
                <w:snapToGrid w:val="0"/>
                <w:color w:val="000000" w:themeColor="text1"/>
                <w:kern w:val="0"/>
                <w:sz w:val="24"/>
                <w:highlight w:val="none"/>
                <w:lang w:val="en-US" w:eastAsia="zh-CN"/>
                <w14:textFill>
                  <w14:solidFill>
                    <w14:schemeClr w14:val="tx1"/>
                  </w14:solidFill>
                </w14:textFill>
              </w:rPr>
              <w:t>专人负责环保设备的日常维护和管理，及时发现问题。</w:t>
            </w:r>
          </w:p>
          <w:p w14:paraId="607F5707">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2、</w:t>
            </w:r>
            <w:r>
              <w:rPr>
                <w:rFonts w:hint="eastAsia" w:ascii="Times New Roman" w:hAnsi="Times New Roman" w:cs="Times New Roman"/>
                <w:b/>
                <w:bCs/>
                <w:color w:val="000000" w:themeColor="text1"/>
                <w:highlight w:val="none"/>
                <w:lang w:val="en-US" w:eastAsia="zh-CN"/>
                <w14:textFill>
                  <w14:solidFill>
                    <w14:schemeClr w14:val="tx1"/>
                  </w14:solidFill>
                </w14:textFill>
              </w:rPr>
              <w:t>水环境影响分析</w:t>
            </w:r>
          </w:p>
          <w:p w14:paraId="71A7E181">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default" w:ascii="Times New Roman" w:hAnsi="Times New Roman"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本项目不产生生产废水</w:t>
            </w:r>
            <w:r>
              <w:rPr>
                <w:rFonts w:hint="eastAsia" w:ascii="Times New Roman" w:hAnsi="Times New Roman" w:cs="宋体"/>
                <w:color w:val="000000" w:themeColor="text1"/>
                <w:sz w:val="24"/>
                <w:szCs w:val="24"/>
                <w:highlight w:val="none"/>
                <w:lang w:val="en-US" w:eastAsia="zh-CN"/>
                <w14:textFill>
                  <w14:solidFill>
                    <w14:schemeClr w14:val="tx1"/>
                  </w14:solidFill>
                </w14:textFill>
              </w:rPr>
              <w:t>；</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生活污水产生量按生活用水量80%计，则生活污水排放量为，0.</w:t>
            </w:r>
            <w:r>
              <w:rPr>
                <w:rFonts w:hint="eastAsia" w:ascii="Times New Roman" w:hAnsi="Times New Roman" w:cs="宋体"/>
                <w:color w:val="000000" w:themeColor="text1"/>
                <w:sz w:val="24"/>
                <w:szCs w:val="24"/>
                <w:highlight w:val="none"/>
                <w:lang w:val="en-US" w:eastAsia="zh-CN"/>
                <w14:textFill>
                  <w14:solidFill>
                    <w14:schemeClr w14:val="tx1"/>
                  </w14:solidFill>
                </w14:textFill>
              </w:rPr>
              <w:t>192</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t/</w:t>
            </w:r>
            <w:r>
              <w:rPr>
                <w:rFonts w:hint="eastAsia" w:ascii="Times New Roman" w:hAnsi="Times New Roman" w:cs="宋体"/>
                <w:color w:val="000000" w:themeColor="text1"/>
                <w:sz w:val="24"/>
                <w:szCs w:val="24"/>
                <w:highlight w:val="none"/>
                <w:lang w:val="en-US" w:eastAsia="zh-CN"/>
                <w14:textFill>
                  <w14:solidFill>
                    <w14:schemeClr w14:val="tx1"/>
                  </w14:solidFill>
                </w14:textFill>
              </w:rPr>
              <w:t>d</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w:t>
            </w:r>
            <w:r>
              <w:rPr>
                <w:rFonts w:hint="eastAsia" w:ascii="Times New Roman" w:hAnsi="Times New Roman" w:cs="宋体"/>
                <w:color w:val="000000" w:themeColor="text1"/>
                <w:sz w:val="24"/>
                <w:szCs w:val="24"/>
                <w:highlight w:val="none"/>
                <w:lang w:val="en-US" w:eastAsia="zh-CN"/>
                <w14:textFill>
                  <w14:solidFill>
                    <w14:schemeClr w14:val="tx1"/>
                  </w14:solidFill>
                </w14:textFill>
              </w:rPr>
              <w:t>57.6</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m</w:t>
            </w:r>
            <w:r>
              <w:rPr>
                <w:rFonts w:hint="eastAsia" w:ascii="Times New Roman" w:hAnsi="Times New Roman" w:eastAsia="宋体" w:cs="宋体"/>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eastAsia="宋体" w:cs="宋体"/>
                <w:color w:val="000000" w:themeColor="text1"/>
                <w:sz w:val="24"/>
                <w:szCs w:val="24"/>
                <w:highlight w:val="none"/>
                <w:lang w:val="en-US" w:eastAsia="zh-CN"/>
                <w14:textFill>
                  <w14:solidFill>
                    <w14:schemeClr w14:val="tx1"/>
                  </w14:solidFill>
                </w14:textFill>
              </w:rPr>
              <w:t>/a，员工生活污水经化粪池处理满足《污水综合排放标准》（GB8978-1996）三级标准后，送上都镇生活污水处理厂进行进一步处理</w:t>
            </w:r>
            <w:r>
              <w:rPr>
                <w:rFonts w:hint="eastAsia" w:ascii="Times New Roman" w:hAnsi="Times New Roman" w:cs="宋体"/>
                <w:color w:val="000000" w:themeColor="text1"/>
                <w:sz w:val="24"/>
                <w:szCs w:val="24"/>
                <w:highlight w:val="none"/>
                <w:lang w:val="en-US" w:eastAsia="zh-CN"/>
                <w14:textFill>
                  <w14:solidFill>
                    <w14:schemeClr w14:val="tx1"/>
                  </w14:solidFill>
                </w14:textFill>
              </w:rPr>
              <w:t>。</w:t>
            </w:r>
          </w:p>
          <w:p w14:paraId="2BB8FB69">
            <w:pPr>
              <w:keepNext w:val="0"/>
              <w:keepLines w:val="0"/>
              <w:pageBreakBefore w:val="0"/>
              <w:widowControl w:val="0"/>
              <w:kinsoku/>
              <w:wordWrap/>
              <w:overflowPunct/>
              <w:topLinePunct w:val="0"/>
              <w:autoSpaceDE/>
              <w:autoSpaceDN/>
              <w:bidi w:val="0"/>
              <w:adjustRightInd w:val="0"/>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14:textFill>
                  <w14:solidFill>
                    <w14:schemeClr w14:val="tx1"/>
                  </w14:solidFill>
                </w14:textFill>
              </w:rPr>
            </w:pPr>
            <w:r>
              <w:rPr>
                <w:rFonts w:hint="eastAsia" w:ascii="Times New Roman" w:hAnsi="Times New Roman" w:eastAsia="宋体" w:cs="宋体"/>
                <w:color w:val="000000" w:themeColor="text1"/>
                <w:sz w:val="24"/>
                <w:szCs w:val="24"/>
                <w:highlight w:val="none"/>
                <w14:textFill>
                  <w14:solidFill>
                    <w14:schemeClr w14:val="tx1"/>
                  </w14:solidFill>
                </w14:textFill>
              </w:rPr>
              <w:t>厂区洒水抑尘水</w:t>
            </w:r>
            <w:r>
              <w:rPr>
                <w:rFonts w:hint="eastAsia" w:ascii="Times New Roman" w:hAnsi="Times New Roman" w:cs="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s="宋体"/>
                <w:color w:val="000000" w:themeColor="text1"/>
                <w:sz w:val="24"/>
                <w:szCs w:val="24"/>
                <w:highlight w:val="none"/>
                <w14:textFill>
                  <w14:solidFill>
                    <w14:schemeClr w14:val="tx1"/>
                  </w14:solidFill>
                </w14:textFill>
              </w:rPr>
              <w:t>该部分用水全部蒸发消耗，无废水产生。</w:t>
            </w:r>
          </w:p>
          <w:p w14:paraId="0A3EBA14">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3</w:t>
            </w: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、噪声</w:t>
            </w:r>
            <w:r>
              <w:rPr>
                <w:rFonts w:hint="eastAsia" w:ascii="Times New Roman" w:hAnsi="Times New Roman" w:cs="Times New Roman"/>
                <w:b/>
                <w:bCs/>
                <w:color w:val="000000" w:themeColor="text1"/>
                <w:highlight w:val="none"/>
                <w:lang w:val="en-US" w:eastAsia="zh-CN"/>
                <w14:textFill>
                  <w14:solidFill>
                    <w14:schemeClr w14:val="tx1"/>
                  </w14:solidFill>
                </w14:textFill>
              </w:rPr>
              <w:t>环境影响分析</w:t>
            </w:r>
          </w:p>
          <w:p w14:paraId="161244B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（1）</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噪声污染源源强核算结果及相关参数</w:t>
            </w:r>
          </w:p>
          <w:p w14:paraId="1B69D77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本项目主要噪声来源为设备运行过程中产生的噪声。根据设备类型经查找资料可知，项目选用设备噪声约在75~8</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dB(A</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之间，项目运行工况最大时主要噪声源强见表</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2EC9B0F1">
            <w:pPr>
              <w:keepNext w:val="0"/>
              <w:keepLines w:val="0"/>
              <w:pageBreakBefore w:val="0"/>
              <w:widowControl w:val="0"/>
              <w:kinsoku/>
              <w:wordWrap/>
              <w:overflowPunct/>
              <w:topLinePunct w:val="0"/>
              <w:autoSpaceDE/>
              <w:autoSpaceDN/>
              <w:bidi w:val="0"/>
              <w:adjustRightInd/>
              <w:snapToGrid w:val="0"/>
              <w:spacing w:line="360" w:lineRule="auto"/>
              <w:ind w:firstLine="482" w:firstLineChars="200"/>
              <w:jc w:val="center"/>
              <w:textAlignment w:val="auto"/>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表4-</w:t>
            </w:r>
            <w:r>
              <w:rPr>
                <w:rFonts w:hint="eastAsia" w:ascii="Times New Roman" w:hAnsi="Times New Roman" w:cs="Times New Roman"/>
                <w:b/>
                <w:bCs/>
                <w:color w:val="000000" w:themeColor="text1"/>
                <w:sz w:val="24"/>
                <w:szCs w:val="24"/>
                <w:highlight w:val="none"/>
                <w:lang w:val="en-US" w:eastAsia="zh-CN"/>
                <w14:textFill>
                  <w14:solidFill>
                    <w14:schemeClr w14:val="tx1"/>
                  </w14:solidFill>
                </w14:textFill>
              </w:rPr>
              <w:t>5</w:t>
            </w: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 xml:space="preserve"> </w:t>
            </w:r>
            <w:r>
              <w:rPr>
                <w:rFonts w:hint="eastAsia" w:ascii="Times New Roman" w:hAnsi="Times New Roman" w:cs="Times New Roman"/>
                <w:b/>
                <w:bCs/>
                <w:color w:val="000000" w:themeColor="text1"/>
                <w:sz w:val="24"/>
                <w:szCs w:val="24"/>
                <w:highlight w:val="none"/>
                <w:lang w:val="en-US" w:eastAsia="zh-CN"/>
                <w14:textFill>
                  <w14:solidFill>
                    <w14:schemeClr w14:val="tx1"/>
                  </w14:solidFill>
                </w14:textFill>
              </w:rPr>
              <w:t xml:space="preserve"> </w:t>
            </w: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噪声污染源源强核算结果及相关参数一览表</w:t>
            </w:r>
          </w:p>
          <w:tbl>
            <w:tblPr>
              <w:tblStyle w:val="24"/>
              <w:tblW w:w="4995" w:type="pct"/>
              <w:tblInd w:w="0" w:type="dxa"/>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Layout w:type="fixed"/>
              <w:tblCellMar>
                <w:top w:w="0" w:type="dxa"/>
                <w:left w:w="10" w:type="dxa"/>
                <w:bottom w:w="0" w:type="dxa"/>
                <w:right w:w="10" w:type="dxa"/>
              </w:tblCellMar>
            </w:tblPr>
            <w:tblGrid>
              <w:gridCol w:w="534"/>
              <w:gridCol w:w="598"/>
              <w:gridCol w:w="1037"/>
              <w:gridCol w:w="640"/>
              <w:gridCol w:w="626"/>
              <w:gridCol w:w="985"/>
              <w:gridCol w:w="892"/>
              <w:gridCol w:w="1178"/>
              <w:gridCol w:w="913"/>
              <w:gridCol w:w="760"/>
            </w:tblGrid>
            <w:tr w14:paraId="263C9913">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780" w:hRule="atLeast"/>
              </w:trPr>
              <w:tc>
                <w:tcPr>
                  <w:tcW w:w="327" w:type="pct"/>
                  <w:vMerge w:val="restart"/>
                  <w:tcBorders>
                    <w:tl2br w:val="nil"/>
                    <w:tr2bl w:val="nil"/>
                  </w:tcBorders>
                  <w:vAlign w:val="center"/>
                </w:tcPr>
                <w:p w14:paraId="03972191">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工序</w:t>
                  </w:r>
                </w:p>
              </w:tc>
              <w:tc>
                <w:tcPr>
                  <w:tcW w:w="366" w:type="pct"/>
                  <w:vMerge w:val="restart"/>
                  <w:tcBorders>
                    <w:tl2br w:val="nil"/>
                    <w:tr2bl w:val="nil"/>
                  </w:tcBorders>
                  <w:vAlign w:val="center"/>
                </w:tcPr>
                <w:p w14:paraId="1345B08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装置</w:t>
                  </w:r>
                </w:p>
              </w:tc>
              <w:tc>
                <w:tcPr>
                  <w:tcW w:w="635" w:type="pct"/>
                  <w:vMerge w:val="restart"/>
                  <w:tcBorders>
                    <w:tl2br w:val="nil"/>
                    <w:tr2bl w:val="nil"/>
                  </w:tcBorders>
                  <w:vAlign w:val="center"/>
                </w:tcPr>
                <w:p w14:paraId="1C35470A">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噪声源</w:t>
                  </w:r>
                </w:p>
              </w:tc>
              <w:tc>
                <w:tcPr>
                  <w:tcW w:w="392" w:type="pct"/>
                  <w:vMerge w:val="restart"/>
                  <w:tcBorders>
                    <w:tl2br w:val="nil"/>
                    <w:tr2bl w:val="nil"/>
                  </w:tcBorders>
                  <w:vAlign w:val="center"/>
                </w:tcPr>
                <w:p w14:paraId="16AF4CAA">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声源</w:t>
                  </w:r>
                </w:p>
                <w:p w14:paraId="32D205D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类型</w:t>
                  </w:r>
                </w:p>
              </w:tc>
              <w:tc>
                <w:tcPr>
                  <w:tcW w:w="986" w:type="pct"/>
                  <w:gridSpan w:val="2"/>
                  <w:tcBorders>
                    <w:tl2br w:val="nil"/>
                    <w:tr2bl w:val="nil"/>
                  </w:tcBorders>
                  <w:vAlign w:val="center"/>
                </w:tcPr>
                <w:p w14:paraId="7C0ED130">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噪声源强</w:t>
                  </w:r>
                </w:p>
              </w:tc>
              <w:tc>
                <w:tcPr>
                  <w:tcW w:w="1267" w:type="pct"/>
                  <w:gridSpan w:val="2"/>
                  <w:tcBorders>
                    <w:tl2br w:val="nil"/>
                    <w:tr2bl w:val="nil"/>
                  </w:tcBorders>
                  <w:vAlign w:val="center"/>
                </w:tcPr>
                <w:p w14:paraId="2B5B0813">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降噪措施</w:t>
                  </w:r>
                </w:p>
              </w:tc>
              <w:tc>
                <w:tcPr>
                  <w:tcW w:w="559" w:type="pct"/>
                  <w:tcBorders>
                    <w:tl2br w:val="nil"/>
                    <w:tr2bl w:val="nil"/>
                  </w:tcBorders>
                  <w:vAlign w:val="center"/>
                </w:tcPr>
                <w:p w14:paraId="65E8A857">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噪声排</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放值</w:t>
                  </w:r>
                </w:p>
              </w:tc>
              <w:tc>
                <w:tcPr>
                  <w:tcW w:w="465" w:type="pct"/>
                  <w:vMerge w:val="restart"/>
                  <w:tcBorders>
                    <w:tl2br w:val="nil"/>
                    <w:tr2bl w:val="nil"/>
                  </w:tcBorders>
                  <w:vAlign w:val="center"/>
                </w:tcPr>
                <w:p w14:paraId="1EB976B1">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持续</w:t>
                  </w:r>
                </w:p>
                <w:p w14:paraId="35A9C870">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时间</w:t>
                  </w:r>
                </w:p>
                <w:p w14:paraId="1477FA43">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/h</w:t>
                  </w:r>
                </w:p>
              </w:tc>
            </w:tr>
            <w:tr w14:paraId="00DD2648">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860" w:hRule="atLeast"/>
              </w:trPr>
              <w:tc>
                <w:tcPr>
                  <w:tcW w:w="327" w:type="pct"/>
                  <w:vMerge w:val="continue"/>
                  <w:tcBorders>
                    <w:tl2br w:val="nil"/>
                    <w:tr2bl w:val="nil"/>
                  </w:tcBorders>
                  <w:vAlign w:val="center"/>
                </w:tcPr>
                <w:p w14:paraId="54EE4B79">
                  <w:pPr>
                    <w:keepNext w:val="0"/>
                    <w:keepLines w:val="0"/>
                    <w:pageBreakBefore w:val="0"/>
                    <w:widowControl w:val="0"/>
                    <w:kinsoku/>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366" w:type="pct"/>
                  <w:vMerge w:val="continue"/>
                  <w:tcBorders>
                    <w:tl2br w:val="nil"/>
                    <w:tr2bl w:val="nil"/>
                  </w:tcBorders>
                  <w:vAlign w:val="center"/>
                </w:tcPr>
                <w:p w14:paraId="35BA3351">
                  <w:pPr>
                    <w:keepNext w:val="0"/>
                    <w:keepLines w:val="0"/>
                    <w:pageBreakBefore w:val="0"/>
                    <w:widowControl w:val="0"/>
                    <w:kinsoku/>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635" w:type="pct"/>
                  <w:vMerge w:val="continue"/>
                  <w:tcBorders>
                    <w:tl2br w:val="nil"/>
                    <w:tr2bl w:val="nil"/>
                  </w:tcBorders>
                  <w:vAlign w:val="center"/>
                </w:tcPr>
                <w:p w14:paraId="410A0984">
                  <w:pPr>
                    <w:keepNext w:val="0"/>
                    <w:keepLines w:val="0"/>
                    <w:pageBreakBefore w:val="0"/>
                    <w:widowControl w:val="0"/>
                    <w:kinsoku/>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392" w:type="pct"/>
                  <w:vMerge w:val="continue"/>
                  <w:tcBorders>
                    <w:tl2br w:val="nil"/>
                    <w:tr2bl w:val="nil"/>
                  </w:tcBorders>
                  <w:vAlign w:val="center"/>
                </w:tcPr>
                <w:p w14:paraId="0316F176">
                  <w:pPr>
                    <w:keepNext w:val="0"/>
                    <w:keepLines w:val="0"/>
                    <w:pageBreakBefore w:val="0"/>
                    <w:widowControl w:val="0"/>
                    <w:kinsoku/>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383" w:type="pct"/>
                  <w:tcBorders>
                    <w:tl2br w:val="nil"/>
                    <w:tr2bl w:val="nil"/>
                  </w:tcBorders>
                  <w:vAlign w:val="center"/>
                </w:tcPr>
                <w:p w14:paraId="283540A8">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核算方法</w:t>
                  </w:r>
                </w:p>
              </w:tc>
              <w:tc>
                <w:tcPr>
                  <w:tcW w:w="603" w:type="pct"/>
                  <w:tcBorders>
                    <w:tl2br w:val="nil"/>
                    <w:tr2bl w:val="nil"/>
                  </w:tcBorders>
                  <w:vAlign w:val="center"/>
                </w:tcPr>
                <w:p w14:paraId="25F807C3">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噪声值/(dB)</w:t>
                  </w:r>
                </w:p>
              </w:tc>
              <w:tc>
                <w:tcPr>
                  <w:tcW w:w="546" w:type="pct"/>
                  <w:tcBorders>
                    <w:tl2br w:val="nil"/>
                    <w:tr2bl w:val="nil"/>
                  </w:tcBorders>
                  <w:vAlign w:val="center"/>
                </w:tcPr>
                <w:p w14:paraId="25FEFD05">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工艺</w:t>
                  </w:r>
                </w:p>
              </w:tc>
              <w:tc>
                <w:tcPr>
                  <w:tcW w:w="721" w:type="pct"/>
                  <w:tcBorders>
                    <w:tl2br w:val="nil"/>
                    <w:tr2bl w:val="nil"/>
                  </w:tcBorders>
                  <w:vAlign w:val="center"/>
                </w:tcPr>
                <w:p w14:paraId="3EAC206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降噪效果</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（dB）</w:t>
                  </w:r>
                </w:p>
              </w:tc>
              <w:tc>
                <w:tcPr>
                  <w:tcW w:w="559" w:type="pct"/>
                  <w:tcBorders>
                    <w:tl2br w:val="nil"/>
                    <w:tr2bl w:val="nil"/>
                  </w:tcBorders>
                  <w:vAlign w:val="center"/>
                </w:tcPr>
                <w:p w14:paraId="6FC965B8">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噪声值/(dB)</w:t>
                  </w:r>
                </w:p>
              </w:tc>
              <w:tc>
                <w:tcPr>
                  <w:tcW w:w="465" w:type="pct"/>
                  <w:vMerge w:val="continue"/>
                  <w:tcBorders>
                    <w:tl2br w:val="nil"/>
                    <w:tr2bl w:val="nil"/>
                  </w:tcBorders>
                  <w:vAlign w:val="center"/>
                </w:tcPr>
                <w:p w14:paraId="02D08EB4">
                  <w:pPr>
                    <w:keepNext w:val="0"/>
                    <w:keepLines w:val="0"/>
                    <w:pageBreakBefore w:val="0"/>
                    <w:widowControl w:val="0"/>
                    <w:kinsoku/>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r>
            <w:tr w14:paraId="40220070">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600" w:hRule="atLeast"/>
              </w:trPr>
              <w:tc>
                <w:tcPr>
                  <w:tcW w:w="327" w:type="pct"/>
                  <w:vMerge w:val="restart"/>
                  <w:tcBorders>
                    <w:tl2br w:val="nil"/>
                    <w:tr2bl w:val="nil"/>
                  </w:tcBorders>
                  <w:vAlign w:val="center"/>
                </w:tcPr>
                <w:p w14:paraId="763A76FE">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生产</w:t>
                  </w:r>
                </w:p>
                <w:p w14:paraId="664C3B2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过程</w:t>
                  </w:r>
                </w:p>
              </w:tc>
              <w:tc>
                <w:tcPr>
                  <w:tcW w:w="366" w:type="pct"/>
                  <w:vMerge w:val="restart"/>
                  <w:tcBorders>
                    <w:tl2br w:val="nil"/>
                    <w:tr2bl w:val="nil"/>
                  </w:tcBorders>
                  <w:vAlign w:val="center"/>
                </w:tcPr>
                <w:p w14:paraId="0C147A0F">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生产</w:t>
                  </w:r>
                </w:p>
                <w:p w14:paraId="78821FB2">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设备</w:t>
                  </w:r>
                </w:p>
              </w:tc>
              <w:tc>
                <w:tcPr>
                  <w:tcW w:w="635" w:type="pct"/>
                  <w:tcBorders>
                    <w:tl2br w:val="nil"/>
                    <w:tr2bl w:val="nil"/>
                  </w:tcBorders>
                  <w:vAlign w:val="center"/>
                </w:tcPr>
                <w:p w14:paraId="7032F4A6">
                  <w:pPr>
                    <w:keepNext w:val="0"/>
                    <w:keepLines w:val="0"/>
                    <w:widowControl/>
                    <w:suppressLineNumbers w:val="0"/>
                    <w:jc w:val="center"/>
                    <w:textAlignment w:val="cente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皮带</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输送机</w:t>
                  </w:r>
                </w:p>
              </w:tc>
              <w:tc>
                <w:tcPr>
                  <w:tcW w:w="392" w:type="pct"/>
                  <w:vMerge w:val="restart"/>
                  <w:tcBorders>
                    <w:tl2br w:val="nil"/>
                    <w:tr2bl w:val="nil"/>
                  </w:tcBorders>
                  <w:vAlign w:val="center"/>
                </w:tcPr>
                <w:p w14:paraId="6C78B0EE">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间断</w:t>
                  </w:r>
                </w:p>
              </w:tc>
              <w:tc>
                <w:tcPr>
                  <w:tcW w:w="383" w:type="pct"/>
                  <w:vMerge w:val="restart"/>
                  <w:tcBorders>
                    <w:tl2br w:val="nil"/>
                    <w:tr2bl w:val="nil"/>
                  </w:tcBorders>
                  <w:vAlign w:val="center"/>
                </w:tcPr>
                <w:p w14:paraId="012FBE86">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类比</w:t>
                  </w:r>
                </w:p>
                <w:p w14:paraId="6D673FCE">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法</w:t>
                  </w:r>
                </w:p>
              </w:tc>
              <w:tc>
                <w:tcPr>
                  <w:tcW w:w="603" w:type="pct"/>
                  <w:tcBorders>
                    <w:tl2br w:val="nil"/>
                    <w:tr2bl w:val="nil"/>
                  </w:tcBorders>
                  <w:vAlign w:val="center"/>
                </w:tcPr>
                <w:p w14:paraId="74D5C122">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80</w:t>
                  </w:r>
                </w:p>
              </w:tc>
              <w:tc>
                <w:tcPr>
                  <w:tcW w:w="546" w:type="pct"/>
                  <w:vMerge w:val="restart"/>
                  <w:tcBorders>
                    <w:tl2br w:val="nil"/>
                    <w:tr2bl w:val="nil"/>
                  </w:tcBorders>
                  <w:vAlign w:val="center"/>
                </w:tcPr>
                <w:p w14:paraId="51FFFB0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低噪设</w:t>
                  </w:r>
                </w:p>
                <w:p w14:paraId="4ED60A7B">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备、隔声、减振、消声、距离衰减</w:t>
                  </w:r>
                </w:p>
              </w:tc>
              <w:tc>
                <w:tcPr>
                  <w:tcW w:w="721" w:type="pct"/>
                  <w:tcBorders>
                    <w:tl2br w:val="nil"/>
                    <w:tr2bl w:val="nil"/>
                  </w:tcBorders>
                  <w:vAlign w:val="center"/>
                </w:tcPr>
                <w:p w14:paraId="100B9A8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25</w:t>
                  </w:r>
                </w:p>
              </w:tc>
              <w:tc>
                <w:tcPr>
                  <w:tcW w:w="559" w:type="pct"/>
                  <w:tcBorders>
                    <w:tl2br w:val="nil"/>
                    <w:tr2bl w:val="nil"/>
                  </w:tcBorders>
                  <w:vAlign w:val="center"/>
                </w:tcPr>
                <w:p w14:paraId="43E582B6">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55</w:t>
                  </w:r>
                </w:p>
              </w:tc>
              <w:tc>
                <w:tcPr>
                  <w:tcW w:w="465" w:type="pct"/>
                  <w:vMerge w:val="restart"/>
                  <w:tcBorders>
                    <w:tl2br w:val="nil"/>
                    <w:tr2bl w:val="nil"/>
                  </w:tcBorders>
                  <w:vAlign w:val="center"/>
                </w:tcPr>
                <w:p w14:paraId="203815C6">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2400</w:t>
                  </w:r>
                </w:p>
              </w:tc>
            </w:tr>
            <w:tr w14:paraId="44C37693">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600" w:hRule="atLeast"/>
              </w:trPr>
              <w:tc>
                <w:tcPr>
                  <w:tcW w:w="327" w:type="pct"/>
                  <w:vMerge w:val="continue"/>
                  <w:tcBorders>
                    <w:tl2br w:val="nil"/>
                    <w:tr2bl w:val="nil"/>
                  </w:tcBorders>
                  <w:vAlign w:val="center"/>
                </w:tcPr>
                <w:p w14:paraId="4E1EA5D8">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366" w:type="pct"/>
                  <w:vMerge w:val="continue"/>
                  <w:tcBorders>
                    <w:tl2br w:val="nil"/>
                    <w:tr2bl w:val="nil"/>
                  </w:tcBorders>
                  <w:vAlign w:val="center"/>
                </w:tcPr>
                <w:p w14:paraId="2B663201">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635" w:type="pct"/>
                  <w:tcBorders>
                    <w:tl2br w:val="nil"/>
                    <w:tr2bl w:val="nil"/>
                  </w:tcBorders>
                  <w:vAlign w:val="center"/>
                </w:tcPr>
                <w:p w14:paraId="63910659">
                  <w:pPr>
                    <w:keepNext w:val="0"/>
                    <w:keepLines w:val="0"/>
                    <w:widowControl/>
                    <w:suppressLineNumbers w:val="0"/>
                    <w:jc w:val="center"/>
                    <w:textAlignment w:val="center"/>
                    <w:rPr>
                      <w:rFonts w:hint="default"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除尘器风机</w:t>
                  </w:r>
                </w:p>
              </w:tc>
              <w:tc>
                <w:tcPr>
                  <w:tcW w:w="392" w:type="pct"/>
                  <w:vMerge w:val="continue"/>
                  <w:tcBorders>
                    <w:tl2br w:val="nil"/>
                    <w:tr2bl w:val="nil"/>
                  </w:tcBorders>
                  <w:vAlign w:val="center"/>
                </w:tcPr>
                <w:p w14:paraId="7BC3575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c>
                <w:tcPr>
                  <w:tcW w:w="383" w:type="pct"/>
                  <w:vMerge w:val="continue"/>
                  <w:tcBorders>
                    <w:tl2br w:val="nil"/>
                    <w:tr2bl w:val="nil"/>
                  </w:tcBorders>
                  <w:vAlign w:val="center"/>
                </w:tcPr>
                <w:p w14:paraId="337BABB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603" w:type="pct"/>
                  <w:tcBorders>
                    <w:tl2br w:val="nil"/>
                    <w:tr2bl w:val="nil"/>
                  </w:tcBorders>
                  <w:vAlign w:val="center"/>
                </w:tcPr>
                <w:p w14:paraId="111DEF83">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75</w:t>
                  </w:r>
                </w:p>
              </w:tc>
              <w:tc>
                <w:tcPr>
                  <w:tcW w:w="546" w:type="pct"/>
                  <w:vMerge w:val="continue"/>
                  <w:tcBorders>
                    <w:tl2br w:val="nil"/>
                    <w:tr2bl w:val="nil"/>
                  </w:tcBorders>
                  <w:vAlign w:val="center"/>
                </w:tcPr>
                <w:p w14:paraId="2221D366">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721" w:type="pct"/>
                  <w:tcBorders>
                    <w:tl2br w:val="nil"/>
                    <w:tr2bl w:val="nil"/>
                  </w:tcBorders>
                  <w:vAlign w:val="center"/>
                </w:tcPr>
                <w:p w14:paraId="108DD8D1">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25</w:t>
                  </w:r>
                </w:p>
              </w:tc>
              <w:tc>
                <w:tcPr>
                  <w:tcW w:w="559" w:type="pct"/>
                  <w:tcBorders>
                    <w:tl2br w:val="nil"/>
                    <w:tr2bl w:val="nil"/>
                  </w:tcBorders>
                  <w:vAlign w:val="center"/>
                </w:tcPr>
                <w:p w14:paraId="71EC0383">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50</w:t>
                  </w:r>
                </w:p>
              </w:tc>
              <w:tc>
                <w:tcPr>
                  <w:tcW w:w="465" w:type="pct"/>
                  <w:vMerge w:val="continue"/>
                  <w:tcBorders>
                    <w:tl2br w:val="nil"/>
                    <w:tr2bl w:val="nil"/>
                  </w:tcBorders>
                  <w:vAlign w:val="center"/>
                </w:tcPr>
                <w:p w14:paraId="08B700BD">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r>
            <w:tr w14:paraId="183CA937">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600" w:hRule="atLeast"/>
              </w:trPr>
              <w:tc>
                <w:tcPr>
                  <w:tcW w:w="327" w:type="pct"/>
                  <w:vMerge w:val="continue"/>
                  <w:tcBorders>
                    <w:tl2br w:val="nil"/>
                    <w:tr2bl w:val="nil"/>
                  </w:tcBorders>
                  <w:vAlign w:val="center"/>
                </w:tcPr>
                <w:p w14:paraId="067460CA">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366" w:type="pct"/>
                  <w:vMerge w:val="continue"/>
                  <w:tcBorders>
                    <w:tl2br w:val="nil"/>
                    <w:tr2bl w:val="nil"/>
                  </w:tcBorders>
                  <w:vAlign w:val="center"/>
                </w:tcPr>
                <w:p w14:paraId="710B357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635" w:type="pct"/>
                  <w:tcBorders>
                    <w:tl2br w:val="nil"/>
                    <w:tr2bl w:val="nil"/>
                  </w:tcBorders>
                  <w:vAlign w:val="center"/>
                </w:tcPr>
                <w:p w14:paraId="119FB736">
                  <w:pPr>
                    <w:keepNext w:val="0"/>
                    <w:keepLines w:val="0"/>
                    <w:widowControl/>
                    <w:suppressLineNumbers w:val="0"/>
                    <w:jc w:val="center"/>
                    <w:textAlignment w:val="center"/>
                    <w:rPr>
                      <w:rFonts w:hint="default"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提升机</w:t>
                  </w:r>
                </w:p>
              </w:tc>
              <w:tc>
                <w:tcPr>
                  <w:tcW w:w="392" w:type="pct"/>
                  <w:vMerge w:val="continue"/>
                  <w:tcBorders>
                    <w:tl2br w:val="nil"/>
                    <w:tr2bl w:val="nil"/>
                  </w:tcBorders>
                  <w:vAlign w:val="center"/>
                </w:tcPr>
                <w:p w14:paraId="744AEC32">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c>
                <w:tcPr>
                  <w:tcW w:w="383" w:type="pct"/>
                  <w:vMerge w:val="continue"/>
                  <w:tcBorders>
                    <w:tl2br w:val="nil"/>
                    <w:tr2bl w:val="nil"/>
                  </w:tcBorders>
                  <w:vAlign w:val="center"/>
                </w:tcPr>
                <w:p w14:paraId="763114CD">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603" w:type="pct"/>
                  <w:tcBorders>
                    <w:tl2br w:val="nil"/>
                    <w:tr2bl w:val="nil"/>
                  </w:tcBorders>
                  <w:vAlign w:val="center"/>
                </w:tcPr>
                <w:p w14:paraId="18C308F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80</w:t>
                  </w:r>
                </w:p>
              </w:tc>
              <w:tc>
                <w:tcPr>
                  <w:tcW w:w="546" w:type="pct"/>
                  <w:vMerge w:val="continue"/>
                  <w:tcBorders>
                    <w:tl2br w:val="nil"/>
                    <w:tr2bl w:val="nil"/>
                  </w:tcBorders>
                  <w:vAlign w:val="center"/>
                </w:tcPr>
                <w:p w14:paraId="1A9DBC73">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175" w:type="dxa"/>
                  <w:tcBorders>
                    <w:tl2br w:val="nil"/>
                    <w:tr2bl w:val="nil"/>
                  </w:tcBorders>
                  <w:vAlign w:val="center"/>
                </w:tcPr>
                <w:p w14:paraId="4A5D4090">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25</w:t>
                  </w:r>
                </w:p>
              </w:tc>
              <w:tc>
                <w:tcPr>
                  <w:tcW w:w="559" w:type="pct"/>
                  <w:tcBorders>
                    <w:tl2br w:val="nil"/>
                    <w:tr2bl w:val="nil"/>
                  </w:tcBorders>
                  <w:vAlign w:val="center"/>
                </w:tcPr>
                <w:p w14:paraId="75FD535B">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55</w:t>
                  </w:r>
                </w:p>
              </w:tc>
              <w:tc>
                <w:tcPr>
                  <w:tcW w:w="465" w:type="pct"/>
                  <w:vMerge w:val="continue"/>
                  <w:tcBorders>
                    <w:tl2br w:val="nil"/>
                    <w:tr2bl w:val="nil"/>
                  </w:tcBorders>
                  <w:vAlign w:val="center"/>
                </w:tcPr>
                <w:p w14:paraId="7B71F188">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r>
            <w:tr w14:paraId="075ED332">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600" w:hRule="atLeast"/>
              </w:trPr>
              <w:tc>
                <w:tcPr>
                  <w:tcW w:w="327" w:type="pct"/>
                  <w:vMerge w:val="continue"/>
                  <w:tcBorders>
                    <w:tl2br w:val="nil"/>
                    <w:tr2bl w:val="nil"/>
                  </w:tcBorders>
                  <w:vAlign w:val="center"/>
                </w:tcPr>
                <w:p w14:paraId="0B6AF66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366" w:type="pct"/>
                  <w:vMerge w:val="continue"/>
                  <w:tcBorders>
                    <w:tl2br w:val="nil"/>
                    <w:tr2bl w:val="nil"/>
                  </w:tcBorders>
                  <w:vAlign w:val="center"/>
                </w:tcPr>
                <w:p w14:paraId="647A584A">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635" w:type="pct"/>
                  <w:tcBorders>
                    <w:tl2br w:val="nil"/>
                    <w:tr2bl w:val="nil"/>
                  </w:tcBorders>
                  <w:vAlign w:val="center"/>
                </w:tcPr>
                <w:p w14:paraId="0C4FEF63">
                  <w:pPr>
                    <w:keepNext w:val="0"/>
                    <w:keepLines w:val="0"/>
                    <w:widowControl/>
                    <w:suppressLineNumbers w:val="0"/>
                    <w:jc w:val="center"/>
                    <w:textAlignment w:val="center"/>
                    <w:rPr>
                      <w:rFonts w:hint="default"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空压机</w:t>
                  </w:r>
                </w:p>
              </w:tc>
              <w:tc>
                <w:tcPr>
                  <w:tcW w:w="392" w:type="pct"/>
                  <w:vMerge w:val="continue"/>
                  <w:tcBorders>
                    <w:tl2br w:val="nil"/>
                    <w:tr2bl w:val="nil"/>
                  </w:tcBorders>
                  <w:vAlign w:val="center"/>
                </w:tcPr>
                <w:p w14:paraId="708F40E1">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c>
                <w:tcPr>
                  <w:tcW w:w="383" w:type="pct"/>
                  <w:vMerge w:val="continue"/>
                  <w:tcBorders>
                    <w:tl2br w:val="nil"/>
                    <w:tr2bl w:val="nil"/>
                  </w:tcBorders>
                  <w:vAlign w:val="center"/>
                </w:tcPr>
                <w:p w14:paraId="6C2CAE96">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603" w:type="pct"/>
                  <w:tcBorders>
                    <w:tl2br w:val="nil"/>
                    <w:tr2bl w:val="nil"/>
                  </w:tcBorders>
                  <w:vAlign w:val="center"/>
                </w:tcPr>
                <w:p w14:paraId="256E578B">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75</w:t>
                  </w:r>
                </w:p>
              </w:tc>
              <w:tc>
                <w:tcPr>
                  <w:tcW w:w="546" w:type="pct"/>
                  <w:vMerge w:val="continue"/>
                  <w:tcBorders>
                    <w:tl2br w:val="nil"/>
                    <w:tr2bl w:val="nil"/>
                  </w:tcBorders>
                  <w:vAlign w:val="center"/>
                </w:tcPr>
                <w:p w14:paraId="542F998F">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175" w:type="dxa"/>
                  <w:tcBorders>
                    <w:tl2br w:val="nil"/>
                    <w:tr2bl w:val="nil"/>
                  </w:tcBorders>
                  <w:vAlign w:val="center"/>
                </w:tcPr>
                <w:p w14:paraId="67C40B3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25</w:t>
                  </w:r>
                </w:p>
              </w:tc>
              <w:tc>
                <w:tcPr>
                  <w:tcW w:w="559" w:type="pct"/>
                  <w:tcBorders>
                    <w:tl2br w:val="nil"/>
                    <w:tr2bl w:val="nil"/>
                  </w:tcBorders>
                  <w:vAlign w:val="center"/>
                </w:tcPr>
                <w:p w14:paraId="643990B3">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50</w:t>
                  </w:r>
                </w:p>
              </w:tc>
              <w:tc>
                <w:tcPr>
                  <w:tcW w:w="465" w:type="pct"/>
                  <w:vMerge w:val="continue"/>
                  <w:tcBorders>
                    <w:tl2br w:val="nil"/>
                    <w:tr2bl w:val="nil"/>
                  </w:tcBorders>
                  <w:vAlign w:val="center"/>
                </w:tcPr>
                <w:p w14:paraId="3232140F">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r>
            <w:tr w14:paraId="355EBC01">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640" w:hRule="atLeast"/>
              </w:trPr>
              <w:tc>
                <w:tcPr>
                  <w:tcW w:w="327" w:type="pct"/>
                  <w:vMerge w:val="continue"/>
                  <w:tcBorders>
                    <w:tl2br w:val="nil"/>
                    <w:tr2bl w:val="nil"/>
                  </w:tcBorders>
                  <w:vAlign w:val="center"/>
                </w:tcPr>
                <w:p w14:paraId="11EC9B6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366" w:type="pct"/>
                  <w:vMerge w:val="continue"/>
                  <w:tcBorders>
                    <w:tl2br w:val="nil"/>
                    <w:tr2bl w:val="nil"/>
                  </w:tcBorders>
                  <w:vAlign w:val="center"/>
                </w:tcPr>
                <w:p w14:paraId="4AD97F60">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635" w:type="pct"/>
                  <w:tcBorders>
                    <w:tl2br w:val="nil"/>
                    <w:tr2bl w:val="nil"/>
                  </w:tcBorders>
                  <w:vAlign w:val="center"/>
                </w:tcPr>
                <w:p w14:paraId="46C8AB25">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摆式</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磨粉机</w:t>
                  </w:r>
                </w:p>
              </w:tc>
              <w:tc>
                <w:tcPr>
                  <w:tcW w:w="392" w:type="pct"/>
                  <w:vMerge w:val="continue"/>
                  <w:tcBorders>
                    <w:tl2br w:val="nil"/>
                    <w:tr2bl w:val="nil"/>
                  </w:tcBorders>
                  <w:vAlign w:val="center"/>
                </w:tcPr>
                <w:p w14:paraId="32CEB4FA">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383" w:type="pct"/>
                  <w:vMerge w:val="continue"/>
                  <w:tcBorders>
                    <w:tl2br w:val="nil"/>
                    <w:tr2bl w:val="nil"/>
                  </w:tcBorders>
                  <w:vAlign w:val="center"/>
                </w:tcPr>
                <w:p w14:paraId="28EDF58E">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603" w:type="pct"/>
                  <w:tcBorders>
                    <w:tl2br w:val="nil"/>
                    <w:tr2bl w:val="nil"/>
                  </w:tcBorders>
                  <w:vAlign w:val="center"/>
                </w:tcPr>
                <w:p w14:paraId="14F5DED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80</w:t>
                  </w:r>
                </w:p>
              </w:tc>
              <w:tc>
                <w:tcPr>
                  <w:tcW w:w="546" w:type="pct"/>
                  <w:vMerge w:val="continue"/>
                  <w:tcBorders>
                    <w:tl2br w:val="nil"/>
                    <w:tr2bl w:val="nil"/>
                  </w:tcBorders>
                  <w:vAlign w:val="center"/>
                </w:tcPr>
                <w:p w14:paraId="59C56E4B">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721" w:type="pct"/>
                  <w:tcBorders>
                    <w:tl2br w:val="nil"/>
                    <w:tr2bl w:val="nil"/>
                  </w:tcBorders>
                  <w:vAlign w:val="center"/>
                </w:tcPr>
                <w:p w14:paraId="1BC2E3C8">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25</w:t>
                  </w:r>
                </w:p>
              </w:tc>
              <w:tc>
                <w:tcPr>
                  <w:tcW w:w="559" w:type="pct"/>
                  <w:tcBorders>
                    <w:tl2br w:val="nil"/>
                    <w:tr2bl w:val="nil"/>
                  </w:tcBorders>
                  <w:vAlign w:val="center"/>
                </w:tcPr>
                <w:p w14:paraId="6B1B070B">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55</w:t>
                  </w:r>
                </w:p>
              </w:tc>
              <w:tc>
                <w:tcPr>
                  <w:tcW w:w="465" w:type="pct"/>
                  <w:vMerge w:val="continue"/>
                  <w:tcBorders>
                    <w:tl2br w:val="nil"/>
                    <w:tr2bl w:val="nil"/>
                  </w:tcBorders>
                  <w:vAlign w:val="center"/>
                </w:tcPr>
                <w:p w14:paraId="6B82CB67">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r>
          </w:tbl>
          <w:p w14:paraId="0B5A6D8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如果声源处于半自由声场，计算公式如下</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3C644B6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1695450" cy="352425"/>
                  <wp:effectExtent l="0" t="0" r="0" b="9525"/>
                  <wp:docPr id="3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2"/>
                          <pic:cNvPicPr>
                            <a:picLocks noChangeAspect="1"/>
                          </pic:cNvPicPr>
                        </pic:nvPicPr>
                        <pic:blipFill>
                          <a:blip r:embed="rId22"/>
                          <a:stretch>
                            <a:fillRect/>
                          </a:stretch>
                        </pic:blipFill>
                        <pic:spPr>
                          <a:xfrm>
                            <a:off x="0" y="0"/>
                            <a:ext cx="1695450" cy="352425"/>
                          </a:xfrm>
                          <a:prstGeom prst="rect">
                            <a:avLst/>
                          </a:prstGeom>
                          <a:noFill/>
                          <a:ln>
                            <a:noFill/>
                          </a:ln>
                        </pic:spPr>
                      </pic:pic>
                    </a:graphicData>
                  </a:graphic>
                </wp:inline>
              </w:drawing>
            </w:r>
          </w:p>
          <w:p w14:paraId="346F486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式中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16970781">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L</w:t>
            </w:r>
            <w:r>
              <w:rPr>
                <w:rFonts w:hint="eastAsia"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p</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(r)</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预测点处声压级，dB</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11537999">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L</w:t>
            </w:r>
            <w:r>
              <w:rPr>
                <w:rFonts w:hint="eastAsia"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w</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由点声源产生的倍频带声功率级，dB</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29F31165">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r—</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预测点距声源的距离。</w:t>
            </w:r>
          </w:p>
          <w:p w14:paraId="3708DC0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噪声贡献值计算公式</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566F272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2838450" cy="628650"/>
                  <wp:effectExtent l="0" t="0" r="0" b="0"/>
                  <wp:docPr id="3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
                          <pic:cNvPicPr>
                            <a:picLocks noChangeAspect="1"/>
                          </pic:cNvPicPr>
                        </pic:nvPicPr>
                        <pic:blipFill>
                          <a:blip r:embed="rId23"/>
                          <a:stretch>
                            <a:fillRect/>
                          </a:stretch>
                        </pic:blipFill>
                        <pic:spPr>
                          <a:xfrm>
                            <a:off x="0" y="0"/>
                            <a:ext cx="2838450" cy="628650"/>
                          </a:xfrm>
                          <a:prstGeom prst="rect">
                            <a:avLst/>
                          </a:prstGeom>
                          <a:noFill/>
                          <a:ln>
                            <a:noFill/>
                          </a:ln>
                        </pic:spPr>
                      </pic:pic>
                    </a:graphicData>
                  </a:graphic>
                </wp:inline>
              </w:drawing>
            </w:r>
          </w:p>
          <w:p w14:paraId="4C50F12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式中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1E9E0DAE">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L</w:t>
            </w:r>
            <w:r>
              <w:rPr>
                <w:rFonts w:hint="default"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e</w:t>
            </w:r>
            <w:r>
              <w:rPr>
                <w:rFonts w:hint="eastAsia"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qg</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建设项目声源在预测点产生的噪声贡献值，dB</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3AC37DE9">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T</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用于计算等效声级的时间，s</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0151AF60">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N</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室外声源个数</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503ED354">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ti—</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在T时间内i声源工作时间，s</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0EA6DD14">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M</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等效室外声源个数</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329FBD84">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ti—</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在T时间内j声源工作时间，s。</w:t>
            </w:r>
          </w:p>
          <w:p w14:paraId="3AA6006F">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噪声预测值计算公式</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71F4E970">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预测点的贡献值和背景值按能量叠加方法计算得到声级。</w:t>
            </w:r>
          </w:p>
          <w:p w14:paraId="7B36B03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噪声预测值计算公式为</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15373F6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2019300" cy="335280"/>
                  <wp:effectExtent l="0" t="0" r="0" b="7620"/>
                  <wp:docPr id="3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4"/>
                          <pic:cNvPicPr>
                            <a:picLocks noChangeAspect="1"/>
                          </pic:cNvPicPr>
                        </pic:nvPicPr>
                        <pic:blipFill>
                          <a:blip r:embed="rId24"/>
                          <a:srcRect t="12000"/>
                          <a:stretch>
                            <a:fillRect/>
                          </a:stretch>
                        </pic:blipFill>
                        <pic:spPr>
                          <a:xfrm>
                            <a:off x="0" y="0"/>
                            <a:ext cx="2019300" cy="335280"/>
                          </a:xfrm>
                          <a:prstGeom prst="rect">
                            <a:avLst/>
                          </a:prstGeom>
                          <a:noFill/>
                          <a:ln>
                            <a:noFill/>
                          </a:ln>
                        </pic:spPr>
                      </pic:pic>
                    </a:graphicData>
                  </a:graphic>
                </wp:inline>
              </w:drawing>
            </w:r>
          </w:p>
          <w:p w14:paraId="04FFCAB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其中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301CBC19">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L</w:t>
            </w:r>
            <w:r>
              <w:rPr>
                <w:rFonts w:hint="default"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e</w:t>
            </w:r>
            <w:r>
              <w:rPr>
                <w:rFonts w:hint="eastAsia"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q</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预测点的噪声预测值，dB</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3877C5AC">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L</w:t>
            </w:r>
            <w:r>
              <w:rPr>
                <w:rFonts w:hint="default"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e</w:t>
            </w:r>
            <w:r>
              <w:rPr>
                <w:rFonts w:hint="eastAsia"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qg</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建设项目声源在预测点产生的噪声贡献值，dB</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34A2CB2E">
            <w:pPr>
              <w:keepNext w:val="0"/>
              <w:keepLines w:val="0"/>
              <w:pageBreakBefore w:val="0"/>
              <w:widowControl w:val="0"/>
              <w:kinsoku/>
              <w:wordWrap/>
              <w:overflowPunct/>
              <w:topLinePunct w:val="0"/>
              <w:autoSpaceDE/>
              <w:autoSpaceDN/>
              <w:bidi w:val="0"/>
              <w:adjustRightInd/>
              <w:snapToGrid w:val="0"/>
              <w:spacing w:line="360" w:lineRule="auto"/>
              <w:ind w:firstLine="960" w:firstLineChars="4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L</w:t>
            </w:r>
            <w:r>
              <w:rPr>
                <w:rFonts w:hint="default"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e</w:t>
            </w:r>
            <w:r>
              <w:rPr>
                <w:rFonts w:hint="eastAsia" w:ascii="Times New Roman" w:hAnsi="Times New Roman" w:eastAsia="宋体" w:cs="Times New Roman"/>
                <w:color w:val="000000" w:themeColor="text1"/>
                <w:sz w:val="24"/>
                <w:szCs w:val="24"/>
                <w:highlight w:val="none"/>
                <w:vertAlign w:val="subscript"/>
                <w:lang w:val="en-US" w:eastAsia="zh-CN"/>
                <w14:textFill>
                  <w14:solidFill>
                    <w14:schemeClr w14:val="tx1"/>
                  </w14:solidFill>
                </w14:textFill>
              </w:rPr>
              <w:t>qb</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预测点的背景噪声值，dB。</w:t>
            </w:r>
          </w:p>
          <w:p w14:paraId="2241C12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经上述公式计算，噪声预测结果见下表。</w:t>
            </w:r>
          </w:p>
          <w:p w14:paraId="69664571">
            <w:pPr>
              <w:keepNext w:val="0"/>
              <w:keepLines w:val="0"/>
              <w:pageBreakBefore w:val="0"/>
              <w:widowControl w:val="0"/>
              <w:kinsoku/>
              <w:wordWrap/>
              <w:overflowPunct/>
              <w:topLinePunct w:val="0"/>
              <w:autoSpaceDE/>
              <w:autoSpaceDN/>
              <w:bidi w:val="0"/>
              <w:adjustRightInd/>
              <w:snapToGrid w:val="0"/>
              <w:spacing w:line="360" w:lineRule="auto"/>
              <w:ind w:firstLine="482" w:firstLineChars="200"/>
              <w:jc w:val="center"/>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表4-</w:t>
            </w:r>
            <w:r>
              <w:rPr>
                <w:rFonts w:hint="eastAsia" w:ascii="Times New Roman" w:hAnsi="Times New Roman" w:cs="Times New Roman"/>
                <w:b/>
                <w:bCs/>
                <w:color w:val="000000" w:themeColor="text1"/>
                <w:sz w:val="24"/>
                <w:szCs w:val="24"/>
                <w:highlight w:val="none"/>
                <w:lang w:val="en-US" w:eastAsia="zh-CN"/>
                <w14:textFill>
                  <w14:solidFill>
                    <w14:schemeClr w14:val="tx1"/>
                  </w14:solidFill>
                </w14:textFill>
              </w:rPr>
              <w:t xml:space="preserve">6 </w:t>
            </w: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 xml:space="preserve"> 厂界噪声预测结果</w:t>
            </w: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t xml:space="preserve">  </w:t>
            </w: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单位</w:t>
            </w: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dB(A)</w:t>
            </w:r>
          </w:p>
          <w:tbl>
            <w:tblPr>
              <w:tblStyle w:val="24"/>
              <w:tblW w:w="4998" w:type="pct"/>
              <w:tblInd w:w="0" w:type="dxa"/>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Layout w:type="fixed"/>
              <w:tblCellMar>
                <w:top w:w="0" w:type="dxa"/>
                <w:left w:w="10" w:type="dxa"/>
                <w:bottom w:w="0" w:type="dxa"/>
                <w:right w:w="10" w:type="dxa"/>
              </w:tblCellMar>
            </w:tblPr>
            <w:tblGrid>
              <w:gridCol w:w="1081"/>
              <w:gridCol w:w="1124"/>
              <w:gridCol w:w="807"/>
              <w:gridCol w:w="776"/>
              <w:gridCol w:w="827"/>
              <w:gridCol w:w="1082"/>
              <w:gridCol w:w="734"/>
              <w:gridCol w:w="850"/>
              <w:gridCol w:w="887"/>
            </w:tblGrid>
            <w:tr w14:paraId="5C3CD264">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400" w:hRule="atLeast"/>
              </w:trPr>
              <w:tc>
                <w:tcPr>
                  <w:tcW w:w="662" w:type="pct"/>
                  <w:vMerge w:val="restart"/>
                  <w:tcBorders>
                    <w:tl2br w:val="nil"/>
                    <w:tr2bl w:val="nil"/>
                  </w:tcBorders>
                  <w:vAlign w:val="center"/>
                </w:tcPr>
                <w:p w14:paraId="4D3F5087">
                  <w:pPr>
                    <w:spacing w:before="275"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测点位置</w:t>
                  </w:r>
                </w:p>
              </w:tc>
              <w:tc>
                <w:tcPr>
                  <w:tcW w:w="2163" w:type="pct"/>
                  <w:gridSpan w:val="4"/>
                  <w:tcBorders>
                    <w:tl2br w:val="nil"/>
                    <w:tr2bl w:val="nil"/>
                  </w:tcBorders>
                  <w:vAlign w:val="center"/>
                </w:tcPr>
                <w:p w14:paraId="4B5215AA">
                  <w:pPr>
                    <w:spacing w:before="0" w:after="0" w:line="211"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昼间</w:t>
                  </w:r>
                </w:p>
              </w:tc>
              <w:tc>
                <w:tcPr>
                  <w:tcW w:w="2174" w:type="pct"/>
                  <w:gridSpan w:val="4"/>
                  <w:tcBorders>
                    <w:tl2br w:val="nil"/>
                    <w:tr2bl w:val="nil"/>
                  </w:tcBorders>
                  <w:vAlign w:val="center"/>
                </w:tcPr>
                <w:p w14:paraId="35EED055">
                  <w:pPr>
                    <w:spacing w:before="0" w:after="0" w:line="211"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夜间</w:t>
                  </w:r>
                </w:p>
              </w:tc>
            </w:tr>
            <w:tr w14:paraId="28275DF2">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540" w:hRule="atLeast"/>
              </w:trPr>
              <w:tc>
                <w:tcPr>
                  <w:tcW w:w="662" w:type="pct"/>
                  <w:vMerge w:val="continue"/>
                  <w:tcBorders>
                    <w:tl2br w:val="nil"/>
                    <w:tr2bl w:val="nil"/>
                  </w:tcBorders>
                  <w:vAlign w:val="center"/>
                </w:tcPr>
                <w:p w14:paraId="1E6D3B5D">
                  <w:pPr>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688" w:type="pct"/>
                  <w:tcBorders>
                    <w:tl2br w:val="nil"/>
                    <w:tr2bl w:val="nil"/>
                  </w:tcBorders>
                  <w:vAlign w:val="center"/>
                </w:tcPr>
                <w:p w14:paraId="544A0152">
                  <w:pPr>
                    <w:spacing w:before="136" w:after="0"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最大贡献值</w:t>
                  </w:r>
                </w:p>
              </w:tc>
              <w:tc>
                <w:tcPr>
                  <w:tcW w:w="494" w:type="pct"/>
                  <w:tcBorders>
                    <w:tl2br w:val="nil"/>
                    <w:tr2bl w:val="nil"/>
                  </w:tcBorders>
                  <w:vAlign w:val="center"/>
                </w:tcPr>
                <w:p w14:paraId="464AA71D">
                  <w:pPr>
                    <w:spacing w:before="97"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现状值</w:t>
                  </w:r>
                </w:p>
              </w:tc>
              <w:tc>
                <w:tcPr>
                  <w:tcW w:w="475" w:type="pct"/>
                  <w:tcBorders>
                    <w:tl2br w:val="nil"/>
                    <w:tr2bl w:val="nil"/>
                  </w:tcBorders>
                  <w:vAlign w:val="center"/>
                </w:tcPr>
                <w:p w14:paraId="744D7BBD">
                  <w:pPr>
                    <w:spacing w:before="97"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叠加值</w:t>
                  </w:r>
                </w:p>
              </w:tc>
              <w:tc>
                <w:tcPr>
                  <w:tcW w:w="505" w:type="pct"/>
                  <w:tcBorders>
                    <w:tl2br w:val="nil"/>
                    <w:tr2bl w:val="nil"/>
                  </w:tcBorders>
                  <w:vAlign w:val="center"/>
                </w:tcPr>
                <w:p w14:paraId="0BF07FCE">
                  <w:pPr>
                    <w:spacing w:before="97"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标准值</w:t>
                  </w:r>
                </w:p>
              </w:tc>
              <w:tc>
                <w:tcPr>
                  <w:tcW w:w="662" w:type="pct"/>
                  <w:tcBorders>
                    <w:tl2br w:val="nil"/>
                    <w:tr2bl w:val="nil"/>
                  </w:tcBorders>
                  <w:vAlign w:val="center"/>
                </w:tcPr>
                <w:p w14:paraId="16267649">
                  <w:pPr>
                    <w:spacing w:before="149" w:after="0" w:line="24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最大贡献值</w:t>
                  </w:r>
                </w:p>
              </w:tc>
              <w:tc>
                <w:tcPr>
                  <w:tcW w:w="449" w:type="pct"/>
                  <w:tcBorders>
                    <w:tl2br w:val="nil"/>
                    <w:tr2bl w:val="nil"/>
                  </w:tcBorders>
                  <w:vAlign w:val="center"/>
                </w:tcPr>
                <w:p w14:paraId="673E9DB8">
                  <w:pPr>
                    <w:spacing w:before="110"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现状值</w:t>
                  </w:r>
                </w:p>
              </w:tc>
              <w:tc>
                <w:tcPr>
                  <w:tcW w:w="520" w:type="pct"/>
                  <w:tcBorders>
                    <w:tl2br w:val="nil"/>
                    <w:tr2bl w:val="nil"/>
                  </w:tcBorders>
                  <w:vAlign w:val="center"/>
                </w:tcPr>
                <w:p w14:paraId="2B35765B">
                  <w:pPr>
                    <w:spacing w:before="97" w:after="0" w:line="239" w:lineRule="auto"/>
                    <w:jc w:val="cente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叠加值</w:t>
                  </w:r>
                </w:p>
              </w:tc>
              <w:tc>
                <w:tcPr>
                  <w:tcW w:w="542" w:type="pct"/>
                  <w:tcBorders>
                    <w:tl2br w:val="nil"/>
                    <w:tr2bl w:val="nil"/>
                  </w:tcBorders>
                  <w:vAlign w:val="center"/>
                </w:tcPr>
                <w:p w14:paraId="01B1475A">
                  <w:pPr>
                    <w:spacing w:before="97"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标准值</w:t>
                  </w:r>
                </w:p>
              </w:tc>
            </w:tr>
            <w:tr w14:paraId="726DAF95">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520" w:hRule="atLeast"/>
              </w:trPr>
              <w:tc>
                <w:tcPr>
                  <w:tcW w:w="662" w:type="pct"/>
                  <w:tcBorders>
                    <w:tl2br w:val="nil"/>
                    <w:tr2bl w:val="nil"/>
                  </w:tcBorders>
                  <w:vAlign w:val="center"/>
                </w:tcPr>
                <w:p w14:paraId="1D98E7AA">
                  <w:pPr>
                    <w:spacing w:before="41"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东侧</w:t>
                  </w:r>
                </w:p>
              </w:tc>
              <w:tc>
                <w:tcPr>
                  <w:tcW w:w="688" w:type="pct"/>
                  <w:tcBorders>
                    <w:tl2br w:val="nil"/>
                    <w:tr2bl w:val="nil"/>
                  </w:tcBorders>
                  <w:vAlign w:val="center"/>
                </w:tcPr>
                <w:p w14:paraId="0730E9D4">
                  <w:pPr>
                    <w:spacing w:before="44" w:after="0" w:line="239"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33.51</w:t>
                  </w:r>
                </w:p>
              </w:tc>
              <w:tc>
                <w:tcPr>
                  <w:tcW w:w="494" w:type="pct"/>
                  <w:tcBorders>
                    <w:tl2br w:val="nil"/>
                    <w:tr2bl w:val="nil"/>
                  </w:tcBorders>
                  <w:vAlign w:val="center"/>
                </w:tcPr>
                <w:p w14:paraId="5721FFD0">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48</w:t>
                  </w:r>
                </w:p>
              </w:tc>
              <w:tc>
                <w:tcPr>
                  <w:tcW w:w="475" w:type="pct"/>
                  <w:tcBorders>
                    <w:tl2br w:val="nil"/>
                    <w:tr2bl w:val="nil"/>
                  </w:tcBorders>
                  <w:vAlign w:val="center"/>
                </w:tcPr>
                <w:p w14:paraId="040860CA">
                  <w:pPr>
                    <w:spacing w:before="24" w:after="0" w:line="239"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48.15</w:t>
                  </w:r>
                </w:p>
              </w:tc>
              <w:tc>
                <w:tcPr>
                  <w:tcW w:w="505" w:type="pct"/>
                  <w:vMerge w:val="restart"/>
                  <w:tcBorders>
                    <w:tl2br w:val="nil"/>
                    <w:tr2bl w:val="nil"/>
                  </w:tcBorders>
                  <w:vAlign w:val="center"/>
                </w:tcPr>
                <w:p w14:paraId="0E9F995D">
                  <w:pPr>
                    <w:spacing w:before="97"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Calibri" w:cs="Times New Roman"/>
                      <w:color w:val="000000" w:themeColor="text1"/>
                      <w:sz w:val="21"/>
                      <w:szCs w:val="21"/>
                      <w:highlight w:val="none"/>
                      <w14:textFill>
                        <w14:solidFill>
                          <w14:schemeClr w14:val="tx1"/>
                        </w14:solidFill>
                      </w14:textFill>
                    </w:rPr>
                    <w:t>60</w:t>
                  </w:r>
                </w:p>
              </w:tc>
              <w:tc>
                <w:tcPr>
                  <w:tcW w:w="662" w:type="pct"/>
                  <w:tcBorders>
                    <w:tl2br w:val="nil"/>
                    <w:tr2bl w:val="nil"/>
                  </w:tcBorders>
                  <w:vAlign w:val="center"/>
                </w:tcPr>
                <w:p w14:paraId="580D6831">
                  <w:pPr>
                    <w:spacing w:before="24" w:after="0" w:line="239"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w:t>
                  </w:r>
                </w:p>
              </w:tc>
              <w:tc>
                <w:tcPr>
                  <w:tcW w:w="449" w:type="pct"/>
                  <w:tcBorders>
                    <w:tl2br w:val="nil"/>
                    <w:tr2bl w:val="nil"/>
                  </w:tcBorders>
                  <w:vAlign w:val="center"/>
                </w:tcPr>
                <w:p w14:paraId="5DE35B44">
                  <w:pPr>
                    <w:spacing w:line="36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40</w:t>
                  </w:r>
                </w:p>
              </w:tc>
              <w:tc>
                <w:tcPr>
                  <w:tcW w:w="860" w:type="dxa"/>
                  <w:tcBorders>
                    <w:tl2br w:val="nil"/>
                    <w:tr2bl w:val="nil"/>
                  </w:tcBorders>
                  <w:vAlign w:val="center"/>
                </w:tcPr>
                <w:p w14:paraId="5E394FB7">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40</w:t>
                  </w:r>
                </w:p>
              </w:tc>
              <w:tc>
                <w:tcPr>
                  <w:tcW w:w="542" w:type="pct"/>
                  <w:vMerge w:val="restart"/>
                  <w:tcBorders>
                    <w:tl2br w:val="nil"/>
                    <w:tr2bl w:val="nil"/>
                  </w:tcBorders>
                  <w:vAlign w:val="center"/>
                </w:tcPr>
                <w:p w14:paraId="57E3B627">
                  <w:pPr>
                    <w:spacing w:before="57"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Calibri" w:cs="Times New Roman"/>
                      <w:color w:val="000000" w:themeColor="text1"/>
                      <w:sz w:val="21"/>
                      <w:szCs w:val="21"/>
                      <w:highlight w:val="none"/>
                      <w14:textFill>
                        <w14:solidFill>
                          <w14:schemeClr w14:val="tx1"/>
                        </w14:solidFill>
                      </w14:textFill>
                    </w:rPr>
                    <w:t>50</w:t>
                  </w:r>
                </w:p>
              </w:tc>
            </w:tr>
            <w:tr w14:paraId="5125C902">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520" w:hRule="atLeast"/>
              </w:trPr>
              <w:tc>
                <w:tcPr>
                  <w:tcW w:w="662" w:type="pct"/>
                  <w:tcBorders>
                    <w:tl2br w:val="nil"/>
                    <w:tr2bl w:val="nil"/>
                  </w:tcBorders>
                  <w:vAlign w:val="center"/>
                </w:tcPr>
                <w:p w14:paraId="71FA6B17">
                  <w:pPr>
                    <w:spacing w:before="65"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南侧</w:t>
                  </w:r>
                </w:p>
              </w:tc>
              <w:tc>
                <w:tcPr>
                  <w:tcW w:w="688" w:type="pct"/>
                  <w:tcBorders>
                    <w:tl2br w:val="nil"/>
                    <w:tr2bl w:val="nil"/>
                  </w:tcBorders>
                  <w:vAlign w:val="center"/>
                </w:tcPr>
                <w:p w14:paraId="65907AD4">
                  <w:pPr>
                    <w:spacing w:before="28" w:after="0" w:line="239"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41.03</w:t>
                  </w:r>
                </w:p>
              </w:tc>
              <w:tc>
                <w:tcPr>
                  <w:tcW w:w="494" w:type="pct"/>
                  <w:tcBorders>
                    <w:tl2br w:val="nil"/>
                    <w:tr2bl w:val="nil"/>
                  </w:tcBorders>
                  <w:vAlign w:val="center"/>
                </w:tcPr>
                <w:p w14:paraId="7A12BCF7">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49</w:t>
                  </w:r>
                </w:p>
              </w:tc>
              <w:tc>
                <w:tcPr>
                  <w:tcW w:w="475" w:type="pct"/>
                  <w:tcBorders>
                    <w:tl2br w:val="nil"/>
                    <w:tr2bl w:val="nil"/>
                  </w:tcBorders>
                  <w:vAlign w:val="center"/>
                </w:tcPr>
                <w:p w14:paraId="67777411">
                  <w:pPr>
                    <w:spacing w:before="28" w:after="0" w:line="239"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49.64</w:t>
                  </w:r>
                </w:p>
              </w:tc>
              <w:tc>
                <w:tcPr>
                  <w:tcW w:w="505" w:type="pct"/>
                  <w:vMerge w:val="continue"/>
                  <w:tcBorders>
                    <w:tl2br w:val="nil"/>
                    <w:tr2bl w:val="nil"/>
                  </w:tcBorders>
                  <w:vAlign w:val="center"/>
                </w:tcPr>
                <w:p w14:paraId="4E53E9BC">
                  <w:pPr>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662" w:type="pct"/>
                  <w:tcBorders>
                    <w:tl2br w:val="nil"/>
                    <w:tr2bl w:val="nil"/>
                  </w:tcBorders>
                  <w:vAlign w:val="center"/>
                </w:tcPr>
                <w:p w14:paraId="67ADB51E">
                  <w:pPr>
                    <w:spacing w:before="28" w:after="0" w:line="239"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w:t>
                  </w:r>
                </w:p>
              </w:tc>
              <w:tc>
                <w:tcPr>
                  <w:tcW w:w="449" w:type="pct"/>
                  <w:tcBorders>
                    <w:tl2br w:val="nil"/>
                    <w:tr2bl w:val="nil"/>
                  </w:tcBorders>
                  <w:vAlign w:val="center"/>
                </w:tcPr>
                <w:p w14:paraId="763AC73A">
                  <w:pPr>
                    <w:spacing w:line="36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41</w:t>
                  </w:r>
                </w:p>
              </w:tc>
              <w:tc>
                <w:tcPr>
                  <w:tcW w:w="860" w:type="dxa"/>
                  <w:tcBorders>
                    <w:tl2br w:val="nil"/>
                    <w:tr2bl w:val="nil"/>
                  </w:tcBorders>
                  <w:vAlign w:val="center"/>
                </w:tcPr>
                <w:p w14:paraId="64F88B9A">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41</w:t>
                  </w:r>
                </w:p>
              </w:tc>
              <w:tc>
                <w:tcPr>
                  <w:tcW w:w="542" w:type="pct"/>
                  <w:vMerge w:val="continue"/>
                  <w:tcBorders>
                    <w:tl2br w:val="nil"/>
                    <w:tr2bl w:val="nil"/>
                  </w:tcBorders>
                  <w:vAlign w:val="center"/>
                </w:tcPr>
                <w:p w14:paraId="0FE012CE">
                  <w:pPr>
                    <w:jc w:val="center"/>
                    <w:rPr>
                      <w:rFonts w:hint="default" w:ascii="Times New Roman" w:hAnsi="Times New Roman" w:cs="Times New Roman"/>
                      <w:color w:val="000000" w:themeColor="text1"/>
                      <w:sz w:val="21"/>
                      <w:szCs w:val="21"/>
                      <w:highlight w:val="none"/>
                      <w14:textFill>
                        <w14:solidFill>
                          <w14:schemeClr w14:val="tx1"/>
                        </w14:solidFill>
                      </w14:textFill>
                    </w:rPr>
                  </w:pPr>
                </w:p>
              </w:tc>
            </w:tr>
            <w:tr w14:paraId="019DDE08">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480" w:hRule="atLeast"/>
              </w:trPr>
              <w:tc>
                <w:tcPr>
                  <w:tcW w:w="662" w:type="pct"/>
                  <w:tcBorders>
                    <w:tl2br w:val="nil"/>
                    <w:tr2bl w:val="nil"/>
                  </w:tcBorders>
                  <w:vAlign w:val="center"/>
                </w:tcPr>
                <w:p w14:paraId="4849ED8E">
                  <w:pPr>
                    <w:spacing w:before="28" w:after="0" w:line="239"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西侧</w:t>
                  </w:r>
                </w:p>
              </w:tc>
              <w:tc>
                <w:tcPr>
                  <w:tcW w:w="688" w:type="pct"/>
                  <w:tcBorders>
                    <w:tl2br w:val="nil"/>
                    <w:tr2bl w:val="nil"/>
                  </w:tcBorders>
                  <w:vAlign w:val="center"/>
                </w:tcPr>
                <w:p w14:paraId="4C0E13C8">
                  <w:pPr>
                    <w:spacing w:before="31" w:after="0" w:line="239"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39.24</w:t>
                  </w:r>
                </w:p>
              </w:tc>
              <w:tc>
                <w:tcPr>
                  <w:tcW w:w="494" w:type="pct"/>
                  <w:tcBorders>
                    <w:tl2br w:val="nil"/>
                    <w:tr2bl w:val="nil"/>
                  </w:tcBorders>
                  <w:vAlign w:val="center"/>
                </w:tcPr>
                <w:p w14:paraId="438FBF29">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50</w:t>
                  </w:r>
                </w:p>
              </w:tc>
              <w:tc>
                <w:tcPr>
                  <w:tcW w:w="475" w:type="pct"/>
                  <w:tcBorders>
                    <w:tl2br w:val="nil"/>
                    <w:tr2bl w:val="nil"/>
                  </w:tcBorders>
                  <w:vAlign w:val="center"/>
                </w:tcPr>
                <w:p w14:paraId="7A41786A">
                  <w:pPr>
                    <w:spacing w:before="11" w:after="0" w:line="239"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50.35</w:t>
                  </w:r>
                </w:p>
              </w:tc>
              <w:tc>
                <w:tcPr>
                  <w:tcW w:w="505" w:type="pct"/>
                  <w:vMerge w:val="continue"/>
                  <w:tcBorders>
                    <w:tl2br w:val="nil"/>
                    <w:tr2bl w:val="nil"/>
                  </w:tcBorders>
                  <w:vAlign w:val="center"/>
                </w:tcPr>
                <w:p w14:paraId="2598A6FD">
                  <w:pPr>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662" w:type="pct"/>
                  <w:tcBorders>
                    <w:tl2br w:val="nil"/>
                    <w:tr2bl w:val="nil"/>
                  </w:tcBorders>
                  <w:vAlign w:val="center"/>
                </w:tcPr>
                <w:p w14:paraId="40546453">
                  <w:pPr>
                    <w:spacing w:before="31" w:after="0" w:line="239"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w:t>
                  </w:r>
                </w:p>
              </w:tc>
              <w:tc>
                <w:tcPr>
                  <w:tcW w:w="449" w:type="pct"/>
                  <w:tcBorders>
                    <w:tl2br w:val="nil"/>
                    <w:tr2bl w:val="nil"/>
                  </w:tcBorders>
                  <w:vAlign w:val="center"/>
                </w:tcPr>
                <w:p w14:paraId="72A181F7">
                  <w:pPr>
                    <w:spacing w:line="36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39</w:t>
                  </w:r>
                </w:p>
              </w:tc>
              <w:tc>
                <w:tcPr>
                  <w:tcW w:w="860" w:type="dxa"/>
                  <w:tcBorders>
                    <w:tl2br w:val="nil"/>
                    <w:tr2bl w:val="nil"/>
                  </w:tcBorders>
                  <w:vAlign w:val="center"/>
                </w:tcPr>
                <w:p w14:paraId="5947802E">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39</w:t>
                  </w:r>
                </w:p>
              </w:tc>
              <w:tc>
                <w:tcPr>
                  <w:tcW w:w="542" w:type="pct"/>
                  <w:vMerge w:val="continue"/>
                  <w:tcBorders>
                    <w:tl2br w:val="nil"/>
                    <w:tr2bl w:val="nil"/>
                  </w:tcBorders>
                  <w:vAlign w:val="center"/>
                </w:tcPr>
                <w:p w14:paraId="1DA1E319">
                  <w:pPr>
                    <w:jc w:val="center"/>
                    <w:rPr>
                      <w:rFonts w:hint="default" w:ascii="Times New Roman" w:hAnsi="Times New Roman" w:cs="Times New Roman"/>
                      <w:color w:val="000000" w:themeColor="text1"/>
                      <w:sz w:val="21"/>
                      <w:szCs w:val="21"/>
                      <w:highlight w:val="none"/>
                      <w14:textFill>
                        <w14:solidFill>
                          <w14:schemeClr w14:val="tx1"/>
                        </w14:solidFill>
                      </w14:textFill>
                    </w:rPr>
                  </w:pPr>
                </w:p>
              </w:tc>
            </w:tr>
            <w:tr w14:paraId="3D55B37E">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400" w:hRule="atLeast"/>
              </w:trPr>
              <w:tc>
                <w:tcPr>
                  <w:tcW w:w="662" w:type="pct"/>
                  <w:tcBorders>
                    <w:tl2br w:val="nil"/>
                    <w:tr2bl w:val="nil"/>
                  </w:tcBorders>
                  <w:vAlign w:val="center"/>
                </w:tcPr>
                <w:p w14:paraId="663669C9">
                  <w:pPr>
                    <w:spacing w:before="0" w:after="0" w:line="22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北侧</w:t>
                  </w:r>
                </w:p>
              </w:tc>
              <w:tc>
                <w:tcPr>
                  <w:tcW w:w="688" w:type="pct"/>
                  <w:tcBorders>
                    <w:tl2br w:val="nil"/>
                    <w:tr2bl w:val="nil"/>
                  </w:tcBorders>
                  <w:vAlign w:val="center"/>
                </w:tcPr>
                <w:p w14:paraId="55CCA2CD">
                  <w:pPr>
                    <w:spacing w:before="0" w:after="0" w:line="235"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40.29</w:t>
                  </w:r>
                </w:p>
              </w:tc>
              <w:tc>
                <w:tcPr>
                  <w:tcW w:w="494" w:type="pct"/>
                  <w:tcBorders>
                    <w:tl2br w:val="nil"/>
                    <w:tr2bl w:val="nil"/>
                  </w:tcBorders>
                  <w:vAlign w:val="center"/>
                </w:tcPr>
                <w:p w14:paraId="24B465F4">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49</w:t>
                  </w:r>
                </w:p>
              </w:tc>
              <w:tc>
                <w:tcPr>
                  <w:tcW w:w="475" w:type="pct"/>
                  <w:tcBorders>
                    <w:tl2br w:val="nil"/>
                    <w:tr2bl w:val="nil"/>
                  </w:tcBorders>
                  <w:vAlign w:val="center"/>
                </w:tcPr>
                <w:p w14:paraId="539C0A3C">
                  <w:pPr>
                    <w:spacing w:before="0" w:after="0" w:line="235"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49.55</w:t>
                  </w:r>
                </w:p>
              </w:tc>
              <w:tc>
                <w:tcPr>
                  <w:tcW w:w="505" w:type="pct"/>
                  <w:vMerge w:val="continue"/>
                  <w:tcBorders>
                    <w:tl2br w:val="nil"/>
                    <w:tr2bl w:val="nil"/>
                  </w:tcBorders>
                  <w:vAlign w:val="center"/>
                </w:tcPr>
                <w:p w14:paraId="7290F6AD">
                  <w:pPr>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662" w:type="pct"/>
                  <w:tcBorders>
                    <w:tl2br w:val="nil"/>
                    <w:tr2bl w:val="nil"/>
                  </w:tcBorders>
                  <w:vAlign w:val="center"/>
                </w:tcPr>
                <w:p w14:paraId="12A52664">
                  <w:pPr>
                    <w:spacing w:before="0" w:after="0" w:line="235"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w:t>
                  </w:r>
                </w:p>
              </w:tc>
              <w:tc>
                <w:tcPr>
                  <w:tcW w:w="449" w:type="pct"/>
                  <w:tcBorders>
                    <w:tl2br w:val="nil"/>
                    <w:tr2bl w:val="nil"/>
                  </w:tcBorders>
                  <w:vAlign w:val="center"/>
                </w:tcPr>
                <w:p w14:paraId="57CB0E9C">
                  <w:pPr>
                    <w:spacing w:line="360" w:lineRule="auto"/>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39</w:t>
                  </w:r>
                </w:p>
              </w:tc>
              <w:tc>
                <w:tcPr>
                  <w:tcW w:w="860" w:type="dxa"/>
                  <w:tcBorders>
                    <w:tl2br w:val="nil"/>
                    <w:tr2bl w:val="nil"/>
                  </w:tcBorders>
                  <w:vAlign w:val="center"/>
                </w:tcPr>
                <w:p w14:paraId="78E3C075">
                  <w:pPr>
                    <w:spacing w:line="36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39</w:t>
                  </w:r>
                </w:p>
              </w:tc>
              <w:tc>
                <w:tcPr>
                  <w:tcW w:w="542" w:type="pct"/>
                  <w:vMerge w:val="continue"/>
                  <w:tcBorders>
                    <w:tl2br w:val="nil"/>
                    <w:tr2bl w:val="nil"/>
                  </w:tcBorders>
                  <w:vAlign w:val="center"/>
                </w:tcPr>
                <w:p w14:paraId="4A119ECC">
                  <w:pPr>
                    <w:jc w:val="center"/>
                    <w:rPr>
                      <w:rFonts w:hint="default" w:ascii="Times New Roman" w:hAnsi="Times New Roman" w:cs="Times New Roman"/>
                      <w:color w:val="000000" w:themeColor="text1"/>
                      <w:sz w:val="21"/>
                      <w:szCs w:val="21"/>
                      <w:highlight w:val="none"/>
                      <w14:textFill>
                        <w14:solidFill>
                          <w14:schemeClr w14:val="tx1"/>
                        </w14:solidFill>
                      </w14:textFill>
                    </w:rPr>
                  </w:pPr>
                </w:p>
              </w:tc>
            </w:tr>
          </w:tbl>
          <w:p w14:paraId="629DFBF7">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5403850" cy="3898900"/>
                  <wp:effectExtent l="0" t="0" r="6350" b="6350"/>
                  <wp:docPr id="2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
                          <pic:cNvPicPr>
                            <a:picLocks noChangeAspect="1"/>
                          </pic:cNvPicPr>
                        </pic:nvPicPr>
                        <pic:blipFill>
                          <a:blip r:embed="rId25"/>
                          <a:stretch>
                            <a:fillRect/>
                          </a:stretch>
                        </pic:blipFill>
                        <pic:spPr>
                          <a:xfrm>
                            <a:off x="0" y="0"/>
                            <a:ext cx="5403850" cy="3898900"/>
                          </a:xfrm>
                          <a:prstGeom prst="rect">
                            <a:avLst/>
                          </a:prstGeom>
                          <a:noFill/>
                          <a:ln>
                            <a:noFill/>
                          </a:ln>
                        </pic:spPr>
                      </pic:pic>
                    </a:graphicData>
                  </a:graphic>
                </wp:inline>
              </w:drawing>
            </w:r>
          </w:p>
          <w:p w14:paraId="44564FED">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kern w:val="0"/>
                <w:sz w:val="24"/>
                <w:szCs w:val="24"/>
                <w:highlight w:val="none"/>
                <w:lang w:val="en-US" w:eastAsia="zh-CN" w:bidi="ar"/>
                <w14:textFill>
                  <w14:solidFill>
                    <w14:schemeClr w14:val="tx1"/>
                  </w14:solidFill>
                </w14:textFill>
              </w:rPr>
              <w:t>图</w:t>
            </w:r>
            <w:r>
              <w:rPr>
                <w:rFonts w:hint="default" w:ascii="Times New Roman" w:hAnsi="Times New Roman" w:eastAsia="宋体" w:cs="Times New Roman"/>
                <w:b/>
                <w:bCs/>
                <w:color w:val="000000" w:themeColor="text1"/>
                <w:kern w:val="0"/>
                <w:sz w:val="24"/>
                <w:szCs w:val="24"/>
                <w:highlight w:val="none"/>
                <w:lang w:val="en-US" w:eastAsia="zh-CN" w:bidi="ar"/>
                <w14:textFill>
                  <w14:solidFill>
                    <w14:schemeClr w14:val="tx1"/>
                  </w14:solidFill>
                </w14:textFill>
              </w:rPr>
              <w:t>4-</w:t>
            </w:r>
            <w:r>
              <w:rPr>
                <w:rFonts w:hint="eastAsia" w:ascii="Times New Roman" w:hAnsi="Times New Roman" w:cs="Times New Roman"/>
                <w:b/>
                <w:bCs/>
                <w:color w:val="000000" w:themeColor="text1"/>
                <w:kern w:val="0"/>
                <w:sz w:val="24"/>
                <w:szCs w:val="24"/>
                <w:highlight w:val="none"/>
                <w:lang w:val="en-US" w:eastAsia="zh-CN" w:bidi="ar"/>
                <w14:textFill>
                  <w14:solidFill>
                    <w14:schemeClr w14:val="tx1"/>
                  </w14:solidFill>
                </w14:textFill>
              </w:rPr>
              <w:t>1</w:t>
            </w:r>
            <w:r>
              <w:rPr>
                <w:rFonts w:hint="default" w:ascii="Times New Roman" w:hAnsi="Times New Roman" w:eastAsia="宋体" w:cs="Times New Roman"/>
                <w:b/>
                <w:bCs/>
                <w:color w:val="000000" w:themeColor="text1"/>
                <w:kern w:val="0"/>
                <w:sz w:val="24"/>
                <w:szCs w:val="24"/>
                <w:highlight w:val="none"/>
                <w:lang w:val="en-US" w:eastAsia="zh-CN" w:bidi="ar"/>
                <w14:textFill>
                  <w14:solidFill>
                    <w14:schemeClr w14:val="tx1"/>
                  </w14:solidFill>
                </w14:textFill>
              </w:rPr>
              <w:t xml:space="preserve"> </w:t>
            </w:r>
            <w:r>
              <w:rPr>
                <w:rFonts w:hint="eastAsia" w:ascii="Times New Roman" w:hAnsi="Times New Roman" w:cs="Times New Roman"/>
                <w:b/>
                <w:bCs/>
                <w:color w:val="000000" w:themeColor="text1"/>
                <w:kern w:val="0"/>
                <w:sz w:val="24"/>
                <w:szCs w:val="24"/>
                <w:highlight w:val="none"/>
                <w:lang w:val="en-US" w:eastAsia="zh-CN" w:bidi="ar"/>
                <w14:textFill>
                  <w14:solidFill>
                    <w14:schemeClr w14:val="tx1"/>
                  </w14:solidFill>
                </w14:textFill>
              </w:rPr>
              <w:t xml:space="preserve"> 厂界噪声</w:t>
            </w:r>
            <w:r>
              <w:rPr>
                <w:rFonts w:hint="eastAsia" w:ascii="宋体" w:hAnsi="宋体" w:cs="宋体"/>
                <w:b/>
                <w:bCs/>
                <w:color w:val="000000" w:themeColor="text1"/>
                <w:kern w:val="0"/>
                <w:sz w:val="24"/>
                <w:szCs w:val="24"/>
                <w:highlight w:val="none"/>
                <w:lang w:val="en-US" w:eastAsia="zh-CN" w:bidi="ar"/>
                <w14:textFill>
                  <w14:solidFill>
                    <w14:schemeClr w14:val="tx1"/>
                  </w14:solidFill>
                </w14:textFill>
              </w:rPr>
              <w:t>预测结果图</w:t>
            </w:r>
          </w:p>
          <w:p w14:paraId="1478A37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污染防治措施及环境影响分析</w:t>
            </w:r>
          </w:p>
          <w:p w14:paraId="4780CD0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为减轻对周围声环境的影响，项目从隔声降噪等方面考虑噪声的防治措施。具体采取的治理措施如下</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7F4B07D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①尽量选用低噪声设备，合理布局</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14:paraId="1C2357B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②生产过程中，加强检查、维护和保养机械设备，保持润滑，紧固各部件，减少运行振动噪声</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风机设置消声器。</w:t>
            </w:r>
          </w:p>
          <w:p w14:paraId="12C6CDA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③控制进入车辆数量，控制行车路线，车辆进出应减速缓行，避免鸣笛，防止对周围住户造成干扰。夜间无运输车辆行驶。</w:t>
            </w:r>
          </w:p>
          <w:p w14:paraId="61558CB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本项目采用低噪声设备，加工设备及设施运行产生的噪声经建筑隔声、基础减振风机设置消声器等措施处理后，厂界噪声能够符合《工业企业厂界环境噪声排放标准》</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GB12348-2008</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表1中</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类标准要求，周围敏感点噪声能够满足《声环境质量标准》</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GB3096-2008</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1</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类，对周围的环境影响较小。</w:t>
            </w:r>
          </w:p>
          <w:p w14:paraId="51D1BE35">
            <w:pPr>
              <w:keepNext w:val="0"/>
              <w:keepLines w:val="0"/>
              <w:pageBreakBefore w:val="0"/>
              <w:widowControl w:val="0"/>
              <w:kinsoku/>
              <w:wordWrap/>
              <w:overflowPunct/>
              <w:topLinePunct w:val="0"/>
              <w:autoSpaceDE/>
              <w:autoSpaceDN/>
              <w:bidi w:val="0"/>
              <w:adjustRightInd/>
              <w:snapToGrid w:val="0"/>
              <w:spacing w:beforeLines="0" w:line="360" w:lineRule="auto"/>
              <w:ind w:left="0" w:firstLine="482" w:firstLineChars="200"/>
              <w:textAlignment w:val="auto"/>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4</w:t>
            </w: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w:t>
            </w:r>
            <w:r>
              <w:rPr>
                <w:rFonts w:hint="eastAsia" w:ascii="Times New Roman" w:hAnsi="Times New Roman" w:cs="Times New Roman"/>
                <w:b/>
                <w:bCs/>
                <w:color w:val="000000" w:themeColor="text1"/>
                <w:highlight w:val="none"/>
                <w:lang w:val="en-US" w:eastAsia="zh-CN"/>
                <w14:textFill>
                  <w14:solidFill>
                    <w14:schemeClr w14:val="tx1"/>
                  </w14:solidFill>
                </w14:textFill>
              </w:rPr>
              <w:t>固体废物影响分析</w:t>
            </w:r>
          </w:p>
          <w:p w14:paraId="6044266B">
            <w:pPr>
              <w:keepNext w:val="0"/>
              <w:keepLines w:val="0"/>
              <w:pageBreakBefore w:val="0"/>
              <w:widowControl w:val="0"/>
              <w:kinsoku/>
              <w:wordWrap/>
              <w:overflowPunct/>
              <w:topLinePunct w:val="0"/>
              <w:autoSpaceDE/>
              <w:autoSpaceDN/>
              <w:bidi w:val="0"/>
              <w:adjustRightInd/>
              <w:snapToGrid w:val="0"/>
              <w:spacing w:beforeLines="0" w:line="360" w:lineRule="auto"/>
              <w:ind w:left="0" w:firstLine="480" w:firstLineChars="200"/>
              <w:textAlignment w:val="auto"/>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highlight w:val="none"/>
                <w:lang w:eastAsia="zh-CN"/>
                <w14:textFill>
                  <w14:solidFill>
                    <w14:schemeClr w14:val="tx1"/>
                  </w14:solidFill>
                </w14:textFill>
              </w:rPr>
              <w:t>（</w:t>
            </w:r>
            <w:r>
              <w:rPr>
                <w:rFonts w:hint="eastAsia" w:ascii="Times New Roman" w:hAnsi="Times New Roman" w:cs="Times New Roman"/>
                <w:color w:val="000000" w:themeColor="text1"/>
                <w:sz w:val="24"/>
                <w:highlight w:val="none"/>
                <w:lang w:val="en-US" w:eastAsia="zh-CN"/>
                <w14:textFill>
                  <w14:solidFill>
                    <w14:schemeClr w14:val="tx1"/>
                  </w14:solidFill>
                </w14:textFill>
              </w:rPr>
              <w:t>1</w:t>
            </w:r>
            <w:r>
              <w:rPr>
                <w:rFonts w:hint="eastAsia" w:ascii="Times New Roman" w:hAnsi="Times New Roman" w:cs="Times New Roman"/>
                <w:color w:val="000000" w:themeColor="text1"/>
                <w:sz w:val="24"/>
                <w:highlight w:val="none"/>
                <w:lang w:eastAsia="zh-CN"/>
                <w14:textFill>
                  <w14:solidFill>
                    <w14:schemeClr w14:val="tx1"/>
                  </w14:solidFill>
                </w14:textFill>
              </w:rPr>
              <w:t>）</w:t>
            </w:r>
            <w:r>
              <w:rPr>
                <w:rFonts w:hint="eastAsia" w:ascii="Times New Roman" w:hAnsi="Times New Roman" w:cs="Times New Roman"/>
                <w:color w:val="000000" w:themeColor="text1"/>
                <w:sz w:val="24"/>
                <w:highlight w:val="none"/>
                <w:lang w:val="en-US" w:eastAsia="zh-CN"/>
                <w14:textFill>
                  <w14:solidFill>
                    <w14:schemeClr w14:val="tx1"/>
                  </w14:solidFill>
                </w14:textFill>
              </w:rPr>
              <w:t>固体废物</w:t>
            </w:r>
          </w:p>
          <w:p w14:paraId="5B8278D6">
            <w:pPr>
              <w:keepNext w:val="0"/>
              <w:keepLines w:val="0"/>
              <w:pageBreakBefore w:val="0"/>
              <w:widowControl w:val="0"/>
              <w:kinsoku/>
              <w:wordWrap/>
              <w:overflowPunct/>
              <w:topLinePunct w:val="0"/>
              <w:autoSpaceDE/>
              <w:autoSpaceDN/>
              <w:bidi w:val="0"/>
              <w:adjustRightInd/>
              <w:snapToGrid w:val="0"/>
              <w:spacing w:beforeLines="0" w:line="360" w:lineRule="auto"/>
              <w:ind w:left="0" w:firstLine="480" w:firstLineChars="200"/>
              <w:textAlignment w:val="auto"/>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运营期间产生的固体废物</w:t>
            </w:r>
            <w:r>
              <w:rPr>
                <w:rFonts w:hint="eastAsia" w:ascii="Times New Roman" w:hAnsi="Times New Roman" w:cs="Times New Roman"/>
                <w:color w:val="000000" w:themeColor="text1"/>
                <w:sz w:val="24"/>
                <w:highlight w:val="none"/>
                <w:lang w:val="en-US" w:eastAsia="zh-CN"/>
                <w14:textFill>
                  <w14:solidFill>
                    <w14:schemeClr w14:val="tx1"/>
                  </w14:solidFill>
                </w14:textFill>
              </w:rPr>
              <w:t>主要为</w:t>
            </w:r>
            <w:r>
              <w:rPr>
                <w:rFonts w:hint="default" w:ascii="Times New Roman" w:hAnsi="Times New Roman" w:cs="Times New Roman"/>
                <w:color w:val="000000" w:themeColor="text1"/>
                <w:sz w:val="24"/>
                <w:highlight w:val="none"/>
                <w:lang w:val="en-US" w:eastAsia="zh-CN"/>
                <w14:textFill>
                  <w14:solidFill>
                    <w14:schemeClr w14:val="tx1"/>
                  </w14:solidFill>
                </w14:textFill>
              </w:rPr>
              <w:t>生活垃圾</w:t>
            </w:r>
            <w:r>
              <w:rPr>
                <w:rFonts w:hint="eastAsia" w:ascii="Times New Roman" w:hAnsi="Times New Roman" w:cs="Times New Roman"/>
                <w:color w:val="000000" w:themeColor="text1"/>
                <w:sz w:val="24"/>
                <w:highlight w:val="none"/>
                <w:lang w:val="en-US" w:eastAsia="zh-CN"/>
                <w14:textFill>
                  <w14:solidFill>
                    <w14:schemeClr w14:val="tx1"/>
                  </w14:solidFill>
                </w14:textFill>
              </w:rPr>
              <w:t>、布袋除尘器收集的粉尘和废布袋</w:t>
            </w:r>
            <w:r>
              <w:rPr>
                <w:rFonts w:hint="default" w:ascii="Times New Roman" w:hAnsi="Times New Roman" w:cs="Times New Roman"/>
                <w:color w:val="000000" w:themeColor="text1"/>
                <w:sz w:val="24"/>
                <w:highlight w:val="none"/>
                <w14:textFill>
                  <w14:solidFill>
                    <w14:schemeClr w14:val="tx1"/>
                  </w14:solidFill>
                </w14:textFill>
              </w:rPr>
              <w:t>。</w:t>
            </w:r>
          </w:p>
          <w:p w14:paraId="7881BDCB">
            <w:pPr>
              <w:keepNext w:val="0"/>
              <w:keepLines w:val="0"/>
              <w:pageBreakBefore w:val="0"/>
              <w:widowControl w:val="0"/>
              <w:kinsoku/>
              <w:wordWrap/>
              <w:overflowPunct/>
              <w:topLinePunct w:val="0"/>
              <w:autoSpaceDE/>
              <w:autoSpaceDN/>
              <w:bidi w:val="0"/>
              <w:adjustRightInd/>
              <w:snapToGrid w:val="0"/>
              <w:spacing w:beforeLines="0" w:line="360" w:lineRule="auto"/>
              <w:ind w:left="0" w:firstLine="480" w:firstLineChars="200"/>
              <w:textAlignment w:val="auto"/>
              <w:rPr>
                <w:rFonts w:hint="default" w:ascii="Times New Roman" w:hAnsi="Times New Roman" w:cs="Times New Roman"/>
                <w:color w:val="000000" w:themeColor="text1"/>
                <w:sz w:val="24"/>
                <w:highlight w:val="none"/>
                <w:lang w:eastAsia="zh-CN"/>
                <w14:textFill>
                  <w14:solidFill>
                    <w14:schemeClr w14:val="tx1"/>
                  </w14:solidFill>
                </w14:textFill>
              </w:rPr>
            </w:pPr>
            <w:r>
              <w:rPr>
                <w:rFonts w:hint="default" w:ascii="Times New Roman" w:hAnsi="Times New Roman" w:cs="Times New Roman"/>
                <w:color w:val="000000" w:themeColor="text1"/>
                <w:sz w:val="24"/>
                <w:highlight w:val="none"/>
                <w:lang w:eastAsia="zh-CN"/>
                <w14:textFill>
                  <w14:solidFill>
                    <w14:schemeClr w14:val="tx1"/>
                  </w14:solidFill>
                </w14:textFill>
              </w:rPr>
              <w:t>本项目设置员工</w:t>
            </w:r>
            <w:r>
              <w:rPr>
                <w:rFonts w:hint="eastAsia" w:ascii="Times New Roman" w:hAnsi="Times New Roman" w:cs="Times New Roman"/>
                <w:color w:val="000000" w:themeColor="text1"/>
                <w:sz w:val="24"/>
                <w:highlight w:val="none"/>
                <w:lang w:val="en-US" w:eastAsia="zh-CN"/>
                <w14:textFill>
                  <w14:solidFill>
                    <w14:schemeClr w14:val="tx1"/>
                  </w14:solidFill>
                </w14:textFill>
              </w:rPr>
              <w:t>4</w:t>
            </w:r>
            <w:r>
              <w:rPr>
                <w:rFonts w:hint="default" w:ascii="Times New Roman" w:hAnsi="Times New Roman" w:cs="Times New Roman"/>
                <w:color w:val="000000" w:themeColor="text1"/>
                <w:sz w:val="24"/>
                <w:highlight w:val="none"/>
                <w:lang w:eastAsia="zh-CN"/>
                <w14:textFill>
                  <w14:solidFill>
                    <w14:schemeClr w14:val="tx1"/>
                  </w14:solidFill>
                </w14:textFill>
              </w:rPr>
              <w:t>人，生产天数300天，</w:t>
            </w:r>
            <w:r>
              <w:rPr>
                <w:rFonts w:hint="default" w:ascii="Times New Roman" w:hAnsi="Times New Roman" w:cs="Times New Roman"/>
                <w:color w:val="000000" w:themeColor="text1"/>
                <w:sz w:val="24"/>
                <w:highlight w:val="none"/>
                <w:lang w:val="en-US" w:eastAsia="zh-CN"/>
                <w14:textFill>
                  <w14:solidFill>
                    <w14:schemeClr w14:val="tx1"/>
                  </w14:solidFill>
                </w14:textFill>
              </w:rPr>
              <w:t>每人每天产生生活垃圾按0.5kg计</w:t>
            </w:r>
            <w:r>
              <w:rPr>
                <w:rFonts w:hint="eastAsia"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cs="Times New Roman"/>
                <w:color w:val="000000" w:themeColor="text1"/>
                <w:sz w:val="24"/>
                <w:highlight w:val="none"/>
                <w:lang w:eastAsia="zh-CN"/>
                <w14:textFill>
                  <w14:solidFill>
                    <w14:schemeClr w14:val="tx1"/>
                  </w14:solidFill>
                </w14:textFill>
              </w:rPr>
              <w:t>生活垃圾产生量为0.</w:t>
            </w:r>
            <w:r>
              <w:rPr>
                <w:rFonts w:hint="eastAsia" w:ascii="Times New Roman" w:hAnsi="Times New Roman" w:cs="Times New Roman"/>
                <w:color w:val="000000" w:themeColor="text1"/>
                <w:sz w:val="24"/>
                <w:highlight w:val="none"/>
                <w:lang w:val="en-US" w:eastAsia="zh-CN"/>
                <w14:textFill>
                  <w14:solidFill>
                    <w14:schemeClr w14:val="tx1"/>
                  </w14:solidFill>
                </w14:textFill>
              </w:rPr>
              <w:t>6</w:t>
            </w:r>
            <w:r>
              <w:rPr>
                <w:rFonts w:hint="default" w:ascii="Times New Roman" w:hAnsi="Times New Roman" w:cs="Times New Roman"/>
                <w:color w:val="000000" w:themeColor="text1"/>
                <w:sz w:val="24"/>
                <w:highlight w:val="none"/>
                <w:lang w:eastAsia="zh-CN"/>
                <w14:textFill>
                  <w14:solidFill>
                    <w14:schemeClr w14:val="tx1"/>
                  </w14:solidFill>
                </w14:textFill>
              </w:rPr>
              <w:t>t</w:t>
            </w:r>
            <w:r>
              <w:rPr>
                <w:rFonts w:hint="eastAsia"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cs="Times New Roman"/>
                <w:color w:val="000000" w:themeColor="text1"/>
                <w:sz w:val="24"/>
                <w:highlight w:val="none"/>
                <w:lang w:eastAsia="zh-CN"/>
                <w14:textFill>
                  <w14:solidFill>
                    <w14:schemeClr w14:val="tx1"/>
                  </w14:solidFill>
                </w14:textFill>
              </w:rPr>
              <w:t>a，</w:t>
            </w:r>
            <w:r>
              <w:rPr>
                <w:rFonts w:hint="default" w:ascii="Times New Roman" w:hAnsi="Times New Roman" w:cs="Times New Roman"/>
                <w:color w:val="000000" w:themeColor="text1"/>
                <w:sz w:val="24"/>
                <w:highlight w:val="none"/>
                <w:lang w:val="en-US" w:eastAsia="zh-CN"/>
                <w14:textFill>
                  <w14:solidFill>
                    <w14:schemeClr w14:val="tx1"/>
                  </w14:solidFill>
                </w14:textFill>
              </w:rPr>
              <w:t>集中收集后，定期运往</w:t>
            </w:r>
            <w:r>
              <w:rPr>
                <w:rFonts w:hint="eastAsia" w:ascii="Times New Roman" w:hAnsi="Times New Roman" w:cs="Times New Roman"/>
                <w:color w:val="000000" w:themeColor="text1"/>
                <w:sz w:val="24"/>
                <w:highlight w:val="none"/>
                <w:lang w:val="en-US" w:eastAsia="zh-CN"/>
                <w14:textFill>
                  <w14:solidFill>
                    <w14:schemeClr w14:val="tx1"/>
                  </w14:solidFill>
                </w14:textFill>
              </w:rPr>
              <w:t>正蓝旗生活垃圾填埋场填埋</w:t>
            </w:r>
            <w:r>
              <w:rPr>
                <w:rFonts w:hint="default" w:ascii="Times New Roman" w:hAnsi="Times New Roman" w:cs="Times New Roman"/>
                <w:color w:val="000000" w:themeColor="text1"/>
                <w:sz w:val="24"/>
                <w:highlight w:val="none"/>
                <w:lang w:val="en-US" w:eastAsia="zh-CN"/>
                <w14:textFill>
                  <w14:solidFill>
                    <w14:schemeClr w14:val="tx1"/>
                  </w14:solidFill>
                </w14:textFill>
              </w:rPr>
              <w:t>处置</w:t>
            </w:r>
            <w:r>
              <w:rPr>
                <w:rFonts w:hint="default" w:ascii="Times New Roman" w:hAnsi="Times New Roman" w:cs="Times New Roman"/>
                <w:color w:val="000000" w:themeColor="text1"/>
                <w:sz w:val="24"/>
                <w:highlight w:val="none"/>
                <w:lang w:eastAsia="zh-CN"/>
                <w14:textFill>
                  <w14:solidFill>
                    <w14:schemeClr w14:val="tx1"/>
                  </w14:solidFill>
                </w14:textFill>
              </w:rPr>
              <w:t>。</w:t>
            </w:r>
          </w:p>
          <w:p w14:paraId="610FAB2C">
            <w:pPr>
              <w:keepNext w:val="0"/>
              <w:keepLines w:val="0"/>
              <w:pageBreakBefore w:val="0"/>
              <w:widowControl w:val="0"/>
              <w:kinsoku/>
              <w:wordWrap/>
              <w:overflowPunct/>
              <w:topLinePunct w:val="0"/>
              <w:autoSpaceDE/>
              <w:autoSpaceDN/>
              <w:bidi w:val="0"/>
              <w:adjustRightInd w:val="0"/>
              <w:snapToGrid w:val="0"/>
              <w:spacing w:beforeLines="0" w:line="360" w:lineRule="auto"/>
              <w:ind w:left="0" w:firstLine="480" w:firstLineChars="200"/>
              <w:jc w:val="left"/>
              <w:textAlignment w:val="auto"/>
              <w:rPr>
                <w:rFonts w:hint="default" w:ascii="Times New Roman" w:hAnsi="Times New Roman" w:cs="Times New Roman"/>
                <w:color w:val="000000" w:themeColor="text1"/>
                <w:sz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highlight w:val="none"/>
                <w:lang w:val="en-US" w:eastAsia="zh-CN"/>
                <w14:textFill>
                  <w14:solidFill>
                    <w14:schemeClr w14:val="tx1"/>
                  </w14:solidFill>
                </w14:textFill>
              </w:rPr>
              <w:t>布</w:t>
            </w:r>
            <w:r>
              <w:rPr>
                <w:rFonts w:hint="default" w:ascii="Times New Roman" w:hAnsi="Times New Roman" w:cs="Times New Roman"/>
                <w:color w:val="000000" w:themeColor="text1"/>
                <w:sz w:val="24"/>
                <w:highlight w:val="none"/>
                <w:lang w:val="en-US" w:eastAsia="zh-CN"/>
                <w14:textFill>
                  <w14:solidFill>
                    <w14:schemeClr w14:val="tx1"/>
                  </w14:solidFill>
                </w14:textFill>
              </w:rPr>
              <w:t>袋除尘器收集的粉尘为</w:t>
            </w:r>
            <w:r>
              <w:rPr>
                <w:rFonts w:hint="eastAsia" w:ascii="Times New Roman" w:hAnsi="Times New Roman" w:cs="Times New Roman"/>
                <w:color w:val="000000" w:themeColor="text1"/>
                <w:sz w:val="24"/>
                <w:highlight w:val="none"/>
                <w:lang w:val="en-US" w:eastAsia="zh-CN"/>
                <w14:textFill>
                  <w14:solidFill>
                    <w14:schemeClr w14:val="tx1"/>
                  </w14:solidFill>
                </w14:textFill>
              </w:rPr>
              <w:t>357.2224</w:t>
            </w:r>
            <w:r>
              <w:rPr>
                <w:rFonts w:hint="default" w:ascii="Times New Roman" w:hAnsi="Times New Roman" w:cs="Times New Roman"/>
                <w:color w:val="000000" w:themeColor="text1"/>
                <w:sz w:val="24"/>
                <w:highlight w:val="none"/>
                <w:lang w:val="en-US" w:eastAsia="zh-CN"/>
                <w14:textFill>
                  <w14:solidFill>
                    <w14:schemeClr w14:val="tx1"/>
                  </w14:solidFill>
                </w14:textFill>
              </w:rPr>
              <w:t>t/a，这些收集的粉尘</w:t>
            </w:r>
            <w:r>
              <w:rPr>
                <w:rFonts w:hint="eastAsia" w:ascii="Times New Roman" w:hAnsi="Times New Roman" w:cs="Times New Roman"/>
                <w:color w:val="000000" w:themeColor="text1"/>
                <w:sz w:val="24"/>
                <w:highlight w:val="none"/>
                <w:lang w:val="en-US" w:eastAsia="zh-CN"/>
                <w14:textFill>
                  <w14:solidFill>
                    <w14:schemeClr w14:val="tx1"/>
                  </w14:solidFill>
                </w14:textFill>
              </w:rPr>
              <w:t>直接作为产品出售。</w:t>
            </w:r>
          </w:p>
          <w:p w14:paraId="04CEA251">
            <w:pPr>
              <w:keepNext w:val="0"/>
              <w:keepLines w:val="0"/>
              <w:pageBreakBefore w:val="0"/>
              <w:widowControl w:val="0"/>
              <w:kinsoku/>
              <w:wordWrap/>
              <w:overflowPunct/>
              <w:topLinePunct w:val="0"/>
              <w:autoSpaceDE/>
              <w:autoSpaceDN/>
              <w:bidi w:val="0"/>
              <w:adjustRightInd w:val="0"/>
              <w:snapToGrid w:val="0"/>
              <w:spacing w:beforeLines="0" w:line="360" w:lineRule="auto"/>
              <w:ind w:left="0" w:firstLine="480" w:firstLineChars="200"/>
              <w:jc w:val="left"/>
              <w:textAlignment w:val="auto"/>
              <w:rPr>
                <w:rFonts w:hint="default" w:ascii="Times New Roman" w:hAnsi="Times New Roman" w:cs="Times New Roman"/>
                <w:color w:val="000000" w:themeColor="text1"/>
                <w:sz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highlight w:val="none"/>
                <w:lang w:val="en-US" w:eastAsia="zh-CN"/>
                <w14:textFill>
                  <w14:solidFill>
                    <w14:schemeClr w14:val="tx1"/>
                  </w14:solidFill>
                </w14:textFill>
              </w:rPr>
              <w:t>生产过程中更换的废布袋，产生量约为0.1</w:t>
            </w:r>
            <w:r>
              <w:rPr>
                <w:rFonts w:hint="default" w:ascii="Times New Roman" w:hAnsi="Times New Roman" w:cs="Times New Roman"/>
                <w:color w:val="000000" w:themeColor="text1"/>
                <w:sz w:val="24"/>
                <w:highlight w:val="none"/>
                <w:lang w:val="en-US" w:eastAsia="zh-CN"/>
                <w14:textFill>
                  <w14:solidFill>
                    <w14:schemeClr w14:val="tx1"/>
                  </w14:solidFill>
                </w14:textFill>
              </w:rPr>
              <w:t>t/a，收集后交由废品回收站处置。</w:t>
            </w:r>
          </w:p>
          <w:p w14:paraId="462D2BA5">
            <w:pPr>
              <w:keepNext w:val="0"/>
              <w:keepLines w:val="0"/>
              <w:pageBreakBefore w:val="0"/>
              <w:widowControl w:val="0"/>
              <w:numPr>
                <w:ilvl w:val="0"/>
                <w:numId w:val="2"/>
              </w:numPr>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固体废物的处置</w:t>
            </w:r>
          </w:p>
          <w:p w14:paraId="779379C0">
            <w:pPr>
              <w:keepNext w:val="0"/>
              <w:keepLines w:val="0"/>
              <w:pageBreakBefore w:val="0"/>
              <w:widowControl w:val="0"/>
              <w:kinsoku/>
              <w:wordWrap/>
              <w:overflowPunct/>
              <w:topLinePunct w:val="0"/>
              <w:autoSpaceDE/>
              <w:autoSpaceDN/>
              <w:bidi w:val="0"/>
              <w:adjustRightInd w:val="0"/>
              <w:snapToGrid w:val="0"/>
              <w:spacing w:beforeLines="0" w:line="360" w:lineRule="auto"/>
              <w:ind w:left="0" w:firstLine="480" w:firstLineChars="200"/>
              <w:jc w:val="left"/>
              <w:textAlignment w:val="auto"/>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项目固废处置方式见表。</w:t>
            </w:r>
          </w:p>
          <w:p w14:paraId="55560AFC">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jc w:val="center"/>
              <w:textAlignment w:val="auto"/>
              <w:rPr>
                <w:rFonts w:hint="eastAsia"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表4-</w:t>
            </w:r>
            <w:r>
              <w:rPr>
                <w:rFonts w:hint="eastAsia" w:ascii="Times New Roman" w:hAnsi="Times New Roman" w:cs="Times New Roman"/>
                <w:b/>
                <w:bCs/>
                <w:color w:val="000000" w:themeColor="text1"/>
                <w:highlight w:val="none"/>
                <w:lang w:val="en-US" w:eastAsia="zh-CN"/>
                <w14:textFill>
                  <w14:solidFill>
                    <w14:schemeClr w14:val="tx1"/>
                  </w14:solidFill>
                </w14:textFill>
              </w:rPr>
              <w:t xml:space="preserve">7 </w:t>
            </w: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 xml:space="preserve"> 固体废物利用处置方式表</w:t>
            </w:r>
          </w:p>
          <w:tbl>
            <w:tblPr>
              <w:tblStyle w:val="24"/>
              <w:tblW w:w="4995" w:type="pct"/>
              <w:tblInd w:w="0" w:type="dxa"/>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Layout w:type="fixed"/>
              <w:tblCellMar>
                <w:top w:w="0" w:type="dxa"/>
                <w:left w:w="10" w:type="dxa"/>
                <w:bottom w:w="0" w:type="dxa"/>
                <w:right w:w="10" w:type="dxa"/>
              </w:tblCellMar>
            </w:tblPr>
            <w:tblGrid>
              <w:gridCol w:w="415"/>
              <w:gridCol w:w="1287"/>
              <w:gridCol w:w="702"/>
              <w:gridCol w:w="1583"/>
              <w:gridCol w:w="1122"/>
              <w:gridCol w:w="1091"/>
              <w:gridCol w:w="1963"/>
            </w:tblGrid>
            <w:tr w14:paraId="36F5AFB4">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1215" w:hRule="atLeast"/>
              </w:trPr>
              <w:tc>
                <w:tcPr>
                  <w:tcW w:w="254" w:type="pct"/>
                  <w:tcBorders>
                    <w:tl2br w:val="nil"/>
                    <w:tr2bl w:val="nil"/>
                  </w:tcBorders>
                  <w:vAlign w:val="center"/>
                </w:tcPr>
                <w:p w14:paraId="226CE3D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序号</w:t>
                  </w:r>
                </w:p>
              </w:tc>
              <w:tc>
                <w:tcPr>
                  <w:tcW w:w="788" w:type="pct"/>
                  <w:tcBorders>
                    <w:tl2br w:val="nil"/>
                    <w:tr2bl w:val="nil"/>
                  </w:tcBorders>
                  <w:vAlign w:val="center"/>
                </w:tcPr>
                <w:p w14:paraId="73B4F11B">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固体废物产生名称</w:t>
                  </w:r>
                </w:p>
              </w:tc>
              <w:tc>
                <w:tcPr>
                  <w:tcW w:w="430" w:type="pct"/>
                  <w:tcBorders>
                    <w:tl2br w:val="nil"/>
                    <w:tr2bl w:val="nil"/>
                  </w:tcBorders>
                  <w:vAlign w:val="center"/>
                </w:tcPr>
                <w:p w14:paraId="3D6E326A">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产生工序</w:t>
                  </w:r>
                </w:p>
              </w:tc>
              <w:tc>
                <w:tcPr>
                  <w:tcW w:w="969" w:type="pct"/>
                  <w:tcBorders>
                    <w:tl2br w:val="nil"/>
                    <w:tr2bl w:val="nil"/>
                  </w:tcBorders>
                  <w:vAlign w:val="center"/>
                </w:tcPr>
                <w:p w14:paraId="76DA1BA2">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属性（危险废物、一般工业固体废物或待鉴别）</w:t>
                  </w:r>
                </w:p>
              </w:tc>
              <w:tc>
                <w:tcPr>
                  <w:tcW w:w="687" w:type="pct"/>
                  <w:tcBorders>
                    <w:tl2br w:val="nil"/>
                    <w:tr2bl w:val="nil"/>
                  </w:tcBorders>
                  <w:vAlign w:val="center"/>
                </w:tcPr>
                <w:p w14:paraId="1C3D30A9">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废物代码</w:t>
                  </w:r>
                </w:p>
              </w:tc>
              <w:tc>
                <w:tcPr>
                  <w:tcW w:w="668" w:type="pct"/>
                  <w:tcBorders>
                    <w:tl2br w:val="nil"/>
                    <w:tr2bl w:val="nil"/>
                  </w:tcBorders>
                  <w:vAlign w:val="center"/>
                </w:tcPr>
                <w:p w14:paraId="54D150D5">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产生量</w:t>
                  </w:r>
                </w:p>
                <w:p w14:paraId="2D5FCD67">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(t/a)</w:t>
                  </w:r>
                </w:p>
              </w:tc>
              <w:tc>
                <w:tcPr>
                  <w:tcW w:w="1201" w:type="pct"/>
                  <w:tcBorders>
                    <w:tl2br w:val="nil"/>
                    <w:tr2bl w:val="nil"/>
                  </w:tcBorders>
                  <w:vAlign w:val="center"/>
                </w:tcPr>
                <w:p w14:paraId="3325F4C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处置方式</w:t>
                  </w:r>
                </w:p>
              </w:tc>
            </w:tr>
            <w:tr w14:paraId="3229EF22">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775" w:hRule="atLeast"/>
              </w:trPr>
              <w:tc>
                <w:tcPr>
                  <w:tcW w:w="254" w:type="pct"/>
                  <w:tcBorders>
                    <w:tl2br w:val="nil"/>
                    <w:tr2bl w:val="nil"/>
                  </w:tcBorders>
                  <w:vAlign w:val="center"/>
                </w:tcPr>
                <w:p w14:paraId="5CB79DB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1</w:t>
                  </w:r>
                </w:p>
              </w:tc>
              <w:tc>
                <w:tcPr>
                  <w:tcW w:w="788" w:type="pct"/>
                  <w:tcBorders>
                    <w:tl2br w:val="nil"/>
                    <w:tr2bl w:val="nil"/>
                  </w:tcBorders>
                  <w:vAlign w:val="center"/>
                </w:tcPr>
                <w:p w14:paraId="756AADBD">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生活垃圾</w:t>
                  </w:r>
                </w:p>
              </w:tc>
              <w:tc>
                <w:tcPr>
                  <w:tcW w:w="430" w:type="pct"/>
                  <w:tcBorders>
                    <w:tl2br w:val="nil"/>
                    <w:tr2bl w:val="nil"/>
                  </w:tcBorders>
                  <w:vAlign w:val="center"/>
                </w:tcPr>
                <w:p w14:paraId="0E82229F">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生活</w:t>
                  </w:r>
                </w:p>
                <w:p w14:paraId="1CBE234E">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过程</w:t>
                  </w:r>
                </w:p>
              </w:tc>
              <w:tc>
                <w:tcPr>
                  <w:tcW w:w="969" w:type="pct"/>
                  <w:tcBorders>
                    <w:tl2br w:val="nil"/>
                    <w:tr2bl w:val="nil"/>
                  </w:tcBorders>
                  <w:vAlign w:val="center"/>
                </w:tcPr>
                <w:p w14:paraId="68EF13A6">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固体废物</w:t>
                  </w:r>
                </w:p>
              </w:tc>
              <w:tc>
                <w:tcPr>
                  <w:tcW w:w="687" w:type="pct"/>
                  <w:tcBorders>
                    <w:tl2br w:val="nil"/>
                    <w:tr2bl w:val="nil"/>
                  </w:tcBorders>
                  <w:vAlign w:val="center"/>
                </w:tcPr>
                <w:p w14:paraId="6137977D">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w:t>
                  </w:r>
                </w:p>
              </w:tc>
              <w:tc>
                <w:tcPr>
                  <w:tcW w:w="668" w:type="pct"/>
                  <w:tcBorders>
                    <w:tl2br w:val="nil"/>
                    <w:tr2bl w:val="nil"/>
                  </w:tcBorders>
                  <w:vAlign w:val="center"/>
                </w:tcPr>
                <w:p w14:paraId="3E3E5AA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0.6</w:t>
                  </w:r>
                </w:p>
              </w:tc>
              <w:tc>
                <w:tcPr>
                  <w:tcW w:w="1201" w:type="pct"/>
                  <w:tcBorders>
                    <w:tl2br w:val="nil"/>
                    <w:tr2bl w:val="nil"/>
                  </w:tcBorders>
                  <w:vAlign w:val="center"/>
                </w:tcPr>
                <w:p w14:paraId="4C73E830">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定期运往正蓝旗生活垃圾填埋场填埋处置</w:t>
                  </w:r>
                </w:p>
              </w:tc>
            </w:tr>
            <w:tr w14:paraId="31B62ECD">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1020" w:hRule="atLeast"/>
              </w:trPr>
              <w:tc>
                <w:tcPr>
                  <w:tcW w:w="254" w:type="pct"/>
                  <w:tcBorders>
                    <w:tl2br w:val="nil"/>
                    <w:tr2bl w:val="nil"/>
                  </w:tcBorders>
                  <w:vAlign w:val="center"/>
                </w:tcPr>
                <w:p w14:paraId="17BD3562">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2</w:t>
                  </w:r>
                </w:p>
              </w:tc>
              <w:tc>
                <w:tcPr>
                  <w:tcW w:w="788" w:type="pct"/>
                  <w:tcBorders>
                    <w:tl2br w:val="nil"/>
                    <w:tr2bl w:val="nil"/>
                  </w:tcBorders>
                  <w:vAlign w:val="center"/>
                </w:tcPr>
                <w:p w14:paraId="5694B049">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布袋收集</w:t>
                  </w:r>
                  <w:r>
                    <w:rPr>
                      <w:rFonts w:hint="eastAsia" w:ascii="Times New Roman" w:hAnsi="Times New Roman" w:cs="Times New Roman"/>
                      <w:color w:val="000000" w:themeColor="text1"/>
                      <w:sz w:val="21"/>
                      <w:szCs w:val="21"/>
                      <w:lang w:val="en-US" w:eastAsia="zh-CN"/>
                      <w14:textFill>
                        <w14:solidFill>
                          <w14:schemeClr w14:val="tx1"/>
                        </w14:solidFill>
                      </w14:textFill>
                    </w:rPr>
                    <w:t>粉</w:t>
                  </w:r>
                  <w:r>
                    <w:rPr>
                      <w:rFonts w:hint="default" w:ascii="Times New Roman" w:hAnsi="Times New Roman" w:eastAsia="宋体" w:cs="Times New Roman"/>
                      <w:color w:val="000000" w:themeColor="text1"/>
                      <w:sz w:val="21"/>
                      <w:szCs w:val="21"/>
                      <w14:textFill>
                        <w14:solidFill>
                          <w14:schemeClr w14:val="tx1"/>
                        </w14:solidFill>
                      </w14:textFill>
                    </w:rPr>
                    <w:t>尘</w:t>
                  </w:r>
                </w:p>
              </w:tc>
              <w:tc>
                <w:tcPr>
                  <w:tcW w:w="430" w:type="pct"/>
                  <w:tcBorders>
                    <w:tl2br w:val="nil"/>
                    <w:tr2bl w:val="nil"/>
                  </w:tcBorders>
                  <w:vAlign w:val="center"/>
                </w:tcPr>
                <w:p w14:paraId="48CEB1CA">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废气治理设施</w:t>
                  </w:r>
                </w:p>
              </w:tc>
              <w:tc>
                <w:tcPr>
                  <w:tcW w:w="969" w:type="pct"/>
                  <w:tcBorders>
                    <w:tl2br w:val="nil"/>
                    <w:tr2bl w:val="nil"/>
                  </w:tcBorders>
                  <w:vAlign w:val="center"/>
                </w:tcPr>
                <w:p w14:paraId="01A1F7C0">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一般工业</w:t>
                  </w:r>
                  <w:r>
                    <w:rPr>
                      <w:rFonts w:hint="eastAsia" w:ascii="Times New Roman" w:hAnsi="Times New Roman" w:eastAsia="宋体" w:cs="Times New Roman"/>
                      <w:color w:val="000000" w:themeColor="text1"/>
                      <w:sz w:val="21"/>
                      <w:szCs w:val="21"/>
                      <w:lang w:eastAsia="zh-CN"/>
                      <w14:textFill>
                        <w14:solidFill>
                          <w14:schemeClr w14:val="tx1"/>
                        </w14:solidFill>
                      </w14:textFill>
                    </w:rPr>
                    <w:t>固体废物</w:t>
                  </w:r>
                </w:p>
              </w:tc>
              <w:tc>
                <w:tcPr>
                  <w:tcW w:w="687" w:type="pct"/>
                  <w:tcBorders>
                    <w:tl2br w:val="nil"/>
                    <w:tr2bl w:val="nil"/>
                  </w:tcBorders>
                  <w:vAlign w:val="center"/>
                </w:tcPr>
                <w:p w14:paraId="0B7BE803">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w:t>
                  </w:r>
                </w:p>
              </w:tc>
              <w:tc>
                <w:tcPr>
                  <w:tcW w:w="668" w:type="pct"/>
                  <w:tcBorders>
                    <w:tl2br w:val="nil"/>
                    <w:tr2bl w:val="nil"/>
                  </w:tcBorders>
                  <w:vAlign w:val="center"/>
                </w:tcPr>
                <w:p w14:paraId="3FF474E9">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357.2224</w:t>
                  </w:r>
                </w:p>
              </w:tc>
              <w:tc>
                <w:tcPr>
                  <w:tcW w:w="1201" w:type="pct"/>
                  <w:tcBorders>
                    <w:tl2br w:val="nil"/>
                    <w:tr2bl w:val="nil"/>
                  </w:tcBorders>
                  <w:vAlign w:val="center"/>
                </w:tcPr>
                <w:p w14:paraId="0033B315">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直接作为产品出售</w:t>
                  </w:r>
                </w:p>
              </w:tc>
            </w:tr>
            <w:tr w14:paraId="0A924D90">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 w:type="dxa"/>
                  <w:bottom w:w="0" w:type="dxa"/>
                  <w:right w:w="10" w:type="dxa"/>
                </w:tblCellMar>
              </w:tblPrEx>
              <w:trPr>
                <w:trHeight w:val="1020" w:hRule="atLeast"/>
              </w:trPr>
              <w:tc>
                <w:tcPr>
                  <w:tcW w:w="254" w:type="pct"/>
                  <w:tcBorders>
                    <w:tl2br w:val="nil"/>
                    <w:tr2bl w:val="nil"/>
                  </w:tcBorders>
                  <w:vAlign w:val="center"/>
                </w:tcPr>
                <w:p w14:paraId="7AB685FA">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3</w:t>
                  </w:r>
                </w:p>
              </w:tc>
              <w:tc>
                <w:tcPr>
                  <w:tcW w:w="788" w:type="pct"/>
                  <w:tcBorders>
                    <w:tl2br w:val="nil"/>
                    <w:tr2bl w:val="nil"/>
                  </w:tcBorders>
                  <w:vAlign w:val="center"/>
                </w:tcPr>
                <w:p w14:paraId="20910E2A">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废布袋</w:t>
                  </w:r>
                </w:p>
              </w:tc>
              <w:tc>
                <w:tcPr>
                  <w:tcW w:w="430" w:type="pct"/>
                  <w:tcBorders>
                    <w:tl2br w:val="nil"/>
                    <w:tr2bl w:val="nil"/>
                  </w:tcBorders>
                  <w:vAlign w:val="center"/>
                </w:tcPr>
                <w:p w14:paraId="5B0E4CD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更换</w:t>
                  </w:r>
                </w:p>
              </w:tc>
              <w:tc>
                <w:tcPr>
                  <w:tcW w:w="969" w:type="pct"/>
                  <w:tcBorders>
                    <w:tl2br w:val="nil"/>
                    <w:tr2bl w:val="nil"/>
                  </w:tcBorders>
                  <w:vAlign w:val="center"/>
                </w:tcPr>
                <w:p w14:paraId="6DE7B23C">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一般固废</w:t>
                  </w:r>
                </w:p>
              </w:tc>
              <w:tc>
                <w:tcPr>
                  <w:tcW w:w="687" w:type="pct"/>
                  <w:tcBorders>
                    <w:tl2br w:val="nil"/>
                    <w:tr2bl w:val="nil"/>
                  </w:tcBorders>
                  <w:vAlign w:val="center"/>
                </w:tcPr>
                <w:p w14:paraId="4BF3CC14">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w:t>
                  </w:r>
                </w:p>
              </w:tc>
              <w:tc>
                <w:tcPr>
                  <w:tcW w:w="668" w:type="pct"/>
                  <w:tcBorders>
                    <w:tl2br w:val="nil"/>
                    <w:tr2bl w:val="nil"/>
                  </w:tcBorders>
                  <w:vAlign w:val="center"/>
                </w:tcPr>
                <w:p w14:paraId="1CB1853B">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0.1</w:t>
                  </w:r>
                </w:p>
              </w:tc>
              <w:tc>
                <w:tcPr>
                  <w:tcW w:w="1201" w:type="pct"/>
                  <w:tcBorders>
                    <w:tl2br w:val="nil"/>
                    <w:tr2bl w:val="nil"/>
                  </w:tcBorders>
                  <w:vAlign w:val="center"/>
                </w:tcPr>
                <w:p w14:paraId="1EBCB7F8">
                  <w:pPr>
                    <w:keepNext w:val="0"/>
                    <w:keepLines w:val="0"/>
                    <w:pageBreakBefore w:val="0"/>
                    <w:widowControl w:val="0"/>
                    <w:kinsoku/>
                    <w:overflowPunct/>
                    <w:topLinePunct w:val="0"/>
                    <w:autoSpaceDE/>
                    <w:autoSpaceDN/>
                    <w:bidi w:val="0"/>
                    <w:adjustRightInd/>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收集后交由废品回收站处置</w:t>
                  </w:r>
                </w:p>
              </w:tc>
            </w:tr>
          </w:tbl>
          <w:p w14:paraId="0E56672E">
            <w:pPr>
              <w:keepNext w:val="0"/>
              <w:keepLines w:val="0"/>
              <w:pageBreakBefore w:val="0"/>
              <w:widowControl w:val="0"/>
              <w:kinsoku/>
              <w:wordWrap/>
              <w:overflowPunct/>
              <w:topLinePunct w:val="0"/>
              <w:autoSpaceDE/>
              <w:autoSpaceDN/>
              <w:bidi w:val="0"/>
              <w:adjustRightInd w:val="0"/>
              <w:snapToGrid w:val="0"/>
              <w:spacing w:beforeLines="0" w:line="360" w:lineRule="auto"/>
              <w:ind w:left="0" w:firstLine="480" w:firstLineChars="200"/>
              <w:jc w:val="left"/>
              <w:textAlignment w:val="auto"/>
              <w:rPr>
                <w:rFonts w:hint="eastAsia"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项目不在厂区内进行设备维修养护，厂区内不产生废机油，综上，本项目所产生的固体废物做到及时收集，妥善处置，本项目一般固体废物满足《一般工业固体废物贮存和填埋污染控制标准》（GB18599-2020）。综上所述，项目运营期间，固体废物不会对外环境造成影响。</w:t>
            </w:r>
          </w:p>
          <w:p w14:paraId="52EB40C4">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5</w:t>
            </w: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、环境风险分析</w:t>
            </w:r>
          </w:p>
          <w:p w14:paraId="340F095F">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color w:val="000000" w:themeColor="text1"/>
                <w:sz w:val="24"/>
                <w:highlight w:val="none"/>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根据</w:t>
            </w:r>
            <w:r>
              <w:rPr>
                <w:rFonts w:hint="eastAsia" w:ascii="Times New Roman" w:hAnsi="Times New Roman" w:cs="宋体"/>
                <w:color w:val="000000" w:themeColor="text1"/>
                <w:sz w:val="24"/>
                <w:highlight w:val="none"/>
                <w:lang w:val="en-US" w:eastAsia="zh-CN"/>
                <w14:textFill>
                  <w14:solidFill>
                    <w14:schemeClr w14:val="tx1"/>
                  </w14:solidFill>
                </w14:textFill>
              </w:rPr>
              <w:t>生态环境部</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2018年10月14日发布的《建设项目环境风险评价技术导则》（HJ 169-2018）要求，对于涉及有毒有害和易燃易爆物质的生产、使用、贮运等建设、改建和技术改造项目进行环境风险评价。</w:t>
            </w:r>
            <w:r>
              <w:rPr>
                <w:rFonts w:hint="default" w:ascii="Times New Roman" w:hAnsi="Times New Roman" w:cs="Times New Roman"/>
                <w:color w:val="000000" w:themeColor="text1"/>
                <w:sz w:val="24"/>
                <w:highlight w:val="none"/>
                <w14:textFill>
                  <w14:solidFill>
                    <w14:schemeClr w14:val="tx1"/>
                  </w14:solidFill>
                </w14:textFill>
              </w:rPr>
              <w:t>风险评价的目的是分析和预测建设项目存在的潜在危险、有害因素</w:t>
            </w:r>
            <w:r>
              <w:rPr>
                <w:rFonts w:hint="eastAsia" w:ascii="Times New Roman" w:hAnsi="Times New Roman" w:cs="Times New Roman"/>
                <w:color w:val="000000" w:themeColor="text1"/>
                <w:sz w:val="24"/>
                <w:highlight w:val="none"/>
                <w:lang w:eastAsia="zh-CN"/>
                <w14:textFill>
                  <w14:solidFill>
                    <w14:schemeClr w14:val="tx1"/>
                  </w14:solidFill>
                </w14:textFill>
              </w:rPr>
              <w:t>，在</w:t>
            </w:r>
            <w:r>
              <w:rPr>
                <w:rFonts w:hint="default" w:ascii="Times New Roman" w:hAnsi="Times New Roman" w:cs="Times New Roman"/>
                <w:color w:val="000000" w:themeColor="text1"/>
                <w:sz w:val="24"/>
                <w:highlight w:val="none"/>
                <w14:textFill>
                  <w14:solidFill>
                    <w14:schemeClr w14:val="tx1"/>
                  </w14:solidFill>
                </w14:textFill>
              </w:rPr>
              <w:t>项目建设和运行期间可预测</w:t>
            </w:r>
            <w:r>
              <w:rPr>
                <w:rFonts w:hint="eastAsia" w:ascii="Times New Roman" w:hAnsi="Times New Roman" w:cs="Times New Roman"/>
                <w:color w:val="000000" w:themeColor="text1"/>
                <w:sz w:val="24"/>
                <w:highlight w:val="none"/>
                <w:lang w:eastAsia="zh-CN"/>
                <w14:textFill>
                  <w14:solidFill>
                    <w14:schemeClr w14:val="tx1"/>
                  </w14:solidFill>
                </w14:textFill>
              </w:rPr>
              <w:t>突发性</w:t>
            </w:r>
            <w:r>
              <w:rPr>
                <w:rFonts w:hint="default" w:ascii="Times New Roman" w:hAnsi="Times New Roman" w:cs="Times New Roman"/>
                <w:color w:val="000000" w:themeColor="text1"/>
                <w:sz w:val="24"/>
                <w:highlight w:val="none"/>
                <w14:textFill>
                  <w14:solidFill>
                    <w14:schemeClr w14:val="tx1"/>
                  </w14:solidFill>
                </w14:textFill>
              </w:rPr>
              <w:t>事故（一般不包括人为破坏及自然灾害），引起有毒有害和易燃易爆等物质泄漏，或突发事件产生的新的有毒有害物质，所造成的人身安全与环境的影响和损害，提出防范、应急与减缓措施。</w:t>
            </w:r>
          </w:p>
          <w:p w14:paraId="272A97C0">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cs="Times New Roman"/>
                <w:b/>
                <w:bCs/>
                <w:color w:val="000000" w:themeColor="text1"/>
                <w:sz w:val="24"/>
                <w:highlight w:val="none"/>
                <w14:textFill>
                  <w14:solidFill>
                    <w14:schemeClr w14:val="tx1"/>
                  </w14:solidFill>
                </w14:textFill>
              </w:rPr>
            </w:pPr>
            <w:r>
              <w:rPr>
                <w:rFonts w:hint="eastAsia" w:ascii="Times New Roman" w:hAnsi="Times New Roman" w:cs="Times New Roman"/>
                <w:b/>
                <w:bCs/>
                <w:color w:val="000000" w:themeColor="text1"/>
                <w:sz w:val="24"/>
                <w:highlight w:val="none"/>
                <w:lang w:val="en-US" w:eastAsia="zh-CN"/>
                <w14:textFill>
                  <w14:solidFill>
                    <w14:schemeClr w14:val="tx1"/>
                  </w14:solidFill>
                </w14:textFill>
              </w:rPr>
              <w:t>5</w:t>
            </w:r>
            <w:r>
              <w:rPr>
                <w:rFonts w:hint="default" w:ascii="Times New Roman" w:hAnsi="Times New Roman" w:cs="Times New Roman"/>
                <w:b/>
                <w:bCs/>
                <w:color w:val="000000" w:themeColor="text1"/>
                <w:sz w:val="24"/>
                <w:highlight w:val="none"/>
                <w14:textFill>
                  <w14:solidFill>
                    <w14:schemeClr w14:val="tx1"/>
                  </w14:solidFill>
                </w14:textFill>
              </w:rPr>
              <w:t>.1风险源项分析</w:t>
            </w:r>
          </w:p>
          <w:p w14:paraId="34BBAB7D">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（1）危险物质及工艺系统危险性（P）的分级确定</w:t>
            </w:r>
          </w:p>
          <w:p w14:paraId="4C1D9B7A">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风险物质识别包括工艺过程中原辅材料、产品、中间产品以及产生的“三废”中属危险化学品及有毒有害物品等。项目不在厂区内进行设备维修养护，厂区内不产生废机油</w:t>
            </w:r>
            <w:r>
              <w:rPr>
                <w:rFonts w:hint="eastAsia" w:ascii="Times New Roman" w:hAnsi="Times New Roman" w:cs="宋体"/>
                <w:color w:val="000000" w:themeColor="text1"/>
                <w:sz w:val="24"/>
                <w:highlight w:val="none"/>
                <w:lang w:val="en-US" w:eastAsia="zh-CN"/>
                <w14:textFill>
                  <w14:solidFill>
                    <w14:schemeClr w14:val="tx1"/>
                  </w14:solidFill>
                </w14:textFill>
              </w:rPr>
              <w:t>，因此</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本项目不涉及突发环境事件风险物质。参照《建设项目环境风险评价技术导则》（HJ169-2018）附录B确定危险物质的临界量。定量分析危险物质数量与临界量的比值（Q）和所属行业及生产工艺特点（M），按照附录C对危险物质及工艺系统危险性（P）等级进行判断。</w:t>
            </w:r>
          </w:p>
          <w:p w14:paraId="2EB9E4A4">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①危险物质数量与临界量的比值（Q）</w:t>
            </w:r>
          </w:p>
          <w:p w14:paraId="12E895D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计算所涉及的每种危险物质在厂界内的最大存在总量与其在附录B中对应临界量的比值Q。在不同厂区的同一种物质，按其在厂界内的最大存在总量计算。</w:t>
            </w:r>
          </w:p>
          <w:p w14:paraId="1A27206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当只涉及一种危险物质时，计算该物质的总量与其临界值比值，即为Q；</w:t>
            </w:r>
          </w:p>
          <w:p w14:paraId="0976AA8B">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当存在多种危险物质时，则按下式计算物质总量与其临界值比值Q；</w:t>
            </w:r>
          </w:p>
          <w:p w14:paraId="1824AA1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jc w:val="center"/>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m:oMathPara>
              <m:oMath>
                <m:r>
                  <m:rPr/>
                  <w:rPr>
                    <w:rFonts w:hint="default" w:ascii="Cambria Math" w:hAnsi="Cambria Math" w:eastAsia="宋体"/>
                    <w:color w:val="000000" w:themeColor="text1"/>
                    <w:szCs w:val="24"/>
                    <w:highlight w:val="none"/>
                    <w14:textFill>
                      <w14:solidFill>
                        <w14:schemeClr w14:val="tx1"/>
                      </w14:solidFill>
                    </w14:textFill>
                  </w:rPr>
                  <m:t>Q</m:t>
                </m:r>
                <m:r>
                  <m:rPr>
                    <m:sty m:val="p"/>
                  </m:rPr>
                  <w:rPr>
                    <w:rFonts w:hint="default" w:ascii="Cambria Math" w:hAnsi="Cambria Math" w:eastAsia="宋体"/>
                    <w:color w:val="000000" w:themeColor="text1"/>
                    <w:szCs w:val="24"/>
                    <w:highlight w:val="none"/>
                    <w14:textFill>
                      <w14:solidFill>
                        <w14:schemeClr w14:val="tx1"/>
                      </w14:solidFill>
                    </w14:textFill>
                  </w:rPr>
                  <m:t>=</m:t>
                </m:r>
                <m:f>
                  <m:fPr>
                    <m:ctrlPr>
                      <w:rPr>
                        <w:rFonts w:hint="default" w:ascii="Cambria Math" w:hAnsi="Cambria Math" w:eastAsia="宋体"/>
                        <w:color w:val="000000" w:themeColor="text1"/>
                        <w:szCs w:val="24"/>
                        <w:highlight w:val="none"/>
                        <w14:textFill>
                          <w14:solidFill>
                            <w14:schemeClr w14:val="tx1"/>
                          </w14:solidFill>
                        </w14:textFill>
                      </w:rPr>
                    </m:ctrlPr>
                  </m:fPr>
                  <m:num>
                    <m:sSub>
                      <m:sSubPr>
                        <m:ctrlPr>
                          <w:rPr>
                            <w:rFonts w:hint="default" w:ascii="Cambria Math" w:hAnsi="Cambria Math" w:eastAsia="宋体"/>
                            <w:i/>
                            <w:color w:val="000000" w:themeColor="text1"/>
                            <w:szCs w:val="24"/>
                            <w:highlight w:val="none"/>
                            <w14:textFill>
                              <w14:solidFill>
                                <w14:schemeClr w14:val="tx1"/>
                              </w14:solidFill>
                            </w14:textFill>
                          </w:rPr>
                        </m:ctrlPr>
                      </m:sSubPr>
                      <m:e>
                        <m:r>
                          <m:rPr/>
                          <w:rPr>
                            <w:rFonts w:hint="default" w:ascii="Cambria Math" w:hAnsi="Cambria Math" w:eastAsia="宋体"/>
                            <w:color w:val="000000" w:themeColor="text1"/>
                            <w:szCs w:val="24"/>
                            <w:highlight w:val="none"/>
                            <w14:textFill>
                              <w14:solidFill>
                                <w14:schemeClr w14:val="tx1"/>
                              </w14:solidFill>
                            </w14:textFill>
                          </w:rPr>
                          <m:t>q</m:t>
                        </m:r>
                        <m:ctrlPr>
                          <w:rPr>
                            <w:rFonts w:hint="default" w:ascii="Cambria Math" w:hAnsi="Cambria Math" w:eastAsia="宋体"/>
                            <w:i/>
                            <w:color w:val="000000" w:themeColor="text1"/>
                            <w:szCs w:val="24"/>
                            <w:highlight w:val="none"/>
                            <w14:textFill>
                              <w14:solidFill>
                                <w14:schemeClr w14:val="tx1"/>
                              </w14:solidFill>
                            </w14:textFill>
                          </w:rPr>
                        </m:ctrlPr>
                      </m:e>
                      <m:sub>
                        <m:r>
                          <m:rPr/>
                          <w:rPr>
                            <w:rFonts w:hint="default" w:ascii="Cambria Math" w:hAnsi="Cambria Math" w:eastAsia="宋体"/>
                            <w:color w:val="000000" w:themeColor="text1"/>
                            <w:szCs w:val="24"/>
                            <w:highlight w:val="none"/>
                            <w14:textFill>
                              <w14:solidFill>
                                <w14:schemeClr w14:val="tx1"/>
                              </w14:solidFill>
                            </w14:textFill>
                          </w:rPr>
                          <m:t>1</m:t>
                        </m:r>
                        <m:ctrlPr>
                          <w:rPr>
                            <w:rFonts w:hint="default" w:ascii="Cambria Math" w:hAnsi="Cambria Math" w:eastAsia="宋体"/>
                            <w:i/>
                            <w:color w:val="000000" w:themeColor="text1"/>
                            <w:szCs w:val="24"/>
                            <w:highlight w:val="none"/>
                            <w14:textFill>
                              <w14:solidFill>
                                <w14:schemeClr w14:val="tx1"/>
                              </w14:solidFill>
                            </w14:textFill>
                          </w:rPr>
                        </m:ctrlPr>
                      </m:sub>
                    </m:sSub>
                    <m:ctrlPr>
                      <w:rPr>
                        <w:rFonts w:hint="default" w:ascii="Cambria Math" w:hAnsi="Cambria Math" w:eastAsia="宋体"/>
                        <w:color w:val="000000" w:themeColor="text1"/>
                        <w:szCs w:val="24"/>
                        <w:highlight w:val="none"/>
                        <w14:textFill>
                          <w14:solidFill>
                            <w14:schemeClr w14:val="tx1"/>
                          </w14:solidFill>
                        </w14:textFill>
                      </w:rPr>
                    </m:ctrlPr>
                  </m:num>
                  <m:den>
                    <m:sSub>
                      <m:sSubPr>
                        <m:ctrlPr>
                          <w:rPr>
                            <w:rFonts w:hint="default" w:ascii="Cambria Math" w:hAnsi="Cambria Math" w:eastAsia="宋体"/>
                            <w:i/>
                            <w:color w:val="000000" w:themeColor="text1"/>
                            <w:szCs w:val="24"/>
                            <w:highlight w:val="none"/>
                            <w14:textFill>
                              <w14:solidFill>
                                <w14:schemeClr w14:val="tx1"/>
                              </w14:solidFill>
                            </w14:textFill>
                          </w:rPr>
                        </m:ctrlPr>
                      </m:sSubPr>
                      <m:e>
                        <m:r>
                          <m:rPr/>
                          <w:rPr>
                            <w:rFonts w:hint="default" w:ascii="Cambria Math" w:hAnsi="Cambria Math" w:eastAsia="宋体"/>
                            <w:color w:val="000000" w:themeColor="text1"/>
                            <w:szCs w:val="24"/>
                            <w:highlight w:val="none"/>
                            <w14:textFill>
                              <w14:solidFill>
                                <w14:schemeClr w14:val="tx1"/>
                              </w14:solidFill>
                            </w14:textFill>
                          </w:rPr>
                          <m:t>Q</m:t>
                        </m:r>
                        <m:ctrlPr>
                          <w:rPr>
                            <w:rFonts w:hint="default" w:ascii="Cambria Math" w:hAnsi="Cambria Math" w:eastAsia="宋体"/>
                            <w:i/>
                            <w:color w:val="000000" w:themeColor="text1"/>
                            <w:szCs w:val="24"/>
                            <w:highlight w:val="none"/>
                            <w14:textFill>
                              <w14:solidFill>
                                <w14:schemeClr w14:val="tx1"/>
                              </w14:solidFill>
                            </w14:textFill>
                          </w:rPr>
                        </m:ctrlPr>
                      </m:e>
                      <m:sub>
                        <m:r>
                          <m:rPr/>
                          <w:rPr>
                            <w:rFonts w:hint="default" w:ascii="Cambria Math" w:hAnsi="Cambria Math" w:eastAsia="宋体"/>
                            <w:color w:val="000000" w:themeColor="text1"/>
                            <w:szCs w:val="24"/>
                            <w:highlight w:val="none"/>
                            <w14:textFill>
                              <w14:solidFill>
                                <w14:schemeClr w14:val="tx1"/>
                              </w14:solidFill>
                            </w14:textFill>
                          </w:rPr>
                          <m:t>1</m:t>
                        </m:r>
                        <m:ctrlPr>
                          <w:rPr>
                            <w:rFonts w:hint="default" w:ascii="Cambria Math" w:hAnsi="Cambria Math" w:eastAsia="宋体"/>
                            <w:i/>
                            <w:color w:val="000000" w:themeColor="text1"/>
                            <w:szCs w:val="24"/>
                            <w:highlight w:val="none"/>
                            <w14:textFill>
                              <w14:solidFill>
                                <w14:schemeClr w14:val="tx1"/>
                              </w14:solidFill>
                            </w14:textFill>
                          </w:rPr>
                        </m:ctrlPr>
                      </m:sub>
                    </m:sSub>
                    <m:ctrlPr>
                      <w:rPr>
                        <w:rFonts w:hint="default" w:ascii="Cambria Math" w:hAnsi="Cambria Math" w:eastAsia="宋体"/>
                        <w:color w:val="000000" w:themeColor="text1"/>
                        <w:szCs w:val="24"/>
                        <w:highlight w:val="none"/>
                        <w14:textFill>
                          <w14:solidFill>
                            <w14:schemeClr w14:val="tx1"/>
                          </w14:solidFill>
                        </w14:textFill>
                      </w:rPr>
                    </m:ctrlPr>
                  </m:den>
                </m:f>
                <m:r>
                  <m:rPr/>
                  <w:rPr>
                    <w:rFonts w:hint="default" w:ascii="Cambria Math" w:hAnsi="Cambria Math" w:eastAsia="宋体"/>
                    <w:color w:val="000000" w:themeColor="text1"/>
                    <w:szCs w:val="24"/>
                    <w:highlight w:val="none"/>
                    <w14:textFill>
                      <w14:solidFill>
                        <w14:schemeClr w14:val="tx1"/>
                      </w14:solidFill>
                    </w14:textFill>
                  </w:rPr>
                  <m:t>+</m:t>
                </m:r>
                <m:f>
                  <m:fPr>
                    <m:ctrlPr>
                      <w:rPr>
                        <w:rFonts w:hint="default" w:ascii="Cambria Math" w:hAnsi="Cambria Math" w:eastAsia="宋体"/>
                        <w:i/>
                        <w:color w:val="000000" w:themeColor="text1"/>
                        <w:szCs w:val="24"/>
                        <w:highlight w:val="none"/>
                        <w14:textFill>
                          <w14:solidFill>
                            <w14:schemeClr w14:val="tx1"/>
                          </w14:solidFill>
                        </w14:textFill>
                      </w:rPr>
                    </m:ctrlPr>
                  </m:fPr>
                  <m:num>
                    <m:sSub>
                      <m:sSubPr>
                        <m:ctrlPr>
                          <w:rPr>
                            <w:rFonts w:hint="default" w:ascii="Cambria Math" w:hAnsi="Cambria Math" w:eastAsia="宋体"/>
                            <w:i/>
                            <w:color w:val="000000" w:themeColor="text1"/>
                            <w:szCs w:val="24"/>
                            <w:highlight w:val="none"/>
                            <w14:textFill>
                              <w14:solidFill>
                                <w14:schemeClr w14:val="tx1"/>
                              </w14:solidFill>
                            </w14:textFill>
                          </w:rPr>
                        </m:ctrlPr>
                      </m:sSubPr>
                      <m:e>
                        <m:r>
                          <m:rPr/>
                          <w:rPr>
                            <w:rFonts w:hint="default" w:ascii="Cambria Math" w:hAnsi="Cambria Math" w:eastAsia="宋体"/>
                            <w:color w:val="000000" w:themeColor="text1"/>
                            <w:szCs w:val="24"/>
                            <w:highlight w:val="none"/>
                            <w14:textFill>
                              <w14:solidFill>
                                <w14:schemeClr w14:val="tx1"/>
                              </w14:solidFill>
                            </w14:textFill>
                          </w:rPr>
                          <m:t>q</m:t>
                        </m:r>
                        <m:ctrlPr>
                          <w:rPr>
                            <w:rFonts w:hint="default" w:ascii="Cambria Math" w:hAnsi="Cambria Math" w:eastAsia="宋体"/>
                            <w:i/>
                            <w:color w:val="000000" w:themeColor="text1"/>
                            <w:szCs w:val="24"/>
                            <w:highlight w:val="none"/>
                            <w14:textFill>
                              <w14:solidFill>
                                <w14:schemeClr w14:val="tx1"/>
                              </w14:solidFill>
                            </w14:textFill>
                          </w:rPr>
                        </m:ctrlPr>
                      </m:e>
                      <m:sub>
                        <m:r>
                          <m:rPr/>
                          <w:rPr>
                            <w:rFonts w:hint="default" w:ascii="Cambria Math" w:hAnsi="Cambria Math" w:eastAsia="宋体"/>
                            <w:color w:val="000000" w:themeColor="text1"/>
                            <w:szCs w:val="24"/>
                            <w:highlight w:val="none"/>
                            <w14:textFill>
                              <w14:solidFill>
                                <w14:schemeClr w14:val="tx1"/>
                              </w14:solidFill>
                            </w14:textFill>
                          </w:rPr>
                          <m:t>2</m:t>
                        </m:r>
                        <m:ctrlPr>
                          <w:rPr>
                            <w:rFonts w:hint="default" w:ascii="Cambria Math" w:hAnsi="Cambria Math" w:eastAsia="宋体"/>
                            <w:i/>
                            <w:color w:val="000000" w:themeColor="text1"/>
                            <w:szCs w:val="24"/>
                            <w:highlight w:val="none"/>
                            <w14:textFill>
                              <w14:solidFill>
                                <w14:schemeClr w14:val="tx1"/>
                              </w14:solidFill>
                            </w14:textFill>
                          </w:rPr>
                        </m:ctrlPr>
                      </m:sub>
                    </m:sSub>
                    <m:ctrlPr>
                      <w:rPr>
                        <w:rFonts w:hint="default" w:ascii="Cambria Math" w:hAnsi="Cambria Math" w:eastAsia="宋体"/>
                        <w:i/>
                        <w:color w:val="000000" w:themeColor="text1"/>
                        <w:szCs w:val="24"/>
                        <w:highlight w:val="none"/>
                        <w14:textFill>
                          <w14:solidFill>
                            <w14:schemeClr w14:val="tx1"/>
                          </w14:solidFill>
                        </w14:textFill>
                      </w:rPr>
                    </m:ctrlPr>
                  </m:num>
                  <m:den>
                    <m:sSub>
                      <m:sSubPr>
                        <m:ctrlPr>
                          <w:rPr>
                            <w:rFonts w:hint="default" w:ascii="Cambria Math" w:hAnsi="Cambria Math" w:eastAsia="宋体"/>
                            <w:i/>
                            <w:color w:val="000000" w:themeColor="text1"/>
                            <w:szCs w:val="24"/>
                            <w:highlight w:val="none"/>
                            <w14:textFill>
                              <w14:solidFill>
                                <w14:schemeClr w14:val="tx1"/>
                              </w14:solidFill>
                            </w14:textFill>
                          </w:rPr>
                        </m:ctrlPr>
                      </m:sSubPr>
                      <m:e>
                        <m:r>
                          <m:rPr/>
                          <w:rPr>
                            <w:rFonts w:hint="default" w:ascii="Cambria Math" w:hAnsi="Cambria Math" w:eastAsia="宋体"/>
                            <w:color w:val="000000" w:themeColor="text1"/>
                            <w:szCs w:val="24"/>
                            <w:highlight w:val="none"/>
                            <w14:textFill>
                              <w14:solidFill>
                                <w14:schemeClr w14:val="tx1"/>
                              </w14:solidFill>
                            </w14:textFill>
                          </w:rPr>
                          <m:t>Q</m:t>
                        </m:r>
                        <m:ctrlPr>
                          <w:rPr>
                            <w:rFonts w:hint="default" w:ascii="Cambria Math" w:hAnsi="Cambria Math" w:eastAsia="宋体"/>
                            <w:i/>
                            <w:color w:val="000000" w:themeColor="text1"/>
                            <w:szCs w:val="24"/>
                            <w:highlight w:val="none"/>
                            <w14:textFill>
                              <w14:solidFill>
                                <w14:schemeClr w14:val="tx1"/>
                              </w14:solidFill>
                            </w14:textFill>
                          </w:rPr>
                        </m:ctrlPr>
                      </m:e>
                      <m:sub>
                        <m:r>
                          <m:rPr/>
                          <w:rPr>
                            <w:rFonts w:hint="default" w:ascii="Cambria Math" w:hAnsi="Cambria Math" w:eastAsia="宋体"/>
                            <w:color w:val="000000" w:themeColor="text1"/>
                            <w:szCs w:val="24"/>
                            <w:highlight w:val="none"/>
                            <w14:textFill>
                              <w14:solidFill>
                                <w14:schemeClr w14:val="tx1"/>
                              </w14:solidFill>
                            </w14:textFill>
                          </w:rPr>
                          <m:t>2</m:t>
                        </m:r>
                        <m:ctrlPr>
                          <w:rPr>
                            <w:rFonts w:hint="default" w:ascii="Cambria Math" w:hAnsi="Cambria Math" w:eastAsia="宋体"/>
                            <w:i/>
                            <w:color w:val="000000" w:themeColor="text1"/>
                            <w:szCs w:val="24"/>
                            <w:highlight w:val="none"/>
                            <w14:textFill>
                              <w14:solidFill>
                                <w14:schemeClr w14:val="tx1"/>
                              </w14:solidFill>
                            </w14:textFill>
                          </w:rPr>
                        </m:ctrlPr>
                      </m:sub>
                    </m:sSub>
                    <m:ctrlPr>
                      <w:rPr>
                        <w:rFonts w:hint="default" w:ascii="Cambria Math" w:hAnsi="Cambria Math" w:eastAsia="宋体"/>
                        <w:i/>
                        <w:color w:val="000000" w:themeColor="text1"/>
                        <w:szCs w:val="24"/>
                        <w:highlight w:val="none"/>
                        <w14:textFill>
                          <w14:solidFill>
                            <w14:schemeClr w14:val="tx1"/>
                          </w14:solidFill>
                        </w14:textFill>
                      </w:rPr>
                    </m:ctrlPr>
                  </m:den>
                </m:f>
                <m:r>
                  <m:rPr/>
                  <w:rPr>
                    <w:rFonts w:hint="default" w:ascii="Cambria Math" w:hAnsi="Cambria Math" w:eastAsia="宋体"/>
                    <w:color w:val="000000" w:themeColor="text1"/>
                    <w:szCs w:val="24"/>
                    <w:highlight w:val="none"/>
                    <w14:textFill>
                      <w14:solidFill>
                        <w14:schemeClr w14:val="tx1"/>
                      </w14:solidFill>
                    </w14:textFill>
                  </w:rPr>
                  <m:t>+⋯+</m:t>
                </m:r>
                <m:f>
                  <m:fPr>
                    <m:ctrlPr>
                      <w:rPr>
                        <w:rFonts w:hint="default" w:ascii="Cambria Math" w:hAnsi="Cambria Math" w:eastAsia="宋体"/>
                        <w:i/>
                        <w:color w:val="000000" w:themeColor="text1"/>
                        <w:szCs w:val="24"/>
                        <w:highlight w:val="none"/>
                        <w14:textFill>
                          <w14:solidFill>
                            <w14:schemeClr w14:val="tx1"/>
                          </w14:solidFill>
                        </w14:textFill>
                      </w:rPr>
                    </m:ctrlPr>
                  </m:fPr>
                  <m:num>
                    <m:sSub>
                      <m:sSubPr>
                        <m:ctrlPr>
                          <w:rPr>
                            <w:rFonts w:hint="default" w:ascii="Cambria Math" w:hAnsi="Cambria Math" w:eastAsia="宋体"/>
                            <w:i/>
                            <w:color w:val="000000" w:themeColor="text1"/>
                            <w:szCs w:val="24"/>
                            <w:highlight w:val="none"/>
                            <w14:textFill>
                              <w14:solidFill>
                                <w14:schemeClr w14:val="tx1"/>
                              </w14:solidFill>
                            </w14:textFill>
                          </w:rPr>
                        </m:ctrlPr>
                      </m:sSubPr>
                      <m:e>
                        <m:r>
                          <m:rPr/>
                          <w:rPr>
                            <w:rFonts w:hint="default" w:ascii="Cambria Math" w:hAnsi="Cambria Math" w:eastAsia="宋体"/>
                            <w:color w:val="000000" w:themeColor="text1"/>
                            <w:szCs w:val="24"/>
                            <w:highlight w:val="none"/>
                            <w14:textFill>
                              <w14:solidFill>
                                <w14:schemeClr w14:val="tx1"/>
                              </w14:solidFill>
                            </w14:textFill>
                          </w:rPr>
                          <m:t>q</m:t>
                        </m:r>
                        <m:ctrlPr>
                          <w:rPr>
                            <w:rFonts w:hint="default" w:ascii="Cambria Math" w:hAnsi="Cambria Math" w:eastAsia="宋体"/>
                            <w:i/>
                            <w:color w:val="000000" w:themeColor="text1"/>
                            <w:szCs w:val="24"/>
                            <w:highlight w:val="none"/>
                            <w14:textFill>
                              <w14:solidFill>
                                <w14:schemeClr w14:val="tx1"/>
                              </w14:solidFill>
                            </w14:textFill>
                          </w:rPr>
                        </m:ctrlPr>
                      </m:e>
                      <m:sub>
                        <m:r>
                          <m:rPr/>
                          <w:rPr>
                            <w:rFonts w:hint="default" w:ascii="Cambria Math" w:hAnsi="Cambria Math" w:eastAsia="宋体"/>
                            <w:color w:val="000000" w:themeColor="text1"/>
                            <w:szCs w:val="24"/>
                            <w:highlight w:val="none"/>
                            <w14:textFill>
                              <w14:solidFill>
                                <w14:schemeClr w14:val="tx1"/>
                              </w14:solidFill>
                            </w14:textFill>
                          </w:rPr>
                          <m:t>n</m:t>
                        </m:r>
                        <m:ctrlPr>
                          <w:rPr>
                            <w:rFonts w:hint="default" w:ascii="Cambria Math" w:hAnsi="Cambria Math" w:eastAsia="宋体"/>
                            <w:i/>
                            <w:color w:val="000000" w:themeColor="text1"/>
                            <w:szCs w:val="24"/>
                            <w:highlight w:val="none"/>
                            <w14:textFill>
                              <w14:solidFill>
                                <w14:schemeClr w14:val="tx1"/>
                              </w14:solidFill>
                            </w14:textFill>
                          </w:rPr>
                        </m:ctrlPr>
                      </m:sub>
                    </m:sSub>
                    <m:ctrlPr>
                      <w:rPr>
                        <w:rFonts w:hint="default" w:ascii="Cambria Math" w:hAnsi="Cambria Math" w:eastAsia="宋体"/>
                        <w:i/>
                        <w:color w:val="000000" w:themeColor="text1"/>
                        <w:szCs w:val="24"/>
                        <w:highlight w:val="none"/>
                        <w14:textFill>
                          <w14:solidFill>
                            <w14:schemeClr w14:val="tx1"/>
                          </w14:solidFill>
                        </w14:textFill>
                      </w:rPr>
                    </m:ctrlPr>
                  </m:num>
                  <m:den>
                    <m:sSub>
                      <m:sSubPr>
                        <m:ctrlPr>
                          <w:rPr>
                            <w:rFonts w:hint="default" w:ascii="Cambria Math" w:hAnsi="Cambria Math" w:eastAsia="宋体"/>
                            <w:i/>
                            <w:color w:val="000000" w:themeColor="text1"/>
                            <w:szCs w:val="24"/>
                            <w:highlight w:val="none"/>
                            <w14:textFill>
                              <w14:solidFill>
                                <w14:schemeClr w14:val="tx1"/>
                              </w14:solidFill>
                            </w14:textFill>
                          </w:rPr>
                        </m:ctrlPr>
                      </m:sSubPr>
                      <m:e>
                        <m:r>
                          <m:rPr/>
                          <w:rPr>
                            <w:rFonts w:hint="default" w:ascii="Cambria Math" w:hAnsi="Cambria Math" w:eastAsia="宋体"/>
                            <w:color w:val="000000" w:themeColor="text1"/>
                            <w:szCs w:val="24"/>
                            <w:highlight w:val="none"/>
                            <w14:textFill>
                              <w14:solidFill>
                                <w14:schemeClr w14:val="tx1"/>
                              </w14:solidFill>
                            </w14:textFill>
                          </w:rPr>
                          <m:t>Q</m:t>
                        </m:r>
                        <m:ctrlPr>
                          <w:rPr>
                            <w:rFonts w:hint="default" w:ascii="Cambria Math" w:hAnsi="Cambria Math" w:eastAsia="宋体"/>
                            <w:i/>
                            <w:color w:val="000000" w:themeColor="text1"/>
                            <w:szCs w:val="24"/>
                            <w:highlight w:val="none"/>
                            <w14:textFill>
                              <w14:solidFill>
                                <w14:schemeClr w14:val="tx1"/>
                              </w14:solidFill>
                            </w14:textFill>
                          </w:rPr>
                        </m:ctrlPr>
                      </m:e>
                      <m:sub>
                        <m:r>
                          <m:rPr/>
                          <w:rPr>
                            <w:rFonts w:hint="default" w:ascii="Cambria Math" w:hAnsi="Cambria Math" w:eastAsia="宋体"/>
                            <w:color w:val="000000" w:themeColor="text1"/>
                            <w:szCs w:val="24"/>
                            <w:highlight w:val="none"/>
                            <w14:textFill>
                              <w14:solidFill>
                                <w14:schemeClr w14:val="tx1"/>
                              </w14:solidFill>
                            </w14:textFill>
                          </w:rPr>
                          <m:t>n</m:t>
                        </m:r>
                        <m:ctrlPr>
                          <w:rPr>
                            <w:rFonts w:hint="default" w:ascii="Cambria Math" w:hAnsi="Cambria Math" w:eastAsia="宋体"/>
                            <w:i/>
                            <w:color w:val="000000" w:themeColor="text1"/>
                            <w:szCs w:val="24"/>
                            <w:highlight w:val="none"/>
                            <w14:textFill>
                              <w14:solidFill>
                                <w14:schemeClr w14:val="tx1"/>
                              </w14:solidFill>
                            </w14:textFill>
                          </w:rPr>
                        </m:ctrlPr>
                      </m:sub>
                    </m:sSub>
                    <m:ctrlPr>
                      <w:rPr>
                        <w:rFonts w:hint="default" w:ascii="Cambria Math" w:hAnsi="Cambria Math" w:eastAsia="宋体"/>
                        <w:i/>
                        <w:color w:val="000000" w:themeColor="text1"/>
                        <w:szCs w:val="24"/>
                        <w:highlight w:val="none"/>
                        <w14:textFill>
                          <w14:solidFill>
                            <w14:schemeClr w14:val="tx1"/>
                          </w14:solidFill>
                        </w14:textFill>
                      </w:rPr>
                    </m:ctrlPr>
                  </m:den>
                </m:f>
              </m:oMath>
            </m:oMathPara>
          </w:p>
          <w:p w14:paraId="1FCDF73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式中：q</w:t>
            </w:r>
            <w:r>
              <w:rPr>
                <w:rFonts w:hint="eastAsia" w:ascii="Times New Roman" w:hAnsi="Times New Roman" w:eastAsia="宋体" w:cs="宋体"/>
                <w:color w:val="000000" w:themeColor="text1"/>
                <w:sz w:val="24"/>
                <w:highlight w:val="none"/>
                <w:vertAlign w:val="subscript"/>
                <w:lang w:val="en-US" w:eastAsia="zh-CN"/>
                <w14:textFill>
                  <w14:solidFill>
                    <w14:schemeClr w14:val="tx1"/>
                  </w14:solidFill>
                </w14:textFill>
              </w:rPr>
              <w:t>1</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，q</w:t>
            </w:r>
            <w:r>
              <w:rPr>
                <w:rFonts w:hint="eastAsia" w:ascii="Times New Roman" w:hAnsi="Times New Roman" w:eastAsia="宋体" w:cs="宋体"/>
                <w:color w:val="000000" w:themeColor="text1"/>
                <w:sz w:val="24"/>
                <w:highlight w:val="none"/>
                <w:vertAlign w:val="subscript"/>
                <w:lang w:val="en-US" w:eastAsia="zh-CN"/>
                <w14:textFill>
                  <w14:solidFill>
                    <w14:schemeClr w14:val="tx1"/>
                  </w14:solidFill>
                </w14:textFill>
              </w:rPr>
              <w:t>2</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，…，q</w:t>
            </w:r>
            <w:r>
              <w:rPr>
                <w:rFonts w:hint="eastAsia" w:ascii="Times New Roman" w:hAnsi="Times New Roman" w:eastAsia="宋体" w:cs="宋体"/>
                <w:color w:val="000000" w:themeColor="text1"/>
                <w:sz w:val="24"/>
                <w:highlight w:val="none"/>
                <w:vertAlign w:val="subscript"/>
                <w:lang w:val="en-US" w:eastAsia="zh-CN"/>
                <w14:textFill>
                  <w14:solidFill>
                    <w14:schemeClr w14:val="tx1"/>
                  </w14:solidFill>
                </w14:textFill>
              </w:rPr>
              <w:t>n</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——每种危险物质的最大存在总量，t；</w:t>
            </w:r>
          </w:p>
          <w:p w14:paraId="630308D6">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Q</w:t>
            </w:r>
            <w:r>
              <w:rPr>
                <w:rFonts w:hint="eastAsia" w:ascii="Times New Roman" w:hAnsi="Times New Roman" w:eastAsia="宋体" w:cs="宋体"/>
                <w:color w:val="000000" w:themeColor="text1"/>
                <w:sz w:val="24"/>
                <w:highlight w:val="none"/>
                <w:vertAlign w:val="subscript"/>
                <w:lang w:val="en-US" w:eastAsia="zh-CN"/>
                <w14:textFill>
                  <w14:solidFill>
                    <w14:schemeClr w14:val="tx1"/>
                  </w14:solidFill>
                </w14:textFill>
              </w:rPr>
              <w:t>1</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，Q</w:t>
            </w:r>
            <w:r>
              <w:rPr>
                <w:rFonts w:hint="eastAsia" w:ascii="Times New Roman" w:hAnsi="Times New Roman" w:eastAsia="宋体" w:cs="宋体"/>
                <w:color w:val="000000" w:themeColor="text1"/>
                <w:sz w:val="24"/>
                <w:highlight w:val="none"/>
                <w:vertAlign w:val="subscript"/>
                <w:lang w:val="en-US" w:eastAsia="zh-CN"/>
                <w14:textFill>
                  <w14:solidFill>
                    <w14:schemeClr w14:val="tx1"/>
                  </w14:solidFill>
                </w14:textFill>
              </w:rPr>
              <w:t>2</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，…，Q</w:t>
            </w:r>
            <w:r>
              <w:rPr>
                <w:rFonts w:hint="eastAsia" w:ascii="Times New Roman" w:hAnsi="Times New Roman" w:eastAsia="宋体" w:cs="宋体"/>
                <w:color w:val="000000" w:themeColor="text1"/>
                <w:sz w:val="24"/>
                <w:highlight w:val="none"/>
                <w:vertAlign w:val="subscript"/>
                <w:lang w:val="en-US" w:eastAsia="zh-CN"/>
                <w14:textFill>
                  <w14:solidFill>
                    <w14:schemeClr w14:val="tx1"/>
                  </w14:solidFill>
                </w14:textFill>
              </w:rPr>
              <w:t>n</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——每种危险物质的临界量，t；</w:t>
            </w:r>
          </w:p>
          <w:p w14:paraId="1D11BD6D">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当Q&lt;1时，该项目环境风险潜势为Ⅰ。</w:t>
            </w:r>
          </w:p>
          <w:p w14:paraId="21808CBC">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当Q≥1时，将Q值划分为：（1）1≤Q&lt;10；（2）10≤Q&lt;100（3）Q≥100</w:t>
            </w:r>
          </w:p>
          <w:p w14:paraId="14E41ACF">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本项目原辅材料不涉及《建设项目环境风险评价技术导则》（HJ169-2018）附录B确定的危险物质，本项目环境风险潜势为Ⅰ。根据表</w:t>
            </w:r>
            <w:r>
              <w:rPr>
                <w:rFonts w:hint="eastAsia" w:ascii="Times New Roman" w:hAnsi="Times New Roman" w:cs="宋体"/>
                <w:color w:val="000000" w:themeColor="text1"/>
                <w:sz w:val="24"/>
                <w:highlight w:val="none"/>
                <w:lang w:val="en-US" w:eastAsia="zh-CN"/>
                <w14:textFill>
                  <w14:solidFill>
                    <w14:schemeClr w14:val="tx1"/>
                  </w14:solidFill>
                </w14:textFill>
              </w:rPr>
              <w:t>4-7</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，本项目的环境风险评价等级为简单分析，按照《建设项目环境风险评价技术导则》（HJ169-2018）附录A要求在描述危险物质、环境影响途径、环境危害后果、风险防范措施等方面给出定性说明。</w:t>
            </w:r>
          </w:p>
          <w:p w14:paraId="2EC53461">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表</w:t>
            </w:r>
            <w:r>
              <w:rPr>
                <w:rFonts w:hint="eastAsia" w:ascii="Times New Roman" w:hAnsi="Times New Roman" w:cs="宋体"/>
                <w:b/>
                <w:bCs/>
                <w:color w:val="000000" w:themeColor="text1"/>
                <w:sz w:val="24"/>
                <w:highlight w:val="none"/>
                <w:lang w:val="en-US" w:eastAsia="zh-CN"/>
                <w14:textFill>
                  <w14:solidFill>
                    <w14:schemeClr w14:val="tx1"/>
                  </w14:solidFill>
                </w14:textFill>
              </w:rPr>
              <w:t>4-8</w:t>
            </w: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 xml:space="preserve">  环境风险评价工作等级划分</w:t>
            </w:r>
          </w:p>
          <w:tbl>
            <w:tblPr>
              <w:tblStyle w:val="24"/>
              <w:tblW w:w="7979" w:type="dxa"/>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0"/>
              <w:gridCol w:w="1781"/>
              <w:gridCol w:w="1512"/>
              <w:gridCol w:w="1512"/>
              <w:gridCol w:w="1534"/>
            </w:tblGrid>
            <w:tr w14:paraId="000D52E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1640" w:type="dxa"/>
                  <w:tcBorders>
                    <w:tl2br w:val="nil"/>
                    <w:tr2bl w:val="nil"/>
                  </w:tcBorders>
                  <w:noWrap w:val="0"/>
                  <w:vAlign w:val="center"/>
                </w:tcPr>
                <w:p w14:paraId="60F1BAE7">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环境风险潜势</w:t>
                  </w:r>
                </w:p>
              </w:tc>
              <w:tc>
                <w:tcPr>
                  <w:tcW w:w="1781" w:type="dxa"/>
                  <w:tcBorders>
                    <w:tl2br w:val="nil"/>
                    <w:tr2bl w:val="nil"/>
                  </w:tcBorders>
                  <w:noWrap w:val="0"/>
                  <w:vAlign w:val="center"/>
                </w:tcPr>
                <w:p w14:paraId="2AF5FD8C">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Ⅳ、Ⅳ+</w:t>
                  </w:r>
                </w:p>
              </w:tc>
              <w:tc>
                <w:tcPr>
                  <w:tcW w:w="1512" w:type="dxa"/>
                  <w:tcBorders>
                    <w:tl2br w:val="nil"/>
                    <w:tr2bl w:val="nil"/>
                  </w:tcBorders>
                  <w:noWrap w:val="0"/>
                  <w:vAlign w:val="center"/>
                </w:tcPr>
                <w:p w14:paraId="757AA9D1">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Ⅲ</w:t>
                  </w:r>
                </w:p>
              </w:tc>
              <w:tc>
                <w:tcPr>
                  <w:tcW w:w="1512" w:type="dxa"/>
                  <w:tcBorders>
                    <w:tl2br w:val="nil"/>
                    <w:tr2bl w:val="nil"/>
                  </w:tcBorders>
                  <w:noWrap w:val="0"/>
                  <w:vAlign w:val="center"/>
                </w:tcPr>
                <w:p w14:paraId="68F10904">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Ⅱ</w:t>
                  </w:r>
                </w:p>
              </w:tc>
              <w:tc>
                <w:tcPr>
                  <w:tcW w:w="1534" w:type="dxa"/>
                  <w:tcBorders>
                    <w:tl2br w:val="nil"/>
                    <w:tr2bl w:val="nil"/>
                  </w:tcBorders>
                  <w:noWrap w:val="0"/>
                  <w:vAlign w:val="center"/>
                </w:tcPr>
                <w:p w14:paraId="494F6C9D">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Ⅰ</w:t>
                  </w:r>
                </w:p>
              </w:tc>
            </w:tr>
            <w:tr w14:paraId="46140FD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1640" w:type="dxa"/>
                  <w:tcBorders>
                    <w:tl2br w:val="nil"/>
                    <w:tr2bl w:val="nil"/>
                  </w:tcBorders>
                  <w:noWrap w:val="0"/>
                  <w:vAlign w:val="center"/>
                </w:tcPr>
                <w:p w14:paraId="2FF5C02B">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评价工作等级</w:t>
                  </w:r>
                </w:p>
              </w:tc>
              <w:tc>
                <w:tcPr>
                  <w:tcW w:w="1781" w:type="dxa"/>
                  <w:tcBorders>
                    <w:tl2br w:val="nil"/>
                    <w:tr2bl w:val="nil"/>
                  </w:tcBorders>
                  <w:noWrap w:val="0"/>
                  <w:vAlign w:val="center"/>
                </w:tcPr>
                <w:p w14:paraId="717FA797">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一</w:t>
                  </w:r>
                </w:p>
              </w:tc>
              <w:tc>
                <w:tcPr>
                  <w:tcW w:w="1512" w:type="dxa"/>
                  <w:tcBorders>
                    <w:tl2br w:val="nil"/>
                    <w:tr2bl w:val="nil"/>
                  </w:tcBorders>
                  <w:noWrap w:val="0"/>
                  <w:vAlign w:val="center"/>
                </w:tcPr>
                <w:p w14:paraId="140AF4CA">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二</w:t>
                  </w:r>
                </w:p>
              </w:tc>
              <w:tc>
                <w:tcPr>
                  <w:tcW w:w="1512" w:type="dxa"/>
                  <w:tcBorders>
                    <w:tl2br w:val="nil"/>
                    <w:tr2bl w:val="nil"/>
                  </w:tcBorders>
                  <w:noWrap w:val="0"/>
                  <w:vAlign w:val="center"/>
                </w:tcPr>
                <w:p w14:paraId="5DA00240">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三</w:t>
                  </w:r>
                </w:p>
              </w:tc>
              <w:tc>
                <w:tcPr>
                  <w:tcW w:w="1534" w:type="dxa"/>
                  <w:tcBorders>
                    <w:tl2br w:val="nil"/>
                    <w:tr2bl w:val="nil"/>
                  </w:tcBorders>
                  <w:noWrap w:val="0"/>
                  <w:vAlign w:val="center"/>
                </w:tcPr>
                <w:p w14:paraId="3D1A10B6">
                  <w:pPr>
                    <w:spacing w:line="480" w:lineRule="exact"/>
                    <w:jc w:val="cente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简单分析</w:t>
                  </w:r>
                  <w:r>
                    <w:rPr>
                      <w:rFonts w:hint="eastAsia" w:ascii="Times New Roman" w:hAnsi="Times New Roman" w:eastAsia="宋体" w:cs="宋体"/>
                      <w:color w:val="000000" w:themeColor="text1"/>
                      <w:sz w:val="21"/>
                      <w:szCs w:val="21"/>
                      <w:highlight w:val="none"/>
                      <w:vertAlign w:val="superscript"/>
                      <w:lang w:val="en-US" w:eastAsia="zh-CN"/>
                      <w14:textFill>
                        <w14:solidFill>
                          <w14:schemeClr w14:val="tx1"/>
                        </w14:solidFill>
                      </w14:textFill>
                    </w:rPr>
                    <w:t>a</w:t>
                  </w:r>
                </w:p>
              </w:tc>
            </w:tr>
            <w:tr w14:paraId="51C9395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7979" w:type="dxa"/>
                  <w:gridSpan w:val="5"/>
                  <w:tcBorders>
                    <w:tl2br w:val="nil"/>
                    <w:tr2bl w:val="nil"/>
                  </w:tcBorders>
                  <w:noWrap w:val="0"/>
                  <w:vAlign w:val="center"/>
                </w:tcPr>
                <w:p w14:paraId="1608481F">
                  <w:pPr>
                    <w:spacing w:line="480" w:lineRule="exact"/>
                    <w:jc w:val="left"/>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a 是相对于详细评价工作内容而言，在描述危险物质、环境影响途径、环境危害后果、风险防范措施等方面给出定性说明。</w:t>
                  </w:r>
                </w:p>
              </w:tc>
            </w:tr>
          </w:tbl>
          <w:p w14:paraId="48E9F683">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pPr>
            <w:r>
              <w:rPr>
                <w:rFonts w:hint="eastAsia" w:ascii="Times New Roman" w:hAnsi="Times New Roman" w:cs="宋体"/>
                <w:b/>
                <w:bCs/>
                <w:color w:val="000000" w:themeColor="text1"/>
                <w:sz w:val="24"/>
                <w:highlight w:val="none"/>
                <w:lang w:val="en-US" w:eastAsia="zh-CN"/>
                <w14:textFill>
                  <w14:solidFill>
                    <w14:schemeClr w14:val="tx1"/>
                  </w14:solidFill>
                </w14:textFill>
              </w:rPr>
              <w:t>5</w:t>
            </w: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.2风险防范措施</w:t>
            </w:r>
          </w:p>
          <w:p w14:paraId="5B50C115">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pPr>
            <w:r>
              <w:rPr>
                <w:rFonts w:hint="eastAsia" w:ascii="Times New Roman" w:hAnsi="Times New Roman" w:cs="宋体"/>
                <w:b/>
                <w:bCs/>
                <w:color w:val="000000" w:themeColor="text1"/>
                <w:sz w:val="24"/>
                <w:highlight w:val="none"/>
                <w:lang w:val="en-US" w:eastAsia="zh-CN"/>
                <w14:textFill>
                  <w14:solidFill>
                    <w14:schemeClr w14:val="tx1"/>
                  </w14:solidFill>
                </w14:textFill>
              </w:rPr>
              <w:t>5</w:t>
            </w: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.2.</w:t>
            </w:r>
            <w:r>
              <w:rPr>
                <w:rFonts w:hint="eastAsia" w:ascii="Times New Roman" w:hAnsi="Times New Roman" w:cs="宋体"/>
                <w:b/>
                <w:bCs/>
                <w:color w:val="000000" w:themeColor="text1"/>
                <w:sz w:val="24"/>
                <w:highlight w:val="none"/>
                <w:lang w:val="en-US" w:eastAsia="zh-CN"/>
                <w14:textFill>
                  <w14:solidFill>
                    <w14:schemeClr w14:val="tx1"/>
                  </w14:solidFill>
                </w14:textFill>
              </w:rPr>
              <w:t>1</w:t>
            </w: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风险防范措施</w:t>
            </w:r>
          </w:p>
          <w:p w14:paraId="1DBAFD0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①管理方面</w:t>
            </w:r>
            <w:r>
              <w:rPr>
                <w:rFonts w:hint="eastAsia" w:ascii="Times New Roman" w:hAnsi="Times New Roman" w:cs="宋体"/>
                <w:color w:val="000000" w:themeColor="text1"/>
                <w:sz w:val="24"/>
                <w:highlight w:val="none"/>
                <w:lang w:val="en-US" w:eastAsia="zh-CN"/>
                <w14:textFill>
                  <w14:solidFill>
                    <w14:schemeClr w14:val="tx1"/>
                  </w14:solidFill>
                </w14:textFill>
              </w:rPr>
              <w:t>：</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配备环保负责人员，通过技能培训，承担该公司运行中的环保安全工作，操作人员必须经过专门培训，严格遵守安全操作规程和消防安全管理制度，远离火种、热源，工作场所严禁吸烟。</w:t>
            </w:r>
          </w:p>
          <w:p w14:paraId="1B41A81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②监控方面</w:t>
            </w:r>
            <w:r>
              <w:rPr>
                <w:rFonts w:hint="eastAsia" w:ascii="Times New Roman" w:hAnsi="Times New Roman" w:cs="宋体"/>
                <w:color w:val="000000" w:themeColor="text1"/>
                <w:sz w:val="24"/>
                <w:highlight w:val="none"/>
                <w:lang w:val="en-US" w:eastAsia="zh-CN"/>
                <w14:textFill>
                  <w14:solidFill>
                    <w14:schemeClr w14:val="tx1"/>
                  </w14:solidFill>
                </w14:textFill>
              </w:rPr>
              <w:t>：</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厂内设置摄像头监控。</w:t>
            </w:r>
          </w:p>
          <w:p w14:paraId="5FE0F2A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③全厂采用电话报警系统，以及发泡灭火装置等灭火设施。</w:t>
            </w:r>
          </w:p>
          <w:p w14:paraId="6D92A63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④专职人员巡查</w:t>
            </w:r>
            <w:r>
              <w:rPr>
                <w:rFonts w:hint="eastAsia" w:ascii="Times New Roman" w:hAnsi="Times New Roman" w:cs="宋体"/>
                <w:color w:val="000000" w:themeColor="text1"/>
                <w:sz w:val="24"/>
                <w:highlight w:val="none"/>
                <w:lang w:val="en-US" w:eastAsia="zh-CN"/>
                <w14:textFill>
                  <w14:solidFill>
                    <w14:schemeClr w14:val="tx1"/>
                  </w14:solidFill>
                </w14:textFill>
              </w:rPr>
              <w:t>：</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通过操作人员，做到人员的巡查路线、频率符合危险源检查的要求，从而及时发现现场隐患，及时消除，确保安全生产。</w:t>
            </w:r>
          </w:p>
          <w:p w14:paraId="7415795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发生着火的应急措施包括</w:t>
            </w:r>
            <w:r>
              <w:rPr>
                <w:rFonts w:hint="eastAsia" w:ascii="Times New Roman" w:hAnsi="Times New Roman" w:cs="宋体"/>
                <w:color w:val="000000" w:themeColor="text1"/>
                <w:sz w:val="24"/>
                <w:highlight w:val="none"/>
                <w:lang w:val="en-US" w:eastAsia="zh-CN"/>
                <w14:textFill>
                  <w14:solidFill>
                    <w14:schemeClr w14:val="tx1"/>
                  </w14:solidFill>
                </w14:textFill>
              </w:rPr>
              <w:t>：</w:t>
            </w:r>
          </w:p>
          <w:p w14:paraId="64F6B42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①发现着火者立即通知公司应急指挥小组</w:t>
            </w:r>
            <w:r>
              <w:rPr>
                <w:rFonts w:hint="eastAsia" w:ascii="Times New Roman" w:hAnsi="Times New Roman" w:cs="宋体"/>
                <w:color w:val="000000" w:themeColor="text1"/>
                <w:sz w:val="24"/>
                <w:highlight w:val="none"/>
                <w:lang w:val="en-US" w:eastAsia="zh-CN"/>
                <w14:textFill>
                  <w14:solidFill>
                    <w14:schemeClr w14:val="tx1"/>
                  </w14:solidFill>
                </w14:textFill>
              </w:rPr>
              <w:t>；</w:t>
            </w:r>
          </w:p>
          <w:p w14:paraId="19C20FE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②应急指挥小组首先通知综合协调员到现场确认事故情况，确定应急处理措施及方案</w:t>
            </w:r>
            <w:r>
              <w:rPr>
                <w:rFonts w:hint="eastAsia" w:ascii="Times New Roman" w:hAnsi="Times New Roman" w:cs="宋体"/>
                <w:color w:val="000000" w:themeColor="text1"/>
                <w:sz w:val="24"/>
                <w:highlight w:val="none"/>
                <w:lang w:val="en-US" w:eastAsia="zh-CN"/>
                <w14:textFill>
                  <w14:solidFill>
                    <w14:schemeClr w14:val="tx1"/>
                  </w14:solidFill>
                </w14:textFill>
              </w:rPr>
              <w:t>；</w:t>
            </w:r>
          </w:p>
          <w:p w14:paraId="30C9BEA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③公司应急指挥小组根据现场查勘情况，组织各成员实施紧急应急预案，同时联系消防队等相关部门</w:t>
            </w:r>
            <w:r>
              <w:rPr>
                <w:rFonts w:hint="eastAsia" w:ascii="Times New Roman" w:hAnsi="Times New Roman" w:cs="宋体"/>
                <w:color w:val="000000" w:themeColor="text1"/>
                <w:sz w:val="24"/>
                <w:highlight w:val="none"/>
                <w:lang w:val="en-US" w:eastAsia="zh-CN"/>
                <w14:textFill>
                  <w14:solidFill>
                    <w14:schemeClr w14:val="tx1"/>
                  </w14:solidFill>
                </w14:textFill>
              </w:rPr>
              <w:t>；</w:t>
            </w:r>
          </w:p>
          <w:p w14:paraId="7F856D3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④由公司应急指挥小组将事故情况向相关管理部门报告</w:t>
            </w:r>
            <w:r>
              <w:rPr>
                <w:rFonts w:hint="eastAsia" w:ascii="Times New Roman" w:hAnsi="Times New Roman" w:cs="宋体"/>
                <w:color w:val="000000" w:themeColor="text1"/>
                <w:sz w:val="24"/>
                <w:highlight w:val="none"/>
                <w:lang w:val="en-US" w:eastAsia="zh-CN"/>
                <w14:textFill>
                  <w14:solidFill>
                    <w14:schemeClr w14:val="tx1"/>
                  </w14:solidFill>
                </w14:textFill>
              </w:rPr>
              <w:t>；</w:t>
            </w:r>
          </w:p>
          <w:p w14:paraId="20E3C6E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⑤医疗救助员组织现场的无关人员立即撤离事故现场，增援现场的受伤人员</w:t>
            </w:r>
            <w:r>
              <w:rPr>
                <w:rFonts w:hint="eastAsia" w:ascii="Times New Roman" w:hAnsi="Times New Roman" w:cs="宋体"/>
                <w:color w:val="000000" w:themeColor="text1"/>
                <w:sz w:val="24"/>
                <w:highlight w:val="none"/>
                <w:lang w:val="en-US" w:eastAsia="zh-CN"/>
                <w14:textFill>
                  <w14:solidFill>
                    <w14:schemeClr w14:val="tx1"/>
                  </w14:solidFill>
                </w14:textFill>
              </w:rPr>
              <w:t>；</w:t>
            </w:r>
          </w:p>
          <w:p w14:paraId="621504A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废气处理设施故障防范措施</w:t>
            </w:r>
          </w:p>
          <w:p w14:paraId="10D09ED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①平时加强废气处理设施的维护保养，及时发现处理设备的隐患，并及时进行维修，确保废气处理系统正常运行，若遇到事故排放无法及时处理时，必须停产检修，避免事故排放对环境造成不利影响</w:t>
            </w:r>
            <w:r>
              <w:rPr>
                <w:rFonts w:hint="eastAsia" w:ascii="Times New Roman" w:hAnsi="Times New Roman" w:cs="宋体"/>
                <w:color w:val="000000" w:themeColor="text1"/>
                <w:sz w:val="24"/>
                <w:highlight w:val="none"/>
                <w:lang w:val="en-US" w:eastAsia="zh-CN"/>
                <w14:textFill>
                  <w14:solidFill>
                    <w14:schemeClr w14:val="tx1"/>
                  </w14:solidFill>
                </w14:textFill>
              </w:rPr>
              <w:t>；</w:t>
            </w:r>
          </w:p>
          <w:p w14:paraId="044015D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②建立健全的环境管理制度，配置必要的监测仪器，对管理人员和技术人员进行岗位培训，对废气处理实行全过程跟踪控制</w:t>
            </w:r>
            <w:r>
              <w:rPr>
                <w:rFonts w:hint="eastAsia" w:ascii="Times New Roman" w:hAnsi="Times New Roman" w:cs="宋体"/>
                <w:color w:val="000000" w:themeColor="text1"/>
                <w:sz w:val="24"/>
                <w:highlight w:val="none"/>
                <w:lang w:val="en-US" w:eastAsia="zh-CN"/>
                <w14:textFill>
                  <w14:solidFill>
                    <w14:schemeClr w14:val="tx1"/>
                  </w14:solidFill>
                </w14:textFill>
              </w:rPr>
              <w:t>；</w:t>
            </w:r>
          </w:p>
          <w:p w14:paraId="58C986E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③项目应设有备用电源和备用处理设备，以备停电或设备出现故障时保障废气全部抽入净化系统进行处理以达标排放</w:t>
            </w:r>
            <w:r>
              <w:rPr>
                <w:rFonts w:hint="eastAsia" w:ascii="Times New Roman" w:hAnsi="Times New Roman" w:cs="宋体"/>
                <w:color w:val="000000" w:themeColor="text1"/>
                <w:sz w:val="24"/>
                <w:highlight w:val="none"/>
                <w:lang w:val="en-US" w:eastAsia="zh-CN"/>
                <w14:textFill>
                  <w14:solidFill>
                    <w14:schemeClr w14:val="tx1"/>
                  </w14:solidFill>
                </w14:textFill>
              </w:rPr>
              <w:t>；</w:t>
            </w:r>
          </w:p>
          <w:p w14:paraId="541C685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cs="宋体"/>
                <w:color w:val="000000" w:themeColor="text1"/>
                <w:sz w:val="24"/>
                <w:highlight w:val="none"/>
                <w:lang w:val="en-US" w:eastAsia="zh-CN"/>
                <w14:textFill>
                  <w14:solidFill>
                    <w14:schemeClr w14:val="tx1"/>
                  </w14:solidFill>
                </w14:textFill>
              </w:rPr>
              <w:t>④</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建设项目对废气治理措施应设置备用的废气治理措施，在常用处理设施出现故障的情况下可采用备用处理设施进行处理,防止因此而造成废气的事故性排放。</w:t>
            </w:r>
          </w:p>
          <w:p w14:paraId="7817E421">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pPr>
            <w:r>
              <w:rPr>
                <w:rFonts w:hint="eastAsia" w:ascii="Times New Roman" w:hAnsi="Times New Roman" w:cs="宋体"/>
                <w:b/>
                <w:bCs/>
                <w:color w:val="000000" w:themeColor="text1"/>
                <w:sz w:val="24"/>
                <w:highlight w:val="none"/>
                <w:lang w:val="en-US" w:eastAsia="zh-CN"/>
                <w14:textFill>
                  <w14:solidFill>
                    <w14:schemeClr w14:val="tx1"/>
                  </w14:solidFill>
                </w14:textFill>
              </w:rPr>
              <w:t>5.2.2</w:t>
            </w: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风险应急预案</w:t>
            </w:r>
          </w:p>
          <w:p w14:paraId="336E22A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无论预防工作如何周密，风险事故总是难以根本杜绝，针对该建设项目的特性，建设单位应编制事故应急预案。风险应急预案主要是为了针对重大风险事故发生时所设定的紧急补救措施，避免更大的人员伤亡和财产损失，在突发的风险事故中，能够迅速准确地处理事故和控制事态发展，把损失降到最低限度。</w:t>
            </w:r>
          </w:p>
          <w:p w14:paraId="46519C8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根据有关法律法规，坚持“预防为主”的指导思想兼有统一指挥、行之</w:t>
            </w:r>
            <w:r>
              <w:rPr>
                <w:rFonts w:hint="eastAsia" w:ascii="Times New Roman" w:hAnsi="Times New Roman" w:cs="宋体"/>
                <w:color w:val="000000" w:themeColor="text1"/>
                <w:sz w:val="24"/>
                <w:highlight w:val="none"/>
                <w:lang w:val="en-US" w:eastAsia="zh-CN"/>
                <w14:textFill>
                  <w14:solidFill>
                    <w14:schemeClr w14:val="tx1"/>
                  </w14:solidFill>
                </w14:textFill>
              </w:rPr>
              <w:t>有力</w:t>
            </w:r>
            <w:r>
              <w:rPr>
                <w:rFonts w:hint="eastAsia" w:ascii="Times New Roman" w:hAnsi="Times New Roman" w:eastAsia="宋体" w:cs="宋体"/>
                <w:color w:val="000000" w:themeColor="text1"/>
                <w:sz w:val="24"/>
                <w:highlight w:val="none"/>
                <w:lang w:val="en-US" w:eastAsia="zh-CN"/>
                <w14:textFill>
                  <w14:solidFill>
                    <w14:schemeClr w14:val="tx1"/>
                  </w14:solidFill>
                </w14:textFill>
              </w:rPr>
              <w:t>、行之有效、行之迅速、将损失降到最低的原则，建设单位应按照相关部门要求编制本项目风险事故应急预案。</w:t>
            </w:r>
          </w:p>
          <w:p w14:paraId="7DC6DD4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表</w:t>
            </w:r>
            <w:r>
              <w:rPr>
                <w:rFonts w:hint="eastAsia" w:ascii="Times New Roman" w:hAnsi="Times New Roman" w:cs="宋体"/>
                <w:b/>
                <w:bCs/>
                <w:color w:val="000000" w:themeColor="text1"/>
                <w:sz w:val="24"/>
                <w:highlight w:val="none"/>
                <w:lang w:val="en-US" w:eastAsia="zh-CN"/>
                <w14:textFill>
                  <w14:solidFill>
                    <w14:schemeClr w14:val="tx1"/>
                  </w14:solidFill>
                </w14:textFill>
              </w:rPr>
              <w:t>4-9</w:t>
            </w:r>
            <w:r>
              <w:rPr>
                <w:rFonts w:hint="eastAsia" w:ascii="Times New Roman" w:hAnsi="Times New Roman" w:eastAsia="宋体" w:cs="宋体"/>
                <w:b/>
                <w:bCs/>
                <w:color w:val="000000" w:themeColor="text1"/>
                <w:sz w:val="24"/>
                <w:highlight w:val="none"/>
                <w:lang w:val="en-US" w:eastAsia="zh-CN"/>
                <w14:textFill>
                  <w14:solidFill>
                    <w14:schemeClr w14:val="tx1"/>
                  </w14:solidFill>
                </w14:textFill>
              </w:rPr>
              <w:t xml:space="preserve">  环境风险突发事故应急预案</w:t>
            </w:r>
          </w:p>
          <w:tbl>
            <w:tblPr>
              <w:tblStyle w:val="24"/>
              <w:tblW w:w="4998"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353"/>
              <w:gridCol w:w="6077"/>
            </w:tblGrid>
            <w:tr w14:paraId="767C1CF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452" w:type="pct"/>
                  <w:tcBorders>
                    <w:tl2br w:val="nil"/>
                    <w:tr2bl w:val="nil"/>
                  </w:tcBorders>
                  <w:noWrap w:val="0"/>
                  <w:vAlign w:val="center"/>
                </w:tcPr>
                <w:p w14:paraId="0EBA5B0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序号</w:t>
                  </w:r>
                </w:p>
              </w:tc>
              <w:tc>
                <w:tcPr>
                  <w:tcW w:w="828" w:type="pct"/>
                  <w:tcBorders>
                    <w:tl2br w:val="nil"/>
                    <w:tr2bl w:val="nil"/>
                  </w:tcBorders>
                  <w:noWrap w:val="0"/>
                  <w:vAlign w:val="center"/>
                </w:tcPr>
                <w:p w14:paraId="25EDABF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项目</w:t>
                  </w:r>
                </w:p>
              </w:tc>
              <w:tc>
                <w:tcPr>
                  <w:tcW w:w="3719" w:type="pct"/>
                  <w:tcBorders>
                    <w:tl2br w:val="nil"/>
                    <w:tr2bl w:val="nil"/>
                  </w:tcBorders>
                  <w:noWrap w:val="0"/>
                  <w:vAlign w:val="center"/>
                </w:tcPr>
                <w:p w14:paraId="6D81D70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内容及要求</w:t>
                  </w:r>
                </w:p>
              </w:tc>
            </w:tr>
            <w:tr w14:paraId="34B6ED7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452" w:type="pct"/>
                  <w:tcBorders>
                    <w:tl2br w:val="nil"/>
                    <w:tr2bl w:val="nil"/>
                  </w:tcBorders>
                  <w:noWrap w:val="0"/>
                  <w:vAlign w:val="center"/>
                </w:tcPr>
                <w:p w14:paraId="0490A94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1</w:t>
                  </w:r>
                </w:p>
              </w:tc>
              <w:tc>
                <w:tcPr>
                  <w:tcW w:w="828" w:type="pct"/>
                  <w:tcBorders>
                    <w:tl2br w:val="nil"/>
                    <w:tr2bl w:val="nil"/>
                  </w:tcBorders>
                  <w:noWrap w:val="0"/>
                  <w:vAlign w:val="center"/>
                </w:tcPr>
                <w:p w14:paraId="6C135F2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危险源情况</w:t>
                  </w:r>
                </w:p>
              </w:tc>
              <w:tc>
                <w:tcPr>
                  <w:tcW w:w="3719" w:type="pct"/>
                  <w:tcBorders>
                    <w:tl2br w:val="nil"/>
                    <w:tr2bl w:val="nil"/>
                  </w:tcBorders>
                  <w:noWrap w:val="0"/>
                  <w:vAlign w:val="center"/>
                </w:tcPr>
                <w:p w14:paraId="6F3103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详细说明危险源类型、数量、分布及其对环境的风险</w:t>
                  </w:r>
                </w:p>
              </w:tc>
            </w:tr>
            <w:tr w14:paraId="351343E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452" w:type="pct"/>
                  <w:tcBorders>
                    <w:tl2br w:val="nil"/>
                    <w:tr2bl w:val="nil"/>
                  </w:tcBorders>
                  <w:noWrap w:val="0"/>
                  <w:vAlign w:val="center"/>
                </w:tcPr>
                <w:p w14:paraId="4D290C5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2</w:t>
                  </w:r>
                </w:p>
              </w:tc>
              <w:tc>
                <w:tcPr>
                  <w:tcW w:w="828" w:type="pct"/>
                  <w:tcBorders>
                    <w:tl2br w:val="nil"/>
                    <w:tr2bl w:val="nil"/>
                  </w:tcBorders>
                  <w:noWrap w:val="0"/>
                  <w:vAlign w:val="center"/>
                </w:tcPr>
                <w:p w14:paraId="496152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应急计划区</w:t>
                  </w:r>
                </w:p>
              </w:tc>
              <w:tc>
                <w:tcPr>
                  <w:tcW w:w="3719" w:type="pct"/>
                  <w:tcBorders>
                    <w:tl2br w:val="nil"/>
                    <w:tr2bl w:val="nil"/>
                  </w:tcBorders>
                  <w:noWrap w:val="0"/>
                  <w:vAlign w:val="center"/>
                </w:tcPr>
                <w:p w14:paraId="707DE4B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生产</w:t>
                  </w:r>
                  <w:r>
                    <w:rPr>
                      <w:rFonts w:hint="eastAsia" w:ascii="Times New Roman" w:hAnsi="Times New Roman" w:cs="宋体"/>
                      <w:color w:val="000000" w:themeColor="text1"/>
                      <w:sz w:val="21"/>
                      <w:szCs w:val="21"/>
                      <w:highlight w:val="none"/>
                      <w:lang w:val="en-US" w:eastAsia="zh-CN"/>
                      <w14:textFill>
                        <w14:solidFill>
                          <w14:schemeClr w14:val="tx1"/>
                        </w14:solidFill>
                      </w14:textFill>
                    </w:rPr>
                    <w:t>车间</w:t>
                  </w:r>
                </w:p>
              </w:tc>
            </w:tr>
            <w:tr w14:paraId="50F103E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452" w:type="pct"/>
                  <w:tcBorders>
                    <w:tl2br w:val="nil"/>
                    <w:tr2bl w:val="nil"/>
                  </w:tcBorders>
                  <w:noWrap w:val="0"/>
                  <w:vAlign w:val="center"/>
                </w:tcPr>
                <w:p w14:paraId="461E89A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3</w:t>
                  </w:r>
                </w:p>
              </w:tc>
              <w:tc>
                <w:tcPr>
                  <w:tcW w:w="828" w:type="pct"/>
                  <w:tcBorders>
                    <w:tl2br w:val="nil"/>
                    <w:tr2bl w:val="nil"/>
                  </w:tcBorders>
                  <w:noWrap w:val="0"/>
                  <w:vAlign w:val="center"/>
                </w:tcPr>
                <w:p w14:paraId="660F421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应急组织</w:t>
                  </w:r>
                </w:p>
              </w:tc>
              <w:tc>
                <w:tcPr>
                  <w:tcW w:w="3719" w:type="pct"/>
                  <w:tcBorders>
                    <w:tl2br w:val="nil"/>
                    <w:tr2bl w:val="nil"/>
                  </w:tcBorders>
                  <w:noWrap w:val="0"/>
                  <w:vAlign w:val="center"/>
                </w:tcPr>
                <w:p w14:paraId="5C64CDE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企业：成立公司应急指挥小组，由公司最高领导层担任小组长，负责现场全面指挥，专业救援队伍负责事故控制、救援和善后处理；邻近地区：地区指挥部—负责企业附近地区全面指挥，救援，管制和疏散</w:t>
                  </w:r>
                </w:p>
              </w:tc>
            </w:tr>
            <w:tr w14:paraId="0A10312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452" w:type="pct"/>
                  <w:tcBorders>
                    <w:tl2br w:val="nil"/>
                    <w:tr2bl w:val="nil"/>
                  </w:tcBorders>
                  <w:noWrap w:val="0"/>
                  <w:vAlign w:val="center"/>
                </w:tcPr>
                <w:p w14:paraId="0D45A8E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4</w:t>
                  </w:r>
                </w:p>
              </w:tc>
              <w:tc>
                <w:tcPr>
                  <w:tcW w:w="828" w:type="pct"/>
                  <w:tcBorders>
                    <w:tl2br w:val="nil"/>
                    <w:tr2bl w:val="nil"/>
                  </w:tcBorders>
                  <w:noWrap w:val="0"/>
                  <w:vAlign w:val="center"/>
                </w:tcPr>
                <w:p w14:paraId="2D7B76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应急状态分类应急响应程序</w:t>
                  </w:r>
                </w:p>
              </w:tc>
              <w:tc>
                <w:tcPr>
                  <w:tcW w:w="3719" w:type="pct"/>
                  <w:tcBorders>
                    <w:tl2br w:val="nil"/>
                    <w:tr2bl w:val="nil"/>
                  </w:tcBorders>
                  <w:noWrap w:val="0"/>
                  <w:vAlign w:val="center"/>
                </w:tcPr>
                <w:p w14:paraId="3CC1B75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规定环境风险事故的级别及相应的应急状态分类，以此制定相应的应急响应程序</w:t>
                  </w:r>
                </w:p>
              </w:tc>
            </w:tr>
            <w:tr w14:paraId="13BD44F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452" w:type="pct"/>
                  <w:tcBorders>
                    <w:tl2br w:val="nil"/>
                    <w:tr2bl w:val="nil"/>
                  </w:tcBorders>
                  <w:noWrap w:val="0"/>
                  <w:vAlign w:val="center"/>
                </w:tcPr>
                <w:p w14:paraId="031DE63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5</w:t>
                  </w:r>
                </w:p>
              </w:tc>
              <w:tc>
                <w:tcPr>
                  <w:tcW w:w="828" w:type="pct"/>
                  <w:tcBorders>
                    <w:tl2br w:val="nil"/>
                    <w:tr2bl w:val="nil"/>
                  </w:tcBorders>
                  <w:noWrap w:val="0"/>
                  <w:vAlign w:val="center"/>
                </w:tcPr>
                <w:p w14:paraId="1D6C6F0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应急设施、设备与材料</w:t>
                  </w:r>
                </w:p>
              </w:tc>
              <w:tc>
                <w:tcPr>
                  <w:tcW w:w="3719" w:type="pct"/>
                  <w:tcBorders>
                    <w:tl2br w:val="nil"/>
                    <w:tr2bl w:val="nil"/>
                  </w:tcBorders>
                  <w:noWrap w:val="0"/>
                  <w:vAlign w:val="center"/>
                </w:tcPr>
                <w:p w14:paraId="7E0D485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甲类仓库：应急设施、设备与材料，主要为消防器材、消防服等；防有毒有害物质外溢、扩散；中毒人员急救所用的一些药品、器材</w:t>
                  </w:r>
                </w:p>
              </w:tc>
            </w:tr>
            <w:tr w14:paraId="48E6712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452" w:type="pct"/>
                  <w:tcBorders>
                    <w:tl2br w:val="nil"/>
                    <w:tr2bl w:val="nil"/>
                  </w:tcBorders>
                  <w:noWrap w:val="0"/>
                  <w:vAlign w:val="center"/>
                </w:tcPr>
                <w:p w14:paraId="4A19234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6</w:t>
                  </w:r>
                </w:p>
              </w:tc>
              <w:tc>
                <w:tcPr>
                  <w:tcW w:w="828" w:type="pct"/>
                  <w:tcBorders>
                    <w:tl2br w:val="nil"/>
                    <w:tr2bl w:val="nil"/>
                  </w:tcBorders>
                  <w:noWrap w:val="0"/>
                  <w:vAlign w:val="center"/>
                </w:tcPr>
                <w:p w14:paraId="6BABBB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cs="宋体"/>
                      <w:color w:val="000000" w:themeColor="text1"/>
                      <w:sz w:val="21"/>
                      <w:szCs w:val="21"/>
                      <w:highlight w:val="none"/>
                      <w:lang w:val="en-US" w:eastAsia="zh-CN"/>
                      <w14:textFill>
                        <w14:solidFill>
                          <w14:schemeClr w14:val="tx1"/>
                        </w14:solidFill>
                      </w14:textFill>
                    </w:rPr>
                    <w:t>应急通信</w:t>
                  </w:r>
                </w:p>
                <w:p w14:paraId="23D6DAB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通告与交通</w:t>
                  </w:r>
                </w:p>
              </w:tc>
              <w:tc>
                <w:tcPr>
                  <w:tcW w:w="3719" w:type="pct"/>
                  <w:tcBorders>
                    <w:tl2br w:val="nil"/>
                    <w:tr2bl w:val="nil"/>
                  </w:tcBorders>
                  <w:noWrap w:val="0"/>
                  <w:vAlign w:val="center"/>
                </w:tcPr>
                <w:p w14:paraId="340A162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规定应急状态下的通讯、通告方式和交通保障、管理等事项。可充分利用现代化的通信设施，如手机、固定电话、广播、电视等</w:t>
                  </w:r>
                </w:p>
              </w:tc>
            </w:tr>
            <w:tr w14:paraId="58F29A9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452" w:type="pct"/>
                  <w:tcBorders>
                    <w:tl2br w:val="nil"/>
                    <w:tr2bl w:val="nil"/>
                  </w:tcBorders>
                  <w:noWrap w:val="0"/>
                  <w:vAlign w:val="center"/>
                </w:tcPr>
                <w:p w14:paraId="7579CE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7</w:t>
                  </w:r>
                </w:p>
              </w:tc>
              <w:tc>
                <w:tcPr>
                  <w:tcW w:w="828" w:type="pct"/>
                  <w:tcBorders>
                    <w:tl2br w:val="nil"/>
                    <w:tr2bl w:val="nil"/>
                  </w:tcBorders>
                  <w:noWrap w:val="0"/>
                  <w:vAlign w:val="center"/>
                </w:tcPr>
                <w:p w14:paraId="7AED537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应急环境监测及事故后评价</w:t>
                  </w:r>
                </w:p>
              </w:tc>
              <w:tc>
                <w:tcPr>
                  <w:tcW w:w="3719" w:type="pct"/>
                  <w:tcBorders>
                    <w:tl2br w:val="nil"/>
                    <w:tr2bl w:val="nil"/>
                  </w:tcBorders>
                  <w:noWrap w:val="0"/>
                  <w:vAlign w:val="center"/>
                </w:tcPr>
                <w:p w14:paraId="7940202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由专业人员对环境分析事故现场进行应急监测，对事故性质、严重</w:t>
                  </w:r>
                  <w:r>
                    <w:rPr>
                      <w:rFonts w:hint="eastAsia" w:ascii="Times New Roman" w:hAnsi="Times New Roman" w:cs="宋体"/>
                      <w:color w:val="000000" w:themeColor="text1"/>
                      <w:sz w:val="21"/>
                      <w:szCs w:val="21"/>
                      <w:highlight w:val="none"/>
                      <w:lang w:val="en-US" w:eastAsia="zh-CN"/>
                      <w14:textFill>
                        <w14:solidFill>
                          <w14:schemeClr w14:val="tx1"/>
                        </w14:solidFill>
                      </w14:textFill>
                    </w:rPr>
                    <w:t>程度</w:t>
                  </w: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所造成的环境危害后果进行评估，吸取经验教训避免再次发生事故，为指挥部门提供决策依据</w:t>
                  </w:r>
                </w:p>
              </w:tc>
            </w:tr>
            <w:tr w14:paraId="3366E19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452" w:type="pct"/>
                  <w:tcBorders>
                    <w:tl2br w:val="nil"/>
                    <w:tr2bl w:val="nil"/>
                  </w:tcBorders>
                  <w:noWrap w:val="0"/>
                  <w:vAlign w:val="center"/>
                </w:tcPr>
                <w:p w14:paraId="5CDE4C6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8</w:t>
                  </w:r>
                </w:p>
              </w:tc>
              <w:tc>
                <w:tcPr>
                  <w:tcW w:w="828" w:type="pct"/>
                  <w:tcBorders>
                    <w:tl2br w:val="nil"/>
                    <w:tr2bl w:val="nil"/>
                  </w:tcBorders>
                  <w:noWrap w:val="0"/>
                  <w:vAlign w:val="center"/>
                </w:tcPr>
                <w:p w14:paraId="2FBEB7A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应急防护措施消除泄漏措施及需使用器材</w:t>
                  </w:r>
                </w:p>
              </w:tc>
              <w:tc>
                <w:tcPr>
                  <w:tcW w:w="3719" w:type="pct"/>
                  <w:tcBorders>
                    <w:tl2br w:val="nil"/>
                    <w:tr2bl w:val="nil"/>
                  </w:tcBorders>
                  <w:noWrap w:val="0"/>
                  <w:vAlign w:val="center"/>
                </w:tcPr>
                <w:p w14:paraId="49EE102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事故现场：控制事故发展，防止扩大、蔓延及连锁反应；清除现场泄漏物，降低危害；相应的设施器材配备</w:t>
                  </w:r>
                </w:p>
              </w:tc>
            </w:tr>
            <w:tr w14:paraId="0CE53C5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452" w:type="pct"/>
                  <w:tcBorders>
                    <w:tl2br w:val="nil"/>
                    <w:tr2bl w:val="nil"/>
                  </w:tcBorders>
                  <w:noWrap w:val="0"/>
                  <w:vAlign w:val="center"/>
                </w:tcPr>
                <w:p w14:paraId="71D5084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9</w:t>
                  </w:r>
                </w:p>
              </w:tc>
              <w:tc>
                <w:tcPr>
                  <w:tcW w:w="828" w:type="pct"/>
                  <w:tcBorders>
                    <w:tl2br w:val="nil"/>
                    <w:tr2bl w:val="nil"/>
                  </w:tcBorders>
                  <w:noWrap w:val="0"/>
                  <w:vAlign w:val="center"/>
                </w:tcPr>
                <w:p w14:paraId="03BAF39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应急剂量控制撤离组织计划医疗救护与保护公众健康</w:t>
                  </w:r>
                </w:p>
              </w:tc>
              <w:tc>
                <w:tcPr>
                  <w:tcW w:w="3719" w:type="pct"/>
                  <w:tcBorders>
                    <w:tl2br w:val="nil"/>
                    <w:tr2bl w:val="nil"/>
                  </w:tcBorders>
                  <w:noWrap w:val="0"/>
                  <w:vAlign w:val="center"/>
                </w:tcPr>
                <w:p w14:paraId="7C12BD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事故现场：事故处理人员制定毒物的应急剂量、现场及</w:t>
                  </w:r>
                  <w:r>
                    <w:rPr>
                      <w:rFonts w:hint="eastAsia" w:ascii="Times New Roman" w:hAnsi="Times New Roman" w:cs="宋体"/>
                      <w:color w:val="000000" w:themeColor="text1"/>
                      <w:sz w:val="21"/>
                      <w:szCs w:val="21"/>
                      <w:highlight w:val="none"/>
                      <w:lang w:val="en-US" w:eastAsia="zh-CN"/>
                      <w14:textFill>
                        <w14:solidFill>
                          <w14:schemeClr w14:val="tx1"/>
                        </w14:solidFill>
                      </w14:textFill>
                    </w:rPr>
                    <w:t>邻近</w:t>
                  </w: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装置人员的撤离组织计划和紧急救护方案；</w:t>
                  </w:r>
                </w:p>
                <w:p w14:paraId="52D440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临近地区：制定受事故影响的临近地区内人员对毒物的应急剂量、公众的疏散组织计划和紧急救护方案。</w:t>
                  </w:r>
                </w:p>
              </w:tc>
            </w:tr>
            <w:tr w14:paraId="53A8BCA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452" w:type="pct"/>
                  <w:tcBorders>
                    <w:tl2br w:val="nil"/>
                    <w:tr2bl w:val="nil"/>
                  </w:tcBorders>
                  <w:noWrap w:val="0"/>
                  <w:vAlign w:val="center"/>
                </w:tcPr>
                <w:p w14:paraId="0301472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10</w:t>
                  </w:r>
                </w:p>
              </w:tc>
              <w:tc>
                <w:tcPr>
                  <w:tcW w:w="828" w:type="pct"/>
                  <w:tcBorders>
                    <w:tl2br w:val="nil"/>
                    <w:tr2bl w:val="nil"/>
                  </w:tcBorders>
                  <w:noWrap w:val="0"/>
                  <w:vAlign w:val="center"/>
                </w:tcPr>
                <w:p w14:paraId="49B65E9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应急状态中止恢复措施</w:t>
                  </w:r>
                </w:p>
              </w:tc>
              <w:tc>
                <w:tcPr>
                  <w:tcW w:w="3719" w:type="pct"/>
                  <w:tcBorders>
                    <w:tl2br w:val="nil"/>
                    <w:tr2bl w:val="nil"/>
                  </w:tcBorders>
                  <w:noWrap w:val="0"/>
                  <w:vAlign w:val="center"/>
                </w:tcPr>
                <w:p w14:paraId="36F7693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事故现场：规定应急状态终止秩序；事故现场善后处理，</w:t>
                  </w:r>
                  <w:r>
                    <w:rPr>
                      <w:rFonts w:hint="eastAsia" w:ascii="Times New Roman" w:hAnsi="Times New Roman" w:cs="宋体"/>
                      <w:color w:val="000000" w:themeColor="text1"/>
                      <w:sz w:val="21"/>
                      <w:szCs w:val="21"/>
                      <w:highlight w:val="none"/>
                      <w:lang w:val="en-US" w:eastAsia="zh-CN"/>
                      <w14:textFill>
                        <w14:solidFill>
                          <w14:schemeClr w14:val="tx1"/>
                        </w14:solidFill>
                      </w14:textFill>
                    </w:rPr>
                    <w:t>恢复生产</w:t>
                  </w: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措施；</w:t>
                  </w:r>
                </w:p>
                <w:p w14:paraId="4AF92EF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临近地区：解除事故警戒，公众返回和善后回复措施。</w:t>
                  </w:r>
                </w:p>
              </w:tc>
            </w:tr>
            <w:tr w14:paraId="7768CF8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452" w:type="pct"/>
                  <w:tcBorders>
                    <w:tl2br w:val="nil"/>
                    <w:tr2bl w:val="nil"/>
                  </w:tcBorders>
                  <w:noWrap w:val="0"/>
                  <w:vAlign w:val="center"/>
                </w:tcPr>
                <w:p w14:paraId="241787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11</w:t>
                  </w:r>
                </w:p>
              </w:tc>
              <w:tc>
                <w:tcPr>
                  <w:tcW w:w="828" w:type="pct"/>
                  <w:tcBorders>
                    <w:tl2br w:val="nil"/>
                    <w:tr2bl w:val="nil"/>
                  </w:tcBorders>
                  <w:noWrap w:val="0"/>
                  <w:vAlign w:val="center"/>
                </w:tcPr>
                <w:p w14:paraId="762AB47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人员培训</w:t>
                  </w:r>
                </w:p>
                <w:p w14:paraId="56E4AC3C">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与演习</w:t>
                  </w:r>
                </w:p>
              </w:tc>
              <w:tc>
                <w:tcPr>
                  <w:tcW w:w="3719" w:type="pct"/>
                  <w:tcBorders>
                    <w:tl2br w:val="nil"/>
                    <w:tr2bl w:val="nil"/>
                  </w:tcBorders>
                  <w:noWrap w:val="0"/>
                  <w:vAlign w:val="center"/>
                </w:tcPr>
                <w:p w14:paraId="7C90B9A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应急计划制订后，平时安排事故</w:t>
                  </w:r>
                  <w:r>
                    <w:rPr>
                      <w:rFonts w:hint="eastAsia" w:ascii="Times New Roman" w:hAnsi="Times New Roman" w:cs="宋体"/>
                      <w:color w:val="000000" w:themeColor="text1"/>
                      <w:sz w:val="21"/>
                      <w:szCs w:val="21"/>
                      <w:highlight w:val="none"/>
                      <w:lang w:val="en-US" w:eastAsia="zh-CN"/>
                      <w14:textFill>
                        <w14:solidFill>
                          <w14:schemeClr w14:val="tx1"/>
                        </w14:solidFill>
                      </w14:textFill>
                    </w:rPr>
                    <w:t>处理</w:t>
                  </w: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人员进行相关知识培训并进行事故应急处理演习；对工厂工人进行安全卫生教育。</w:t>
                  </w:r>
                </w:p>
              </w:tc>
            </w:tr>
            <w:tr w14:paraId="2D00C4F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2" w:type="pct"/>
                  <w:tcBorders>
                    <w:tl2br w:val="nil"/>
                    <w:tr2bl w:val="nil"/>
                  </w:tcBorders>
                  <w:noWrap w:val="0"/>
                  <w:vAlign w:val="center"/>
                </w:tcPr>
                <w:p w14:paraId="1CF86C4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12</w:t>
                  </w:r>
                </w:p>
              </w:tc>
              <w:tc>
                <w:tcPr>
                  <w:tcW w:w="828" w:type="pct"/>
                  <w:tcBorders>
                    <w:tl2br w:val="nil"/>
                    <w:tr2bl w:val="nil"/>
                  </w:tcBorders>
                  <w:noWrap w:val="0"/>
                  <w:vAlign w:val="center"/>
                </w:tcPr>
                <w:p w14:paraId="77062F9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公众教育</w:t>
                  </w:r>
                </w:p>
                <w:p w14:paraId="684FE8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信息发布</w:t>
                  </w:r>
                </w:p>
              </w:tc>
              <w:tc>
                <w:tcPr>
                  <w:tcW w:w="3719" w:type="pct"/>
                  <w:tcBorders>
                    <w:tl2br w:val="nil"/>
                    <w:tr2bl w:val="nil"/>
                  </w:tcBorders>
                  <w:noWrap w:val="0"/>
                  <w:vAlign w:val="center"/>
                </w:tcPr>
                <w:p w14:paraId="700C913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对工厂临近地区公众开展环境风险事故预防教育、应急知识培训并定期发布相关信息。</w:t>
                  </w:r>
                </w:p>
              </w:tc>
            </w:tr>
            <w:tr w14:paraId="5DF5F3F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452" w:type="pct"/>
                  <w:tcBorders>
                    <w:tl2br w:val="nil"/>
                    <w:tr2bl w:val="nil"/>
                  </w:tcBorders>
                  <w:noWrap w:val="0"/>
                  <w:vAlign w:val="center"/>
                </w:tcPr>
                <w:p w14:paraId="21F145A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13</w:t>
                  </w:r>
                </w:p>
              </w:tc>
              <w:tc>
                <w:tcPr>
                  <w:tcW w:w="828" w:type="pct"/>
                  <w:tcBorders>
                    <w:tl2br w:val="nil"/>
                    <w:tr2bl w:val="nil"/>
                  </w:tcBorders>
                  <w:noWrap w:val="0"/>
                  <w:vAlign w:val="center"/>
                </w:tcPr>
                <w:p w14:paraId="4E18BAF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记录和报告</w:t>
                  </w:r>
                </w:p>
              </w:tc>
              <w:tc>
                <w:tcPr>
                  <w:tcW w:w="3719" w:type="pct"/>
                  <w:tcBorders>
                    <w:tl2br w:val="nil"/>
                    <w:tr2bl w:val="nil"/>
                  </w:tcBorders>
                  <w:noWrap w:val="0"/>
                  <w:vAlign w:val="center"/>
                </w:tcPr>
                <w:p w14:paraId="381968E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设立应急事故专门记录，建立档案和报告制度，设立专门部门负责管理。</w:t>
                  </w:r>
                </w:p>
              </w:tc>
            </w:tr>
            <w:tr w14:paraId="1AA9C75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452" w:type="pct"/>
                  <w:tcBorders>
                    <w:tl2br w:val="nil"/>
                    <w:tr2bl w:val="nil"/>
                  </w:tcBorders>
                  <w:noWrap w:val="0"/>
                  <w:vAlign w:val="center"/>
                </w:tcPr>
                <w:p w14:paraId="7200C6A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14</w:t>
                  </w:r>
                </w:p>
              </w:tc>
              <w:tc>
                <w:tcPr>
                  <w:tcW w:w="828" w:type="pct"/>
                  <w:tcBorders>
                    <w:tl2br w:val="nil"/>
                    <w:tr2bl w:val="nil"/>
                  </w:tcBorders>
                  <w:noWrap w:val="0"/>
                  <w:vAlign w:val="center"/>
                </w:tcPr>
                <w:p w14:paraId="5402CAA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附件</w:t>
                  </w:r>
                </w:p>
              </w:tc>
              <w:tc>
                <w:tcPr>
                  <w:tcW w:w="3719" w:type="pct"/>
                  <w:tcBorders>
                    <w:tl2br w:val="nil"/>
                    <w:tr2bl w:val="nil"/>
                  </w:tcBorders>
                  <w:noWrap w:val="0"/>
                  <w:vAlign w:val="center"/>
                </w:tcPr>
                <w:p w14:paraId="06B6D74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val="en-US" w:eastAsia="zh-CN"/>
                      <w14:textFill>
                        <w14:solidFill>
                          <w14:schemeClr w14:val="tx1"/>
                        </w14:solidFill>
                      </w14:textFill>
                    </w:rPr>
                    <w:t>准备并形成环境风险事故应急处理有关的附件材料。</w:t>
                  </w:r>
                </w:p>
              </w:tc>
            </w:tr>
          </w:tbl>
          <w:p w14:paraId="09DC120C">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6</w:t>
            </w: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w:t>
            </w: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监测计划</w:t>
            </w:r>
          </w:p>
          <w:p w14:paraId="17A6201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宋体"/>
                <w:color w:val="000000" w:themeColor="text1"/>
                <w:sz w:val="24"/>
                <w:highlight w:val="none"/>
                <w:lang w:val="en-US" w:eastAsia="zh-CN"/>
                <w14:textFill>
                  <w14:solidFill>
                    <w14:schemeClr w14:val="tx1"/>
                  </w14:solidFill>
                </w14:textFill>
              </w:rPr>
            </w:pPr>
            <w:r>
              <w:rPr>
                <w:rFonts w:hint="eastAsia" w:ascii="Times New Roman" w:hAnsi="Times New Roman" w:eastAsia="宋体" w:cs="宋体"/>
                <w:color w:val="000000" w:themeColor="text1"/>
                <w:sz w:val="24"/>
                <w:highlight w:val="none"/>
                <w:lang w:val="en-US" w:eastAsia="zh-CN"/>
                <w14:textFill>
                  <w14:solidFill>
                    <w14:schemeClr w14:val="tx1"/>
                  </w14:solidFill>
                </w14:textFill>
              </w:rPr>
              <w:t>项目运营期废气、噪声是重点监测项目，为了及时掌握污染源变化情况，为环境管理提供基础数据，项目拟开展例行监测，监测计划见下表所示。</w:t>
            </w:r>
          </w:p>
          <w:p w14:paraId="4F0BA4C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b/>
                <w:bCs/>
                <w:color w:val="auto"/>
                <w:sz w:val="24"/>
                <w:highlight w:val="none"/>
                <w:lang w:val="en-US" w:eastAsia="zh-CN"/>
              </w:rPr>
            </w:pPr>
            <w:r>
              <w:rPr>
                <w:rFonts w:hint="eastAsia" w:ascii="Times New Roman" w:hAnsi="Times New Roman"/>
                <w:b/>
                <w:bCs/>
                <w:color w:val="auto"/>
                <w:sz w:val="24"/>
                <w:highlight w:val="none"/>
                <w:lang w:val="en-US" w:eastAsia="zh-CN"/>
              </w:rPr>
              <w:t>表4-10  项目运营期环境监测计划一览表</w:t>
            </w:r>
          </w:p>
          <w:tbl>
            <w:tblPr>
              <w:tblStyle w:val="25"/>
              <w:tblW w:w="4998"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62"/>
              <w:gridCol w:w="2482"/>
              <w:gridCol w:w="2244"/>
              <w:gridCol w:w="1680"/>
            </w:tblGrid>
            <w:tr w14:paraId="6E71DDB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078" w:type="pct"/>
                  <w:tcBorders>
                    <w:tl2br w:val="nil"/>
                    <w:tr2bl w:val="nil"/>
                  </w:tcBorders>
                  <w:noWrap w:val="0"/>
                  <w:vAlign w:val="center"/>
                </w:tcPr>
                <w:p w14:paraId="63FA5836">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lang w:val="en-US" w:eastAsia="zh-CN"/>
                    </w:rPr>
                    <w:t>监测内容</w:t>
                  </w:r>
                </w:p>
              </w:tc>
              <w:tc>
                <w:tcPr>
                  <w:tcW w:w="1519" w:type="pct"/>
                  <w:tcBorders>
                    <w:tl2br w:val="nil"/>
                    <w:tr2bl w:val="nil"/>
                  </w:tcBorders>
                  <w:noWrap w:val="0"/>
                  <w:vAlign w:val="center"/>
                </w:tcPr>
                <w:p w14:paraId="35DF116E">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监测点布设</w:t>
                  </w:r>
                </w:p>
              </w:tc>
              <w:tc>
                <w:tcPr>
                  <w:tcW w:w="1373" w:type="pct"/>
                  <w:tcBorders>
                    <w:tl2br w:val="nil"/>
                    <w:tr2bl w:val="nil"/>
                  </w:tcBorders>
                  <w:noWrap w:val="0"/>
                  <w:vAlign w:val="center"/>
                </w:tcPr>
                <w:p w14:paraId="168880DF">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监测项目</w:t>
                  </w:r>
                </w:p>
              </w:tc>
              <w:tc>
                <w:tcPr>
                  <w:tcW w:w="1028" w:type="pct"/>
                  <w:tcBorders>
                    <w:tl2br w:val="nil"/>
                    <w:tr2bl w:val="nil"/>
                  </w:tcBorders>
                  <w:noWrap w:val="0"/>
                  <w:vAlign w:val="center"/>
                </w:tcPr>
                <w:p w14:paraId="0358B608">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监测频次</w:t>
                  </w:r>
                </w:p>
              </w:tc>
            </w:tr>
            <w:tr w14:paraId="44CA6F2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1078" w:type="pct"/>
                  <w:tcBorders>
                    <w:tl2br w:val="nil"/>
                    <w:tr2bl w:val="nil"/>
                  </w:tcBorders>
                  <w:noWrap w:val="0"/>
                  <w:vAlign w:val="center"/>
                </w:tcPr>
                <w:p w14:paraId="5DB6F2BD">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废气（无组织）</w:t>
                  </w:r>
                </w:p>
              </w:tc>
              <w:tc>
                <w:tcPr>
                  <w:tcW w:w="1519" w:type="pct"/>
                  <w:tcBorders>
                    <w:tl2br w:val="nil"/>
                    <w:tr2bl w:val="nil"/>
                  </w:tcBorders>
                  <w:noWrap w:val="0"/>
                  <w:vAlign w:val="center"/>
                </w:tcPr>
                <w:p w14:paraId="0D11A2AB">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厂界</w:t>
                  </w:r>
                </w:p>
              </w:tc>
              <w:tc>
                <w:tcPr>
                  <w:tcW w:w="1373" w:type="pct"/>
                  <w:tcBorders>
                    <w:tl2br w:val="nil"/>
                    <w:tr2bl w:val="nil"/>
                  </w:tcBorders>
                  <w:noWrap w:val="0"/>
                  <w:vAlign w:val="center"/>
                </w:tcPr>
                <w:p w14:paraId="14CDA1F9">
                  <w:pPr>
                    <w:spacing w:line="480" w:lineRule="exact"/>
                    <w:jc w:val="center"/>
                    <w:rPr>
                      <w:rFonts w:hint="default"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颗粒物</w:t>
                  </w:r>
                </w:p>
              </w:tc>
              <w:tc>
                <w:tcPr>
                  <w:tcW w:w="1028" w:type="pct"/>
                  <w:tcBorders>
                    <w:tl2br w:val="nil"/>
                    <w:tr2bl w:val="nil"/>
                  </w:tcBorders>
                  <w:noWrap w:val="0"/>
                  <w:vAlign w:val="center"/>
                </w:tcPr>
                <w:p w14:paraId="29076511">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一次/年</w:t>
                  </w:r>
                </w:p>
              </w:tc>
            </w:tr>
            <w:tr w14:paraId="1A8A086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1078" w:type="pct"/>
                  <w:tcBorders>
                    <w:tl2br w:val="nil"/>
                    <w:tr2bl w:val="nil"/>
                  </w:tcBorders>
                  <w:noWrap w:val="0"/>
                  <w:vAlign w:val="center"/>
                </w:tcPr>
                <w:p w14:paraId="69EB7C8E">
                  <w:pPr>
                    <w:spacing w:line="480" w:lineRule="exact"/>
                    <w:jc w:val="center"/>
                    <w:rPr>
                      <w:rFonts w:hint="default"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废气（有组织）</w:t>
                  </w:r>
                </w:p>
              </w:tc>
              <w:tc>
                <w:tcPr>
                  <w:tcW w:w="1519" w:type="pct"/>
                  <w:tcBorders>
                    <w:tl2br w:val="nil"/>
                    <w:tr2bl w:val="nil"/>
                  </w:tcBorders>
                  <w:noWrap w:val="0"/>
                  <w:vAlign w:val="center"/>
                </w:tcPr>
                <w:p w14:paraId="17794F61">
                  <w:pPr>
                    <w:spacing w:line="480" w:lineRule="exact"/>
                    <w:jc w:val="center"/>
                    <w:rPr>
                      <w:rFonts w:hint="default"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排气筒</w:t>
                  </w:r>
                </w:p>
              </w:tc>
              <w:tc>
                <w:tcPr>
                  <w:tcW w:w="1373" w:type="pct"/>
                  <w:tcBorders>
                    <w:tl2br w:val="nil"/>
                    <w:tr2bl w:val="nil"/>
                  </w:tcBorders>
                  <w:shd w:val="clear" w:color="auto" w:fill="auto"/>
                  <w:noWrap w:val="0"/>
                  <w:vAlign w:val="center"/>
                </w:tcPr>
                <w:p w14:paraId="19404A36">
                  <w:pPr>
                    <w:spacing w:line="480" w:lineRule="exact"/>
                    <w:jc w:val="center"/>
                    <w:rPr>
                      <w:rFonts w:hint="eastAsia" w:ascii="Times New Roman" w:hAnsi="Times New Roman" w:eastAsia="宋体" w:cstheme="minorBidi"/>
                      <w:color w:val="auto"/>
                      <w:kern w:val="2"/>
                      <w:sz w:val="21"/>
                      <w:szCs w:val="21"/>
                      <w:highlight w:val="none"/>
                      <w:vertAlign w:val="baseline"/>
                      <w:lang w:val="en-US" w:eastAsia="zh-CN" w:bidi="ar-SA"/>
                    </w:rPr>
                  </w:pPr>
                  <w:r>
                    <w:rPr>
                      <w:rFonts w:hint="eastAsia" w:ascii="Times New Roman" w:hAnsi="Times New Roman"/>
                      <w:color w:val="auto"/>
                      <w:sz w:val="21"/>
                      <w:szCs w:val="21"/>
                      <w:highlight w:val="none"/>
                      <w:vertAlign w:val="baseline"/>
                      <w:lang w:val="en-US" w:eastAsia="zh-CN"/>
                    </w:rPr>
                    <w:t>颗粒物</w:t>
                  </w:r>
                </w:p>
              </w:tc>
              <w:tc>
                <w:tcPr>
                  <w:tcW w:w="1028" w:type="pct"/>
                  <w:tcBorders>
                    <w:tl2br w:val="nil"/>
                    <w:tr2bl w:val="nil"/>
                  </w:tcBorders>
                  <w:shd w:val="clear" w:color="auto" w:fill="auto"/>
                  <w:noWrap w:val="0"/>
                  <w:vAlign w:val="center"/>
                </w:tcPr>
                <w:p w14:paraId="3977747A">
                  <w:pPr>
                    <w:spacing w:line="480" w:lineRule="exact"/>
                    <w:jc w:val="center"/>
                    <w:rPr>
                      <w:rFonts w:hint="eastAsia" w:ascii="Times New Roman" w:hAnsi="Times New Roman" w:eastAsia="宋体" w:cstheme="minorBidi"/>
                      <w:color w:val="auto"/>
                      <w:kern w:val="2"/>
                      <w:sz w:val="21"/>
                      <w:szCs w:val="21"/>
                      <w:highlight w:val="none"/>
                      <w:vertAlign w:val="baseline"/>
                      <w:lang w:val="en-US" w:eastAsia="zh-CN" w:bidi="ar-SA"/>
                    </w:rPr>
                  </w:pPr>
                  <w:r>
                    <w:rPr>
                      <w:rFonts w:hint="eastAsia" w:ascii="Times New Roman" w:hAnsi="Times New Roman"/>
                      <w:color w:val="auto"/>
                      <w:sz w:val="21"/>
                      <w:szCs w:val="21"/>
                      <w:highlight w:val="none"/>
                      <w:vertAlign w:val="baseline"/>
                      <w:lang w:val="en-US" w:eastAsia="zh-CN"/>
                    </w:rPr>
                    <w:t>一次/年</w:t>
                  </w:r>
                </w:p>
              </w:tc>
            </w:tr>
            <w:tr w14:paraId="7BD1011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1078" w:type="pct"/>
                  <w:tcBorders>
                    <w:tl2br w:val="nil"/>
                    <w:tr2bl w:val="nil"/>
                  </w:tcBorders>
                  <w:noWrap w:val="0"/>
                  <w:vAlign w:val="center"/>
                </w:tcPr>
                <w:p w14:paraId="56A36C76">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噪声</w:t>
                  </w:r>
                </w:p>
              </w:tc>
              <w:tc>
                <w:tcPr>
                  <w:tcW w:w="1519" w:type="pct"/>
                  <w:tcBorders>
                    <w:tl2br w:val="nil"/>
                    <w:tr2bl w:val="nil"/>
                  </w:tcBorders>
                  <w:noWrap w:val="0"/>
                  <w:vAlign w:val="center"/>
                </w:tcPr>
                <w:p w14:paraId="49041ACB">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厂界四周</w:t>
                  </w:r>
                </w:p>
              </w:tc>
              <w:tc>
                <w:tcPr>
                  <w:tcW w:w="1373" w:type="pct"/>
                  <w:tcBorders>
                    <w:tl2br w:val="nil"/>
                    <w:tr2bl w:val="nil"/>
                  </w:tcBorders>
                  <w:noWrap w:val="0"/>
                  <w:vAlign w:val="center"/>
                </w:tcPr>
                <w:p w14:paraId="07EE7379">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等效连续A声级</w:t>
                  </w:r>
                </w:p>
              </w:tc>
              <w:tc>
                <w:tcPr>
                  <w:tcW w:w="1028" w:type="pct"/>
                  <w:tcBorders>
                    <w:tl2br w:val="nil"/>
                    <w:tr2bl w:val="nil"/>
                  </w:tcBorders>
                  <w:noWrap w:val="0"/>
                  <w:vAlign w:val="center"/>
                </w:tcPr>
                <w:p w14:paraId="7AB82A6D">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一次/季度</w:t>
                  </w:r>
                </w:p>
              </w:tc>
            </w:tr>
            <w:tr w14:paraId="5A5D0E9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078" w:type="pct"/>
                  <w:tcBorders>
                    <w:tl2br w:val="nil"/>
                    <w:tr2bl w:val="nil"/>
                  </w:tcBorders>
                  <w:noWrap w:val="0"/>
                  <w:vAlign w:val="center"/>
                </w:tcPr>
                <w:p w14:paraId="713F8413">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固废</w:t>
                  </w:r>
                </w:p>
              </w:tc>
              <w:tc>
                <w:tcPr>
                  <w:tcW w:w="2892" w:type="pct"/>
                  <w:gridSpan w:val="2"/>
                  <w:tcBorders>
                    <w:tl2br w:val="nil"/>
                    <w:tr2bl w:val="nil"/>
                  </w:tcBorders>
                  <w:noWrap w:val="0"/>
                  <w:vAlign w:val="center"/>
                </w:tcPr>
                <w:p w14:paraId="1C013BC4">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统计种类、产生量、处理方式、去向</w:t>
                  </w:r>
                </w:p>
              </w:tc>
              <w:tc>
                <w:tcPr>
                  <w:tcW w:w="1028" w:type="pct"/>
                  <w:tcBorders>
                    <w:tl2br w:val="nil"/>
                    <w:tr2bl w:val="nil"/>
                  </w:tcBorders>
                  <w:noWrap w:val="0"/>
                  <w:vAlign w:val="center"/>
                </w:tcPr>
                <w:p w14:paraId="6288CFCF">
                  <w:pPr>
                    <w:spacing w:line="480" w:lineRule="exact"/>
                    <w:jc w:val="center"/>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每月统计一次</w:t>
                  </w:r>
                </w:p>
              </w:tc>
            </w:tr>
          </w:tbl>
          <w:p w14:paraId="0E9E9C8D">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7</w:t>
            </w: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、环保投资</w:t>
            </w:r>
          </w:p>
          <w:p w14:paraId="496C9B0A">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000000" w:themeColor="text1"/>
                <w:sz w:val="24"/>
                <w:szCs w:val="24"/>
                <w:highlight w:val="none"/>
                <w14:textFill>
                  <w14:solidFill>
                    <w14:schemeClr w14:val="tx1"/>
                  </w14:solidFill>
                </w14:textFill>
              </w:rPr>
            </w:pPr>
            <w:r>
              <w:rPr>
                <w:rFonts w:hint="eastAsia" w:ascii="Times New Roman" w:hAnsi="Times New Roman" w:eastAsia="宋体" w:cs="宋体"/>
                <w:color w:val="000000" w:themeColor="text1"/>
                <w:sz w:val="24"/>
                <w:szCs w:val="24"/>
                <w:highlight w:val="none"/>
                <w14:textFill>
                  <w14:solidFill>
                    <w14:schemeClr w14:val="tx1"/>
                  </w14:solidFill>
                </w14:textFill>
              </w:rPr>
              <w:t>本项目工程总投资</w:t>
            </w:r>
            <w:r>
              <w:rPr>
                <w:rFonts w:hint="eastAsia" w:ascii="Times New Roman" w:hAnsi="Times New Roman" w:cs="宋体"/>
                <w:color w:val="000000" w:themeColor="text1"/>
                <w:sz w:val="24"/>
                <w:szCs w:val="24"/>
                <w:highlight w:val="none"/>
                <w:lang w:val="en-US" w:eastAsia="zh-CN"/>
                <w14:textFill>
                  <w14:solidFill>
                    <w14:schemeClr w14:val="tx1"/>
                  </w14:solidFill>
                </w14:textFill>
              </w:rPr>
              <w:t>1500</w:t>
            </w:r>
            <w:r>
              <w:rPr>
                <w:rFonts w:hint="eastAsia" w:ascii="Times New Roman" w:hAnsi="Times New Roman" w:eastAsia="宋体" w:cs="宋体"/>
                <w:color w:val="000000" w:themeColor="text1"/>
                <w:sz w:val="24"/>
                <w:szCs w:val="24"/>
                <w:highlight w:val="none"/>
                <w14:textFill>
                  <w14:solidFill>
                    <w14:schemeClr w14:val="tx1"/>
                  </w14:solidFill>
                </w14:textFill>
              </w:rPr>
              <w:t>万元，全部由企业自筹。环保投资约</w:t>
            </w:r>
            <w:r>
              <w:rPr>
                <w:rFonts w:hint="eastAsia" w:ascii="Times New Roman" w:hAnsi="Times New Roman" w:cs="宋体"/>
                <w:color w:val="000000" w:themeColor="text1"/>
                <w:sz w:val="24"/>
                <w:szCs w:val="24"/>
                <w:highlight w:val="none"/>
                <w:lang w:val="en-US" w:eastAsia="zh-CN"/>
                <w14:textFill>
                  <w14:solidFill>
                    <w14:schemeClr w14:val="tx1"/>
                  </w14:solidFill>
                </w14:textFill>
              </w:rPr>
              <w:t>65</w:t>
            </w:r>
            <w:r>
              <w:rPr>
                <w:rFonts w:hint="eastAsia" w:ascii="Times New Roman" w:hAnsi="Times New Roman" w:eastAsia="宋体" w:cs="宋体"/>
                <w:color w:val="000000" w:themeColor="text1"/>
                <w:sz w:val="24"/>
                <w:szCs w:val="24"/>
                <w:highlight w:val="none"/>
                <w14:textFill>
                  <w14:solidFill>
                    <w14:schemeClr w14:val="tx1"/>
                  </w14:solidFill>
                </w14:textFill>
              </w:rPr>
              <w:t>万元，占总投资比例为</w:t>
            </w:r>
            <w:r>
              <w:rPr>
                <w:rFonts w:hint="eastAsia" w:ascii="Times New Roman" w:hAnsi="Times New Roman" w:cs="宋体"/>
                <w:color w:val="000000" w:themeColor="text1"/>
                <w:sz w:val="24"/>
                <w:szCs w:val="24"/>
                <w:highlight w:val="none"/>
                <w:lang w:val="en-US" w:eastAsia="zh-CN"/>
                <w14:textFill>
                  <w14:solidFill>
                    <w14:schemeClr w14:val="tx1"/>
                  </w14:solidFill>
                </w14:textFill>
              </w:rPr>
              <w:t>4.3</w:t>
            </w:r>
            <w:r>
              <w:rPr>
                <w:rFonts w:hint="eastAsia" w:ascii="Times New Roman" w:hAnsi="Times New Roman" w:eastAsia="宋体" w:cs="宋体"/>
                <w:color w:val="000000" w:themeColor="text1"/>
                <w:sz w:val="24"/>
                <w:szCs w:val="24"/>
                <w:highlight w:val="none"/>
                <w14:textFill>
                  <w14:solidFill>
                    <w14:schemeClr w14:val="tx1"/>
                  </w14:solidFill>
                </w14:textFill>
              </w:rPr>
              <w:t>%，环保投资具体分配情况</w:t>
            </w:r>
            <w:r>
              <w:rPr>
                <w:rFonts w:hint="eastAsia" w:ascii="Times New Roman" w:hAnsi="Times New Roman" w:eastAsia="宋体" w:cs="宋体"/>
                <w:color w:val="000000" w:themeColor="text1"/>
                <w:sz w:val="24"/>
                <w:szCs w:val="24"/>
                <w:highlight w:val="none"/>
                <w:lang w:eastAsia="zh-CN"/>
                <w14:textFill>
                  <w14:solidFill>
                    <w14:schemeClr w14:val="tx1"/>
                  </w14:solidFill>
                </w14:textFill>
              </w:rPr>
              <w:t>见下</w:t>
            </w:r>
            <w:r>
              <w:rPr>
                <w:rFonts w:hint="eastAsia" w:ascii="Times New Roman" w:hAnsi="Times New Roman" w:eastAsia="宋体" w:cs="宋体"/>
                <w:color w:val="000000" w:themeColor="text1"/>
                <w:sz w:val="24"/>
                <w:szCs w:val="24"/>
                <w:highlight w:val="none"/>
                <w14:textFill>
                  <w14:solidFill>
                    <w14:schemeClr w14:val="tx1"/>
                  </w14:solidFill>
                </w14:textFill>
              </w:rPr>
              <w:t>表。</w:t>
            </w:r>
          </w:p>
          <w:p w14:paraId="0403A0C3">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eastAsia" w:ascii="Times New Roman" w:hAnsi="Times New Roman" w:eastAsia="宋体" w:cs="宋体"/>
                <w:b/>
                <w:color w:val="000000" w:themeColor="text1"/>
                <w:sz w:val="24"/>
                <w:szCs w:val="24"/>
                <w:highlight w:val="none"/>
                <w14:textFill>
                  <w14:solidFill>
                    <w14:schemeClr w14:val="tx1"/>
                  </w14:solidFill>
                </w14:textFill>
              </w:rPr>
            </w:pPr>
            <w:r>
              <w:rPr>
                <w:rFonts w:hint="eastAsia" w:ascii="Times New Roman" w:hAnsi="Times New Roman" w:eastAsia="宋体" w:cs="宋体"/>
                <w:b/>
                <w:color w:val="000000" w:themeColor="text1"/>
                <w:sz w:val="24"/>
                <w:szCs w:val="24"/>
                <w:highlight w:val="none"/>
                <w14:textFill>
                  <w14:solidFill>
                    <w14:schemeClr w14:val="tx1"/>
                  </w14:solidFill>
                </w14:textFill>
              </w:rPr>
              <w:t>表</w:t>
            </w:r>
            <w:r>
              <w:rPr>
                <w:rFonts w:hint="eastAsia" w:ascii="Times New Roman" w:hAnsi="Times New Roman" w:cs="宋体"/>
                <w:b/>
                <w:color w:val="000000" w:themeColor="text1"/>
                <w:sz w:val="24"/>
                <w:szCs w:val="24"/>
                <w:highlight w:val="none"/>
                <w:lang w:val="en-US" w:eastAsia="zh-CN"/>
                <w14:textFill>
                  <w14:solidFill>
                    <w14:schemeClr w14:val="tx1"/>
                  </w14:solidFill>
                </w14:textFill>
              </w:rPr>
              <w:t>4-11</w:t>
            </w:r>
            <w:r>
              <w:rPr>
                <w:rFonts w:hint="eastAsia" w:ascii="Times New Roman" w:hAnsi="Times New Roman" w:eastAsia="宋体" w:cs="宋体"/>
                <w:b/>
                <w:color w:val="000000" w:themeColor="text1"/>
                <w:sz w:val="24"/>
                <w:szCs w:val="24"/>
                <w:highlight w:val="none"/>
                <w14:textFill>
                  <w14:solidFill>
                    <w14:schemeClr w14:val="tx1"/>
                  </w14:solidFill>
                </w14:textFill>
              </w:rPr>
              <w:t xml:space="preserve">  环保投资一览表</w:t>
            </w:r>
          </w:p>
          <w:tbl>
            <w:tblPr>
              <w:tblStyle w:val="24"/>
              <w:tblW w:w="4998" w:type="pct"/>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3"/>
              <w:gridCol w:w="827"/>
              <w:gridCol w:w="5592"/>
              <w:gridCol w:w="1066"/>
            </w:tblGrid>
            <w:tr w14:paraId="37BBF50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418" w:type="pct"/>
                  <w:noWrap w:val="0"/>
                  <w:vAlign w:val="center"/>
                </w:tcPr>
                <w:p w14:paraId="3AF457FC">
                  <w:pPr>
                    <w:spacing w:line="360" w:lineRule="auto"/>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序号</w:t>
                  </w:r>
                </w:p>
              </w:tc>
              <w:tc>
                <w:tcPr>
                  <w:tcW w:w="506" w:type="pct"/>
                  <w:noWrap w:val="0"/>
                  <w:vAlign w:val="center"/>
                </w:tcPr>
                <w:p w14:paraId="36BFAC97">
                  <w:pPr>
                    <w:spacing w:line="360" w:lineRule="auto"/>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名称</w:t>
                  </w:r>
                </w:p>
              </w:tc>
              <w:tc>
                <w:tcPr>
                  <w:tcW w:w="3422" w:type="pct"/>
                  <w:noWrap w:val="0"/>
                  <w:vAlign w:val="center"/>
                </w:tcPr>
                <w:p w14:paraId="156FFB42">
                  <w:pPr>
                    <w:spacing w:line="360" w:lineRule="auto"/>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内容</w:t>
                  </w:r>
                </w:p>
              </w:tc>
              <w:tc>
                <w:tcPr>
                  <w:tcW w:w="652" w:type="pct"/>
                  <w:noWrap w:val="0"/>
                  <w:vAlign w:val="center"/>
                </w:tcPr>
                <w:p w14:paraId="65D35E75">
                  <w:pPr>
                    <w:spacing w:line="360" w:lineRule="auto"/>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金额（万元）</w:t>
                  </w:r>
                </w:p>
              </w:tc>
            </w:tr>
            <w:tr w14:paraId="0018B00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8" w:hRule="atLeast"/>
                <w:jc w:val="center"/>
              </w:trPr>
              <w:tc>
                <w:tcPr>
                  <w:tcW w:w="418" w:type="pct"/>
                  <w:noWrap w:val="0"/>
                  <w:vAlign w:val="center"/>
                </w:tcPr>
                <w:p w14:paraId="6DBF02A1">
                  <w:pPr>
                    <w:spacing w:line="360" w:lineRule="auto"/>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1</w:t>
                  </w:r>
                </w:p>
              </w:tc>
              <w:tc>
                <w:tcPr>
                  <w:tcW w:w="506" w:type="pct"/>
                  <w:noWrap w:val="0"/>
                  <w:vAlign w:val="center"/>
                </w:tcPr>
                <w:p w14:paraId="7BBBD58E">
                  <w:pPr>
                    <w:spacing w:line="360" w:lineRule="auto"/>
                    <w:jc w:val="center"/>
                    <w:rPr>
                      <w:rFonts w:hint="eastAsia" w:ascii="Times New Roman" w:hAnsi="Times New Roman" w:eastAsia="宋体" w:cs="宋体"/>
                      <w:color w:val="000000" w:themeColor="text1"/>
                      <w:sz w:val="21"/>
                      <w:szCs w:val="21"/>
                      <w:highlight w:val="none"/>
                      <w:lang w:eastAsia="zh-CN"/>
                      <w14:textFill>
                        <w14:solidFill>
                          <w14:schemeClr w14:val="tx1"/>
                        </w14:solidFill>
                      </w14:textFill>
                    </w:rPr>
                  </w:pPr>
                  <w:r>
                    <w:rPr>
                      <w:rFonts w:hint="eastAsia" w:ascii="Times New Roman" w:hAnsi="Times New Roman" w:eastAsia="宋体" w:cs="宋体"/>
                      <w:color w:val="000000" w:themeColor="text1"/>
                      <w:sz w:val="21"/>
                      <w:szCs w:val="21"/>
                      <w:highlight w:val="none"/>
                      <w:lang w:eastAsia="zh-CN"/>
                      <w14:textFill>
                        <w14:solidFill>
                          <w14:schemeClr w14:val="tx1"/>
                        </w14:solidFill>
                      </w14:textFill>
                    </w:rPr>
                    <w:t>废气</w:t>
                  </w:r>
                </w:p>
              </w:tc>
              <w:tc>
                <w:tcPr>
                  <w:tcW w:w="3422" w:type="pct"/>
                  <w:noWrap w:val="0"/>
                  <w:vAlign w:val="center"/>
                </w:tcPr>
                <w:p w14:paraId="6D40F4C9">
                  <w:pPr>
                    <w:spacing w:line="360" w:lineRule="auto"/>
                    <w:jc w:val="both"/>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原料</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装卸</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粉尘，</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装卸过程洒水抑尘，原料库</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全封闭；上料粉尘，上料</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口位于封闭式原料库内</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每条</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石灰石磨粉工序</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（生产线1~生产线4）</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将粉尘引入</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对应的负压收集+</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脉冲</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布袋</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除尘器</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（TA001~TA004）</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处理后经</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各自</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15米高排气筒</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（DA001~DA004）</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排放，除尘效率99%；</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每个</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储粉罐粉尘，经</w:t>
                  </w:r>
                  <w:r>
                    <w:rPr>
                      <w:rFonts w:hint="eastAsia" w:ascii="Times New Roman" w:hAnsi="Times New Roman" w:cs="Times New Roman"/>
                      <w:color w:val="000000" w:themeColor="text1"/>
                      <w:sz w:val="21"/>
                      <w:szCs w:val="21"/>
                      <w:highlight w:val="none"/>
                      <w:vertAlign w:val="baseline"/>
                      <w:lang w:val="en-US" w:eastAsia="zh-CN"/>
                      <w14:textFill>
                        <w14:solidFill>
                          <w14:schemeClr w14:val="tx1"/>
                        </w14:solidFill>
                      </w14:textFill>
                    </w:rPr>
                    <w:t>各自</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仓顶自带脉冲式滤芯除尘器过滤后顶部排放；车辆运输粉尘，洒水抑尘，车辆减速行驶，原料运输车辆100%苫盖</w:t>
                  </w:r>
                </w:p>
              </w:tc>
              <w:tc>
                <w:tcPr>
                  <w:tcW w:w="652" w:type="pct"/>
                  <w:noWrap w:val="0"/>
                  <w:vAlign w:val="center"/>
                </w:tcPr>
                <w:p w14:paraId="2EFD38DE">
                  <w:pPr>
                    <w:spacing w:line="360" w:lineRule="auto"/>
                    <w:jc w:val="center"/>
                    <w:rPr>
                      <w:rFonts w:hint="default"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cs="宋体"/>
                      <w:color w:val="000000" w:themeColor="text1"/>
                      <w:sz w:val="21"/>
                      <w:szCs w:val="21"/>
                      <w:highlight w:val="none"/>
                      <w:lang w:val="en-US" w:eastAsia="zh-CN"/>
                      <w14:textFill>
                        <w14:solidFill>
                          <w14:schemeClr w14:val="tx1"/>
                        </w14:solidFill>
                      </w14:textFill>
                    </w:rPr>
                    <w:t>60</w:t>
                  </w:r>
                </w:p>
              </w:tc>
            </w:tr>
            <w:tr w14:paraId="28619B8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jc w:val="center"/>
              </w:trPr>
              <w:tc>
                <w:tcPr>
                  <w:tcW w:w="418" w:type="pct"/>
                  <w:noWrap w:val="0"/>
                  <w:vAlign w:val="center"/>
                </w:tcPr>
                <w:p w14:paraId="262776B8">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2</w:t>
                  </w:r>
                </w:p>
              </w:tc>
              <w:tc>
                <w:tcPr>
                  <w:tcW w:w="506" w:type="pct"/>
                  <w:noWrap w:val="0"/>
                  <w:vAlign w:val="center"/>
                </w:tcPr>
                <w:p w14:paraId="4E944231">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废水</w:t>
                  </w:r>
                </w:p>
              </w:tc>
              <w:tc>
                <w:tcPr>
                  <w:tcW w:w="3422" w:type="pct"/>
                  <w:noWrap w:val="0"/>
                  <w:vAlign w:val="center"/>
                </w:tcPr>
                <w:p w14:paraId="3A553ABB">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员工生活污水经化粪池处理满足《污水综合排放标准》（GB8978-1996）三级标准后，送上都镇生活污水处理厂进行进一步处理；</w:t>
                  </w:r>
                  <w:r>
                    <w:rPr>
                      <w:rFonts w:hint="default" w:ascii="Times New Roman" w:hAnsi="Times New Roman" w:eastAsia="宋体" w:cs="宋体"/>
                      <w:color w:val="auto"/>
                      <w:sz w:val="21"/>
                      <w:szCs w:val="21"/>
                      <w:highlight w:val="none"/>
                      <w:lang w:val="en-US" w:eastAsia="zh-CN"/>
                    </w:rPr>
                    <w:t>石灰石上料用水、厂区洒水抑尘水，该部分用水全部蒸发消耗，无废水产生。</w:t>
                  </w:r>
                </w:p>
              </w:tc>
              <w:tc>
                <w:tcPr>
                  <w:tcW w:w="652" w:type="pct"/>
                  <w:noWrap w:val="0"/>
                  <w:vAlign w:val="center"/>
                </w:tcPr>
                <w:p w14:paraId="55DF2669">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0</w:t>
                  </w:r>
                </w:p>
              </w:tc>
            </w:tr>
            <w:tr w14:paraId="22EB375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418" w:type="pct"/>
                  <w:noWrap w:val="0"/>
                  <w:vAlign w:val="center"/>
                </w:tcPr>
                <w:p w14:paraId="70F525F0">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3</w:t>
                  </w:r>
                </w:p>
              </w:tc>
              <w:tc>
                <w:tcPr>
                  <w:tcW w:w="506" w:type="pct"/>
                  <w:noWrap w:val="0"/>
                  <w:vAlign w:val="center"/>
                </w:tcPr>
                <w:p w14:paraId="0B9C708C">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噪声</w:t>
                  </w:r>
                </w:p>
              </w:tc>
              <w:tc>
                <w:tcPr>
                  <w:tcW w:w="3422" w:type="pct"/>
                  <w:noWrap w:val="0"/>
                  <w:vAlign w:val="center"/>
                </w:tcPr>
                <w:p w14:paraId="03516EFC">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lang w:val="en-US" w:eastAsia="zh-CN"/>
                    </w:rPr>
                    <w:t>采用低噪声设备与工艺，并采取隔声、消音</w:t>
                  </w:r>
                  <w:r>
                    <w:rPr>
                      <w:rFonts w:hint="eastAsia" w:ascii="Times New Roman" w:hAnsi="Times New Roman" w:eastAsia="宋体" w:cs="宋体"/>
                      <w:color w:val="auto"/>
                      <w:sz w:val="21"/>
                      <w:szCs w:val="21"/>
                      <w:highlight w:val="none"/>
                    </w:rPr>
                    <w:t>、</w:t>
                  </w:r>
                  <w:r>
                    <w:rPr>
                      <w:rFonts w:hint="eastAsia" w:ascii="Times New Roman" w:hAnsi="Times New Roman" w:eastAsia="宋体" w:cs="宋体"/>
                      <w:color w:val="auto"/>
                      <w:sz w:val="21"/>
                      <w:szCs w:val="21"/>
                      <w:highlight w:val="none"/>
                      <w:lang w:eastAsia="zh-CN"/>
                    </w:rPr>
                    <w:t>减振</w:t>
                  </w:r>
                  <w:r>
                    <w:rPr>
                      <w:rFonts w:hint="eastAsia" w:ascii="Times New Roman" w:hAnsi="Times New Roman" w:eastAsia="宋体" w:cs="宋体"/>
                      <w:color w:val="auto"/>
                      <w:sz w:val="21"/>
                      <w:szCs w:val="21"/>
                      <w:highlight w:val="none"/>
                      <w:lang w:val="en-US" w:eastAsia="zh-CN"/>
                    </w:rPr>
                    <w:t>等</w:t>
                  </w:r>
                  <w:r>
                    <w:rPr>
                      <w:rFonts w:hint="eastAsia" w:ascii="Times New Roman" w:hAnsi="Times New Roman" w:eastAsia="宋体" w:cs="宋体"/>
                      <w:color w:val="auto"/>
                      <w:sz w:val="21"/>
                      <w:szCs w:val="21"/>
                      <w:highlight w:val="none"/>
                    </w:rPr>
                    <w:t>装置</w:t>
                  </w:r>
                </w:p>
              </w:tc>
              <w:tc>
                <w:tcPr>
                  <w:tcW w:w="652" w:type="pct"/>
                  <w:noWrap w:val="0"/>
                  <w:vAlign w:val="center"/>
                </w:tcPr>
                <w:p w14:paraId="33E9EA85">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2</w:t>
                  </w:r>
                </w:p>
              </w:tc>
            </w:tr>
            <w:tr w14:paraId="062BC76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8" w:hRule="atLeast"/>
                <w:jc w:val="center"/>
              </w:trPr>
              <w:tc>
                <w:tcPr>
                  <w:tcW w:w="418" w:type="pct"/>
                  <w:noWrap w:val="0"/>
                  <w:vAlign w:val="center"/>
                </w:tcPr>
                <w:p w14:paraId="227CA05C">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4</w:t>
                  </w:r>
                </w:p>
              </w:tc>
              <w:tc>
                <w:tcPr>
                  <w:tcW w:w="506" w:type="pct"/>
                  <w:noWrap w:val="0"/>
                  <w:vAlign w:val="center"/>
                </w:tcPr>
                <w:p w14:paraId="217C743A">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固体废物</w:t>
                  </w:r>
                </w:p>
              </w:tc>
              <w:tc>
                <w:tcPr>
                  <w:tcW w:w="3422" w:type="pct"/>
                  <w:noWrap w:val="0"/>
                  <w:vAlign w:val="center"/>
                </w:tcPr>
                <w:p w14:paraId="41CBF826">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cs="Times New Roman"/>
                      <w:color w:val="auto"/>
                      <w:sz w:val="21"/>
                      <w:szCs w:val="21"/>
                      <w:highlight w:val="none"/>
                      <w:lang w:val="en-US" w:eastAsia="zh-CN"/>
                    </w:rPr>
                    <w:t>生活垃圾</w:t>
                  </w:r>
                  <w:r>
                    <w:rPr>
                      <w:rFonts w:hint="default" w:ascii="Times New Roman" w:hAnsi="Times New Roman" w:eastAsia="宋体" w:cs="Times New Roman"/>
                      <w:color w:val="auto"/>
                      <w:sz w:val="21"/>
                      <w:szCs w:val="21"/>
                      <w:lang w:val="en-US" w:eastAsia="zh-CN"/>
                    </w:rPr>
                    <w:t>定期运往正蓝旗生活垃圾填埋场填埋处置</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布袋除尘器收集的粉尘</w:t>
                  </w:r>
                  <w:r>
                    <w:rPr>
                      <w:rFonts w:hint="eastAsia" w:ascii="Times New Roman" w:hAnsi="Times New Roman" w:cs="Times New Roman"/>
                      <w:color w:val="auto"/>
                      <w:sz w:val="21"/>
                      <w:szCs w:val="21"/>
                      <w:highlight w:val="none"/>
                      <w:lang w:val="en-US" w:eastAsia="zh-CN"/>
                    </w:rPr>
                    <w:t>直接作为产品出售；废布袋收集后交由废品回收站处置</w:t>
                  </w:r>
                </w:p>
              </w:tc>
              <w:tc>
                <w:tcPr>
                  <w:tcW w:w="652" w:type="pct"/>
                  <w:noWrap w:val="0"/>
                  <w:vAlign w:val="center"/>
                </w:tcPr>
                <w:p w14:paraId="50BD3E81">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3</w:t>
                  </w:r>
                </w:p>
              </w:tc>
            </w:tr>
            <w:tr w14:paraId="57165EE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418" w:type="pct"/>
                  <w:noWrap w:val="0"/>
                  <w:vAlign w:val="center"/>
                </w:tcPr>
                <w:p w14:paraId="0A168BAF">
                  <w:pPr>
                    <w:spacing w:line="360" w:lineRule="auto"/>
                    <w:jc w:val="center"/>
                    <w:rPr>
                      <w:rFonts w:hint="default"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cs="宋体"/>
                      <w:color w:val="000000" w:themeColor="text1"/>
                      <w:sz w:val="21"/>
                      <w:szCs w:val="21"/>
                      <w:highlight w:val="none"/>
                      <w:lang w:val="en-US" w:eastAsia="zh-CN"/>
                      <w14:textFill>
                        <w14:solidFill>
                          <w14:schemeClr w14:val="tx1"/>
                        </w14:solidFill>
                      </w14:textFill>
                    </w:rPr>
                    <w:t>5</w:t>
                  </w:r>
                </w:p>
              </w:tc>
              <w:tc>
                <w:tcPr>
                  <w:tcW w:w="506" w:type="pct"/>
                  <w:noWrap w:val="0"/>
                  <w:vAlign w:val="center"/>
                </w:tcPr>
                <w:p w14:paraId="74C74B35">
                  <w:pPr>
                    <w:spacing w:line="360" w:lineRule="auto"/>
                    <w:jc w:val="center"/>
                    <w:rPr>
                      <w:rFonts w:hint="eastAsia" w:ascii="Times New Roman" w:hAnsi="Times New Roman" w:eastAsia="宋体" w:cs="宋体"/>
                      <w:color w:val="000000" w:themeColor="text1"/>
                      <w:sz w:val="21"/>
                      <w:szCs w:val="21"/>
                      <w:highlight w:val="none"/>
                      <w14:textFill>
                        <w14:solidFill>
                          <w14:schemeClr w14:val="tx1"/>
                        </w14:solidFill>
                      </w14:textFill>
                    </w:rPr>
                  </w:pPr>
                  <w:r>
                    <w:rPr>
                      <w:rFonts w:hint="eastAsia" w:ascii="Times New Roman" w:hAnsi="Times New Roman" w:eastAsia="宋体" w:cs="宋体"/>
                      <w:color w:val="000000" w:themeColor="text1"/>
                      <w:sz w:val="21"/>
                      <w:szCs w:val="21"/>
                      <w:highlight w:val="none"/>
                      <w14:textFill>
                        <w14:solidFill>
                          <w14:schemeClr w14:val="tx1"/>
                        </w14:solidFill>
                      </w14:textFill>
                    </w:rPr>
                    <w:t>合计</w:t>
                  </w:r>
                </w:p>
              </w:tc>
              <w:tc>
                <w:tcPr>
                  <w:tcW w:w="3422" w:type="pct"/>
                  <w:noWrap w:val="0"/>
                  <w:vAlign w:val="center"/>
                </w:tcPr>
                <w:p w14:paraId="4C6890CE">
                  <w:pPr>
                    <w:spacing w:line="360" w:lineRule="auto"/>
                    <w:jc w:val="center"/>
                    <w:rPr>
                      <w:rFonts w:hint="eastAsia" w:ascii="Times New Roman" w:hAnsi="Times New Roman" w:eastAsia="宋体" w:cs="宋体"/>
                      <w:color w:val="000000" w:themeColor="text1"/>
                      <w:sz w:val="21"/>
                      <w:szCs w:val="21"/>
                      <w:highlight w:val="none"/>
                      <w14:textFill>
                        <w14:solidFill>
                          <w14:schemeClr w14:val="tx1"/>
                        </w14:solidFill>
                      </w14:textFill>
                    </w:rPr>
                  </w:pPr>
                </w:p>
              </w:tc>
              <w:tc>
                <w:tcPr>
                  <w:tcW w:w="652" w:type="pct"/>
                  <w:noWrap w:val="0"/>
                  <w:vAlign w:val="center"/>
                </w:tcPr>
                <w:p w14:paraId="3807D403">
                  <w:pPr>
                    <w:spacing w:line="360" w:lineRule="auto"/>
                    <w:jc w:val="center"/>
                    <w:rPr>
                      <w:rFonts w:hint="default" w:ascii="Times New Roman" w:hAnsi="Times New Roman" w:eastAsia="宋体" w:cs="宋体"/>
                      <w:color w:val="000000" w:themeColor="text1"/>
                      <w:sz w:val="21"/>
                      <w:szCs w:val="21"/>
                      <w:highlight w:val="none"/>
                      <w:lang w:val="en-US" w:eastAsia="zh-CN"/>
                      <w14:textFill>
                        <w14:solidFill>
                          <w14:schemeClr w14:val="tx1"/>
                        </w14:solidFill>
                      </w14:textFill>
                    </w:rPr>
                  </w:pPr>
                  <w:r>
                    <w:rPr>
                      <w:rFonts w:hint="eastAsia" w:ascii="Times New Roman" w:hAnsi="Times New Roman" w:cs="宋体"/>
                      <w:color w:val="000000" w:themeColor="text1"/>
                      <w:sz w:val="21"/>
                      <w:szCs w:val="21"/>
                      <w:highlight w:val="none"/>
                      <w:lang w:val="en-US" w:eastAsia="zh-CN"/>
                      <w14:textFill>
                        <w14:solidFill>
                          <w14:schemeClr w14:val="tx1"/>
                        </w14:solidFill>
                      </w14:textFill>
                    </w:rPr>
                    <w:t>65</w:t>
                  </w:r>
                </w:p>
              </w:tc>
            </w:tr>
          </w:tbl>
          <w:p w14:paraId="04E7046C">
            <w:pPr>
              <w:keepNext w:val="0"/>
              <w:keepLines w:val="0"/>
              <w:pageBreakBefore w:val="0"/>
              <w:widowControl w:val="0"/>
              <w:kinsoku/>
              <w:wordWrap/>
              <w:overflowPunct/>
              <w:topLinePunct w:val="0"/>
              <w:autoSpaceDE/>
              <w:autoSpaceDN/>
              <w:bidi w:val="0"/>
              <w:adjustRightInd/>
              <w:snapToGrid w:val="0"/>
              <w:spacing w:beforeLines="0" w:line="360" w:lineRule="auto"/>
              <w:textAlignment w:val="auto"/>
              <w:rPr>
                <w:rFonts w:hint="eastAsia"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 xml:space="preserve"> </w:t>
            </w:r>
          </w:p>
        </w:tc>
      </w:tr>
    </w:tbl>
    <w:p w14:paraId="62A4D481">
      <w:pPr>
        <w:rPr>
          <w:rFonts w:hint="default" w:ascii="Times New Roman" w:hAnsi="Times New Roman" w:eastAsia="黑体" w:cs="Times New Roman"/>
          <w:snapToGrid w:val="0"/>
          <w:sz w:val="30"/>
          <w:szCs w:val="24"/>
          <w:highlight w:val="yellow"/>
        </w:rPr>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14:paraId="4763782C">
      <w:pPr>
        <w:pStyle w:val="20"/>
        <w:spacing w:beforeLines="0" w:afterLines="0"/>
        <w:jc w:val="center"/>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五、</w:t>
      </w:r>
      <w:bookmarkStart w:id="1" w:name="_Hlk54167917"/>
      <w:r>
        <w:rPr>
          <w:rFonts w:hint="default" w:ascii="Times New Roman" w:hAnsi="Times New Roman" w:eastAsia="黑体" w:cs="Times New Roman"/>
          <w:snapToGrid w:val="0"/>
          <w:sz w:val="30"/>
          <w:szCs w:val="24"/>
          <w:highlight w:val="none"/>
        </w:rPr>
        <w:t>环境保护措施监督检查清单</w:t>
      </w:r>
      <w:bookmarkEnd w:id="1"/>
    </w:p>
    <w:tbl>
      <w:tblPr>
        <w:tblStyle w:val="2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778"/>
        <w:gridCol w:w="1755"/>
        <w:gridCol w:w="896"/>
        <w:gridCol w:w="2146"/>
        <w:gridCol w:w="2340"/>
      </w:tblGrid>
      <w:tr w14:paraId="2F2F1B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tcBorders>
              <w:tl2br w:val="single" w:color="auto" w:sz="4" w:space="0"/>
            </w:tcBorders>
            <w:noWrap w:val="0"/>
            <w:vAlign w:val="top"/>
          </w:tcPr>
          <w:p w14:paraId="3E7EC82B">
            <w:pPr>
              <w:adjustRightInd w:val="0"/>
              <w:snapToGrid w:val="0"/>
              <w:ind w:firstLine="840"/>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内容</w:t>
            </w:r>
          </w:p>
          <w:p w14:paraId="445609C1">
            <w:pPr>
              <w:adjustRightInd w:val="0"/>
              <w:snapToGrid w:val="0"/>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要素</w:t>
            </w:r>
          </w:p>
        </w:tc>
        <w:tc>
          <w:tcPr>
            <w:tcW w:w="1755" w:type="dxa"/>
            <w:noWrap w:val="0"/>
            <w:vAlign w:val="center"/>
          </w:tcPr>
          <w:p w14:paraId="4D79220B">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排放口</w:t>
            </w:r>
            <w:r>
              <w:rPr>
                <w:rFonts w:hint="eastAsia" w:ascii="Times New Roman" w:hAnsi="Times New Roman" w:cs="Times New Roman"/>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编号、</w:t>
            </w:r>
          </w:p>
          <w:p w14:paraId="760DFBD4">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名称</w:t>
            </w:r>
            <w:r>
              <w:rPr>
                <w:rFonts w:hint="eastAsia" w:ascii="Times New Roman" w:hAnsi="Times New Roman" w:cs="Times New Roman"/>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/污染源</w:t>
            </w:r>
          </w:p>
        </w:tc>
        <w:tc>
          <w:tcPr>
            <w:tcW w:w="896" w:type="dxa"/>
            <w:noWrap w:val="0"/>
            <w:vAlign w:val="center"/>
          </w:tcPr>
          <w:p w14:paraId="611835E3">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污染物项目</w:t>
            </w:r>
          </w:p>
        </w:tc>
        <w:tc>
          <w:tcPr>
            <w:tcW w:w="2146" w:type="dxa"/>
            <w:noWrap w:val="0"/>
            <w:vAlign w:val="center"/>
          </w:tcPr>
          <w:p w14:paraId="3E124C3C">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环境保护措施</w:t>
            </w:r>
          </w:p>
        </w:tc>
        <w:tc>
          <w:tcPr>
            <w:tcW w:w="2340" w:type="dxa"/>
            <w:noWrap w:val="0"/>
            <w:vAlign w:val="center"/>
          </w:tcPr>
          <w:p w14:paraId="001C212C">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执行标准</w:t>
            </w:r>
          </w:p>
        </w:tc>
      </w:tr>
      <w:tr w14:paraId="20FC64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7" w:hRule="atLeast"/>
          <w:jc w:val="center"/>
        </w:trPr>
        <w:tc>
          <w:tcPr>
            <w:tcW w:w="1778" w:type="dxa"/>
            <w:vMerge w:val="restart"/>
            <w:noWrap w:val="0"/>
            <w:vAlign w:val="center"/>
          </w:tcPr>
          <w:p w14:paraId="7AFE2C7E">
            <w:pPr>
              <w:adjustRightInd w:val="0"/>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大气环境</w:t>
            </w:r>
          </w:p>
        </w:tc>
        <w:tc>
          <w:tcPr>
            <w:tcW w:w="1755" w:type="dxa"/>
            <w:shd w:val="clear" w:color="auto" w:fill="auto"/>
            <w:noWrap w:val="0"/>
            <w:vAlign w:val="center"/>
          </w:tcPr>
          <w:p w14:paraId="3FF275F8">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原料库装卸、原料贮存、上料粉尘</w:t>
            </w:r>
          </w:p>
        </w:tc>
        <w:tc>
          <w:tcPr>
            <w:tcW w:w="896" w:type="dxa"/>
            <w:shd w:val="clear" w:color="auto" w:fill="auto"/>
            <w:noWrap w:val="0"/>
            <w:vAlign w:val="center"/>
          </w:tcPr>
          <w:p w14:paraId="51212D64">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颗粒物</w:t>
            </w:r>
          </w:p>
        </w:tc>
        <w:tc>
          <w:tcPr>
            <w:tcW w:w="2146" w:type="dxa"/>
            <w:shd w:val="clear" w:color="auto" w:fill="auto"/>
            <w:noWrap w:val="0"/>
            <w:vAlign w:val="center"/>
          </w:tcPr>
          <w:p w14:paraId="2619EDC7">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原料库</w:t>
            </w:r>
            <w:r>
              <w:rPr>
                <w:rFonts w:hint="default" w:ascii="Times New Roman" w:hAnsi="Times New Roman" w:eastAsia="宋体" w:cs="Times New Roman"/>
                <w:color w:val="000000" w:themeColor="text1"/>
                <w:sz w:val="21"/>
                <w:szCs w:val="21"/>
                <w14:textFill>
                  <w14:solidFill>
                    <w14:schemeClr w14:val="tx1"/>
                  </w14:solidFill>
                </w14:textFill>
              </w:rPr>
              <w:t>全封闭，并配套雾炮车降尘</w:t>
            </w:r>
          </w:p>
        </w:tc>
        <w:tc>
          <w:tcPr>
            <w:tcW w:w="2340" w:type="dxa"/>
            <w:vMerge w:val="restart"/>
            <w:noWrap w:val="0"/>
            <w:vAlign w:val="center"/>
          </w:tcPr>
          <w:p w14:paraId="6C33CE82">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厂界执行</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《大气污染物综合排放标准》（GB16297-1996）</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w:t>
            </w:r>
          </w:p>
          <w:p w14:paraId="7A1B6EBC">
            <w:pPr>
              <w:adjustRightInd w:val="0"/>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厂区内执行</w:t>
            </w:r>
            <w:r>
              <w:rPr>
                <w:rFonts w:hint="eastAsia" w:ascii="Times New Roman" w:hAnsi="Times New Roman"/>
                <w:color w:val="000000" w:themeColor="text1"/>
                <w:sz w:val="21"/>
                <w:szCs w:val="21"/>
                <w:highlight w:val="none"/>
                <w14:textFill>
                  <w14:solidFill>
                    <w14:schemeClr w14:val="tx1"/>
                  </w14:solidFill>
                </w14:textFill>
              </w:rPr>
              <w:t>《石灰、电石工业大气污染物排放标准》（GB 41618-2022）</w:t>
            </w:r>
          </w:p>
        </w:tc>
      </w:tr>
      <w:tr w14:paraId="7D2C9C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1778" w:type="dxa"/>
            <w:vMerge w:val="continue"/>
            <w:noWrap w:val="0"/>
            <w:vAlign w:val="center"/>
          </w:tcPr>
          <w:p w14:paraId="0FBBCD55">
            <w:pPr>
              <w:adjustRightInd w:val="0"/>
              <w:snapToGrid w:val="0"/>
              <w:jc w:val="center"/>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c>
          <w:tcPr>
            <w:tcW w:w="1755" w:type="dxa"/>
            <w:shd w:val="clear" w:color="auto" w:fill="auto"/>
            <w:noWrap w:val="0"/>
            <w:vAlign w:val="center"/>
          </w:tcPr>
          <w:p w14:paraId="50C404D5">
            <w:pPr>
              <w:keepNext w:val="0"/>
              <w:keepLines w:val="0"/>
              <w:pageBreakBefore w:val="0"/>
              <w:widowControl w:val="0"/>
              <w:kinsoku/>
              <w:overflowPunct/>
              <w:topLinePunct w:val="0"/>
              <w:autoSpaceDE/>
              <w:autoSpaceDN/>
              <w:bidi w:val="0"/>
              <w:adjustRightInd/>
              <w:snapToGrid/>
              <w:spacing w:after="0" w:line="240" w:lineRule="auto"/>
              <w:ind w:left="0" w:right="0"/>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车辆运输粉尘</w:t>
            </w:r>
          </w:p>
        </w:tc>
        <w:tc>
          <w:tcPr>
            <w:tcW w:w="896" w:type="dxa"/>
            <w:shd w:val="clear" w:color="auto" w:fill="auto"/>
            <w:noWrap w:val="0"/>
            <w:vAlign w:val="center"/>
          </w:tcPr>
          <w:p w14:paraId="22EF1158">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颗粒物</w:t>
            </w:r>
          </w:p>
        </w:tc>
        <w:tc>
          <w:tcPr>
            <w:tcW w:w="2146" w:type="dxa"/>
            <w:shd w:val="clear" w:color="auto" w:fill="auto"/>
            <w:noWrap w:val="0"/>
            <w:vAlign w:val="center"/>
          </w:tcPr>
          <w:p w14:paraId="58CB1F9B">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洒水抑尘</w:t>
            </w:r>
            <w:r>
              <w:rPr>
                <w:rFonts w:hint="eastAsia" w:ascii="Times New Roman" w:hAnsi="Times New Roman" w:eastAsia="宋体" w:cs="Times New Roman"/>
                <w:color w:val="000000" w:themeColor="text1"/>
                <w:sz w:val="21"/>
                <w:szCs w:val="21"/>
                <w:lang w:eastAsia="zh-CN"/>
                <w14:textFill>
                  <w14:solidFill>
                    <w14:schemeClr w14:val="tx1"/>
                  </w14:solidFill>
                </w14:textFill>
              </w:rPr>
              <w:t>，车辆减速行驶，原料运输车辆</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100%苫盖</w:t>
            </w:r>
          </w:p>
        </w:tc>
        <w:tc>
          <w:tcPr>
            <w:tcW w:w="2340" w:type="dxa"/>
            <w:vMerge w:val="continue"/>
            <w:noWrap w:val="0"/>
            <w:vAlign w:val="center"/>
          </w:tcPr>
          <w:p w14:paraId="3DE44EF9">
            <w:pPr>
              <w:adjustRightInd w:val="0"/>
              <w:snapToGrid w:val="0"/>
              <w:jc w:val="center"/>
              <w:rPr>
                <w:rFonts w:hint="eastAsia" w:ascii="Times New Roman" w:hAnsi="Times New Roman"/>
                <w:color w:val="000000" w:themeColor="text1"/>
                <w:sz w:val="21"/>
                <w:szCs w:val="21"/>
                <w:highlight w:val="none"/>
                <w14:textFill>
                  <w14:solidFill>
                    <w14:schemeClr w14:val="tx1"/>
                  </w14:solidFill>
                </w14:textFill>
              </w:rPr>
            </w:pPr>
          </w:p>
        </w:tc>
      </w:tr>
      <w:tr w14:paraId="6322BC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1778" w:type="dxa"/>
            <w:vMerge w:val="continue"/>
            <w:noWrap w:val="0"/>
            <w:vAlign w:val="center"/>
          </w:tcPr>
          <w:p w14:paraId="608F27C3">
            <w:pPr>
              <w:adjustRightInd w:val="0"/>
              <w:snapToGrid w:val="0"/>
              <w:jc w:val="center"/>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c>
          <w:tcPr>
            <w:tcW w:w="1755" w:type="dxa"/>
            <w:shd w:val="clear" w:color="auto" w:fill="auto"/>
            <w:noWrap w:val="0"/>
            <w:vAlign w:val="center"/>
          </w:tcPr>
          <w:p w14:paraId="3B566D47">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储粉罐粉尘</w:t>
            </w:r>
          </w:p>
        </w:tc>
        <w:tc>
          <w:tcPr>
            <w:tcW w:w="896" w:type="dxa"/>
            <w:shd w:val="clear" w:color="auto" w:fill="auto"/>
            <w:noWrap w:val="0"/>
            <w:vAlign w:val="center"/>
          </w:tcPr>
          <w:p w14:paraId="79FF773C">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颗粒物</w:t>
            </w:r>
          </w:p>
        </w:tc>
        <w:tc>
          <w:tcPr>
            <w:tcW w:w="2146" w:type="dxa"/>
            <w:shd w:val="clear" w:color="auto" w:fill="auto"/>
            <w:noWrap w:val="0"/>
            <w:vAlign w:val="center"/>
          </w:tcPr>
          <w:p w14:paraId="6B2E31A3">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经仓顶自带脉冲式滤芯除尘器过滤后顶部</w:t>
            </w:r>
            <w:r>
              <w:rPr>
                <w:rFonts w:hint="eastAsia" w:ascii="Times New Roman" w:hAnsi="Times New Roman" w:cs="Times New Roman"/>
                <w:color w:val="000000" w:themeColor="text1"/>
                <w:sz w:val="21"/>
                <w:szCs w:val="21"/>
                <w:lang w:val="en-US" w:eastAsia="zh-CN"/>
                <w14:textFill>
                  <w14:solidFill>
                    <w14:schemeClr w14:val="tx1"/>
                  </w14:solidFill>
                </w14:textFill>
              </w:rPr>
              <w:t>排气筒</w:t>
            </w:r>
            <w:r>
              <w:rPr>
                <w:rFonts w:hint="default" w:ascii="Times New Roman" w:hAnsi="Times New Roman" w:eastAsia="宋体" w:cs="Times New Roman"/>
                <w:color w:val="000000" w:themeColor="text1"/>
                <w:sz w:val="21"/>
                <w:szCs w:val="21"/>
                <w14:textFill>
                  <w14:solidFill>
                    <w14:schemeClr w14:val="tx1"/>
                  </w14:solidFill>
                </w14:textFill>
              </w:rPr>
              <w:t>排放</w:t>
            </w:r>
          </w:p>
        </w:tc>
        <w:tc>
          <w:tcPr>
            <w:tcW w:w="2340" w:type="dxa"/>
            <w:noWrap w:val="0"/>
            <w:vAlign w:val="center"/>
          </w:tcPr>
          <w:p w14:paraId="6422DAD7">
            <w:pPr>
              <w:adjustRightInd w:val="0"/>
              <w:snapToGrid w:val="0"/>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《石灰、电石工业大气污染物排放标准》（GB 41618-2022）</w:t>
            </w:r>
          </w:p>
        </w:tc>
      </w:tr>
      <w:tr w14:paraId="3F7B1E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1778" w:type="dxa"/>
            <w:vMerge w:val="continue"/>
            <w:noWrap w:val="0"/>
            <w:vAlign w:val="center"/>
          </w:tcPr>
          <w:p w14:paraId="323EB128">
            <w:pPr>
              <w:adjustRightInd w:val="0"/>
              <w:snapToGrid w:val="0"/>
              <w:jc w:val="center"/>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p>
        </w:tc>
        <w:tc>
          <w:tcPr>
            <w:tcW w:w="1755" w:type="dxa"/>
            <w:shd w:val="clear" w:color="auto" w:fill="auto"/>
            <w:noWrap w:val="0"/>
            <w:vAlign w:val="center"/>
          </w:tcPr>
          <w:p w14:paraId="54A1BB1B">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石灰石磨粉工序</w:t>
            </w:r>
          </w:p>
        </w:tc>
        <w:tc>
          <w:tcPr>
            <w:tcW w:w="896" w:type="dxa"/>
            <w:shd w:val="clear" w:color="auto" w:fill="auto"/>
            <w:noWrap w:val="0"/>
            <w:vAlign w:val="center"/>
          </w:tcPr>
          <w:p w14:paraId="3E4488B9">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t>颗粒物</w:t>
            </w:r>
          </w:p>
        </w:tc>
        <w:tc>
          <w:tcPr>
            <w:tcW w:w="2146" w:type="dxa"/>
            <w:shd w:val="clear" w:color="auto" w:fill="auto"/>
            <w:noWrap w:val="0"/>
            <w:vAlign w:val="center"/>
          </w:tcPr>
          <w:p w14:paraId="5B70AA48">
            <w:pPr>
              <w:keepNext w:val="0"/>
              <w:keepLines w:val="0"/>
              <w:pageBreakBefore w:val="0"/>
              <w:widowControl w:val="0"/>
              <w:kinsoku/>
              <w:overflowPunct/>
              <w:topLinePunct w:val="0"/>
              <w:autoSpaceDE/>
              <w:autoSpaceDN/>
              <w:bidi w:val="0"/>
              <w:adjustRightInd/>
              <w:snapToGrid/>
              <w:spacing w:after="0" w:line="240" w:lineRule="auto"/>
              <w:ind w:left="0" w:leftChars="0" w:right="0" w:rightChars="0"/>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加工车间全封闭，</w:t>
            </w:r>
            <w:r>
              <w:rPr>
                <w:rFonts w:hint="default" w:ascii="Times New Roman" w:hAnsi="Times New Roman" w:eastAsia="宋体" w:cs="Times New Roman"/>
                <w:color w:val="000000" w:themeColor="text1"/>
                <w:sz w:val="21"/>
                <w:szCs w:val="21"/>
                <w14:textFill>
                  <w14:solidFill>
                    <w14:schemeClr w14:val="tx1"/>
                  </w14:solidFill>
                </w14:textFill>
              </w:rPr>
              <w:t>磨粉</w:t>
            </w:r>
            <w:r>
              <w:rPr>
                <w:rFonts w:hint="eastAsia" w:ascii="Times New Roman" w:hAnsi="Times New Roman" w:cs="Times New Roman"/>
                <w:color w:val="000000" w:themeColor="text1"/>
                <w:sz w:val="21"/>
                <w:szCs w:val="21"/>
                <w:lang w:val="en-US" w:eastAsia="zh-CN"/>
                <w14:textFill>
                  <w14:solidFill>
                    <w14:schemeClr w14:val="tx1"/>
                  </w14:solidFill>
                </w14:textFill>
              </w:rPr>
              <w:t>粉尘采用负压收集+</w:t>
            </w:r>
            <w:r>
              <w:rPr>
                <w:rFonts w:hint="default" w:ascii="Times New Roman" w:hAnsi="Times New Roman" w:eastAsia="宋体" w:cs="Times New Roman"/>
                <w:color w:val="000000" w:themeColor="text1"/>
                <w:sz w:val="21"/>
                <w:szCs w:val="21"/>
                <w14:textFill>
                  <w14:solidFill>
                    <w14:schemeClr w14:val="tx1"/>
                  </w14:solidFill>
                </w14:textFill>
              </w:rPr>
              <w:t>脉冲</w:t>
            </w:r>
            <w:r>
              <w:rPr>
                <w:rFonts w:hint="eastAsia" w:ascii="Times New Roman" w:hAnsi="Times New Roman" w:cs="Times New Roman"/>
                <w:color w:val="000000" w:themeColor="text1"/>
                <w:sz w:val="21"/>
                <w:szCs w:val="21"/>
                <w:lang w:val="en-US" w:eastAsia="zh-CN"/>
                <w14:textFill>
                  <w14:solidFill>
                    <w14:schemeClr w14:val="tx1"/>
                  </w14:solidFill>
                </w14:textFill>
              </w:rPr>
              <w:t>布袋</w:t>
            </w:r>
            <w:r>
              <w:rPr>
                <w:rFonts w:hint="default" w:ascii="Times New Roman" w:hAnsi="Times New Roman" w:eastAsia="宋体" w:cs="Times New Roman"/>
                <w:color w:val="000000" w:themeColor="text1"/>
                <w:sz w:val="21"/>
                <w:szCs w:val="21"/>
                <w14:textFill>
                  <w14:solidFill>
                    <w14:schemeClr w14:val="tx1"/>
                  </w14:solidFill>
                </w14:textFill>
              </w:rPr>
              <w:t>除尘器处理后经</w:t>
            </w:r>
            <w:r>
              <w:rPr>
                <w:rFonts w:hint="eastAsia" w:ascii="Times New Roman" w:hAnsi="Times New Roman" w:cs="Times New Roman"/>
                <w:color w:val="000000" w:themeColor="text1"/>
                <w:sz w:val="21"/>
                <w:szCs w:val="21"/>
                <w:lang w:val="en-US" w:eastAsia="zh-CN"/>
                <w14:textFill>
                  <w14:solidFill>
                    <w14:schemeClr w14:val="tx1"/>
                  </w14:solidFill>
                </w14:textFill>
              </w:rPr>
              <w:t>各自</w:t>
            </w:r>
            <w:r>
              <w:rPr>
                <w:rFonts w:hint="default" w:ascii="Times New Roman" w:hAnsi="Times New Roman" w:eastAsia="宋体" w:cs="Times New Roman"/>
                <w:color w:val="000000" w:themeColor="text1"/>
                <w:sz w:val="21"/>
                <w:szCs w:val="21"/>
                <w14:textFill>
                  <w14:solidFill>
                    <w14:schemeClr w14:val="tx1"/>
                  </w14:solidFill>
                </w14:textFill>
              </w:rPr>
              <w:t>15米高排气筒排放除尘效率99</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w:t>
            </w:r>
          </w:p>
        </w:tc>
        <w:tc>
          <w:tcPr>
            <w:tcW w:w="2340" w:type="dxa"/>
            <w:shd w:val="clear" w:color="auto" w:fill="auto"/>
            <w:noWrap w:val="0"/>
            <w:vAlign w:val="center"/>
          </w:tcPr>
          <w:p w14:paraId="0317A566">
            <w:pPr>
              <w:adjustRightInd w:val="0"/>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《石灰、电石工业大气污染物排放标准》（GB 41618-2022）</w:t>
            </w:r>
          </w:p>
        </w:tc>
      </w:tr>
      <w:tr w14:paraId="467F18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62" w:hRule="atLeast"/>
          <w:jc w:val="center"/>
        </w:trPr>
        <w:tc>
          <w:tcPr>
            <w:tcW w:w="1778" w:type="dxa"/>
            <w:noWrap w:val="0"/>
            <w:vAlign w:val="center"/>
          </w:tcPr>
          <w:p w14:paraId="5EC67530">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水环境</w:t>
            </w:r>
          </w:p>
        </w:tc>
        <w:tc>
          <w:tcPr>
            <w:tcW w:w="1755" w:type="dxa"/>
            <w:shd w:val="clear" w:color="auto" w:fill="auto"/>
            <w:noWrap w:val="0"/>
            <w:vAlign w:val="center"/>
          </w:tcPr>
          <w:p w14:paraId="646BE1F6">
            <w:pPr>
              <w:adjustRightInd w:val="0"/>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生活污水</w:t>
            </w:r>
          </w:p>
        </w:tc>
        <w:tc>
          <w:tcPr>
            <w:tcW w:w="896" w:type="dxa"/>
            <w:shd w:val="clear" w:color="auto" w:fill="auto"/>
            <w:noWrap w:val="0"/>
            <w:vAlign w:val="center"/>
          </w:tcPr>
          <w:p w14:paraId="66647405">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COD</w:t>
            </w:r>
          </w:p>
          <w:p w14:paraId="14BBE3F0">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SS</w:t>
            </w:r>
          </w:p>
          <w:p w14:paraId="51397DE0">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BOD</w:t>
            </w:r>
            <w:r>
              <w:rPr>
                <w:rFonts w:hint="default" w:ascii="Times New Roman" w:hAnsi="Times New Roman" w:cs="Times New Roman"/>
                <w:color w:val="000000" w:themeColor="text1"/>
                <w:sz w:val="21"/>
                <w:szCs w:val="21"/>
                <w:highlight w:val="none"/>
                <w:vertAlign w:val="subscript"/>
                <w:lang w:val="en-US" w:eastAsia="zh-CN"/>
                <w14:textFill>
                  <w14:solidFill>
                    <w14:schemeClr w14:val="tx1"/>
                  </w14:solidFill>
                </w14:textFill>
              </w:rPr>
              <w:t>5</w:t>
            </w:r>
          </w:p>
          <w:p w14:paraId="731CB130">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氨氮</w:t>
            </w:r>
          </w:p>
          <w:p w14:paraId="7CA529F5">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动植物油</w:t>
            </w:r>
          </w:p>
          <w:p w14:paraId="5D8D69A0">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粪大肠菌群</w:t>
            </w:r>
          </w:p>
          <w:p w14:paraId="1492D1A1">
            <w:pPr>
              <w:adjustRightInd w:val="0"/>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总磷</w:t>
            </w:r>
          </w:p>
        </w:tc>
        <w:tc>
          <w:tcPr>
            <w:tcW w:w="4486" w:type="dxa"/>
            <w:gridSpan w:val="2"/>
            <w:shd w:val="clear" w:color="auto" w:fill="auto"/>
            <w:noWrap w:val="0"/>
            <w:vAlign w:val="center"/>
          </w:tcPr>
          <w:p w14:paraId="778596BF">
            <w:pPr>
              <w:adjustRightInd w:val="0"/>
              <w:snapToGrid w:val="0"/>
              <w:jc w:val="center"/>
              <w:rPr>
                <w:rFonts w:hint="default" w:ascii="Times New Roman" w:hAnsi="Times New Roman" w:eastAsia="宋体" w:cs="Times New Roman"/>
                <w:bCs/>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员工生活污水经化粪池处理满足《污水综合排放标准》（GB</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8978-1996</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）三级标准后，送上都镇生活污水处理厂进行进一步处理</w:t>
            </w:r>
          </w:p>
        </w:tc>
      </w:tr>
      <w:tr w14:paraId="5E29EB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noWrap w:val="0"/>
            <w:vAlign w:val="center"/>
          </w:tcPr>
          <w:p w14:paraId="3D5B71D0">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声环境</w:t>
            </w:r>
          </w:p>
        </w:tc>
        <w:tc>
          <w:tcPr>
            <w:tcW w:w="1755" w:type="dxa"/>
            <w:noWrap w:val="0"/>
            <w:vAlign w:val="center"/>
          </w:tcPr>
          <w:p w14:paraId="5E415C12">
            <w:pPr>
              <w:adjustRightInd w:val="0"/>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运输车辆</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及生产设备噪声</w:t>
            </w:r>
          </w:p>
        </w:tc>
        <w:tc>
          <w:tcPr>
            <w:tcW w:w="896" w:type="dxa"/>
            <w:noWrap w:val="0"/>
            <w:vAlign w:val="center"/>
          </w:tcPr>
          <w:p w14:paraId="08069A18">
            <w:pPr>
              <w:adjustRightInd w:val="0"/>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w:t>
            </w:r>
          </w:p>
        </w:tc>
        <w:tc>
          <w:tcPr>
            <w:tcW w:w="2146" w:type="dxa"/>
            <w:noWrap w:val="0"/>
            <w:vAlign w:val="center"/>
          </w:tcPr>
          <w:p w14:paraId="1E594B2A">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t>对机械设备采取降噪、减噪等措施</w:t>
            </w:r>
            <w:r>
              <w:rPr>
                <w:rFonts w:hint="eastAsia" w:ascii="Times New Roman" w:hAnsi="Times New Roman" w:cs="Times New Roman"/>
                <w:color w:val="000000" w:themeColor="text1"/>
                <w:kern w:val="2"/>
                <w:sz w:val="21"/>
                <w:szCs w:val="21"/>
                <w:highlight w:val="none"/>
                <w:lang w:val="en-US" w:eastAsia="zh-CN" w:bidi="ar-SA"/>
                <w14:textFill>
                  <w14:solidFill>
                    <w14:schemeClr w14:val="tx1"/>
                  </w14:solidFill>
                </w14:textFill>
              </w:rPr>
              <w:t>并</w:t>
            </w:r>
            <w: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t>定期进行维护、保养，以防止设备故障产生的非正常噪声。区域内来往的机动车严格管理，采取车辆进站时减速、禁止鸣笛，使区域内的交通噪声降到最低值</w:t>
            </w:r>
          </w:p>
        </w:tc>
        <w:tc>
          <w:tcPr>
            <w:tcW w:w="2340" w:type="dxa"/>
            <w:noWrap w:val="0"/>
            <w:vAlign w:val="center"/>
          </w:tcPr>
          <w:p w14:paraId="3958E95D">
            <w:pPr>
              <w:spacing w:line="240" w:lineRule="auto"/>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《工业企业厂界环境噪声排放标准》（GB12348-2008）</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2类</w:t>
            </w:r>
            <w:r>
              <w:rPr>
                <w:rFonts w:hint="default" w:ascii="Times New Roman" w:hAnsi="Times New Roman" w:cs="Times New Roman"/>
                <w:color w:val="000000" w:themeColor="text1"/>
                <w:sz w:val="21"/>
                <w:szCs w:val="21"/>
                <w:highlight w:val="none"/>
                <w14:textFill>
                  <w14:solidFill>
                    <w14:schemeClr w14:val="tx1"/>
                  </w14:solidFill>
                </w14:textFill>
              </w:rPr>
              <w:t>标准</w:t>
            </w:r>
          </w:p>
        </w:tc>
      </w:tr>
      <w:tr w14:paraId="4B55C6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1778" w:type="dxa"/>
            <w:vMerge w:val="restart"/>
            <w:noWrap w:val="0"/>
            <w:vAlign w:val="center"/>
          </w:tcPr>
          <w:p w14:paraId="6E28C860">
            <w:pPr>
              <w:adjustRightInd w:val="0"/>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固体废物</w:t>
            </w:r>
          </w:p>
        </w:tc>
        <w:tc>
          <w:tcPr>
            <w:tcW w:w="2651" w:type="dxa"/>
            <w:gridSpan w:val="2"/>
            <w:noWrap w:val="0"/>
            <w:vAlign w:val="center"/>
          </w:tcPr>
          <w:p w14:paraId="2A054AF7">
            <w:pPr>
              <w:adjustRightInd w:val="0"/>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生活垃圾</w:t>
            </w:r>
          </w:p>
        </w:tc>
        <w:tc>
          <w:tcPr>
            <w:tcW w:w="4486" w:type="dxa"/>
            <w:gridSpan w:val="2"/>
            <w:noWrap w:val="0"/>
            <w:vAlign w:val="center"/>
          </w:tcPr>
          <w:p w14:paraId="76B7032A">
            <w:pPr>
              <w:adjustRightInd w:val="0"/>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宋体"/>
                <w:color w:val="000000" w:themeColor="text1"/>
                <w:sz w:val="21"/>
                <w:szCs w:val="21"/>
                <w:highlight w:val="none"/>
                <w:lang w:val="en-US" w:eastAsia="zh-CN"/>
                <w14:textFill>
                  <w14:solidFill>
                    <w14:schemeClr w14:val="tx1"/>
                  </w14:solidFill>
                </w14:textFill>
              </w:rPr>
              <w:t>集中收集后，</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定期运往正蓝旗生活垃圾填埋场填埋处置</w:t>
            </w:r>
          </w:p>
        </w:tc>
      </w:tr>
      <w:tr w14:paraId="42BF9D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1778" w:type="dxa"/>
            <w:vMerge w:val="continue"/>
            <w:noWrap w:val="0"/>
            <w:vAlign w:val="center"/>
          </w:tcPr>
          <w:p w14:paraId="5CCF0978">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651" w:type="dxa"/>
            <w:gridSpan w:val="2"/>
            <w:noWrap w:val="0"/>
            <w:vAlign w:val="center"/>
          </w:tcPr>
          <w:p w14:paraId="3295814E">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废布袋</w:t>
            </w:r>
          </w:p>
        </w:tc>
        <w:tc>
          <w:tcPr>
            <w:tcW w:w="4486" w:type="dxa"/>
            <w:gridSpan w:val="2"/>
            <w:noWrap w:val="0"/>
            <w:vAlign w:val="center"/>
          </w:tcPr>
          <w:p w14:paraId="7A99444A">
            <w:pPr>
              <w:adjustRightInd w:val="0"/>
              <w:snapToGrid w:val="0"/>
              <w:jc w:val="center"/>
              <w:rPr>
                <w:rFonts w:hint="eastAsia" w:ascii="Times New Roman" w:hAnsi="Times New Roman" w:cs="宋体"/>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收集后交由废品回收站处置</w:t>
            </w:r>
          </w:p>
        </w:tc>
      </w:tr>
      <w:tr w14:paraId="2A6EEC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3" w:hRule="atLeast"/>
          <w:jc w:val="center"/>
        </w:trPr>
        <w:tc>
          <w:tcPr>
            <w:tcW w:w="1778" w:type="dxa"/>
            <w:vMerge w:val="continue"/>
            <w:noWrap w:val="0"/>
            <w:vAlign w:val="center"/>
          </w:tcPr>
          <w:p w14:paraId="3AAA01C4">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651" w:type="dxa"/>
            <w:gridSpan w:val="2"/>
            <w:noWrap w:val="0"/>
            <w:vAlign w:val="center"/>
          </w:tcPr>
          <w:p w14:paraId="590FC4F3">
            <w:pPr>
              <w:adjustRightInd w:val="0"/>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布袋除尘器收集粉尘</w:t>
            </w:r>
          </w:p>
        </w:tc>
        <w:tc>
          <w:tcPr>
            <w:tcW w:w="4486" w:type="dxa"/>
            <w:gridSpan w:val="2"/>
            <w:noWrap w:val="0"/>
            <w:vAlign w:val="center"/>
          </w:tcPr>
          <w:p w14:paraId="24816094">
            <w:pPr>
              <w:adjustRightInd w:val="0"/>
              <w:snapToGrid w:val="0"/>
              <w:jc w:val="center"/>
              <w:rPr>
                <w:rFonts w:hint="default" w:ascii="Times New Roman" w:hAnsi="Times New Roman" w:cs="宋体"/>
                <w:color w:val="000000" w:themeColor="text1"/>
                <w:sz w:val="21"/>
                <w:szCs w:val="21"/>
                <w:highlight w:val="none"/>
                <w:lang w:val="en-US" w:eastAsia="zh-CN"/>
                <w14:textFill>
                  <w14:solidFill>
                    <w14:schemeClr w14:val="tx1"/>
                  </w14:solidFill>
                </w14:textFill>
              </w:rPr>
            </w:pPr>
            <w:r>
              <w:rPr>
                <w:rFonts w:hint="eastAsia" w:ascii="Times New Roman" w:hAnsi="Times New Roman" w:cs="宋体"/>
                <w:color w:val="000000" w:themeColor="text1"/>
                <w:sz w:val="21"/>
                <w:szCs w:val="21"/>
                <w:highlight w:val="none"/>
                <w:lang w:val="en-US" w:eastAsia="zh-CN"/>
                <w14:textFill>
                  <w14:solidFill>
                    <w14:schemeClr w14:val="tx1"/>
                  </w14:solidFill>
                </w14:textFill>
              </w:rPr>
              <w:t>直接作为产品出售</w:t>
            </w:r>
          </w:p>
        </w:tc>
      </w:tr>
      <w:tr w14:paraId="2443C4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1778" w:type="dxa"/>
            <w:noWrap w:val="0"/>
            <w:vAlign w:val="center"/>
          </w:tcPr>
          <w:p w14:paraId="45F9AEE4">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土壤及地下水</w:t>
            </w:r>
          </w:p>
          <w:p w14:paraId="108DBE1A">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污染防治措施</w:t>
            </w:r>
          </w:p>
        </w:tc>
        <w:tc>
          <w:tcPr>
            <w:tcW w:w="7137" w:type="dxa"/>
            <w:gridSpan w:val="4"/>
            <w:noWrap w:val="0"/>
            <w:vAlign w:val="center"/>
          </w:tcPr>
          <w:p w14:paraId="34901F42">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w:t>
            </w:r>
          </w:p>
        </w:tc>
      </w:tr>
      <w:tr w14:paraId="7B0DE5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778" w:type="dxa"/>
            <w:noWrap w:val="0"/>
            <w:vAlign w:val="center"/>
          </w:tcPr>
          <w:p w14:paraId="2AC70E5D">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生态保护措施</w:t>
            </w:r>
          </w:p>
        </w:tc>
        <w:tc>
          <w:tcPr>
            <w:tcW w:w="7137" w:type="dxa"/>
            <w:gridSpan w:val="4"/>
            <w:noWrap w:val="0"/>
            <w:vAlign w:val="center"/>
          </w:tcPr>
          <w:p w14:paraId="4EABA03C">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无</w:t>
            </w:r>
          </w:p>
        </w:tc>
      </w:tr>
      <w:tr w14:paraId="6F47E9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1778" w:type="dxa"/>
            <w:noWrap w:val="0"/>
            <w:vAlign w:val="center"/>
          </w:tcPr>
          <w:p w14:paraId="4EF87AB2">
            <w:pPr>
              <w:adjustRightInd w:val="0"/>
              <w:snapToGrid w:val="0"/>
              <w:jc w:val="center"/>
              <w:rPr>
                <w:rFonts w:hint="default" w:ascii="Times New Roman" w:hAnsi="Times New Roman" w:cs="Times New Roman"/>
                <w:color w:val="000000" w:themeColor="text1"/>
                <w:spacing w:val="-8"/>
                <w:sz w:val="21"/>
                <w:szCs w:val="21"/>
                <w:highlight w:val="none"/>
                <w14:textFill>
                  <w14:solidFill>
                    <w14:schemeClr w14:val="tx1"/>
                  </w14:solidFill>
                </w14:textFill>
              </w:rPr>
            </w:pPr>
            <w:r>
              <w:rPr>
                <w:rFonts w:hint="default" w:ascii="Times New Roman" w:hAnsi="Times New Roman" w:cs="Times New Roman"/>
                <w:color w:val="000000" w:themeColor="text1"/>
                <w:spacing w:val="-8"/>
                <w:sz w:val="21"/>
                <w:szCs w:val="21"/>
                <w:highlight w:val="none"/>
                <w14:textFill>
                  <w14:solidFill>
                    <w14:schemeClr w14:val="tx1"/>
                  </w14:solidFill>
                </w14:textFill>
              </w:rPr>
              <w:t>环境风险</w:t>
            </w:r>
          </w:p>
          <w:p w14:paraId="662DC8AB">
            <w:pPr>
              <w:adjustRightInd w:val="0"/>
              <w:snapToGrid w:val="0"/>
              <w:jc w:val="center"/>
              <w:rPr>
                <w:rFonts w:hint="default" w:ascii="Times New Roman" w:hAnsi="Times New Roman" w:cs="Times New Roman"/>
                <w:color w:val="000000" w:themeColor="text1"/>
                <w:spacing w:val="-8"/>
                <w:sz w:val="21"/>
                <w:szCs w:val="21"/>
                <w:highlight w:val="none"/>
                <w14:textFill>
                  <w14:solidFill>
                    <w14:schemeClr w14:val="tx1"/>
                  </w14:solidFill>
                </w14:textFill>
              </w:rPr>
            </w:pPr>
            <w:r>
              <w:rPr>
                <w:rFonts w:hint="default" w:ascii="Times New Roman" w:hAnsi="Times New Roman" w:cs="Times New Roman"/>
                <w:color w:val="000000" w:themeColor="text1"/>
                <w:spacing w:val="-8"/>
                <w:sz w:val="21"/>
                <w:szCs w:val="21"/>
                <w:highlight w:val="none"/>
                <w14:textFill>
                  <w14:solidFill>
                    <w14:schemeClr w14:val="tx1"/>
                  </w14:solidFill>
                </w14:textFill>
              </w:rPr>
              <w:t>防范措施</w:t>
            </w:r>
          </w:p>
        </w:tc>
        <w:tc>
          <w:tcPr>
            <w:tcW w:w="7137" w:type="dxa"/>
            <w:gridSpan w:val="4"/>
            <w:noWrap w:val="0"/>
            <w:vAlign w:val="center"/>
          </w:tcPr>
          <w:p w14:paraId="10381FB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无</w:t>
            </w:r>
          </w:p>
        </w:tc>
      </w:tr>
      <w:tr w14:paraId="1E8D9D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1778" w:type="dxa"/>
            <w:noWrap w:val="0"/>
            <w:vAlign w:val="center"/>
          </w:tcPr>
          <w:p w14:paraId="5FA78155">
            <w:pPr>
              <w:adjustRightInd w:val="0"/>
              <w:snapToGrid w:val="0"/>
              <w:jc w:val="center"/>
              <w:rPr>
                <w:rFonts w:hint="default" w:ascii="Times New Roman" w:hAnsi="Times New Roman" w:cs="Times New Roman"/>
                <w:color w:val="000000" w:themeColor="text1"/>
                <w:spacing w:val="-8"/>
                <w:sz w:val="21"/>
                <w:szCs w:val="21"/>
                <w:highlight w:val="none"/>
                <w14:textFill>
                  <w14:solidFill>
                    <w14:schemeClr w14:val="tx1"/>
                  </w14:solidFill>
                </w14:textFill>
              </w:rPr>
            </w:pPr>
            <w:r>
              <w:rPr>
                <w:rFonts w:hint="default" w:ascii="Times New Roman" w:hAnsi="Times New Roman" w:cs="Times New Roman"/>
                <w:color w:val="000000" w:themeColor="text1"/>
                <w:spacing w:val="-8"/>
                <w:sz w:val="21"/>
                <w:szCs w:val="21"/>
                <w:highlight w:val="none"/>
                <w14:textFill>
                  <w14:solidFill>
                    <w14:schemeClr w14:val="tx1"/>
                  </w14:solidFill>
                </w14:textFill>
              </w:rPr>
              <w:t>其他环境</w:t>
            </w:r>
          </w:p>
          <w:p w14:paraId="78A7EE8B">
            <w:pPr>
              <w:adjustRightInd w:val="0"/>
              <w:snapToGrid w:val="0"/>
              <w:jc w:val="center"/>
              <w:rPr>
                <w:rFonts w:hint="default" w:ascii="Times New Roman" w:hAnsi="Times New Roman" w:cs="Times New Roman"/>
                <w:color w:val="000000" w:themeColor="text1"/>
                <w:spacing w:val="-8"/>
                <w:sz w:val="21"/>
                <w:szCs w:val="21"/>
                <w:highlight w:val="none"/>
                <w14:textFill>
                  <w14:solidFill>
                    <w14:schemeClr w14:val="tx1"/>
                  </w14:solidFill>
                </w14:textFill>
              </w:rPr>
            </w:pPr>
            <w:r>
              <w:rPr>
                <w:rFonts w:hint="default" w:ascii="Times New Roman" w:hAnsi="Times New Roman" w:cs="Times New Roman"/>
                <w:color w:val="000000" w:themeColor="text1"/>
                <w:spacing w:val="-8"/>
                <w:sz w:val="21"/>
                <w:szCs w:val="21"/>
                <w:highlight w:val="none"/>
                <w14:textFill>
                  <w14:solidFill>
                    <w14:schemeClr w14:val="tx1"/>
                  </w14:solidFill>
                </w14:textFill>
              </w:rPr>
              <w:t>管理要求</w:t>
            </w:r>
          </w:p>
        </w:tc>
        <w:tc>
          <w:tcPr>
            <w:tcW w:w="7137" w:type="dxa"/>
            <w:gridSpan w:val="4"/>
            <w:noWrap w:val="0"/>
            <w:vAlign w:val="center"/>
          </w:tcPr>
          <w:p w14:paraId="1562550E">
            <w:pPr>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无</w:t>
            </w:r>
          </w:p>
        </w:tc>
      </w:tr>
    </w:tbl>
    <w:p w14:paraId="67A9170B">
      <w:pPr>
        <w:pStyle w:val="20"/>
        <w:keepNext w:val="0"/>
        <w:keepLines w:val="0"/>
        <w:pageBreakBefore w:val="0"/>
        <w:widowControl/>
        <w:kinsoku/>
        <w:wordWrap/>
        <w:overflowPunct/>
        <w:topLinePunct w:val="0"/>
        <w:autoSpaceDE/>
        <w:autoSpaceDN/>
        <w:bidi w:val="0"/>
        <w:adjustRightInd/>
        <w:snapToGrid/>
        <w:spacing w:before="0" w:beforeLines="0" w:beforeAutospacing="0" w:afterLines="0"/>
        <w:jc w:val="center"/>
        <w:textAlignment w:val="auto"/>
        <w:outlineLvl w:val="0"/>
        <w:rPr>
          <w:rFonts w:hint="default" w:ascii="Times New Roman" w:hAnsi="Times New Roman" w:eastAsia="黑体" w:cs="Times New Roman"/>
          <w:snapToGrid w:val="0"/>
          <w:sz w:val="30"/>
          <w:szCs w:val="24"/>
          <w:highlight w:val="none"/>
        </w:rPr>
      </w:pPr>
      <w:r>
        <w:rPr>
          <w:rFonts w:hint="default" w:ascii="Times New Roman" w:hAnsi="Times New Roman" w:cs="Times New Roman"/>
          <w:snapToGrid w:val="0"/>
          <w:sz w:val="24"/>
          <w:szCs w:val="24"/>
          <w:highlight w:val="yellow"/>
        </w:rPr>
        <w:br w:type="page"/>
      </w:r>
      <w:r>
        <w:rPr>
          <w:rFonts w:hint="default" w:ascii="Times New Roman" w:hAnsi="Times New Roman" w:eastAsia="黑体" w:cs="Times New Roman"/>
          <w:b w:val="0"/>
          <w:bCs w:val="0"/>
          <w:snapToGrid w:val="0"/>
          <w:sz w:val="30"/>
          <w:szCs w:val="24"/>
          <w:highlight w:val="none"/>
        </w:rPr>
        <w:t>六、结论</w:t>
      </w:r>
    </w:p>
    <w:tbl>
      <w:tblPr>
        <w:tblStyle w:val="24"/>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4A01DD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Borders>
              <w:top w:val="single" w:color="auto" w:sz="8" w:space="0"/>
              <w:left w:val="single" w:color="auto" w:sz="8" w:space="0"/>
              <w:bottom w:val="single" w:color="auto" w:sz="8" w:space="0"/>
              <w:right w:val="single" w:color="auto" w:sz="8" w:space="0"/>
              <w:tl2br w:val="nil"/>
              <w:tr2bl w:val="nil"/>
            </w:tcBorders>
            <w:noWrap w:val="0"/>
            <w:vAlign w:val="top"/>
          </w:tcPr>
          <w:p w14:paraId="3A3F1740">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锡林浩特市宁蒙商贸有限公司石灰石粉磨项目</w:t>
            </w:r>
            <w:r>
              <w:rPr>
                <w:rFonts w:hint="default" w:ascii="Times New Roman" w:hAnsi="Times New Roman" w:cs="Times New Roman"/>
                <w:color w:val="000000" w:themeColor="text1"/>
                <w:highlight w:val="none"/>
                <w14:textFill>
                  <w14:solidFill>
                    <w14:schemeClr w14:val="tx1"/>
                  </w14:solidFill>
                </w14:textFill>
              </w:rPr>
              <w:t>实施符合当前国家产业政策的要求。在采取本环评报告提出的污染防治措施前提下，本项目产生的废水、废气、噪声均可达标排放，固废得到合理处理，生态环境影响得到有效减缓，可将项目对环境的不利影响控制在环境可接受的程度和范围内，从环境保护的角度分析，本项目建设可行。</w:t>
            </w:r>
          </w:p>
          <w:p w14:paraId="64F200DF">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4310F131">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6E52CFF3">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28FF5EE9">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65BED6EC">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32822789">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085EC81C">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44403E4C">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4C5EC15D">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4C51384F">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4D091A85">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365BFD11">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5DB9C557">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2F95E1C4">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0B8A60E9">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5559B2E9">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2A5799A3">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3139720E">
            <w:pPr>
              <w:pStyle w:val="38"/>
              <w:jc w:val="both"/>
              <w:rPr>
                <w:rFonts w:hint="default" w:ascii="Times New Roman" w:hAnsi="Times New Roman" w:cs="Times New Roman"/>
                <w:bCs/>
                <w:color w:val="000000" w:themeColor="text1"/>
                <w:sz w:val="24"/>
                <w:highlight w:val="none"/>
                <w14:textFill>
                  <w14:solidFill>
                    <w14:schemeClr w14:val="tx1"/>
                  </w14:solidFill>
                </w14:textFill>
              </w:rPr>
            </w:pPr>
          </w:p>
          <w:p w14:paraId="278EEF33">
            <w:pPr>
              <w:spacing w:beforeLines="0" w:afterLines="0" w:line="360" w:lineRule="auto"/>
              <w:jc w:val="both"/>
              <w:rPr>
                <w:rFonts w:hint="default" w:ascii="Times New Roman" w:hAnsi="Times New Roman" w:eastAsia="宋体" w:cs="Times New Roman"/>
                <w:color w:val="000000" w:themeColor="text1"/>
                <w:sz w:val="24"/>
                <w:szCs w:val="24"/>
                <w:highlight w:val="none"/>
                <w14:textFill>
                  <w14:solidFill>
                    <w14:schemeClr w14:val="tx1"/>
                  </w14:solidFill>
                </w14:textFill>
              </w:rPr>
            </w:pPr>
          </w:p>
        </w:tc>
      </w:tr>
    </w:tbl>
    <w:p w14:paraId="0ED485F0">
      <w:pPr>
        <w:spacing w:beforeLines="0" w:afterLines="0"/>
        <w:rPr>
          <w:rFonts w:hint="default" w:ascii="Times New Roman" w:hAnsi="Times New Roman" w:eastAsia="宋体" w:cs="Times New Roman"/>
          <w:sz w:val="21"/>
          <w:szCs w:val="24"/>
          <w:highlight w:val="yellow"/>
        </w:rPr>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14:paraId="7DA724BD">
      <w:pPr>
        <w:pStyle w:val="20"/>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240" w:lineRule="auto"/>
        <w:textAlignment w:val="auto"/>
        <w:outlineLvl w:val="0"/>
        <w:rPr>
          <w:rFonts w:hint="default" w:ascii="Times New Roman" w:hAnsi="Times New Roman" w:eastAsia="黑体" w:cs="Times New Roman"/>
          <w:snapToGrid w:val="0"/>
          <w:sz w:val="32"/>
          <w:szCs w:val="24"/>
          <w:highlight w:val="none"/>
        </w:rPr>
      </w:pPr>
      <w:r>
        <w:rPr>
          <w:rFonts w:hint="default" w:ascii="Times New Roman" w:hAnsi="Times New Roman" w:eastAsia="黑体" w:cs="Times New Roman"/>
          <w:snapToGrid w:val="0"/>
          <w:sz w:val="32"/>
          <w:szCs w:val="24"/>
          <w:highlight w:val="none"/>
        </w:rPr>
        <w:t>附表</w:t>
      </w:r>
    </w:p>
    <w:p w14:paraId="6415E1C3">
      <w:pPr>
        <w:pStyle w:val="20"/>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240" w:lineRule="auto"/>
        <w:jc w:val="center"/>
        <w:textAlignment w:val="auto"/>
        <w:outlineLvl w:val="0"/>
        <w:rPr>
          <w:rFonts w:hint="default" w:ascii="Times New Roman" w:hAnsi="Times New Roman" w:eastAsia="方正小标宋_GBK" w:cs="Times New Roman"/>
          <w:snapToGrid w:val="0"/>
          <w:sz w:val="38"/>
          <w:szCs w:val="24"/>
          <w:highlight w:val="none"/>
        </w:rPr>
      </w:pPr>
      <w:r>
        <w:rPr>
          <w:rFonts w:hint="default" w:ascii="Times New Roman" w:hAnsi="Times New Roman" w:eastAsia="方正小标宋_GBK" w:cs="Times New Roman"/>
          <w:snapToGrid w:val="0"/>
          <w:sz w:val="38"/>
          <w:szCs w:val="24"/>
          <w:highlight w:val="none"/>
        </w:rPr>
        <w:t>建设项目污染物排放量汇总表</w:t>
      </w:r>
    </w:p>
    <w:tbl>
      <w:tblPr>
        <w:tblStyle w:val="24"/>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701"/>
        <w:gridCol w:w="1276"/>
        <w:gridCol w:w="1701"/>
        <w:gridCol w:w="1559"/>
        <w:gridCol w:w="1761"/>
        <w:gridCol w:w="1600"/>
        <w:gridCol w:w="1185"/>
      </w:tblGrid>
      <w:tr w14:paraId="13B920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555" w:hRule="atLeast"/>
        </w:trPr>
        <w:tc>
          <w:tcPr>
            <w:tcW w:w="1588" w:type="dxa"/>
            <w:tcBorders>
              <w:top w:val="single" w:color="auto" w:sz="8" w:space="0"/>
              <w:left w:val="single" w:color="auto" w:sz="8" w:space="0"/>
              <w:bottom w:val="single" w:color="auto" w:sz="4" w:space="0"/>
              <w:right w:val="single" w:color="auto" w:sz="4" w:space="0"/>
              <w:tl2br w:val="nil"/>
              <w:tr2bl w:val="nil"/>
            </w:tcBorders>
            <w:noWrap w:val="0"/>
            <w:tcMar>
              <w:left w:w="28" w:type="dxa"/>
              <w:right w:w="28" w:type="dxa"/>
            </w:tcMar>
            <w:vAlign w:val="center"/>
            <mc:AlternateContent>
              <mc:Choice Requires="wpsCustomData">
                <wpsCustomData:diagonals>
                  <wpsCustomData:diagonal from="10000" to="30000">
                    <wpsCustomData:border w:val="single" w:color="auto" w:sz="8" w:space="0"/>
                  </wpsCustomData:diagonal>
                </wpsCustomData:diagonals>
              </mc:Choice>
            </mc:AlternateContent>
          </w:tcPr>
          <w:p w14:paraId="49401D97">
            <w:pPr>
              <w:pStyle w:val="41"/>
              <w:snapToGrid w:val="0"/>
              <w:spacing w:beforeLines="0" w:afterLines="0" w:line="240" w:lineRule="auto"/>
              <w:jc w:val="left"/>
              <w:rPr>
                <w:rFonts w:hint="default" w:ascii="Times New Roman" w:hAnsi="Times New Roman" w:eastAsia="黑体" w:cs="Times New Roman"/>
                <w:snapToGrid w:val="0"/>
                <w:color w:val="auto"/>
                <w:spacing w:val="-6"/>
                <w:kern w:val="21"/>
                <w:sz w:val="21"/>
                <w:szCs w:val="21"/>
                <w:highlight w:val="none"/>
              </w:rPr>
            </w:pPr>
          </w:p>
          <w:p w14:paraId="452E161A">
            <w:pPr>
              <w:pStyle w:val="41"/>
              <w:snapToGrid w:val="0"/>
              <w:spacing w:beforeLines="0" w:afterLines="0" w:line="240" w:lineRule="auto"/>
              <w:jc w:val="left"/>
              <mc:AlternateContent>
                <mc:Choice Requires="wpsCustomData">
                  <wpsCustomData:diagonalParaType/>
                </mc:Choice>
              </mc:AlternateContent>
              <w:rPr>
                <w:rFonts w:hint="default" w:ascii="Times New Roman" w:hAnsi="Times New Roman" w:eastAsia="黑体" w:cs="Times New Roman"/>
                <w:snapToGrid w:val="0"/>
                <w:color w:val="auto"/>
                <w:spacing w:val="-6"/>
                <w:kern w:val="21"/>
                <w:sz w:val="21"/>
                <w:szCs w:val="21"/>
                <w:highlight w:val="none"/>
              </w:rPr>
            </w:pPr>
            <w:r>
              <w:rPr>
                <w:rFonts w:hint="default" w:ascii="Times New Roman" w:hAnsi="Times New Roman" w:eastAsia="黑体" w:cs="Times New Roman"/>
                <w:snapToGrid w:val="0"/>
                <w:color w:val="auto"/>
                <w:spacing w:val="-6"/>
                <w:kern w:val="21"/>
                <w:sz w:val="21"/>
                <w:szCs w:val="21"/>
                <w:highlight w:val="none"/>
              </w:rPr>
              <w:t>分类</w:t>
            </w:r>
          </w:p>
          <w:p w14:paraId="473BB119">
            <w:pPr>
              <w:pStyle w:val="41"/>
              <w:spacing w:beforeLines="0" w:afterLines="0" w:line="240" w:lineRule="auto"/>
              <w:jc w:val="right"/>
              <w:rPr>
                <w:rFonts w:hint="default" w:ascii="Times New Roman" w:hAnsi="Times New Roman" w:eastAsia="黑体" w:cs="Times New Roman"/>
                <w:snapToGrid w:val="0"/>
                <w:color w:val="auto"/>
                <w:spacing w:val="-6"/>
                <w:kern w:val="21"/>
                <w:sz w:val="21"/>
                <w:szCs w:val="21"/>
                <w:highlight w:val="none"/>
              </w:rPr>
            </w:pPr>
            <w:r>
              <w:rPr>
                <w:rFonts w:hint="default" w:ascii="Times New Roman" w:hAnsi="Times New Roman" w:eastAsia="黑体" w:cs="Times New Roman"/>
                <w:snapToGrid w:val="0"/>
                <w:color w:val="auto"/>
                <w:spacing w:val="-6"/>
                <w:kern w:val="21"/>
                <w:sz w:val="21"/>
                <w:szCs w:val="21"/>
                <w:highlight w:val="none"/>
              </w:rPr>
              <w:t>项目</w:t>
            </w:r>
          </w:p>
          <w:p w14:paraId="0A6C7781">
            <w:pPr>
              <w:pStyle w:val="41"/>
              <w:spacing w:beforeLines="0" w:afterLines="0" w:line="240" w:lineRule="auto"/>
              <w:jc w:val="left"/>
              <w:rPr>
                <w:rFonts w:hint="default" w:ascii="Times New Roman" w:hAnsi="Times New Roman" w:eastAsia="黑体" w:cs="Times New Roman"/>
                <w:snapToGrid w:val="0"/>
                <w:color w:val="auto"/>
                <w:spacing w:val="-6"/>
                <w:kern w:val="21"/>
                <w:sz w:val="21"/>
                <w:szCs w:val="21"/>
                <w:highlight w:val="none"/>
              </w:rPr>
            </w:pPr>
          </w:p>
        </w:tc>
        <w:tc>
          <w:tcPr>
            <w:tcW w:w="1417"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06558E54">
            <w:pPr>
              <w:pStyle w:val="41"/>
              <w:spacing w:beforeLines="0" w:afterLines="0" w:line="240" w:lineRule="auto"/>
              <w:rPr>
                <w:rFonts w:hint="default" w:ascii="Times New Roman" w:hAnsi="Times New Roman" w:eastAsia="黑体" w:cs="Times New Roman"/>
                <w:snapToGrid w:val="0"/>
                <w:color w:val="auto"/>
                <w:spacing w:val="-6"/>
                <w:kern w:val="21"/>
                <w:sz w:val="21"/>
                <w:szCs w:val="21"/>
                <w:highlight w:val="none"/>
              </w:rPr>
            </w:pPr>
            <w:r>
              <w:rPr>
                <w:rFonts w:hint="default" w:ascii="Times New Roman" w:hAnsi="Times New Roman" w:eastAsia="黑体" w:cs="Times New Roman"/>
                <w:snapToGrid w:val="0"/>
                <w:color w:val="auto"/>
                <w:spacing w:val="-6"/>
                <w:kern w:val="21"/>
                <w:sz w:val="21"/>
                <w:szCs w:val="21"/>
                <w:highlight w:val="none"/>
              </w:rPr>
              <w:t>污染物名称</w:t>
            </w:r>
          </w:p>
        </w:tc>
        <w:tc>
          <w:tcPr>
            <w:tcW w:w="1701"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2037A00C">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现有工程</w:t>
            </w:r>
          </w:p>
          <w:p w14:paraId="6637EB29">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排放量（固体废物产生量）</w:t>
            </w: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1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①</w:t>
            </w:r>
            <w:r>
              <w:rPr>
                <w:rFonts w:hint="default" w:ascii="Times New Roman" w:hAnsi="Times New Roman" w:eastAsia="黑体" w:cs="Times New Roman"/>
                <w:color w:val="auto"/>
                <w:kern w:val="2"/>
                <w:sz w:val="21"/>
                <w:szCs w:val="21"/>
                <w:highlight w:val="none"/>
              </w:rPr>
              <w:fldChar w:fldCharType="end"/>
            </w:r>
          </w:p>
        </w:tc>
        <w:tc>
          <w:tcPr>
            <w:tcW w:w="1276"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28B6462A">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现有工程</w:t>
            </w:r>
          </w:p>
          <w:p w14:paraId="44A5114C">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许可排放量</w:t>
            </w:r>
          </w:p>
          <w:p w14:paraId="44A8085C">
            <w:pPr>
              <w:pStyle w:val="41"/>
              <w:spacing w:beforeLines="0" w:afterLines="0"/>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2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snapToGrid w:val="0"/>
                <w:color w:val="auto"/>
                <w:spacing w:val="-6"/>
                <w:kern w:val="21"/>
                <w:sz w:val="21"/>
                <w:szCs w:val="21"/>
                <w:highlight w:val="none"/>
              </w:rPr>
              <w:t>②</w:t>
            </w:r>
            <w:r>
              <w:rPr>
                <w:rFonts w:hint="default" w:ascii="Times New Roman" w:hAnsi="Times New Roman" w:eastAsia="黑体" w:cs="Times New Roman"/>
                <w:snapToGrid w:val="0"/>
                <w:color w:val="auto"/>
                <w:spacing w:val="-6"/>
                <w:kern w:val="21"/>
                <w:sz w:val="21"/>
                <w:szCs w:val="21"/>
                <w:highlight w:val="none"/>
              </w:rPr>
              <w:fldChar w:fldCharType="end"/>
            </w:r>
          </w:p>
        </w:tc>
        <w:tc>
          <w:tcPr>
            <w:tcW w:w="1701"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12911DAB">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在建工程</w:t>
            </w:r>
          </w:p>
          <w:p w14:paraId="36F2BF4D">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排放量（固体废物产生量）</w:t>
            </w: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3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③</w:t>
            </w:r>
            <w:r>
              <w:rPr>
                <w:rFonts w:hint="default" w:ascii="Times New Roman" w:hAnsi="Times New Roman" w:eastAsia="黑体" w:cs="Times New Roman"/>
                <w:color w:val="auto"/>
                <w:kern w:val="2"/>
                <w:sz w:val="21"/>
                <w:szCs w:val="21"/>
                <w:highlight w:val="none"/>
              </w:rPr>
              <w:fldChar w:fldCharType="end"/>
            </w:r>
          </w:p>
        </w:tc>
        <w:tc>
          <w:tcPr>
            <w:tcW w:w="1559"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4823F5DD">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本项目</w:t>
            </w:r>
          </w:p>
          <w:p w14:paraId="631C888B">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排放量（固体废物产生量）</w:t>
            </w: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4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④</w:t>
            </w:r>
            <w:r>
              <w:rPr>
                <w:rFonts w:hint="default" w:ascii="Times New Roman" w:hAnsi="Times New Roman" w:eastAsia="黑体" w:cs="Times New Roman"/>
                <w:color w:val="auto"/>
                <w:kern w:val="2"/>
                <w:sz w:val="21"/>
                <w:szCs w:val="21"/>
                <w:highlight w:val="none"/>
              </w:rPr>
              <w:fldChar w:fldCharType="end"/>
            </w:r>
          </w:p>
        </w:tc>
        <w:tc>
          <w:tcPr>
            <w:tcW w:w="1761"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7D0D7E69">
            <w:pPr>
              <w:pStyle w:val="41"/>
              <w:spacing w:beforeLines="0" w:afterLines="0" w:line="240" w:lineRule="auto"/>
              <w:rPr>
                <w:rFonts w:hint="default" w:ascii="Times New Roman" w:hAnsi="Times New Roman" w:eastAsia="黑体" w:cs="Times New Roman"/>
                <w:snapToGrid w:val="0"/>
                <w:color w:val="auto"/>
                <w:spacing w:val="-16"/>
                <w:kern w:val="21"/>
                <w:sz w:val="21"/>
                <w:szCs w:val="24"/>
                <w:highlight w:val="none"/>
              </w:rPr>
            </w:pPr>
            <w:r>
              <w:rPr>
                <w:rFonts w:hint="default" w:ascii="Times New Roman" w:hAnsi="Times New Roman" w:eastAsia="黑体" w:cs="Times New Roman"/>
                <w:snapToGrid w:val="0"/>
                <w:color w:val="auto"/>
                <w:spacing w:val="-16"/>
                <w:kern w:val="21"/>
                <w:sz w:val="21"/>
                <w:szCs w:val="24"/>
                <w:highlight w:val="none"/>
              </w:rPr>
              <w:t>以新带老削减量</w:t>
            </w:r>
          </w:p>
          <w:p w14:paraId="34BB7374">
            <w:pPr>
              <w:pStyle w:val="41"/>
              <w:spacing w:beforeLines="0" w:afterLines="0" w:line="240" w:lineRule="auto"/>
              <w:rPr>
                <w:rFonts w:hint="default" w:ascii="Times New Roman" w:hAnsi="Times New Roman" w:eastAsia="黑体" w:cs="Times New Roman"/>
                <w:snapToGrid w:val="0"/>
                <w:color w:val="auto"/>
                <w:spacing w:val="-16"/>
                <w:kern w:val="21"/>
                <w:sz w:val="21"/>
                <w:szCs w:val="24"/>
                <w:highlight w:val="none"/>
              </w:rPr>
            </w:pPr>
            <w:r>
              <w:rPr>
                <w:rFonts w:hint="default" w:ascii="Times New Roman" w:hAnsi="Times New Roman" w:eastAsia="黑体" w:cs="Times New Roman"/>
                <w:snapToGrid w:val="0"/>
                <w:color w:val="auto"/>
                <w:spacing w:val="-16"/>
                <w:kern w:val="21"/>
                <w:sz w:val="21"/>
                <w:szCs w:val="24"/>
                <w:highlight w:val="none"/>
              </w:rPr>
              <w:t>（新建项目不填）</w:t>
            </w:r>
            <w:r>
              <w:rPr>
                <w:rFonts w:hint="default" w:ascii="Times New Roman" w:hAnsi="Times New Roman" w:eastAsia="黑体" w:cs="Times New Roman"/>
                <w:snapToGrid w:val="0"/>
                <w:color w:val="auto"/>
                <w:spacing w:val="-16"/>
                <w:kern w:val="21"/>
                <w:sz w:val="21"/>
                <w:szCs w:val="24"/>
                <w:highlight w:val="none"/>
              </w:rPr>
              <w:fldChar w:fldCharType="begin"/>
            </w:r>
            <w:r>
              <w:rPr>
                <w:rFonts w:hint="default" w:ascii="Times New Roman" w:hAnsi="Times New Roman" w:eastAsia="黑体" w:cs="Times New Roman"/>
                <w:snapToGrid w:val="0"/>
                <w:color w:val="auto"/>
                <w:spacing w:val="-16"/>
                <w:kern w:val="21"/>
                <w:sz w:val="21"/>
                <w:szCs w:val="24"/>
                <w:highlight w:val="none"/>
              </w:rPr>
              <w:instrText xml:space="preserve"> = 5 \* GB3 \* MERGEFORMAT </w:instrText>
            </w:r>
            <w:r>
              <w:rPr>
                <w:rFonts w:hint="default" w:ascii="Times New Roman" w:hAnsi="Times New Roman" w:eastAsia="黑体" w:cs="Times New Roman"/>
                <w:snapToGrid w:val="0"/>
                <w:color w:val="auto"/>
                <w:spacing w:val="-1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⑤</w:t>
            </w:r>
            <w:r>
              <w:rPr>
                <w:rFonts w:hint="default" w:ascii="Times New Roman" w:hAnsi="Times New Roman" w:eastAsia="黑体" w:cs="Times New Roman"/>
                <w:color w:val="auto"/>
                <w:kern w:val="2"/>
                <w:sz w:val="21"/>
                <w:szCs w:val="21"/>
                <w:highlight w:val="none"/>
              </w:rPr>
              <w:fldChar w:fldCharType="end"/>
            </w:r>
          </w:p>
        </w:tc>
        <w:tc>
          <w:tcPr>
            <w:tcW w:w="1600"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3676F975">
            <w:pPr>
              <w:pStyle w:val="41"/>
              <w:spacing w:beforeLines="0" w:afterLines="0" w:line="240" w:lineRule="auto"/>
              <w:rPr>
                <w:rFonts w:hint="default" w:ascii="Times New Roman" w:hAnsi="Times New Roman" w:eastAsia="黑体" w:cs="Times New Roman"/>
                <w:snapToGrid w:val="0"/>
                <w:color w:val="auto"/>
                <w:spacing w:val="-16"/>
                <w:kern w:val="21"/>
                <w:sz w:val="21"/>
                <w:szCs w:val="24"/>
                <w:highlight w:val="none"/>
              </w:rPr>
            </w:pPr>
            <w:r>
              <w:rPr>
                <w:rFonts w:hint="default" w:ascii="Times New Roman" w:hAnsi="Times New Roman" w:eastAsia="黑体" w:cs="Times New Roman"/>
                <w:snapToGrid w:val="0"/>
                <w:color w:val="auto"/>
                <w:spacing w:val="-16"/>
                <w:kern w:val="21"/>
                <w:sz w:val="21"/>
                <w:szCs w:val="24"/>
                <w:highlight w:val="none"/>
              </w:rPr>
              <w:t>本项目建成后</w:t>
            </w:r>
          </w:p>
          <w:p w14:paraId="523AD503">
            <w:pPr>
              <w:pStyle w:val="41"/>
              <w:spacing w:beforeLines="0" w:afterLines="0" w:line="240" w:lineRule="auto"/>
              <w:rPr>
                <w:rFonts w:hint="default" w:ascii="Times New Roman" w:hAnsi="Times New Roman" w:eastAsia="黑体" w:cs="Times New Roman"/>
                <w:snapToGrid w:val="0"/>
                <w:color w:val="auto"/>
                <w:spacing w:val="-16"/>
                <w:kern w:val="21"/>
                <w:sz w:val="21"/>
                <w:szCs w:val="24"/>
                <w:highlight w:val="none"/>
              </w:rPr>
            </w:pPr>
            <w:r>
              <w:rPr>
                <w:rFonts w:hint="default" w:ascii="Times New Roman" w:hAnsi="Times New Roman" w:eastAsia="黑体" w:cs="Times New Roman"/>
                <w:snapToGrid w:val="0"/>
                <w:color w:val="auto"/>
                <w:spacing w:val="-16"/>
                <w:kern w:val="21"/>
                <w:sz w:val="21"/>
                <w:szCs w:val="24"/>
                <w:highlight w:val="none"/>
              </w:rPr>
              <w:t>全厂排放量（固体废物产生量）</w:t>
            </w:r>
            <w:r>
              <w:rPr>
                <w:rFonts w:hint="default" w:ascii="Times New Roman" w:hAnsi="Times New Roman" w:eastAsia="黑体" w:cs="Times New Roman"/>
                <w:snapToGrid w:val="0"/>
                <w:color w:val="auto"/>
                <w:spacing w:val="-16"/>
                <w:kern w:val="21"/>
                <w:sz w:val="21"/>
                <w:szCs w:val="24"/>
                <w:highlight w:val="none"/>
              </w:rPr>
              <w:fldChar w:fldCharType="begin"/>
            </w:r>
            <w:r>
              <w:rPr>
                <w:rFonts w:hint="default" w:ascii="Times New Roman" w:hAnsi="Times New Roman" w:eastAsia="黑体" w:cs="Times New Roman"/>
                <w:snapToGrid w:val="0"/>
                <w:color w:val="auto"/>
                <w:spacing w:val="-16"/>
                <w:kern w:val="21"/>
                <w:sz w:val="21"/>
                <w:szCs w:val="24"/>
                <w:highlight w:val="none"/>
              </w:rPr>
              <w:instrText xml:space="preserve"> = 6 \* GB3 \* MERGEFORMAT </w:instrText>
            </w:r>
            <w:r>
              <w:rPr>
                <w:rFonts w:hint="default" w:ascii="Times New Roman" w:hAnsi="Times New Roman" w:eastAsia="黑体" w:cs="Times New Roman"/>
                <w:snapToGrid w:val="0"/>
                <w:color w:val="auto"/>
                <w:spacing w:val="-1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⑥</w:t>
            </w:r>
            <w:r>
              <w:rPr>
                <w:rFonts w:hint="default" w:ascii="Times New Roman" w:hAnsi="Times New Roman" w:eastAsia="黑体" w:cs="Times New Roman"/>
                <w:color w:val="auto"/>
                <w:kern w:val="2"/>
                <w:sz w:val="21"/>
                <w:szCs w:val="21"/>
                <w:highlight w:val="none"/>
              </w:rPr>
              <w:fldChar w:fldCharType="end"/>
            </w:r>
          </w:p>
        </w:tc>
        <w:tc>
          <w:tcPr>
            <w:tcW w:w="1185" w:type="dxa"/>
            <w:tcBorders>
              <w:top w:val="single" w:color="auto" w:sz="8" w:space="0"/>
              <w:left w:val="single" w:color="auto" w:sz="4" w:space="0"/>
              <w:bottom w:val="single" w:color="auto" w:sz="4" w:space="0"/>
              <w:right w:val="single" w:color="auto" w:sz="8" w:space="0"/>
              <w:tl2br w:val="nil"/>
              <w:tr2bl w:val="nil"/>
            </w:tcBorders>
            <w:noWrap w:val="0"/>
            <w:tcMar>
              <w:left w:w="28" w:type="dxa"/>
              <w:right w:w="28" w:type="dxa"/>
            </w:tcMar>
            <w:vAlign w:val="center"/>
          </w:tcPr>
          <w:p w14:paraId="1FA4E15B">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变化量</w:t>
            </w:r>
          </w:p>
          <w:p w14:paraId="2BA44BBD">
            <w:pPr>
              <w:pStyle w:val="41"/>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7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⑦</w:t>
            </w:r>
            <w:r>
              <w:rPr>
                <w:rFonts w:hint="default" w:ascii="Times New Roman" w:hAnsi="Times New Roman" w:eastAsia="黑体" w:cs="Times New Roman"/>
                <w:color w:val="auto"/>
                <w:kern w:val="2"/>
                <w:sz w:val="21"/>
                <w:szCs w:val="21"/>
                <w:highlight w:val="none"/>
              </w:rPr>
              <w:fldChar w:fldCharType="end"/>
            </w:r>
          </w:p>
        </w:tc>
      </w:tr>
      <w:tr w14:paraId="4D9B38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tcBorders>
              <w:top w:val="single" w:color="auto" w:sz="4" w:space="0"/>
              <w:left w:val="single" w:color="auto" w:sz="8" w:space="0"/>
              <w:right w:val="single" w:color="auto" w:sz="4" w:space="0"/>
              <w:tl2br w:val="nil"/>
              <w:tr2bl w:val="nil"/>
            </w:tcBorders>
            <w:noWrap w:val="0"/>
            <w:vAlign w:val="center"/>
          </w:tcPr>
          <w:p w14:paraId="43CE5D85">
            <w:pPr>
              <w:pStyle w:val="41"/>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废气</w:t>
            </w: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28706AE">
            <w:pPr>
              <w:pStyle w:val="41"/>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石灰石粉磨粉尘</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17045C5">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3818AB0">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B0982E">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0E85B76">
            <w:pPr>
              <w:pStyle w:val="41"/>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3.5716</w:t>
            </w:r>
            <w:r>
              <w:rPr>
                <w:rFonts w:hint="eastAsia" w:ascii="Times New Roman" w:hAnsi="Times New Roman" w:cs="Times New Roman"/>
                <w:snapToGrid w:val="0"/>
                <w:color w:val="auto"/>
                <w:kern w:val="21"/>
                <w:szCs w:val="21"/>
                <w:highlight w:val="none"/>
                <w:lang w:val="en-US" w:eastAsia="zh-CN"/>
              </w:rPr>
              <w:t>t/a</w:t>
            </w: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29EF1DA">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6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A06F2D">
            <w:pPr>
              <w:pStyle w:val="41"/>
              <w:spacing w:beforeLines="0" w:afterLines="0" w:line="240" w:lineRule="auto"/>
              <w:ind w:firstLine="0" w:firstLineChars="0"/>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3.5716</w:t>
            </w:r>
            <w:r>
              <w:rPr>
                <w:rFonts w:hint="eastAsia" w:ascii="Times New Roman" w:hAnsi="Times New Roman" w:cs="Times New Roman"/>
                <w:snapToGrid w:val="0"/>
                <w:color w:val="auto"/>
                <w:kern w:val="21"/>
                <w:szCs w:val="21"/>
                <w:highlight w:val="none"/>
                <w:lang w:val="en-US" w:eastAsia="zh-CN"/>
              </w:rPr>
              <w:t>t/a</w:t>
            </w:r>
          </w:p>
        </w:tc>
        <w:tc>
          <w:tcPr>
            <w:tcW w:w="1185" w:type="dxa"/>
            <w:tcBorders>
              <w:top w:val="single" w:color="auto" w:sz="4" w:space="0"/>
              <w:left w:val="single" w:color="auto" w:sz="4" w:space="0"/>
              <w:bottom w:val="single" w:color="auto" w:sz="4" w:space="0"/>
              <w:right w:val="single" w:color="auto" w:sz="8" w:space="0"/>
              <w:tl2br w:val="nil"/>
              <w:tr2bl w:val="nil"/>
            </w:tcBorders>
            <w:noWrap w:val="0"/>
            <w:vAlign w:val="center"/>
          </w:tcPr>
          <w:p w14:paraId="477F19FB">
            <w:pPr>
              <w:pStyle w:val="41"/>
              <w:spacing w:beforeLines="0" w:afterLines="0" w:line="240" w:lineRule="auto"/>
              <w:ind w:firstLine="0" w:firstLineChars="0"/>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3.5716</w:t>
            </w:r>
            <w:r>
              <w:rPr>
                <w:rFonts w:hint="eastAsia" w:ascii="Times New Roman" w:hAnsi="Times New Roman" w:cs="Times New Roman"/>
                <w:snapToGrid w:val="0"/>
                <w:color w:val="auto"/>
                <w:kern w:val="21"/>
                <w:szCs w:val="21"/>
                <w:highlight w:val="none"/>
                <w:lang w:val="en-US" w:eastAsia="zh-CN"/>
              </w:rPr>
              <w:t>t/a</w:t>
            </w:r>
          </w:p>
        </w:tc>
      </w:tr>
      <w:tr w14:paraId="5A8745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tcBorders>
              <w:left w:val="single" w:color="auto" w:sz="8" w:space="0"/>
              <w:right w:val="single" w:color="auto" w:sz="4" w:space="0"/>
              <w:tl2br w:val="nil"/>
              <w:tr2bl w:val="nil"/>
            </w:tcBorders>
            <w:noWrap w:val="0"/>
            <w:vAlign w:val="center"/>
          </w:tcPr>
          <w:p w14:paraId="5A11B32F">
            <w:pPr>
              <w:pStyle w:val="41"/>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F3AA3A5">
            <w:pPr>
              <w:pStyle w:val="41"/>
              <w:spacing w:beforeLines="0" w:afterLines="0" w:line="240" w:lineRule="auto"/>
              <w:rPr>
                <w:rFonts w:hint="eastAsia" w:ascii="Times New Roman" w:cs="Times New Roman"/>
                <w:snapToGrid w:val="0"/>
                <w:color w:val="auto"/>
                <w:kern w:val="21"/>
                <w:sz w:val="21"/>
                <w:szCs w:val="21"/>
                <w:highlight w:val="none"/>
                <w:lang w:val="en-US" w:eastAsia="zh-CN"/>
              </w:rPr>
            </w:pPr>
            <w:r>
              <w:rPr>
                <w:rFonts w:hint="default" w:ascii="Times New Roman" w:hAnsi="Times New Roman" w:eastAsia="宋体" w:cs="Times New Roman"/>
                <w:color w:val="000000" w:themeColor="text1"/>
                <w:sz w:val="21"/>
                <w:szCs w:val="21"/>
                <w14:textFill>
                  <w14:solidFill>
                    <w14:schemeClr w14:val="tx1"/>
                  </w14:solidFill>
                </w14:textFill>
              </w:rPr>
              <w:t>储粉罐粉尘</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F74B58F">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77CDD2E">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C32A35C">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9B7C62E">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0.036t/a</w:t>
            </w: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E1B0233">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6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AE84B2B">
            <w:pPr>
              <w:pStyle w:val="41"/>
              <w:spacing w:beforeLines="0" w:afterLines="0" w:line="240" w:lineRule="auto"/>
              <w:ind w:firstLine="0" w:firstLineChars="0"/>
              <w:rPr>
                <w:rFonts w:hint="eastAsia"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0.036t/a</w:t>
            </w:r>
          </w:p>
        </w:tc>
        <w:tc>
          <w:tcPr>
            <w:tcW w:w="1185" w:type="dxa"/>
            <w:tcBorders>
              <w:top w:val="single" w:color="auto" w:sz="4" w:space="0"/>
              <w:left w:val="single" w:color="auto" w:sz="4" w:space="0"/>
              <w:bottom w:val="single" w:color="auto" w:sz="4" w:space="0"/>
              <w:right w:val="single" w:color="auto" w:sz="8" w:space="0"/>
              <w:tl2br w:val="nil"/>
              <w:tr2bl w:val="nil"/>
            </w:tcBorders>
            <w:noWrap w:val="0"/>
            <w:vAlign w:val="center"/>
          </w:tcPr>
          <w:p w14:paraId="431B1186">
            <w:pPr>
              <w:pStyle w:val="41"/>
              <w:spacing w:beforeLines="0" w:afterLines="0" w:line="240" w:lineRule="auto"/>
              <w:ind w:firstLine="0" w:firstLineChars="0"/>
              <w:rPr>
                <w:rFonts w:hint="eastAsia"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0.036t/a</w:t>
            </w:r>
          </w:p>
        </w:tc>
      </w:tr>
      <w:tr w14:paraId="0C25A0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tcBorders>
              <w:top w:val="single" w:color="auto" w:sz="4" w:space="0"/>
              <w:left w:val="single" w:color="auto" w:sz="8" w:space="0"/>
              <w:right w:val="single" w:color="auto" w:sz="4" w:space="0"/>
              <w:tl2br w:val="nil"/>
              <w:tr2bl w:val="nil"/>
            </w:tcBorders>
            <w:noWrap w:val="0"/>
            <w:vAlign w:val="center"/>
          </w:tcPr>
          <w:p w14:paraId="048EE63E">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废水</w:t>
            </w: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79A1817">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生活污水</w:t>
            </w:r>
          </w:p>
        </w:tc>
        <w:tc>
          <w:tcPr>
            <w:tcW w:w="1701" w:type="dxa"/>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45EA8C27">
            <w:pPr>
              <w:pStyle w:val="41"/>
              <w:spacing w:beforeLines="0" w:afterLines="0" w:line="240" w:lineRule="auto"/>
              <w:ind w:firstLine="0" w:firstLineChars="0"/>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0FE4D7C7">
            <w:pPr>
              <w:pStyle w:val="41"/>
              <w:spacing w:beforeLines="0" w:afterLines="0" w:line="240" w:lineRule="auto"/>
              <w:ind w:firstLine="0" w:firstLineChars="0"/>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17443707">
            <w:pPr>
              <w:pStyle w:val="41"/>
              <w:spacing w:beforeLines="0" w:afterLines="0" w:line="240" w:lineRule="auto"/>
              <w:ind w:firstLine="0" w:firstLineChars="0"/>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94EEFC3">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57.6</w:t>
            </w:r>
            <w:r>
              <w:rPr>
                <w:rFonts w:hint="eastAsia" w:ascii="Times New Roman" w:hAnsi="Times New Roman" w:cs="Times New Roman"/>
                <w:snapToGrid w:val="0"/>
                <w:color w:val="auto"/>
                <w:kern w:val="21"/>
                <w:szCs w:val="21"/>
                <w:highlight w:val="none"/>
                <w:lang w:val="en-US" w:eastAsia="zh-CN"/>
              </w:rPr>
              <w:t>m</w:t>
            </w:r>
            <w:r>
              <w:rPr>
                <w:rFonts w:hint="eastAsia" w:ascii="Times New Roman" w:hAnsi="Times New Roman" w:cs="Times New Roman"/>
                <w:snapToGrid w:val="0"/>
                <w:color w:val="auto"/>
                <w:kern w:val="21"/>
                <w:szCs w:val="21"/>
                <w:highlight w:val="none"/>
                <w:vertAlign w:val="superscript"/>
                <w:lang w:val="en-US" w:eastAsia="zh-CN"/>
              </w:rPr>
              <w:t>3/</w:t>
            </w:r>
            <w:r>
              <w:rPr>
                <w:rFonts w:hint="eastAsia" w:ascii="Times New Roman" w:hAnsi="Times New Roman" w:cs="Times New Roman"/>
                <w:snapToGrid w:val="0"/>
                <w:color w:val="auto"/>
                <w:kern w:val="21"/>
                <w:szCs w:val="21"/>
                <w:highlight w:val="none"/>
                <w:lang w:val="en-US" w:eastAsia="zh-CN"/>
              </w:rPr>
              <w:t>a</w:t>
            </w:r>
          </w:p>
        </w:tc>
        <w:tc>
          <w:tcPr>
            <w:tcW w:w="1761" w:type="dxa"/>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267C2F4B">
            <w:pPr>
              <w:pStyle w:val="41"/>
              <w:spacing w:beforeLines="0" w:afterLines="0" w:line="240" w:lineRule="auto"/>
              <w:ind w:firstLine="0" w:firstLineChars="0"/>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rPr>
              <w:t>/</w:t>
            </w:r>
          </w:p>
        </w:tc>
        <w:tc>
          <w:tcPr>
            <w:tcW w:w="1600" w:type="dxa"/>
            <w:tcBorders>
              <w:top w:val="single" w:color="auto" w:sz="4" w:space="0"/>
              <w:left w:val="single" w:color="auto" w:sz="4" w:space="0"/>
              <w:bottom w:val="single" w:color="auto" w:sz="4" w:space="0"/>
              <w:right w:val="single" w:color="auto" w:sz="4" w:space="0"/>
              <w:tl2br w:val="nil"/>
              <w:tr2bl w:val="nil"/>
            </w:tcBorders>
            <w:shd w:val="clear" w:color="auto" w:fill="auto"/>
            <w:noWrap w:val="0"/>
            <w:vAlign w:val="center"/>
          </w:tcPr>
          <w:p w14:paraId="0FBBDE14">
            <w:pPr>
              <w:spacing w:beforeLines="0" w:afterLines="0" w:line="240" w:lineRule="auto"/>
              <w:ind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rPr>
              <w:t>57.6</w:t>
            </w:r>
            <w:r>
              <w:rPr>
                <w:rFonts w:hint="eastAsia" w:ascii="Times New Roman" w:hAnsi="Times New Roman" w:cs="Times New Roman"/>
                <w:snapToGrid w:val="0"/>
                <w:color w:val="auto"/>
                <w:kern w:val="21"/>
                <w:szCs w:val="21"/>
                <w:highlight w:val="none"/>
                <w:lang w:val="en-US" w:eastAsia="zh-CN"/>
              </w:rPr>
              <w:t>m</w:t>
            </w:r>
            <w:r>
              <w:rPr>
                <w:rFonts w:hint="eastAsia" w:ascii="Times New Roman" w:hAnsi="Times New Roman" w:cs="Times New Roman"/>
                <w:snapToGrid w:val="0"/>
                <w:color w:val="auto"/>
                <w:kern w:val="21"/>
                <w:szCs w:val="21"/>
                <w:highlight w:val="none"/>
                <w:vertAlign w:val="superscript"/>
                <w:lang w:val="en-US" w:eastAsia="zh-CN"/>
              </w:rPr>
              <w:t>3/</w:t>
            </w:r>
            <w:r>
              <w:rPr>
                <w:rFonts w:hint="eastAsia" w:ascii="Times New Roman" w:hAnsi="Times New Roman" w:cs="Times New Roman"/>
                <w:snapToGrid w:val="0"/>
                <w:color w:val="auto"/>
                <w:kern w:val="21"/>
                <w:szCs w:val="21"/>
                <w:highlight w:val="none"/>
                <w:lang w:val="en-US" w:eastAsia="zh-CN"/>
              </w:rPr>
              <w:t>a</w:t>
            </w:r>
          </w:p>
        </w:tc>
        <w:tc>
          <w:tcPr>
            <w:tcW w:w="1185" w:type="dxa"/>
            <w:tcBorders>
              <w:top w:val="single" w:color="auto" w:sz="4" w:space="0"/>
              <w:left w:val="single" w:color="auto" w:sz="4" w:space="0"/>
              <w:bottom w:val="single" w:color="auto" w:sz="4" w:space="0"/>
              <w:right w:val="single" w:color="auto" w:sz="8" w:space="0"/>
              <w:tl2br w:val="nil"/>
              <w:tr2bl w:val="nil"/>
            </w:tcBorders>
            <w:shd w:val="clear" w:color="auto" w:fill="auto"/>
            <w:noWrap w:val="0"/>
            <w:vAlign w:val="center"/>
          </w:tcPr>
          <w:p w14:paraId="6B5CBB2F">
            <w:pPr>
              <w:spacing w:beforeLines="0" w:afterLines="0" w:line="240" w:lineRule="auto"/>
              <w:ind w:firstLine="0" w:firstLineChars="0"/>
              <w:jc w:val="center"/>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rPr>
              <w:t>57.6</w:t>
            </w:r>
            <w:r>
              <w:rPr>
                <w:rFonts w:hint="eastAsia" w:ascii="Times New Roman" w:hAnsi="Times New Roman" w:cs="Times New Roman"/>
                <w:snapToGrid w:val="0"/>
                <w:color w:val="auto"/>
                <w:kern w:val="21"/>
                <w:szCs w:val="21"/>
                <w:highlight w:val="none"/>
                <w:lang w:val="en-US" w:eastAsia="zh-CN"/>
              </w:rPr>
              <w:t>m</w:t>
            </w:r>
            <w:r>
              <w:rPr>
                <w:rFonts w:hint="eastAsia" w:ascii="Times New Roman" w:hAnsi="Times New Roman" w:cs="Times New Roman"/>
                <w:snapToGrid w:val="0"/>
                <w:color w:val="auto"/>
                <w:kern w:val="21"/>
                <w:szCs w:val="21"/>
                <w:highlight w:val="none"/>
                <w:vertAlign w:val="superscript"/>
                <w:lang w:val="en-US" w:eastAsia="zh-CN"/>
              </w:rPr>
              <w:t>3/</w:t>
            </w:r>
            <w:r>
              <w:rPr>
                <w:rFonts w:hint="eastAsia" w:ascii="Times New Roman" w:hAnsi="Times New Roman" w:cs="Times New Roman"/>
                <w:snapToGrid w:val="0"/>
                <w:color w:val="auto"/>
                <w:kern w:val="21"/>
                <w:szCs w:val="21"/>
                <w:highlight w:val="none"/>
                <w:lang w:val="en-US" w:eastAsia="zh-CN"/>
              </w:rPr>
              <w:t>a</w:t>
            </w:r>
          </w:p>
        </w:tc>
      </w:tr>
      <w:tr w14:paraId="79B852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tcBorders>
              <w:top w:val="single" w:color="auto" w:sz="4" w:space="0"/>
              <w:left w:val="single" w:color="auto" w:sz="8" w:space="0"/>
              <w:right w:val="single" w:color="auto" w:sz="4" w:space="0"/>
              <w:tl2br w:val="nil"/>
              <w:tr2bl w:val="nil"/>
            </w:tcBorders>
            <w:noWrap w:val="0"/>
            <w:vAlign w:val="center"/>
          </w:tcPr>
          <w:p w14:paraId="0F1CB16C">
            <w:pPr>
              <w:pStyle w:val="41"/>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一般工业</w:t>
            </w:r>
          </w:p>
          <w:p w14:paraId="5F6C2C93">
            <w:pPr>
              <w:pStyle w:val="41"/>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固体废物</w:t>
            </w: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30181FE">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生活垃圾</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CD40577">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F43A71E">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986A547">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935E51">
            <w:pPr>
              <w:pStyle w:val="41"/>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0.6</w:t>
            </w:r>
            <w:r>
              <w:rPr>
                <w:rFonts w:hint="eastAsia" w:ascii="Times New Roman" w:hAnsi="Times New Roman" w:cs="Times New Roman"/>
                <w:snapToGrid w:val="0"/>
                <w:color w:val="auto"/>
                <w:kern w:val="21"/>
                <w:szCs w:val="21"/>
                <w:highlight w:val="none"/>
                <w:lang w:val="en-US" w:eastAsia="zh-CN"/>
              </w:rPr>
              <w:t>t/a</w:t>
            </w: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54D19D4">
            <w:pPr>
              <w:pStyle w:val="41"/>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6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7A54B3">
            <w:pPr>
              <w:spacing w:beforeLines="0" w:afterLines="0" w:line="240" w:lineRule="auto"/>
              <w:ind w:firstLine="0" w:firstLineChars="0"/>
              <w:jc w:val="center"/>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0.6</w:t>
            </w:r>
            <w:r>
              <w:rPr>
                <w:rFonts w:hint="eastAsia" w:ascii="Times New Roman" w:hAnsi="Times New Roman" w:cs="Times New Roman"/>
                <w:snapToGrid w:val="0"/>
                <w:color w:val="auto"/>
                <w:kern w:val="21"/>
                <w:szCs w:val="21"/>
                <w:highlight w:val="none"/>
                <w:lang w:val="en-US" w:eastAsia="zh-CN"/>
              </w:rPr>
              <w:t>t/a</w:t>
            </w:r>
          </w:p>
        </w:tc>
        <w:tc>
          <w:tcPr>
            <w:tcW w:w="1185" w:type="dxa"/>
            <w:tcBorders>
              <w:top w:val="single" w:color="auto" w:sz="4" w:space="0"/>
              <w:left w:val="single" w:color="auto" w:sz="4" w:space="0"/>
              <w:bottom w:val="single" w:color="auto" w:sz="4" w:space="0"/>
              <w:right w:val="single" w:color="auto" w:sz="8" w:space="0"/>
              <w:tl2br w:val="nil"/>
              <w:tr2bl w:val="nil"/>
            </w:tcBorders>
            <w:noWrap w:val="0"/>
            <w:vAlign w:val="center"/>
          </w:tcPr>
          <w:p w14:paraId="5CF1E4EB">
            <w:pPr>
              <w:spacing w:beforeLines="0" w:afterLines="0" w:line="240" w:lineRule="auto"/>
              <w:ind w:firstLine="0" w:firstLineChars="0"/>
              <w:jc w:val="center"/>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0.6</w:t>
            </w:r>
            <w:r>
              <w:rPr>
                <w:rFonts w:hint="eastAsia" w:ascii="Times New Roman" w:hAnsi="Times New Roman" w:cs="Times New Roman"/>
                <w:snapToGrid w:val="0"/>
                <w:color w:val="auto"/>
                <w:kern w:val="21"/>
                <w:szCs w:val="21"/>
                <w:highlight w:val="none"/>
                <w:lang w:val="en-US" w:eastAsia="zh-CN"/>
              </w:rPr>
              <w:t>t/a</w:t>
            </w:r>
          </w:p>
        </w:tc>
      </w:tr>
      <w:tr w14:paraId="0B0D8B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tcBorders>
              <w:left w:val="single" w:color="auto" w:sz="8" w:space="0"/>
              <w:right w:val="single" w:color="auto" w:sz="4" w:space="0"/>
              <w:tl2br w:val="nil"/>
              <w:tr2bl w:val="nil"/>
            </w:tcBorders>
            <w:noWrap w:val="0"/>
            <w:vAlign w:val="center"/>
          </w:tcPr>
          <w:p w14:paraId="3FC36C81">
            <w:pPr>
              <w:pStyle w:val="41"/>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01CB874">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废布袋</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DE974E9">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0245E8E">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79F47E">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E301C56">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0.1t/a</w:t>
            </w: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4A798DA">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6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26F5387">
            <w:pPr>
              <w:spacing w:beforeLines="0" w:afterLines="0" w:line="240" w:lineRule="auto"/>
              <w:ind w:firstLine="0" w:firstLineChars="0"/>
              <w:jc w:val="center"/>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0.1t/a</w:t>
            </w:r>
          </w:p>
        </w:tc>
        <w:tc>
          <w:tcPr>
            <w:tcW w:w="1185" w:type="dxa"/>
            <w:tcBorders>
              <w:top w:val="single" w:color="auto" w:sz="4" w:space="0"/>
              <w:left w:val="single" w:color="auto" w:sz="4" w:space="0"/>
              <w:bottom w:val="single" w:color="auto" w:sz="4" w:space="0"/>
              <w:right w:val="single" w:color="auto" w:sz="8" w:space="0"/>
              <w:tl2br w:val="nil"/>
              <w:tr2bl w:val="nil"/>
            </w:tcBorders>
            <w:noWrap w:val="0"/>
            <w:vAlign w:val="center"/>
          </w:tcPr>
          <w:p w14:paraId="2F3357F8">
            <w:pPr>
              <w:spacing w:beforeLines="0" w:afterLines="0" w:line="240" w:lineRule="auto"/>
              <w:ind w:firstLine="0" w:firstLineChars="0"/>
              <w:jc w:val="center"/>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0.1t/a</w:t>
            </w:r>
          </w:p>
        </w:tc>
      </w:tr>
      <w:tr w14:paraId="441D7C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482" w:hRule="atLeast"/>
        </w:trPr>
        <w:tc>
          <w:tcPr>
            <w:tcW w:w="1588" w:type="dxa"/>
            <w:vMerge w:val="continue"/>
            <w:tcBorders>
              <w:left w:val="single" w:color="auto" w:sz="8" w:space="0"/>
              <w:bottom w:val="single" w:color="auto" w:sz="4" w:space="0"/>
              <w:right w:val="single" w:color="auto" w:sz="4" w:space="0"/>
              <w:tl2br w:val="nil"/>
              <w:tr2bl w:val="nil"/>
            </w:tcBorders>
            <w:noWrap w:val="0"/>
            <w:vAlign w:val="center"/>
          </w:tcPr>
          <w:p w14:paraId="4A930AB6">
            <w:pPr>
              <w:pStyle w:val="41"/>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CB4C62A">
            <w:pPr>
              <w:pStyle w:val="41"/>
              <w:spacing w:beforeLines="0" w:afterLines="0" w:line="240" w:lineRule="auto"/>
              <w:rPr>
                <w:rFonts w:hint="default" w:ascii="Times New Roman" w:cs="Times New Roman"/>
                <w:snapToGrid w:val="0"/>
                <w:color w:val="auto"/>
                <w:kern w:val="21"/>
                <w:sz w:val="21"/>
                <w:szCs w:val="21"/>
                <w:highlight w:val="none"/>
                <w:lang w:val="en-US" w:eastAsia="zh-CN"/>
              </w:rPr>
            </w:pPr>
            <w:bookmarkStart w:id="2" w:name="_GoBack"/>
            <w:r>
              <w:rPr>
                <w:rFonts w:hint="eastAsia" w:ascii="Times New Roman" w:cs="Times New Roman"/>
                <w:snapToGrid w:val="0"/>
                <w:color w:val="auto"/>
                <w:kern w:val="21"/>
                <w:sz w:val="21"/>
                <w:szCs w:val="21"/>
                <w:highlight w:val="none"/>
                <w:lang w:val="en-US" w:eastAsia="zh-CN"/>
              </w:rPr>
              <w:t>布袋除尘器</w:t>
            </w:r>
            <w:bookmarkEnd w:id="2"/>
            <w:r>
              <w:rPr>
                <w:rFonts w:hint="eastAsia" w:ascii="Times New Roman" w:cs="Times New Roman"/>
                <w:snapToGrid w:val="0"/>
                <w:color w:val="auto"/>
                <w:kern w:val="21"/>
                <w:sz w:val="21"/>
                <w:szCs w:val="21"/>
                <w:highlight w:val="none"/>
                <w:lang w:val="en-US" w:eastAsia="zh-CN"/>
              </w:rPr>
              <w:t>收集粉尘</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AE945D">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9A9413A">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5AD7640">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54A923F">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357.2224</w:t>
            </w:r>
            <w:r>
              <w:rPr>
                <w:rFonts w:hint="eastAsia" w:ascii="Times New Roman" w:hAnsi="Times New Roman" w:cs="Times New Roman"/>
                <w:snapToGrid w:val="0"/>
                <w:color w:val="auto"/>
                <w:kern w:val="21"/>
                <w:szCs w:val="21"/>
                <w:highlight w:val="none"/>
                <w:lang w:val="en-US" w:eastAsia="zh-CN"/>
              </w:rPr>
              <w:t>t/a</w:t>
            </w: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0F6E9C8">
            <w:pPr>
              <w:pStyle w:val="41"/>
              <w:spacing w:beforeLines="0" w:afterLines="0" w:line="240" w:lineRule="auto"/>
              <w:rPr>
                <w:rFonts w:hint="default"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6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2453D7">
            <w:pPr>
              <w:spacing w:beforeLines="0" w:afterLines="0" w:line="240" w:lineRule="auto"/>
              <w:ind w:firstLine="0" w:firstLineChars="0"/>
              <w:jc w:val="center"/>
              <w:rPr>
                <w:rFonts w:hint="eastAsia"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357.2224</w:t>
            </w:r>
            <w:r>
              <w:rPr>
                <w:rFonts w:hint="eastAsia" w:ascii="Times New Roman" w:hAnsi="Times New Roman" w:cs="Times New Roman"/>
                <w:snapToGrid w:val="0"/>
                <w:color w:val="auto"/>
                <w:kern w:val="21"/>
                <w:szCs w:val="21"/>
                <w:highlight w:val="none"/>
                <w:lang w:val="en-US" w:eastAsia="zh-CN"/>
              </w:rPr>
              <w:t>t/a</w:t>
            </w:r>
          </w:p>
        </w:tc>
        <w:tc>
          <w:tcPr>
            <w:tcW w:w="1185" w:type="dxa"/>
            <w:tcBorders>
              <w:top w:val="single" w:color="auto" w:sz="4" w:space="0"/>
              <w:left w:val="single" w:color="auto" w:sz="4" w:space="0"/>
              <w:bottom w:val="single" w:color="auto" w:sz="4" w:space="0"/>
              <w:right w:val="single" w:color="auto" w:sz="8" w:space="0"/>
              <w:tl2br w:val="nil"/>
              <w:tr2bl w:val="nil"/>
            </w:tcBorders>
            <w:noWrap w:val="0"/>
            <w:vAlign w:val="center"/>
          </w:tcPr>
          <w:p w14:paraId="510374A7">
            <w:pPr>
              <w:spacing w:beforeLines="0" w:afterLines="0" w:line="240" w:lineRule="auto"/>
              <w:ind w:firstLine="0" w:firstLineChars="0"/>
              <w:jc w:val="center"/>
              <w:rPr>
                <w:rFonts w:hint="eastAsia" w:ascii="Times New Roman"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353.43</w:t>
            </w:r>
            <w:r>
              <w:rPr>
                <w:rFonts w:hint="eastAsia" w:ascii="Times New Roman" w:hAnsi="Times New Roman" w:cs="Times New Roman"/>
                <w:snapToGrid w:val="0"/>
                <w:color w:val="auto"/>
                <w:kern w:val="21"/>
                <w:szCs w:val="21"/>
                <w:highlight w:val="none"/>
                <w:lang w:val="en-US" w:eastAsia="zh-CN"/>
              </w:rPr>
              <w:t>t/a</w:t>
            </w:r>
          </w:p>
        </w:tc>
      </w:tr>
    </w:tbl>
    <w:p w14:paraId="0C55CB87">
      <w:pPr>
        <w:pStyle w:val="41"/>
        <w:spacing w:before="192" w:beforeLines="80" w:after="24"/>
        <w:jc w:val="left"/>
        <w:rPr>
          <w:rFonts w:hint="default" w:ascii="Times New Roman" w:hAnsi="Times New Roman" w:cs="Times New Roman"/>
          <w:snapToGrid w:val="0"/>
          <w:color w:val="000000"/>
          <w:spacing w:val="-6"/>
          <w:kern w:val="21"/>
          <w:sz w:val="21"/>
          <w:szCs w:val="24"/>
          <w:highlight w:val="none"/>
        </w:rPr>
      </w:pPr>
      <w:r>
        <w:rPr>
          <w:rFonts w:hint="default" w:ascii="Times New Roman" w:hAnsi="Times New Roman" w:cs="Times New Roman"/>
          <w:snapToGrid w:val="0"/>
          <w:color w:val="000000"/>
          <w:kern w:val="21"/>
          <w:sz w:val="21"/>
          <w:szCs w:val="24"/>
          <w:highlight w:val="none"/>
        </w:rPr>
        <w:t>注：</w:t>
      </w:r>
      <w:r>
        <w:rPr>
          <w:rFonts w:hint="default" w:ascii="Times New Roman" w:hAnsi="Times New Roman" w:cs="Times New Roman"/>
          <w:snapToGrid w:val="0"/>
          <w:color w:val="000000"/>
          <w:spacing w:val="-16"/>
          <w:kern w:val="21"/>
          <w:sz w:val="21"/>
          <w:szCs w:val="24"/>
          <w:highlight w:val="none"/>
        </w:rPr>
        <w:fldChar w:fldCharType="begin"/>
      </w:r>
      <w:r>
        <w:rPr>
          <w:rFonts w:hint="default" w:ascii="Times New Roman" w:hAnsi="Times New Roman" w:cs="Times New Roman"/>
          <w:snapToGrid w:val="0"/>
          <w:color w:val="000000"/>
          <w:spacing w:val="-16"/>
          <w:kern w:val="21"/>
          <w:sz w:val="21"/>
          <w:szCs w:val="24"/>
          <w:highlight w:val="none"/>
        </w:rPr>
        <w:instrText xml:space="preserve"> = 6 \* GB3 \* MERGEFORMAT </w:instrText>
      </w:r>
      <w:r>
        <w:rPr>
          <w:rFonts w:hint="default" w:ascii="Times New Roman" w:hAnsi="Times New Roman" w:cs="Times New Roman"/>
          <w:snapToGrid w:val="0"/>
          <w:color w:val="000000"/>
          <w:spacing w:val="-16"/>
          <w:kern w:val="21"/>
          <w:sz w:val="21"/>
          <w:szCs w:val="24"/>
          <w:highlight w:val="none"/>
        </w:rPr>
        <w:fldChar w:fldCharType="separate"/>
      </w:r>
      <w:r>
        <w:rPr>
          <w:rFonts w:hint="default" w:ascii="Times New Roman" w:hAnsi="Times New Roman" w:cs="Times New Roman"/>
          <w:sz w:val="21"/>
          <w:szCs w:val="24"/>
          <w:highlight w:val="none"/>
        </w:rPr>
        <w:t>⑥</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1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1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①</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3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③</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4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④</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6"/>
          <w:kern w:val="21"/>
          <w:sz w:val="21"/>
          <w:szCs w:val="24"/>
          <w:highlight w:val="none"/>
        </w:rPr>
        <w:t>-</w:t>
      </w:r>
      <w:r>
        <w:rPr>
          <w:rFonts w:hint="default" w:ascii="Times New Roman" w:hAnsi="Times New Roman" w:cs="Times New Roman"/>
          <w:snapToGrid w:val="0"/>
          <w:color w:val="000000"/>
          <w:spacing w:val="-16"/>
          <w:kern w:val="21"/>
          <w:sz w:val="21"/>
          <w:szCs w:val="24"/>
          <w:highlight w:val="none"/>
        </w:rPr>
        <w:fldChar w:fldCharType="begin"/>
      </w:r>
      <w:r>
        <w:rPr>
          <w:rFonts w:hint="default" w:ascii="Times New Roman" w:hAnsi="Times New Roman" w:cs="Times New Roman"/>
          <w:snapToGrid w:val="0"/>
          <w:color w:val="000000"/>
          <w:spacing w:val="-16"/>
          <w:kern w:val="21"/>
          <w:sz w:val="21"/>
          <w:szCs w:val="24"/>
          <w:highlight w:val="none"/>
        </w:rPr>
        <w:instrText xml:space="preserve"> = 5 \* GB3 \* MERGEFORMAT </w:instrText>
      </w:r>
      <w:r>
        <w:rPr>
          <w:rFonts w:hint="default" w:ascii="Times New Roman" w:hAnsi="Times New Roman" w:cs="Times New Roman"/>
          <w:snapToGrid w:val="0"/>
          <w:color w:val="000000"/>
          <w:spacing w:val="-16"/>
          <w:kern w:val="21"/>
          <w:sz w:val="21"/>
          <w:szCs w:val="24"/>
          <w:highlight w:val="none"/>
        </w:rPr>
        <w:fldChar w:fldCharType="separate"/>
      </w:r>
      <w:r>
        <w:rPr>
          <w:rFonts w:hint="default" w:ascii="Times New Roman" w:hAnsi="Times New Roman" w:cs="Times New Roman"/>
          <w:sz w:val="21"/>
          <w:szCs w:val="24"/>
          <w:highlight w:val="none"/>
        </w:rPr>
        <w:t>⑤</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1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7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⑦</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6"/>
          <w:kern w:val="21"/>
          <w:sz w:val="21"/>
          <w:szCs w:val="24"/>
          <w:highlight w:val="none"/>
        </w:rPr>
        <w:t>=</w:t>
      </w:r>
      <w:r>
        <w:rPr>
          <w:rFonts w:hint="default" w:ascii="Times New Roman" w:hAnsi="Times New Roman" w:cs="Times New Roman"/>
          <w:snapToGrid w:val="0"/>
          <w:color w:val="000000"/>
          <w:spacing w:val="-16"/>
          <w:kern w:val="21"/>
          <w:sz w:val="21"/>
          <w:szCs w:val="24"/>
          <w:highlight w:val="none"/>
        </w:rPr>
        <w:fldChar w:fldCharType="begin"/>
      </w:r>
      <w:r>
        <w:rPr>
          <w:rFonts w:hint="default" w:ascii="Times New Roman" w:hAnsi="Times New Roman" w:cs="Times New Roman"/>
          <w:snapToGrid w:val="0"/>
          <w:color w:val="000000"/>
          <w:spacing w:val="-16"/>
          <w:kern w:val="21"/>
          <w:sz w:val="21"/>
          <w:szCs w:val="24"/>
          <w:highlight w:val="none"/>
        </w:rPr>
        <w:instrText xml:space="preserve"> = 6 \* GB3 \* MERGEFORMAT </w:instrText>
      </w:r>
      <w:r>
        <w:rPr>
          <w:rFonts w:hint="default" w:ascii="Times New Roman" w:hAnsi="Times New Roman" w:cs="Times New Roman"/>
          <w:snapToGrid w:val="0"/>
          <w:color w:val="000000"/>
          <w:spacing w:val="-16"/>
          <w:kern w:val="21"/>
          <w:sz w:val="21"/>
          <w:szCs w:val="24"/>
          <w:highlight w:val="none"/>
        </w:rPr>
        <w:fldChar w:fldCharType="separate"/>
      </w:r>
      <w:r>
        <w:rPr>
          <w:rFonts w:hint="default" w:ascii="Times New Roman" w:hAnsi="Times New Roman" w:cs="Times New Roman"/>
          <w:sz w:val="21"/>
          <w:szCs w:val="24"/>
          <w:highlight w:val="none"/>
        </w:rPr>
        <w:t>⑥</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1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1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①</w:t>
      </w:r>
      <w:r>
        <w:rPr>
          <w:rFonts w:hint="default" w:ascii="Times New Roman" w:hAnsi="Times New Roman" w:cs="Times New Roman"/>
          <w:sz w:val="21"/>
          <w:szCs w:val="24"/>
          <w:highlight w:val="none"/>
        </w:rPr>
        <w:fldChar w:fldCharType="end"/>
      </w:r>
    </w:p>
    <w:p w14:paraId="17834F9D">
      <w:pPr>
        <w:spacing w:beforeLines="0" w:afterLines="0"/>
        <w:rPr>
          <w:rFonts w:hint="default" w:ascii="Times New Roman" w:hAnsi="Times New Roman" w:cs="Times New Roman"/>
          <w:sz w:val="21"/>
          <w:szCs w:val="24"/>
          <w:highlight w:val="yellow"/>
        </w:rPr>
      </w:pPr>
    </w:p>
    <w:p w14:paraId="53A95AF5">
      <w:pPr>
        <w:spacing w:beforeLines="0" w:afterLines="0"/>
        <w:rPr>
          <w:rFonts w:hint="default" w:ascii="Times New Roman" w:hAnsi="Times New Roman" w:cs="Times New Roman"/>
          <w:sz w:val="21"/>
          <w:szCs w:val="24"/>
          <w:highlight w:val="yellow"/>
        </w:rPr>
        <w:sectPr>
          <w:footerReference r:id="rId6" w:type="default"/>
          <w:pgSz w:w="16838" w:h="11906" w:orient="landscape"/>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14:paraId="2172EE4D">
      <w:pPr>
        <w:spacing w:line="360" w:lineRule="auto"/>
        <w:ind w:left="0" w:leftChars="0" w:right="0" w:rightChars="0" w:firstLine="0" w:firstLineChars="0"/>
        <w:jc w:val="center"/>
        <w:rPr>
          <w:rFonts w:hint="default" w:ascii="Times New Roman" w:hAnsi="Times New Roman" w:eastAsia="宋体" w:cs="Times New Roman"/>
          <w:color w:val="auto"/>
          <w:sz w:val="24"/>
          <w:highlight w:val="yellow"/>
          <w:lang w:eastAsia="zh-CN"/>
        </w:rPr>
      </w:pPr>
      <w:r>
        <w:rPr>
          <w:rFonts w:hint="default" w:ascii="Times New Roman" w:hAnsi="Times New Roman" w:cs="Times New Roman"/>
          <w:color w:val="auto"/>
          <w:sz w:val="24"/>
          <w:highlight w:val="yellow"/>
        </w:rPr>
        <mc:AlternateContent>
          <mc:Choice Requires="wps">
            <w:drawing>
              <wp:anchor distT="0" distB="0" distL="114300" distR="114300" simplePos="0" relativeHeight="251659264" behindDoc="0" locked="0" layoutInCell="1" allowOverlap="1">
                <wp:simplePos x="0" y="0"/>
                <wp:positionH relativeFrom="column">
                  <wp:posOffset>5044440</wp:posOffset>
                </wp:positionH>
                <wp:positionV relativeFrom="paragraph">
                  <wp:posOffset>4166870</wp:posOffset>
                </wp:positionV>
                <wp:extent cx="1251585" cy="284480"/>
                <wp:effectExtent l="130810" t="4445" r="8255" b="225425"/>
                <wp:wrapNone/>
                <wp:docPr id="2" name="矩形标注 2"/>
                <wp:cNvGraphicFramePr/>
                <a:graphic xmlns:a="http://schemas.openxmlformats.org/drawingml/2006/main">
                  <a:graphicData uri="http://schemas.microsoft.com/office/word/2010/wordprocessingShape">
                    <wps:wsp>
                      <wps:cNvSpPr/>
                      <wps:spPr>
                        <a:xfrm>
                          <a:off x="0" y="0"/>
                          <a:ext cx="1251585" cy="284480"/>
                        </a:xfrm>
                        <a:prstGeom prst="wedgeRectCallout">
                          <a:avLst>
                            <a:gd name="adj1" fmla="val -57869"/>
                            <a:gd name="adj2" fmla="val 120535"/>
                          </a:avLst>
                        </a:prstGeom>
                        <a:solidFill>
                          <a:srgbClr val="FFFF00"/>
                        </a:solidFill>
                        <a:ln w="9525" cap="flat" cmpd="sng">
                          <a:solidFill>
                            <a:srgbClr val="000000"/>
                          </a:solidFill>
                          <a:prstDash val="solid"/>
                          <a:miter/>
                          <a:headEnd type="none" w="med" len="med"/>
                          <a:tailEnd type="none" w="med" len="med"/>
                        </a:ln>
                      </wps:spPr>
                      <wps:txbx>
                        <w:txbxContent>
                          <w:p w14:paraId="5367EB28">
                            <w:pPr>
                              <w:rPr>
                                <w:rFonts w:hint="eastAsia" w:eastAsia="宋体"/>
                                <w:sz w:val="21"/>
                                <w:szCs w:val="24"/>
                                <w:lang w:eastAsia="zh-CN"/>
                              </w:rPr>
                            </w:pPr>
                            <w:r>
                              <w:rPr>
                                <w:rFonts w:hint="eastAsia"/>
                                <w:sz w:val="21"/>
                                <w:szCs w:val="24"/>
                                <w:lang w:eastAsia="zh-CN"/>
                              </w:rPr>
                              <w:t>项目所在位置</w:t>
                            </w:r>
                          </w:p>
                        </w:txbxContent>
                      </wps:txbx>
                      <wps:bodyPr upright="1"/>
                    </wps:wsp>
                  </a:graphicData>
                </a:graphic>
              </wp:anchor>
            </w:drawing>
          </mc:Choice>
          <mc:Fallback>
            <w:pict>
              <v:shape id="_x0000_s1026" o:spid="_x0000_s1026" o:spt="61" type="#_x0000_t61" style="position:absolute;left:0pt;margin-left:397.2pt;margin-top:328.1pt;height:22.4pt;width:98.55pt;z-index:251659264;mso-width-relative:page;mso-height-relative:page;" fillcolor="#FFFF00" filled="t" stroked="t" coordsize="21600,21600" o:gfxdata="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&#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IPDDU/bAAAACwEAAA8AAAAAAAAAAQAgAAAAIgAAAGRy&#10;cy9kb3ducmV2LnhtbFBLAQIUABQAAAAIAIdO4kDcCiGwOwIAAI4EAAAOAAAAAAAAAAEAIAAAACoB&#10;AABkcnMvZTJvRG9jLnhtbFBLBQYAAAAABgAGAFkBAADXBQAAAAA=&#10;" adj="-1700,36836">
                <v:fill on="t" focussize="0,0"/>
                <v:stroke color="#000000" joinstyle="miter"/>
                <v:imagedata o:title=""/>
                <o:lock v:ext="edit" aspectratio="f"/>
                <v:textbox>
                  <w:txbxContent>
                    <w:p w14:paraId="5367EB28">
                      <w:pPr>
                        <w:rPr>
                          <w:rFonts w:hint="eastAsia" w:eastAsia="宋体"/>
                          <w:sz w:val="21"/>
                          <w:szCs w:val="24"/>
                          <w:lang w:eastAsia="zh-CN"/>
                        </w:rPr>
                      </w:pPr>
                      <w:r>
                        <w:rPr>
                          <w:rFonts w:hint="eastAsia"/>
                          <w:sz w:val="21"/>
                          <w:szCs w:val="24"/>
                          <w:lang w:eastAsia="zh-CN"/>
                        </w:rPr>
                        <w:t>项目所在位置</w:t>
                      </w:r>
                    </w:p>
                  </w:txbxContent>
                </v:textbox>
              </v:shape>
            </w:pict>
          </mc:Fallback>
        </mc:AlternateContent>
      </w:r>
      <w:r>
        <w:rPr>
          <w:rFonts w:hint="default" w:ascii="Times New Roman" w:hAnsi="Times New Roman" w:cs="Times New Roman"/>
          <w:color w:val="auto"/>
          <w:sz w:val="24"/>
          <w:highlight w:val="none"/>
        </w:rPr>
        <w:drawing>
          <wp:inline distT="0" distB="0" distL="114300" distR="114300">
            <wp:extent cx="7134225" cy="5152390"/>
            <wp:effectExtent l="0" t="0" r="9525" b="10160"/>
            <wp:docPr id="25" name="图片 25" descr="8b80029f6dff5e1fc08738844108c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8b80029f6dff5e1fc08738844108c59"/>
                    <pic:cNvPicPr>
                      <a:picLocks noChangeAspect="1"/>
                    </pic:cNvPicPr>
                  </pic:nvPicPr>
                  <pic:blipFill>
                    <a:blip r:embed="rId26"/>
                    <a:stretch>
                      <a:fillRect/>
                    </a:stretch>
                  </pic:blipFill>
                  <pic:spPr>
                    <a:xfrm>
                      <a:off x="0" y="0"/>
                      <a:ext cx="7134225" cy="5152390"/>
                    </a:xfrm>
                    <a:prstGeom prst="rect">
                      <a:avLst/>
                    </a:prstGeom>
                  </pic:spPr>
                </pic:pic>
              </a:graphicData>
            </a:graphic>
          </wp:inline>
        </w:drawing>
      </w:r>
    </w:p>
    <w:p w14:paraId="471D0C2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outlineLvl w:val="0"/>
        <w:rPr>
          <w:rFonts w:hint="default" w:ascii="Times New Roman" w:hAnsi="Times New Roman" w:cs="Times New Roman"/>
          <w:b/>
          <w:bCs/>
          <w:color w:val="auto"/>
          <w:sz w:val="24"/>
          <w:highlight w:val="none"/>
          <w:lang w:eastAsia="zh-CN"/>
        </w:rPr>
      </w:pPr>
      <w:r>
        <w:rPr>
          <w:rFonts w:hint="default" w:ascii="Times New Roman" w:hAnsi="Times New Roman" w:cs="Times New Roman"/>
          <w:b/>
          <w:bCs/>
          <w:color w:val="auto"/>
          <w:sz w:val="24"/>
          <w:highlight w:val="none"/>
          <w:lang w:eastAsia="zh-CN"/>
        </w:rPr>
        <w:t>附</w:t>
      </w:r>
      <w:r>
        <w:rPr>
          <w:rFonts w:hint="default" w:ascii="Times New Roman" w:hAnsi="Times New Roman" w:cs="Times New Roman"/>
          <w:b/>
          <w:bCs/>
          <w:color w:val="auto"/>
          <w:sz w:val="24"/>
          <w:highlight w:val="none"/>
        </w:rPr>
        <w:t>图1  项目</w:t>
      </w:r>
      <w:r>
        <w:rPr>
          <w:rFonts w:hint="default" w:ascii="Times New Roman" w:hAnsi="Times New Roman" w:cs="Times New Roman"/>
          <w:b/>
          <w:bCs/>
          <w:color w:val="auto"/>
          <w:sz w:val="24"/>
          <w:highlight w:val="none"/>
          <w:lang w:eastAsia="zh-CN"/>
        </w:rPr>
        <w:t>所在地理位置图</w:t>
      </w:r>
    </w:p>
    <w:p w14:paraId="649B78C6">
      <w:r>
        <w:rPr>
          <w:sz w:val="24"/>
          <w:highlight w:val="yellow"/>
        </w:rPr>
        <w:drawing>
          <wp:anchor distT="0" distB="0" distL="114300" distR="114300" simplePos="0" relativeHeight="251662336" behindDoc="0" locked="0" layoutInCell="1" allowOverlap="1">
            <wp:simplePos x="0" y="0"/>
            <wp:positionH relativeFrom="column">
              <wp:posOffset>7720330</wp:posOffset>
            </wp:positionH>
            <wp:positionV relativeFrom="margin">
              <wp:posOffset>-5715</wp:posOffset>
            </wp:positionV>
            <wp:extent cx="807085" cy="807085"/>
            <wp:effectExtent l="0" t="0" r="12065" b="12065"/>
            <wp:wrapNone/>
            <wp:docPr id="13" name="图片 2" descr="32313538393032313b32313538383439383bd6b8b1b1d5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 descr="32313538393032313b32313538383439383bd6b8b1b1d5eb"/>
                    <pic:cNvPicPr>
                      <a:picLocks noChangeAspect="1"/>
                    </pic:cNvPicPr>
                  </pic:nvPicPr>
                  <pic:blipFill>
                    <a:blip r:embed="rId27"/>
                    <a:stretch>
                      <a:fillRect/>
                    </a:stretch>
                  </pic:blipFill>
                  <pic:spPr>
                    <a:xfrm>
                      <a:off x="0" y="0"/>
                      <a:ext cx="807085" cy="807085"/>
                    </a:xfrm>
                    <a:prstGeom prst="rect">
                      <a:avLst/>
                    </a:prstGeom>
                    <a:noFill/>
                    <a:ln>
                      <a:noFill/>
                    </a:ln>
                  </pic:spPr>
                </pic:pic>
              </a:graphicData>
            </a:graphic>
          </wp:anchor>
        </w:drawing>
      </w:r>
      <w:r>
        <w:rPr>
          <w:rFonts w:hint="default" w:ascii="Times New Roman" w:hAnsi="Times New Roman" w:cs="Times New Roman"/>
          <w:color w:val="auto"/>
          <w:sz w:val="24"/>
          <w:highlight w:val="yellow"/>
        </w:rPr>
        <mc:AlternateContent>
          <mc:Choice Requires="wps">
            <w:drawing>
              <wp:anchor distT="0" distB="0" distL="114300" distR="114300" simplePos="0" relativeHeight="251661312" behindDoc="0" locked="0" layoutInCell="1" allowOverlap="1">
                <wp:simplePos x="0" y="0"/>
                <wp:positionH relativeFrom="column">
                  <wp:posOffset>1014095</wp:posOffset>
                </wp:positionH>
                <wp:positionV relativeFrom="paragraph">
                  <wp:posOffset>4157980</wp:posOffset>
                </wp:positionV>
                <wp:extent cx="1194435" cy="284480"/>
                <wp:effectExtent l="269875" t="4445" r="21590" b="15875"/>
                <wp:wrapNone/>
                <wp:docPr id="11" name="矩形标注 11"/>
                <wp:cNvGraphicFramePr/>
                <a:graphic xmlns:a="http://schemas.openxmlformats.org/drawingml/2006/main">
                  <a:graphicData uri="http://schemas.microsoft.com/office/word/2010/wordprocessingShape">
                    <wps:wsp>
                      <wps:cNvSpPr/>
                      <wps:spPr>
                        <a:xfrm>
                          <a:off x="0" y="0"/>
                          <a:ext cx="1194435" cy="284480"/>
                        </a:xfrm>
                        <a:prstGeom prst="wedgeRectCallout">
                          <a:avLst>
                            <a:gd name="adj1" fmla="val -69829"/>
                            <a:gd name="adj2" fmla="val 40178"/>
                          </a:avLst>
                        </a:prstGeom>
                        <a:solidFill>
                          <a:srgbClr val="FFFF00"/>
                        </a:solidFill>
                        <a:ln w="9525" cap="flat" cmpd="sng">
                          <a:solidFill>
                            <a:srgbClr val="000000"/>
                          </a:solidFill>
                          <a:prstDash val="solid"/>
                          <a:miter/>
                          <a:headEnd type="none" w="med" len="med"/>
                          <a:tailEnd type="none" w="med" len="med"/>
                        </a:ln>
                      </wps:spPr>
                      <wps:txbx>
                        <w:txbxContent>
                          <w:p w14:paraId="71FA9A96">
                            <w:pPr>
                              <w:rPr>
                                <w:rFonts w:hint="eastAsia" w:eastAsia="宋体"/>
                                <w:sz w:val="21"/>
                                <w:szCs w:val="24"/>
                                <w:lang w:eastAsia="zh-CN"/>
                              </w:rPr>
                            </w:pPr>
                            <w:r>
                              <w:rPr>
                                <w:rFonts w:hint="eastAsia"/>
                                <w:sz w:val="21"/>
                                <w:szCs w:val="24"/>
                                <w:lang w:eastAsia="zh-CN"/>
                              </w:rPr>
                              <w:t>项目所在位置</w:t>
                            </w:r>
                          </w:p>
                        </w:txbxContent>
                      </wps:txbx>
                      <wps:bodyPr upright="1"/>
                    </wps:wsp>
                  </a:graphicData>
                </a:graphic>
              </wp:anchor>
            </w:drawing>
          </mc:Choice>
          <mc:Fallback>
            <w:pict>
              <v:shape id="_x0000_s1026" o:spid="_x0000_s1026" o:spt="61" type="#_x0000_t61" style="position:absolute;left:0pt;margin-left:79.85pt;margin-top:327.4pt;height:22.4pt;width:94.05pt;z-index:251661312;mso-width-relative:page;mso-height-relative:page;" fillcolor="#FFFF00" filled="t" stroked="t" coordsize="21600,21600" o:gfxdata="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AhHEeA2gAAAAsBAAAPAAAAAAAAAAEAIAAAACIAAABkcnMv&#10;ZG93bnJldi54bWxQSwECFAAUAAAACACHTuJAwfZBsjoCAACPBAAADgAAAAAAAAABACAAAAApAQAA&#10;ZHJzL2Uyb0RvYy54bWxQSwUGAAAAAAYABgBZAQAA1QUAAAAA&#10;" adj="-4283,19478">
                <v:fill on="t" focussize="0,0"/>
                <v:stroke color="#000000" joinstyle="miter"/>
                <v:imagedata o:title=""/>
                <o:lock v:ext="edit" aspectratio="f"/>
                <v:textbox>
                  <w:txbxContent>
                    <w:p w14:paraId="71FA9A96">
                      <w:pPr>
                        <w:rPr>
                          <w:rFonts w:hint="eastAsia" w:eastAsia="宋体"/>
                          <w:sz w:val="21"/>
                          <w:szCs w:val="24"/>
                          <w:lang w:eastAsia="zh-CN"/>
                        </w:rPr>
                      </w:pPr>
                      <w:r>
                        <w:rPr>
                          <w:rFonts w:hint="eastAsia"/>
                          <w:sz w:val="21"/>
                          <w:szCs w:val="24"/>
                          <w:lang w:eastAsia="zh-CN"/>
                        </w:rPr>
                        <w:t>项目所在位置</w:t>
                      </w:r>
                    </w:p>
                  </w:txbxContent>
                </v:textbox>
              </v:shape>
            </w:pict>
          </mc:Fallback>
        </mc:AlternateContent>
      </w:r>
      <w:r>
        <w:drawing>
          <wp:inline distT="0" distB="0" distL="114300" distR="114300">
            <wp:extent cx="8531225" cy="5132705"/>
            <wp:effectExtent l="0" t="0" r="3175" b="1079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8"/>
                    <a:stretch>
                      <a:fillRect/>
                    </a:stretch>
                  </pic:blipFill>
                  <pic:spPr>
                    <a:xfrm>
                      <a:off x="0" y="0"/>
                      <a:ext cx="8531225" cy="5132705"/>
                    </a:xfrm>
                    <a:prstGeom prst="rect">
                      <a:avLst/>
                    </a:prstGeom>
                    <a:noFill/>
                    <a:ln>
                      <a:noFill/>
                    </a:ln>
                  </pic:spPr>
                </pic:pic>
              </a:graphicData>
            </a:graphic>
          </wp:inline>
        </w:drawing>
      </w:r>
    </w:p>
    <w:p w14:paraId="6FA6DE6E">
      <w:pPr>
        <w:jc w:val="center"/>
        <w:outlineLvl w:val="0"/>
        <w:rPr>
          <w:rFonts w:hint="default" w:ascii="Times New Roman" w:hAnsi="Times New Roman" w:cs="Times New Roman"/>
          <w:b/>
          <w:bCs/>
          <w:color w:val="auto"/>
          <w:sz w:val="24"/>
          <w:highlight w:val="yellow"/>
          <w:lang w:val="en-US" w:eastAsia="zh-CN"/>
        </w:rPr>
        <w:sectPr>
          <w:footerReference r:id="rId7" w:type="default"/>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rPr>
          <w:rFonts w:hint="default" w:ascii="Times New Roman" w:hAnsi="Times New Roman" w:cs="Times New Roman"/>
          <w:b/>
          <w:bCs/>
          <w:lang w:val="en-US" w:eastAsia="zh-CN"/>
        </w:rPr>
        <w:t>附图2  项目地理位置图  比例尺1</w:t>
      </w:r>
      <w:r>
        <w:rPr>
          <w:rFonts w:hint="eastAsia" w:ascii="Times New Roman" w:hAnsi="Times New Roman" w:cs="Times New Roman"/>
          <w:b/>
          <w:bCs/>
          <w:lang w:val="en-US" w:eastAsia="zh-CN"/>
        </w:rPr>
        <w:t>:72000</w:t>
      </w:r>
    </w:p>
    <w:p w14:paraId="1A67B32B">
      <w:pPr>
        <w:jc w:val="center"/>
        <w:rPr>
          <w:rFonts w:hint="eastAsia" w:eastAsia="宋体"/>
          <w:b/>
          <w:bCs/>
          <w:lang w:val="en-US" w:eastAsia="zh-CN"/>
        </w:rPr>
      </w:pPr>
      <w:r>
        <w:rPr>
          <w:color w:val="auto"/>
          <w:sz w:val="24"/>
          <w:highlight w:val="none"/>
        </w:rPr>
        <mc:AlternateContent>
          <mc:Choice Requires="wps">
            <w:drawing>
              <wp:anchor distT="0" distB="0" distL="114300" distR="114300" simplePos="0" relativeHeight="251680768" behindDoc="0" locked="0" layoutInCell="1" allowOverlap="1">
                <wp:simplePos x="0" y="0"/>
                <wp:positionH relativeFrom="column">
                  <wp:posOffset>1880870</wp:posOffset>
                </wp:positionH>
                <wp:positionV relativeFrom="paragraph">
                  <wp:posOffset>3353435</wp:posOffset>
                </wp:positionV>
                <wp:extent cx="599440" cy="342900"/>
                <wp:effectExtent l="4445" t="79375" r="443865" b="15875"/>
                <wp:wrapNone/>
                <wp:docPr id="66" name="矩形标注 66"/>
                <wp:cNvGraphicFramePr/>
                <a:graphic xmlns:a="http://schemas.openxmlformats.org/drawingml/2006/main">
                  <a:graphicData uri="http://schemas.microsoft.com/office/word/2010/wordprocessingShape">
                    <wps:wsp>
                      <wps:cNvSpPr/>
                      <wps:spPr>
                        <a:xfrm>
                          <a:off x="0" y="0"/>
                          <a:ext cx="599440" cy="342900"/>
                        </a:xfrm>
                        <a:prstGeom prst="wedgeRectCallout">
                          <a:avLst>
                            <a:gd name="adj1" fmla="val 116843"/>
                            <a:gd name="adj2" fmla="val -68703"/>
                          </a:avLst>
                        </a:prstGeom>
                        <a:solidFill>
                          <a:srgbClr val="FCD5B5"/>
                        </a:solidFill>
                        <a:ln w="9525" cap="flat" cmpd="sng">
                          <a:solidFill>
                            <a:srgbClr val="000000"/>
                          </a:solidFill>
                          <a:prstDash val="solid"/>
                          <a:miter/>
                          <a:headEnd type="none" w="med" len="med"/>
                          <a:tailEnd type="none" w="med" len="med"/>
                        </a:ln>
                      </wps:spPr>
                      <wps:txbx>
                        <w:txbxContent>
                          <w:p w14:paraId="4831F392">
                            <w:pPr>
                              <w:rPr>
                                <w:rFonts w:hint="default" w:eastAsia="宋体"/>
                                <w:sz w:val="20"/>
                                <w:szCs w:val="20"/>
                                <w:lang w:val="en-US" w:eastAsia="zh-CN"/>
                              </w:rPr>
                            </w:pPr>
                            <w:r>
                              <w:rPr>
                                <w:rFonts w:hint="eastAsia"/>
                                <w:sz w:val="20"/>
                                <w:szCs w:val="20"/>
                                <w:lang w:val="en-US" w:eastAsia="zh-CN"/>
                              </w:rPr>
                              <w:t>变压器</w:t>
                            </w:r>
                          </w:p>
                        </w:txbxContent>
                      </wps:txbx>
                      <wps:bodyPr upright="1"/>
                    </wps:wsp>
                  </a:graphicData>
                </a:graphic>
              </wp:anchor>
            </w:drawing>
          </mc:Choice>
          <mc:Fallback>
            <w:pict>
              <v:shape id="_x0000_s1026" o:spid="_x0000_s1026" o:spt="61" type="#_x0000_t61" style="position:absolute;left:0pt;margin-left:148.1pt;margin-top:264.05pt;height:27pt;width:47.2pt;z-index:251680768;mso-width-relative:page;mso-height-relative:page;" fillcolor="#FCD5B5" filled="t" stroked="t" coordsize="21600,21600" o:gfxdata="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IieLd3XAAAACwEAAA8AAAAAAAAAAQAgAAAAIgAAAGRy&#10;cy9kb3ducmV2LnhtbFBLAQIUABQAAAAIAIdO4kC1foonPwIAAI8EAAAOAAAAAAAAAAEAIAAAACYB&#10;AABkcnMvZTJvRG9jLnhtbFBLBQYAAAAABgAGAFkBAADXBQAAAAA=&#10;" adj="36038,-4040">
                <v:fill on="t" focussize="0,0"/>
                <v:stroke color="#000000" joinstyle="miter"/>
                <v:imagedata o:title=""/>
                <o:lock v:ext="edit" aspectratio="f"/>
                <v:textbox>
                  <w:txbxContent>
                    <w:p w14:paraId="4831F392">
                      <w:pPr>
                        <w:rPr>
                          <w:rFonts w:hint="default" w:eastAsia="宋体"/>
                          <w:sz w:val="20"/>
                          <w:szCs w:val="20"/>
                          <w:lang w:val="en-US" w:eastAsia="zh-CN"/>
                        </w:rPr>
                      </w:pPr>
                      <w:r>
                        <w:rPr>
                          <w:rFonts w:hint="eastAsia"/>
                          <w:sz w:val="20"/>
                          <w:szCs w:val="20"/>
                          <w:lang w:val="en-US" w:eastAsia="zh-CN"/>
                        </w:rPr>
                        <w:t>变压器</w:t>
                      </w:r>
                    </w:p>
                  </w:txbxContent>
                </v:textbox>
              </v:shape>
            </w:pict>
          </mc:Fallback>
        </mc:AlternateContent>
      </w:r>
      <w:r>
        <w:rPr>
          <w:color w:val="auto"/>
          <w:sz w:val="24"/>
          <w:highlight w:val="none"/>
        </w:rPr>
        <mc:AlternateContent>
          <mc:Choice Requires="wps">
            <w:drawing>
              <wp:anchor distT="0" distB="0" distL="114300" distR="114300" simplePos="0" relativeHeight="251679744" behindDoc="0" locked="0" layoutInCell="1" allowOverlap="1">
                <wp:simplePos x="0" y="0"/>
                <wp:positionH relativeFrom="column">
                  <wp:posOffset>1337945</wp:posOffset>
                </wp:positionH>
                <wp:positionV relativeFrom="paragraph">
                  <wp:posOffset>1543685</wp:posOffset>
                </wp:positionV>
                <wp:extent cx="599440" cy="342900"/>
                <wp:effectExtent l="4445" t="4445" r="386715" b="281305"/>
                <wp:wrapNone/>
                <wp:docPr id="65" name="矩形标注 65"/>
                <wp:cNvGraphicFramePr/>
                <a:graphic xmlns:a="http://schemas.openxmlformats.org/drawingml/2006/main">
                  <a:graphicData uri="http://schemas.microsoft.com/office/word/2010/wordprocessingShape">
                    <wps:wsp>
                      <wps:cNvSpPr/>
                      <wps:spPr>
                        <a:xfrm>
                          <a:off x="0" y="0"/>
                          <a:ext cx="599440" cy="342900"/>
                        </a:xfrm>
                        <a:prstGeom prst="wedgeRectCallout">
                          <a:avLst>
                            <a:gd name="adj1" fmla="val 105720"/>
                            <a:gd name="adj2" fmla="val 125740"/>
                          </a:avLst>
                        </a:prstGeom>
                        <a:solidFill>
                          <a:srgbClr val="FCD5B5"/>
                        </a:solidFill>
                        <a:ln w="9525" cap="flat" cmpd="sng">
                          <a:solidFill>
                            <a:srgbClr val="000000"/>
                          </a:solidFill>
                          <a:prstDash val="solid"/>
                          <a:miter/>
                          <a:headEnd type="none" w="med" len="med"/>
                          <a:tailEnd type="none" w="med" len="med"/>
                        </a:ln>
                      </wps:spPr>
                      <wps:txbx>
                        <w:txbxContent>
                          <w:p w14:paraId="42CA2215">
                            <w:pPr>
                              <w:rPr>
                                <w:rFonts w:hint="default" w:eastAsia="宋体"/>
                                <w:sz w:val="20"/>
                                <w:szCs w:val="20"/>
                                <w:lang w:val="en-US" w:eastAsia="zh-CN"/>
                              </w:rPr>
                            </w:pPr>
                            <w:r>
                              <w:rPr>
                                <w:rFonts w:hint="eastAsia"/>
                                <w:sz w:val="20"/>
                                <w:szCs w:val="20"/>
                                <w:lang w:val="en-US" w:eastAsia="zh-CN"/>
                              </w:rPr>
                              <w:t>成品库</w:t>
                            </w:r>
                          </w:p>
                        </w:txbxContent>
                      </wps:txbx>
                      <wps:bodyPr upright="1"/>
                    </wps:wsp>
                  </a:graphicData>
                </a:graphic>
              </wp:anchor>
            </w:drawing>
          </mc:Choice>
          <mc:Fallback>
            <w:pict>
              <v:shape id="_x0000_s1026" o:spid="_x0000_s1026" o:spt="61" type="#_x0000_t61" style="position:absolute;left:0pt;margin-left:105.35pt;margin-top:121.55pt;height:27pt;width:47.2pt;z-index:251679744;mso-width-relative:page;mso-height-relative:page;" fillcolor="#FCD5B5" filled="t" stroked="t" coordsize="21600,21600" o:gfxdata="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k4B+72gAAAAsBAAAPAAAAAAAAAAEAIAAAACIA&#10;AABkcnMvZG93bnJldi54bWxQSwECFAAUAAAACACHTuJAoeFz+0ACAACPBAAADgAAAAAAAAABACAA&#10;AAApAQAAZHJzL2Uyb0RvYy54bWxQSwUGAAAAAAYABgBZAQAA2wUAAAAA&#10;" adj="33636,37960">
                <v:fill on="t" focussize="0,0"/>
                <v:stroke color="#000000" joinstyle="miter"/>
                <v:imagedata o:title=""/>
                <o:lock v:ext="edit" aspectratio="f"/>
                <v:textbox>
                  <w:txbxContent>
                    <w:p w14:paraId="42CA2215">
                      <w:pPr>
                        <w:rPr>
                          <w:rFonts w:hint="default" w:eastAsia="宋体"/>
                          <w:sz w:val="20"/>
                          <w:szCs w:val="20"/>
                          <w:lang w:val="en-US" w:eastAsia="zh-CN"/>
                        </w:rPr>
                      </w:pPr>
                      <w:r>
                        <w:rPr>
                          <w:rFonts w:hint="eastAsia"/>
                          <w:sz w:val="20"/>
                          <w:szCs w:val="20"/>
                          <w:lang w:val="en-US" w:eastAsia="zh-CN"/>
                        </w:rPr>
                        <w:t>成品库</w:t>
                      </w:r>
                    </w:p>
                  </w:txbxContent>
                </v:textbox>
              </v:shape>
            </w:pict>
          </mc:Fallback>
        </mc:AlternateContent>
      </w:r>
      <w:r>
        <w:rPr>
          <w:color w:val="auto"/>
          <w:sz w:val="24"/>
          <w:highlight w:val="none"/>
        </w:rPr>
        <mc:AlternateContent>
          <mc:Choice Requires="wps">
            <w:drawing>
              <wp:anchor distT="0" distB="0" distL="114300" distR="114300" simplePos="0" relativeHeight="251678720" behindDoc="0" locked="0" layoutInCell="1" allowOverlap="1">
                <wp:simplePos x="0" y="0"/>
                <wp:positionH relativeFrom="column">
                  <wp:posOffset>3300095</wp:posOffset>
                </wp:positionH>
                <wp:positionV relativeFrom="paragraph">
                  <wp:posOffset>1410335</wp:posOffset>
                </wp:positionV>
                <wp:extent cx="789940" cy="342900"/>
                <wp:effectExtent l="271780" t="5080" r="5080" b="394970"/>
                <wp:wrapNone/>
                <wp:docPr id="64" name="矩形标注 64"/>
                <wp:cNvGraphicFramePr/>
                <a:graphic xmlns:a="http://schemas.openxmlformats.org/drawingml/2006/main">
                  <a:graphicData uri="http://schemas.microsoft.com/office/word/2010/wordprocessingShape">
                    <wps:wsp>
                      <wps:cNvSpPr/>
                      <wps:spPr>
                        <a:xfrm>
                          <a:off x="0" y="0"/>
                          <a:ext cx="789940" cy="342900"/>
                        </a:xfrm>
                        <a:prstGeom prst="wedgeRectCallout">
                          <a:avLst>
                            <a:gd name="adj1" fmla="val -80546"/>
                            <a:gd name="adj2" fmla="val 156296"/>
                          </a:avLst>
                        </a:prstGeom>
                        <a:solidFill>
                          <a:srgbClr val="FCD5B5"/>
                        </a:solidFill>
                        <a:ln w="9525" cap="flat" cmpd="sng">
                          <a:solidFill>
                            <a:srgbClr val="000000"/>
                          </a:solidFill>
                          <a:prstDash val="solid"/>
                          <a:miter/>
                          <a:headEnd type="none" w="med" len="med"/>
                          <a:tailEnd type="none" w="med" len="med"/>
                        </a:ln>
                      </wps:spPr>
                      <wps:txbx>
                        <w:txbxContent>
                          <w:p w14:paraId="31AEF498">
                            <w:pPr>
                              <w:rPr>
                                <w:rFonts w:hint="default" w:eastAsia="宋体"/>
                                <w:sz w:val="20"/>
                                <w:szCs w:val="20"/>
                                <w:lang w:val="en-US" w:eastAsia="zh-CN"/>
                              </w:rPr>
                            </w:pPr>
                            <w:r>
                              <w:rPr>
                                <w:rFonts w:hint="eastAsia"/>
                                <w:sz w:val="20"/>
                                <w:szCs w:val="20"/>
                                <w:lang w:val="en-US" w:eastAsia="zh-CN"/>
                              </w:rPr>
                              <w:t>生产车间</w:t>
                            </w:r>
                          </w:p>
                        </w:txbxContent>
                      </wps:txbx>
                      <wps:bodyPr upright="1"/>
                    </wps:wsp>
                  </a:graphicData>
                </a:graphic>
              </wp:anchor>
            </w:drawing>
          </mc:Choice>
          <mc:Fallback>
            <w:pict>
              <v:shape id="_x0000_s1026" o:spid="_x0000_s1026" o:spt="61" type="#_x0000_t61" style="position:absolute;left:0pt;margin-left:259.85pt;margin-top:111.05pt;height:27pt;width:62.2pt;z-index:251678720;mso-width-relative:page;mso-height-relative:page;" fillcolor="#FCD5B5" filled="t" stroked="t" coordsize="21600,21600" o:gfxdata="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whnp/tkAAAALAQAADwAAAAAAAAABACAAAAAiAAAA&#10;ZHJzL2Rvd25yZXYueG1sUEsBAhQAFAAAAAgAh07iQM/3qbc/AgAAjwQAAA4AAAAAAAAAAQAgAAAA&#10;KAEAAGRycy9lMm9Eb2MueG1sUEsFBgAAAAAGAAYAWQEAANkFAAAAAA==&#10;" adj="-6598,44560">
                <v:fill on="t" focussize="0,0"/>
                <v:stroke color="#000000" joinstyle="miter"/>
                <v:imagedata o:title=""/>
                <o:lock v:ext="edit" aspectratio="f"/>
                <v:textbox>
                  <w:txbxContent>
                    <w:p w14:paraId="31AEF498">
                      <w:pPr>
                        <w:rPr>
                          <w:rFonts w:hint="default" w:eastAsia="宋体"/>
                          <w:sz w:val="20"/>
                          <w:szCs w:val="20"/>
                          <w:lang w:val="en-US" w:eastAsia="zh-CN"/>
                        </w:rPr>
                      </w:pPr>
                      <w:r>
                        <w:rPr>
                          <w:rFonts w:hint="eastAsia"/>
                          <w:sz w:val="20"/>
                          <w:szCs w:val="20"/>
                          <w:lang w:val="en-US" w:eastAsia="zh-CN"/>
                        </w:rPr>
                        <w:t>生产车间</w:t>
                      </w:r>
                    </w:p>
                  </w:txbxContent>
                </v:textbox>
              </v:shape>
            </w:pict>
          </mc:Fallback>
        </mc:AlternateContent>
      </w:r>
      <w:r>
        <w:drawing>
          <wp:inline distT="0" distB="0" distL="114300" distR="114300">
            <wp:extent cx="7858125" cy="5278755"/>
            <wp:effectExtent l="0" t="0" r="9525" b="17145"/>
            <wp:docPr id="6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3"/>
                    <pic:cNvPicPr>
                      <a:picLocks noChangeAspect="1"/>
                    </pic:cNvPicPr>
                  </pic:nvPicPr>
                  <pic:blipFill>
                    <a:blip r:embed="rId29"/>
                    <a:stretch>
                      <a:fillRect/>
                    </a:stretch>
                  </pic:blipFill>
                  <pic:spPr>
                    <a:xfrm>
                      <a:off x="0" y="0"/>
                      <a:ext cx="7858125" cy="5278755"/>
                    </a:xfrm>
                    <a:prstGeom prst="rect">
                      <a:avLst/>
                    </a:prstGeom>
                    <a:noFill/>
                    <a:ln>
                      <a:noFill/>
                    </a:ln>
                  </pic:spPr>
                </pic:pic>
              </a:graphicData>
            </a:graphic>
          </wp:inline>
        </w:drawing>
      </w:r>
      <w:r>
        <w:rPr>
          <w:color w:val="auto"/>
          <w:sz w:val="24"/>
          <w:highlight w:val="none"/>
        </w:rPr>
        <mc:AlternateContent>
          <mc:Choice Requires="wps">
            <w:drawing>
              <wp:anchor distT="0" distB="0" distL="114300" distR="114300" simplePos="0" relativeHeight="251677696" behindDoc="0" locked="0" layoutInCell="1" allowOverlap="1">
                <wp:simplePos x="0" y="0"/>
                <wp:positionH relativeFrom="column">
                  <wp:posOffset>4452620</wp:posOffset>
                </wp:positionH>
                <wp:positionV relativeFrom="paragraph">
                  <wp:posOffset>1953260</wp:posOffset>
                </wp:positionV>
                <wp:extent cx="599440" cy="342900"/>
                <wp:effectExtent l="316230" t="4445" r="17780" b="414655"/>
                <wp:wrapNone/>
                <wp:docPr id="63" name="矩形标注 63"/>
                <wp:cNvGraphicFramePr/>
                <a:graphic xmlns:a="http://schemas.openxmlformats.org/drawingml/2006/main">
                  <a:graphicData uri="http://schemas.microsoft.com/office/word/2010/wordprocessingShape">
                    <wps:wsp>
                      <wps:cNvSpPr/>
                      <wps:spPr>
                        <a:xfrm>
                          <a:off x="0" y="0"/>
                          <a:ext cx="599440" cy="342900"/>
                        </a:xfrm>
                        <a:prstGeom prst="wedgeRectCallout">
                          <a:avLst>
                            <a:gd name="adj1" fmla="val -97669"/>
                            <a:gd name="adj2" fmla="val 161851"/>
                          </a:avLst>
                        </a:prstGeom>
                        <a:solidFill>
                          <a:srgbClr val="FCD5B5"/>
                        </a:solidFill>
                        <a:ln w="9525" cap="flat" cmpd="sng">
                          <a:solidFill>
                            <a:srgbClr val="000000"/>
                          </a:solidFill>
                          <a:prstDash val="solid"/>
                          <a:miter/>
                          <a:headEnd type="none" w="med" len="med"/>
                          <a:tailEnd type="none" w="med" len="med"/>
                        </a:ln>
                      </wps:spPr>
                      <wps:txbx>
                        <w:txbxContent>
                          <w:p w14:paraId="1AFD91F1">
                            <w:pPr>
                              <w:rPr>
                                <w:rFonts w:hint="default" w:eastAsia="宋体"/>
                                <w:sz w:val="20"/>
                                <w:szCs w:val="20"/>
                                <w:lang w:val="en-US" w:eastAsia="zh-CN"/>
                              </w:rPr>
                            </w:pPr>
                            <w:r>
                              <w:rPr>
                                <w:rFonts w:hint="eastAsia"/>
                                <w:sz w:val="20"/>
                                <w:szCs w:val="20"/>
                                <w:lang w:val="en-US" w:eastAsia="zh-CN"/>
                              </w:rPr>
                              <w:t>原料库</w:t>
                            </w:r>
                          </w:p>
                        </w:txbxContent>
                      </wps:txbx>
                      <wps:bodyPr upright="1"/>
                    </wps:wsp>
                  </a:graphicData>
                </a:graphic>
              </wp:anchor>
            </w:drawing>
          </mc:Choice>
          <mc:Fallback>
            <w:pict>
              <v:shape id="_x0000_s1026" o:spid="_x0000_s1026" o:spt="61" type="#_x0000_t61" style="position:absolute;left:0pt;margin-left:350.6pt;margin-top:153.8pt;height:27pt;width:47.2pt;z-index:251677696;mso-width-relative:page;mso-height-relative:page;" fillcolor="#FCD5B5" filled="t" stroked="t" coordsize="21600,21600" o:gfxdata="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&#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SdLd4tcAAAALAQAADwAAAAAAAAABACAAAAAiAAAAZHJz&#10;L2Rvd25yZXYueG1sUEsBAhQAFAAAAAgAh07iQFWLirM+AgAAjwQAAA4AAAAAAAAAAQAgAAAAJgEA&#10;AGRycy9lMm9Eb2MueG1sUEsFBgAAAAAGAAYAWQEAANYFAAAAAA==&#10;" adj="-10297,45760">
                <v:fill on="t" focussize="0,0"/>
                <v:stroke color="#000000" joinstyle="miter"/>
                <v:imagedata o:title=""/>
                <o:lock v:ext="edit" aspectratio="f"/>
                <v:textbox>
                  <w:txbxContent>
                    <w:p w14:paraId="1AFD91F1">
                      <w:pPr>
                        <w:rPr>
                          <w:rFonts w:hint="default" w:eastAsia="宋体"/>
                          <w:sz w:val="20"/>
                          <w:szCs w:val="20"/>
                          <w:lang w:val="en-US" w:eastAsia="zh-CN"/>
                        </w:rPr>
                      </w:pPr>
                      <w:r>
                        <w:rPr>
                          <w:rFonts w:hint="eastAsia"/>
                          <w:sz w:val="20"/>
                          <w:szCs w:val="20"/>
                          <w:lang w:val="en-US" w:eastAsia="zh-CN"/>
                        </w:rPr>
                        <w:t>原料库</w:t>
                      </w:r>
                    </w:p>
                  </w:txbxContent>
                </v:textbox>
              </v:shape>
            </w:pict>
          </mc:Fallback>
        </mc:AlternateContent>
      </w:r>
      <w:r>
        <w:rPr>
          <w:color w:val="auto"/>
          <w:sz w:val="24"/>
          <w:highlight w:val="none"/>
        </w:rPr>
        <mc:AlternateContent>
          <mc:Choice Requires="wps">
            <w:drawing>
              <wp:anchor distT="0" distB="0" distL="114300" distR="114300" simplePos="0" relativeHeight="251676672" behindDoc="0" locked="0" layoutInCell="1" allowOverlap="1">
                <wp:simplePos x="0" y="0"/>
                <wp:positionH relativeFrom="column">
                  <wp:posOffset>7024370</wp:posOffset>
                </wp:positionH>
                <wp:positionV relativeFrom="paragraph">
                  <wp:posOffset>2391410</wp:posOffset>
                </wp:positionV>
                <wp:extent cx="599440" cy="342900"/>
                <wp:effectExtent l="684530" t="4445" r="11430" b="128905"/>
                <wp:wrapNone/>
                <wp:docPr id="62" name="矩形标注 62"/>
                <wp:cNvGraphicFramePr/>
                <a:graphic xmlns:a="http://schemas.openxmlformats.org/drawingml/2006/main">
                  <a:graphicData uri="http://schemas.microsoft.com/office/word/2010/wordprocessingShape">
                    <wps:wsp>
                      <wps:cNvSpPr/>
                      <wps:spPr>
                        <a:xfrm>
                          <a:off x="0" y="0"/>
                          <a:ext cx="599440" cy="342900"/>
                        </a:xfrm>
                        <a:prstGeom prst="wedgeRectCallout">
                          <a:avLst>
                            <a:gd name="adj1" fmla="val -158050"/>
                            <a:gd name="adj2" fmla="val 81296"/>
                          </a:avLst>
                        </a:prstGeom>
                        <a:solidFill>
                          <a:srgbClr val="FCD5B5"/>
                        </a:solidFill>
                        <a:ln w="9525" cap="flat" cmpd="sng">
                          <a:solidFill>
                            <a:srgbClr val="000000"/>
                          </a:solidFill>
                          <a:prstDash val="solid"/>
                          <a:miter/>
                          <a:headEnd type="none" w="med" len="med"/>
                          <a:tailEnd type="none" w="med" len="med"/>
                        </a:ln>
                      </wps:spPr>
                      <wps:txbx>
                        <w:txbxContent>
                          <w:p w14:paraId="6989CFE4">
                            <w:pPr>
                              <w:rPr>
                                <w:rFonts w:hint="default" w:eastAsia="宋体"/>
                                <w:sz w:val="20"/>
                                <w:szCs w:val="20"/>
                                <w:lang w:val="en-US" w:eastAsia="zh-CN"/>
                              </w:rPr>
                            </w:pPr>
                            <w:r>
                              <w:rPr>
                                <w:rFonts w:hint="eastAsia"/>
                                <w:sz w:val="20"/>
                                <w:szCs w:val="20"/>
                                <w:lang w:val="en-US" w:eastAsia="zh-CN"/>
                              </w:rPr>
                              <w:t>办公室</w:t>
                            </w:r>
                          </w:p>
                        </w:txbxContent>
                      </wps:txbx>
                      <wps:bodyPr upright="1"/>
                    </wps:wsp>
                  </a:graphicData>
                </a:graphic>
              </wp:anchor>
            </w:drawing>
          </mc:Choice>
          <mc:Fallback>
            <w:pict>
              <v:shape id="_x0000_s1026" o:spid="_x0000_s1026" o:spt="61" type="#_x0000_t61" style="position:absolute;left:0pt;margin-left:553.1pt;margin-top:188.3pt;height:27pt;width:47.2pt;z-index:251676672;mso-width-relative:page;mso-height-relative:page;" fillcolor="#FCD5B5" filled="t" stroked="t" coordsize="21600,21600" o:gfxdata="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AN+5Y9kAAAANAQAADwAAAAAAAAABACAAAAAiAAAA&#10;ZHJzL2Rvd25yZXYueG1sUEsBAhQAFAAAAAgAh07iQLXMCF0/AgAAjwQAAA4AAAAAAAAAAQAgAAAA&#10;KAEAAGRycy9lMm9Eb2MueG1sUEsFBgAAAAAGAAYAWQEAANkFAAAAAA==&#10;" adj="-23339,28360">
                <v:fill on="t" focussize="0,0"/>
                <v:stroke color="#000000" joinstyle="miter"/>
                <v:imagedata o:title=""/>
                <o:lock v:ext="edit" aspectratio="f"/>
                <v:textbox>
                  <w:txbxContent>
                    <w:p w14:paraId="6989CFE4">
                      <w:pPr>
                        <w:rPr>
                          <w:rFonts w:hint="default" w:eastAsia="宋体"/>
                          <w:sz w:val="20"/>
                          <w:szCs w:val="20"/>
                          <w:lang w:val="en-US" w:eastAsia="zh-CN"/>
                        </w:rPr>
                      </w:pPr>
                      <w:r>
                        <w:rPr>
                          <w:rFonts w:hint="eastAsia"/>
                          <w:sz w:val="20"/>
                          <w:szCs w:val="20"/>
                          <w:lang w:val="en-US" w:eastAsia="zh-CN"/>
                        </w:rPr>
                        <w:t>办公室</w:t>
                      </w:r>
                    </w:p>
                  </w:txbxContent>
                </v:textbox>
              </v:shape>
            </w:pict>
          </mc:Fallback>
        </mc:AlternateContent>
      </w:r>
      <w:r>
        <w:rPr>
          <w:rFonts w:hint="eastAsia" w:eastAsia="宋体"/>
          <w:b/>
          <w:bCs/>
          <w:lang w:val="en-US" w:eastAsia="zh-CN"/>
        </w:rPr>
        <w:drawing>
          <wp:anchor distT="0" distB="0" distL="114300" distR="114300" simplePos="0" relativeHeight="251667456" behindDoc="0" locked="0" layoutInCell="1" allowOverlap="1">
            <wp:simplePos x="0" y="0"/>
            <wp:positionH relativeFrom="column">
              <wp:posOffset>7542530</wp:posOffset>
            </wp:positionH>
            <wp:positionV relativeFrom="paragraph">
              <wp:posOffset>26035</wp:posOffset>
            </wp:positionV>
            <wp:extent cx="658495" cy="658495"/>
            <wp:effectExtent l="0" t="0" r="8255" b="8255"/>
            <wp:wrapNone/>
            <wp:docPr id="26" name="图片 26" descr="9c7377893f6dd9666e2aa02e7a597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9c7377893f6dd9666e2aa02e7a597a6"/>
                    <pic:cNvPicPr>
                      <a:picLocks noChangeAspect="1"/>
                    </pic:cNvPicPr>
                  </pic:nvPicPr>
                  <pic:blipFill>
                    <a:blip r:embed="rId18"/>
                    <a:stretch>
                      <a:fillRect/>
                    </a:stretch>
                  </pic:blipFill>
                  <pic:spPr>
                    <a:xfrm>
                      <a:off x="0" y="0"/>
                      <a:ext cx="658495" cy="658495"/>
                    </a:xfrm>
                    <a:prstGeom prst="rect">
                      <a:avLst/>
                    </a:prstGeom>
                  </pic:spPr>
                </pic:pic>
              </a:graphicData>
            </a:graphic>
          </wp:anchor>
        </w:drawing>
      </w:r>
    </w:p>
    <w:p w14:paraId="3E40BEC9">
      <w:pPr>
        <w:jc w:val="center"/>
        <w:outlineLvl w:val="0"/>
      </w:pPr>
      <w:r>
        <w:rPr>
          <w:rFonts w:hint="eastAsia"/>
          <w:b/>
          <w:bCs/>
          <w:lang w:val="en-US" w:eastAsia="zh-CN"/>
        </w:rPr>
        <w:t>附图</w:t>
      </w:r>
      <w:r>
        <w:rPr>
          <w:rFonts w:hint="default" w:ascii="Times New Roman" w:hAnsi="Times New Roman" w:cs="Times New Roman"/>
          <w:b/>
          <w:bCs/>
          <w:lang w:val="en-US" w:eastAsia="zh-CN"/>
        </w:rPr>
        <w:t>3</w:t>
      </w:r>
      <w:r>
        <w:rPr>
          <w:rFonts w:hint="eastAsia"/>
          <w:b/>
          <w:bCs/>
          <w:lang w:val="en-US" w:eastAsia="zh-CN"/>
        </w:rPr>
        <w:t xml:space="preserve">  项目平面布置图  </w:t>
      </w:r>
      <w:r>
        <w:rPr>
          <w:rFonts w:hint="default" w:ascii="Times New Roman" w:hAnsi="Times New Roman" w:cs="Times New Roman"/>
          <w:b/>
          <w:bCs/>
          <w:lang w:val="en-US" w:eastAsia="zh-CN"/>
        </w:rPr>
        <w:t>比例尺：1</w:t>
      </w:r>
      <w:r>
        <w:rPr>
          <w:rFonts w:hint="eastAsia" w:ascii="Times New Roman" w:hAnsi="Times New Roman" w:cs="Times New Roman"/>
          <w:b/>
          <w:bCs/>
          <w:lang w:val="en-US" w:eastAsia="zh-CN"/>
        </w:rPr>
        <w:t>:</w:t>
      </w:r>
      <w:r>
        <w:rPr>
          <w:rFonts w:hint="default" w:ascii="Times New Roman" w:hAnsi="Times New Roman" w:cs="Times New Roman"/>
          <w:b/>
          <w:bCs/>
          <w:lang w:val="en-US" w:eastAsia="zh-CN"/>
        </w:rPr>
        <w:t>2500</w:t>
      </w:r>
      <w:r>
        <w:br w:type="page"/>
      </w:r>
    </w:p>
    <w:p w14:paraId="5575A415">
      <w:pPr>
        <w:pStyle w:val="8"/>
        <w:sectPr>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14:paraId="60FAABD6">
      <w:pPr>
        <w:jc w:val="center"/>
      </w:pPr>
      <w:r>
        <w:rPr>
          <w:sz w:val="24"/>
        </w:rPr>
        <mc:AlternateContent>
          <mc:Choice Requires="wps">
            <w:drawing>
              <wp:anchor distT="0" distB="0" distL="114300" distR="114300" simplePos="0" relativeHeight="251665408" behindDoc="0" locked="0" layoutInCell="1" allowOverlap="1">
                <wp:simplePos x="0" y="0"/>
                <wp:positionH relativeFrom="column">
                  <wp:posOffset>1604010</wp:posOffset>
                </wp:positionH>
                <wp:positionV relativeFrom="paragraph">
                  <wp:posOffset>3465195</wp:posOffset>
                </wp:positionV>
                <wp:extent cx="799465" cy="276225"/>
                <wp:effectExtent l="0" t="0" r="0" b="0"/>
                <wp:wrapNone/>
                <wp:docPr id="84" name="文本框 84"/>
                <wp:cNvGraphicFramePr/>
                <a:graphic xmlns:a="http://schemas.openxmlformats.org/drawingml/2006/main">
                  <a:graphicData uri="http://schemas.microsoft.com/office/word/2010/wordprocessingShape">
                    <wps:wsp>
                      <wps:cNvSpPr txBox="1"/>
                      <wps:spPr>
                        <a:xfrm>
                          <a:off x="0" y="0"/>
                          <a:ext cx="799465" cy="2762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5C70B4">
                            <w:pPr>
                              <w:rPr>
                                <w:rFonts w:hint="default" w:eastAsia="宋体"/>
                                <w:b/>
                                <w:bCs/>
                                <w:color w:val="000000" w:themeColor="text1"/>
                                <w:sz w:val="22"/>
                                <w:szCs w:val="22"/>
                                <w:lang w:val="en-US" w:eastAsia="zh-CN"/>
                                <w14:textFill>
                                  <w14:solidFill>
                                    <w14:schemeClr w14:val="tx1"/>
                                  </w14:solidFill>
                                </w14:textFill>
                              </w:rPr>
                            </w:pPr>
                            <w:r>
                              <w:rPr>
                                <w:rFonts w:hint="eastAsia"/>
                                <w:b/>
                                <w:bCs/>
                                <w:color w:val="000000" w:themeColor="text1"/>
                                <w:sz w:val="22"/>
                                <w:szCs w:val="22"/>
                                <w:lang w:val="en-US" w:eastAsia="zh-CN"/>
                                <w14:textFill>
                                  <w14:solidFill>
                                    <w14:schemeClr w14:val="tx1"/>
                                  </w14:solidFill>
                                </w14:textFill>
                              </w:rPr>
                              <w:t>其志麦拉</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6.3pt;margin-top:272.85pt;height:21.75pt;width:62.95pt;z-index:251665408;mso-width-relative:page;mso-height-relative:page;" filled="f" stroked="f" coordsize="21600,21600" o:gfxdata="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Ibjmj/cAAAACwEAAA8AAAAAAAAAAQAgAAAAIgAA&#10;AGRycy9kb3ducmV2LnhtbFBLAQIUABQAAAAIAIdO4kACanJNPQIAAGcEAAAOAAAAAAAAAAEAIAAA&#10;ACsBAABkcnMvZTJvRG9jLnhtbFBLBQYAAAAABgAGAFkBAADaBQAAAAA=&#10;">
                <v:fill on="f" focussize="0,0"/>
                <v:stroke on="f" weight="0.5pt"/>
                <v:imagedata o:title=""/>
                <o:lock v:ext="edit" aspectratio="f"/>
                <v:textbox>
                  <w:txbxContent>
                    <w:p w14:paraId="615C70B4">
                      <w:pPr>
                        <w:rPr>
                          <w:rFonts w:hint="default" w:eastAsia="宋体"/>
                          <w:b/>
                          <w:bCs/>
                          <w:color w:val="000000" w:themeColor="text1"/>
                          <w:sz w:val="22"/>
                          <w:szCs w:val="22"/>
                          <w:lang w:val="en-US" w:eastAsia="zh-CN"/>
                          <w14:textFill>
                            <w14:solidFill>
                              <w14:schemeClr w14:val="tx1"/>
                            </w14:solidFill>
                          </w14:textFill>
                        </w:rPr>
                      </w:pPr>
                      <w:r>
                        <w:rPr>
                          <w:rFonts w:hint="eastAsia"/>
                          <w:b/>
                          <w:bCs/>
                          <w:color w:val="000000" w:themeColor="text1"/>
                          <w:sz w:val="22"/>
                          <w:szCs w:val="22"/>
                          <w:lang w:val="en-US" w:eastAsia="zh-CN"/>
                          <w14:textFill>
                            <w14:solidFill>
                              <w14:schemeClr w14:val="tx1"/>
                            </w14:solidFill>
                          </w14:textFill>
                        </w:rPr>
                        <w:t>其志麦拉</w:t>
                      </w:r>
                    </w:p>
                  </w:txbxContent>
                </v:textbox>
              </v:shape>
            </w:pict>
          </mc:Fallback>
        </mc:AlternateContent>
      </w:r>
      <w:r>
        <w:rPr>
          <w:sz w:val="24"/>
        </w:rPr>
        <mc:AlternateContent>
          <mc:Choice Requires="wps">
            <w:drawing>
              <wp:anchor distT="0" distB="0" distL="114300" distR="114300" simplePos="0" relativeHeight="251681792" behindDoc="0" locked="0" layoutInCell="1" allowOverlap="1">
                <wp:simplePos x="0" y="0"/>
                <wp:positionH relativeFrom="column">
                  <wp:posOffset>6242685</wp:posOffset>
                </wp:positionH>
                <wp:positionV relativeFrom="paragraph">
                  <wp:posOffset>2303145</wp:posOffset>
                </wp:positionV>
                <wp:extent cx="666750" cy="276225"/>
                <wp:effectExtent l="0" t="0" r="0" b="0"/>
                <wp:wrapNone/>
                <wp:docPr id="69" name="文本框 69"/>
                <wp:cNvGraphicFramePr/>
                <a:graphic xmlns:a="http://schemas.openxmlformats.org/drawingml/2006/main">
                  <a:graphicData uri="http://schemas.microsoft.com/office/word/2010/wordprocessingShape">
                    <wps:wsp>
                      <wps:cNvSpPr txBox="1"/>
                      <wps:spPr>
                        <a:xfrm>
                          <a:off x="0" y="0"/>
                          <a:ext cx="666750" cy="2762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08067C">
                            <w:pPr>
                              <w:rPr>
                                <w:rFonts w:hint="default" w:eastAsia="宋体"/>
                                <w:b/>
                                <w:bCs/>
                                <w:color w:val="000000" w:themeColor="text1"/>
                                <w:sz w:val="20"/>
                                <w:szCs w:val="20"/>
                                <w:lang w:val="en-US" w:eastAsia="zh-CN"/>
                                <w14:textFill>
                                  <w14:solidFill>
                                    <w14:schemeClr w14:val="tx1"/>
                                  </w14:solidFill>
                                </w14:textFill>
                              </w:rPr>
                            </w:pPr>
                            <w:r>
                              <w:rPr>
                                <w:rFonts w:hint="eastAsia"/>
                                <w:b/>
                                <w:bCs/>
                                <w:color w:val="000000" w:themeColor="text1"/>
                                <w:sz w:val="20"/>
                                <w:szCs w:val="20"/>
                                <w:lang w:val="en-US" w:eastAsia="zh-CN"/>
                                <w14:textFill>
                                  <w14:solidFill>
                                    <w14:schemeClr w14:val="tx1"/>
                                  </w14:solidFill>
                                </w14:textFill>
                              </w:rPr>
                              <w:t>特古斯</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91.55pt;margin-top:181.35pt;height:21.75pt;width:52.5pt;z-index:251681792;mso-width-relative:page;mso-height-relative:page;" filled="f" stroked="f" coordsize="21600,21600" o:gfxdata="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EqniY3cAAAADAEAAA8AAAAAAAAAAQAgAAAAIgAAAGRy&#10;cy9kb3ducmV2LnhtbFBLAQIUABQAAAAIAIdO4kBQP6mBOgIAAGcEAAAOAAAAAAAAAAEAIAAAACsB&#10;AABkcnMvZTJvRG9jLnhtbFBLBQYAAAAABgAGAFkBAADXBQAAAAA=&#10;">
                <v:fill on="f" focussize="0,0"/>
                <v:stroke on="f" weight="0.5pt"/>
                <v:imagedata o:title=""/>
                <o:lock v:ext="edit" aspectratio="f"/>
                <v:textbox>
                  <w:txbxContent>
                    <w:p w14:paraId="0408067C">
                      <w:pPr>
                        <w:rPr>
                          <w:rFonts w:hint="default" w:eastAsia="宋体"/>
                          <w:b/>
                          <w:bCs/>
                          <w:color w:val="000000" w:themeColor="text1"/>
                          <w:sz w:val="20"/>
                          <w:szCs w:val="20"/>
                          <w:lang w:val="en-US" w:eastAsia="zh-CN"/>
                          <w14:textFill>
                            <w14:solidFill>
                              <w14:schemeClr w14:val="tx1"/>
                            </w14:solidFill>
                          </w14:textFill>
                        </w:rPr>
                      </w:pPr>
                      <w:r>
                        <w:rPr>
                          <w:rFonts w:hint="eastAsia"/>
                          <w:b/>
                          <w:bCs/>
                          <w:color w:val="000000" w:themeColor="text1"/>
                          <w:sz w:val="20"/>
                          <w:szCs w:val="20"/>
                          <w:lang w:val="en-US" w:eastAsia="zh-CN"/>
                          <w14:textFill>
                            <w14:solidFill>
                              <w14:schemeClr w14:val="tx1"/>
                            </w14:solidFill>
                          </w14:textFill>
                        </w:rPr>
                        <w:t>特古斯</w:t>
                      </w:r>
                    </w:p>
                  </w:txbxContent>
                </v:textbox>
              </v:shape>
            </w:pict>
          </mc:Fallback>
        </mc:AlternateContent>
      </w:r>
      <w:r>
        <w:rPr>
          <w:sz w:val="24"/>
        </w:rPr>
        <mc:AlternateContent>
          <mc:Choice Requires="wps">
            <w:drawing>
              <wp:anchor distT="0" distB="0" distL="114300" distR="114300" simplePos="0" relativeHeight="251664384" behindDoc="0" locked="0" layoutInCell="1" allowOverlap="1">
                <wp:simplePos x="0" y="0"/>
                <wp:positionH relativeFrom="column">
                  <wp:posOffset>4804410</wp:posOffset>
                </wp:positionH>
                <wp:positionV relativeFrom="paragraph">
                  <wp:posOffset>3960495</wp:posOffset>
                </wp:positionV>
                <wp:extent cx="457200" cy="276225"/>
                <wp:effectExtent l="0" t="0" r="0" b="9525"/>
                <wp:wrapNone/>
                <wp:docPr id="78" name="文本框 78"/>
                <wp:cNvGraphicFramePr/>
                <a:graphic xmlns:a="http://schemas.openxmlformats.org/drawingml/2006/main">
                  <a:graphicData uri="http://schemas.microsoft.com/office/word/2010/wordprocessingShape">
                    <wps:wsp>
                      <wps:cNvSpPr txBox="1"/>
                      <wps:spPr>
                        <a:xfrm>
                          <a:off x="4331970" y="3188970"/>
                          <a:ext cx="457200" cy="276225"/>
                        </a:xfrm>
                        <a:prstGeom prst="rect">
                          <a:avLst/>
                        </a:prstGeom>
                        <a:solidFill>
                          <a:schemeClr val="bg1"/>
                        </a:solidFill>
                        <a:ln w="6350">
                          <a:noFill/>
                        </a:ln>
                      </wps:spPr>
                      <wps:style>
                        <a:lnRef idx="0">
                          <a:schemeClr val="accent1"/>
                        </a:lnRef>
                        <a:fillRef idx="0">
                          <a:schemeClr val="accent1"/>
                        </a:fillRef>
                        <a:effectRef idx="0">
                          <a:schemeClr val="accent1"/>
                        </a:effectRef>
                        <a:fontRef idx="minor">
                          <a:schemeClr val="dk1"/>
                        </a:fontRef>
                      </wps:style>
                      <wps:txbx>
                        <w:txbxContent>
                          <w:p w14:paraId="115277E1">
                            <w:pPr>
                              <w:rPr>
                                <w:rFonts w:hint="default" w:eastAsia="宋体"/>
                                <w:sz w:val="20"/>
                                <w:szCs w:val="20"/>
                                <w:lang w:val="en-US" w:eastAsia="zh-CN"/>
                              </w:rPr>
                            </w:pPr>
                            <w:r>
                              <w:rPr>
                                <w:rFonts w:hint="eastAsia"/>
                                <w:sz w:val="20"/>
                                <w:szCs w:val="20"/>
                                <w:lang w:val="en-US" w:eastAsia="zh-CN"/>
                              </w:rPr>
                              <w:t>空地</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78.3pt;margin-top:311.85pt;height:21.75pt;width:36pt;z-index:251664384;mso-width-relative:page;mso-height-relative:page;" fillcolor="#FFFFFF [3212]" filled="t" stroked="f" coordsize="21600,21600" o:gfxdata="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xxnrc1gAA&#10;AAsBAAAPAAAAAAAAAAEAIAAAACIAAABkcnMvZG93bnJldi54bWxQSwECFAAUAAAACACHTuJAri11&#10;21kCAACcBAAADgAAAAAAAAABACAAAAAlAQAAZHJzL2Uyb0RvYy54bWxQSwUGAAAAAAYABgBZAQAA&#10;8AUAAAAA&#10;">
                <v:fill on="t" focussize="0,0"/>
                <v:stroke on="f" weight="0.5pt"/>
                <v:imagedata o:title=""/>
                <o:lock v:ext="edit" aspectratio="f"/>
                <v:textbox>
                  <w:txbxContent>
                    <w:p w14:paraId="115277E1">
                      <w:pPr>
                        <w:rPr>
                          <w:rFonts w:hint="default" w:eastAsia="宋体"/>
                          <w:sz w:val="20"/>
                          <w:szCs w:val="20"/>
                          <w:lang w:val="en-US" w:eastAsia="zh-CN"/>
                        </w:rPr>
                      </w:pPr>
                      <w:r>
                        <w:rPr>
                          <w:rFonts w:hint="eastAsia"/>
                          <w:sz w:val="20"/>
                          <w:szCs w:val="20"/>
                          <w:lang w:val="en-US" w:eastAsia="zh-CN"/>
                        </w:rPr>
                        <w:t>空地</w:t>
                      </w:r>
                    </w:p>
                  </w:txbxContent>
                </v:textbox>
              </v:shape>
            </w:pict>
          </mc:Fallback>
        </mc:AlternateContent>
      </w:r>
      <w:r>
        <w:rPr>
          <w:color w:val="auto"/>
          <w:sz w:val="24"/>
          <w:highlight w:val="none"/>
        </w:rPr>
        <mc:AlternateContent>
          <mc:Choice Requires="wps">
            <w:drawing>
              <wp:anchor distT="0" distB="0" distL="114300" distR="114300" simplePos="0" relativeHeight="251687936" behindDoc="0" locked="0" layoutInCell="1" allowOverlap="1">
                <wp:simplePos x="0" y="0"/>
                <wp:positionH relativeFrom="column">
                  <wp:posOffset>4014470</wp:posOffset>
                </wp:positionH>
                <wp:positionV relativeFrom="paragraph">
                  <wp:posOffset>2820035</wp:posOffset>
                </wp:positionV>
                <wp:extent cx="599440" cy="342900"/>
                <wp:effectExtent l="4445" t="414020" r="5715" b="5080"/>
                <wp:wrapNone/>
                <wp:docPr id="76" name="矩形标注 76"/>
                <wp:cNvGraphicFramePr/>
                <a:graphic xmlns:a="http://schemas.openxmlformats.org/drawingml/2006/main">
                  <a:graphicData uri="http://schemas.microsoft.com/office/word/2010/wordprocessingShape">
                    <wps:wsp>
                      <wps:cNvSpPr/>
                      <wps:spPr>
                        <a:xfrm>
                          <a:off x="0" y="0"/>
                          <a:ext cx="599440" cy="342900"/>
                        </a:xfrm>
                        <a:prstGeom prst="wedgeRectCallout">
                          <a:avLst>
                            <a:gd name="adj1" fmla="val -40466"/>
                            <a:gd name="adj2" fmla="val -163148"/>
                          </a:avLst>
                        </a:prstGeom>
                        <a:solidFill>
                          <a:srgbClr val="FCD5B5"/>
                        </a:solidFill>
                        <a:ln w="9525" cap="flat" cmpd="sng">
                          <a:solidFill>
                            <a:srgbClr val="000000"/>
                          </a:solidFill>
                          <a:prstDash val="solid"/>
                          <a:miter/>
                          <a:headEnd type="none" w="med" len="med"/>
                          <a:tailEnd type="none" w="med" len="med"/>
                        </a:ln>
                      </wps:spPr>
                      <wps:txbx>
                        <w:txbxContent>
                          <w:p w14:paraId="63C70D0B">
                            <w:pPr>
                              <w:rPr>
                                <w:rFonts w:hint="default" w:eastAsia="宋体"/>
                                <w:sz w:val="20"/>
                                <w:szCs w:val="20"/>
                                <w:lang w:val="en-US" w:eastAsia="zh-CN"/>
                              </w:rPr>
                            </w:pPr>
                            <w:r>
                              <w:rPr>
                                <w:rFonts w:hint="eastAsia"/>
                                <w:sz w:val="20"/>
                                <w:szCs w:val="20"/>
                                <w:lang w:val="en-US" w:eastAsia="zh-CN"/>
                              </w:rPr>
                              <w:t>办公室</w:t>
                            </w:r>
                          </w:p>
                        </w:txbxContent>
                      </wps:txbx>
                      <wps:bodyPr upright="1"/>
                    </wps:wsp>
                  </a:graphicData>
                </a:graphic>
              </wp:anchor>
            </w:drawing>
          </mc:Choice>
          <mc:Fallback>
            <w:pict>
              <v:shape id="_x0000_s1026" o:spid="_x0000_s1026" o:spt="61" type="#_x0000_t61" style="position:absolute;left:0pt;margin-left:316.1pt;margin-top:222.05pt;height:27pt;width:47.2pt;z-index:251687936;mso-width-relative:page;mso-height-relative:page;" fillcolor="#FCD5B5" filled="t" stroked="t" coordsize="21600,21600" o:gfxdata="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SbB3bZAAAACwEAAA8AAAAAAAAAAQAgAAAAIgAA&#10;AGRycy9kb3ducmV2LnhtbFBLAQIUABQAAAAIAIdO4kAX/Z60QAIAAJAEAAAOAAAAAAAAAAEAIAAA&#10;ACgBAABkcnMvZTJvRG9jLnhtbFBLBQYAAAAABgAGAFkBAADaBQAAAAA=&#10;" adj="2059,-24440">
                <v:fill on="t" focussize="0,0"/>
                <v:stroke color="#000000" joinstyle="miter"/>
                <v:imagedata o:title=""/>
                <o:lock v:ext="edit" aspectratio="f"/>
                <v:textbox>
                  <w:txbxContent>
                    <w:p w14:paraId="63C70D0B">
                      <w:pPr>
                        <w:rPr>
                          <w:rFonts w:hint="default" w:eastAsia="宋体"/>
                          <w:sz w:val="20"/>
                          <w:szCs w:val="20"/>
                          <w:lang w:val="en-US" w:eastAsia="zh-CN"/>
                        </w:rPr>
                      </w:pPr>
                      <w:r>
                        <w:rPr>
                          <w:rFonts w:hint="eastAsia"/>
                          <w:sz w:val="20"/>
                          <w:szCs w:val="20"/>
                          <w:lang w:val="en-US" w:eastAsia="zh-CN"/>
                        </w:rPr>
                        <w:t>办公室</w:t>
                      </w:r>
                    </w:p>
                  </w:txbxContent>
                </v:textbox>
              </v:shape>
            </w:pict>
          </mc:Fallback>
        </mc:AlternateContent>
      </w:r>
      <w:r>
        <w:rPr>
          <w:color w:val="auto"/>
          <w:sz w:val="24"/>
          <w:highlight w:val="none"/>
        </w:rPr>
        <mc:AlternateContent>
          <mc:Choice Requires="wps">
            <w:drawing>
              <wp:anchor distT="0" distB="0" distL="114300" distR="114300" simplePos="0" relativeHeight="251686912" behindDoc="0" locked="0" layoutInCell="1" allowOverlap="1">
                <wp:simplePos x="0" y="0"/>
                <wp:positionH relativeFrom="column">
                  <wp:posOffset>2080895</wp:posOffset>
                </wp:positionH>
                <wp:positionV relativeFrom="paragraph">
                  <wp:posOffset>2753360</wp:posOffset>
                </wp:positionV>
                <wp:extent cx="599440" cy="342900"/>
                <wp:effectExtent l="4445" t="223520" r="405765" b="5080"/>
                <wp:wrapNone/>
                <wp:docPr id="75" name="矩形标注 75"/>
                <wp:cNvGraphicFramePr/>
                <a:graphic xmlns:a="http://schemas.openxmlformats.org/drawingml/2006/main">
                  <a:graphicData uri="http://schemas.microsoft.com/office/word/2010/wordprocessingShape">
                    <wps:wsp>
                      <wps:cNvSpPr/>
                      <wps:spPr>
                        <a:xfrm>
                          <a:off x="0" y="0"/>
                          <a:ext cx="599440" cy="342900"/>
                        </a:xfrm>
                        <a:prstGeom prst="wedgeRectCallout">
                          <a:avLst>
                            <a:gd name="adj1" fmla="val 108898"/>
                            <a:gd name="adj2" fmla="val -110370"/>
                          </a:avLst>
                        </a:prstGeom>
                        <a:solidFill>
                          <a:srgbClr val="FCD5B5"/>
                        </a:solidFill>
                        <a:ln w="9525" cap="flat" cmpd="sng">
                          <a:solidFill>
                            <a:srgbClr val="000000"/>
                          </a:solidFill>
                          <a:prstDash val="solid"/>
                          <a:miter/>
                          <a:headEnd type="none" w="med" len="med"/>
                          <a:tailEnd type="none" w="med" len="med"/>
                        </a:ln>
                      </wps:spPr>
                      <wps:txbx>
                        <w:txbxContent>
                          <w:p w14:paraId="197E7D97">
                            <w:pPr>
                              <w:rPr>
                                <w:rFonts w:hint="default" w:eastAsia="宋体"/>
                                <w:sz w:val="20"/>
                                <w:szCs w:val="20"/>
                                <w:lang w:val="en-US" w:eastAsia="zh-CN"/>
                              </w:rPr>
                            </w:pPr>
                            <w:r>
                              <w:rPr>
                                <w:rFonts w:hint="eastAsia"/>
                                <w:sz w:val="20"/>
                                <w:szCs w:val="20"/>
                                <w:lang w:val="en-US" w:eastAsia="zh-CN"/>
                              </w:rPr>
                              <w:t>变压器</w:t>
                            </w:r>
                          </w:p>
                        </w:txbxContent>
                      </wps:txbx>
                      <wps:bodyPr upright="1"/>
                    </wps:wsp>
                  </a:graphicData>
                </a:graphic>
              </wp:anchor>
            </w:drawing>
          </mc:Choice>
          <mc:Fallback>
            <w:pict>
              <v:shape id="_x0000_s1026" o:spid="_x0000_s1026" o:spt="61" type="#_x0000_t61" style="position:absolute;left:0pt;margin-left:163.85pt;margin-top:216.8pt;height:27pt;width:47.2pt;z-index:251686912;mso-width-relative:page;mso-height-relative:page;" fillcolor="#FCD5B5" filled="t" stroked="t" coordsize="21600,21600" o:gfxdata="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AB55bHaAAAACwEAAA8AAAAAAAAAAQAgAAAAIgAA&#10;AGRycy9kb3ducmV2LnhtbFBLAQIUABQAAAAIAIdO4kALL+FpPwIAAJAEAAAOAAAAAAAAAAEAIAAA&#10;ACkBAABkcnMvZTJvRG9jLnhtbFBLBQYAAAAABgAGAFkBAADaBQAAAAA=&#10;" adj="34322,-13040">
                <v:fill on="t" focussize="0,0"/>
                <v:stroke color="#000000" joinstyle="miter"/>
                <v:imagedata o:title=""/>
                <o:lock v:ext="edit" aspectratio="f"/>
                <v:textbox>
                  <w:txbxContent>
                    <w:p w14:paraId="197E7D97">
                      <w:pPr>
                        <w:rPr>
                          <w:rFonts w:hint="default" w:eastAsia="宋体"/>
                          <w:sz w:val="20"/>
                          <w:szCs w:val="20"/>
                          <w:lang w:val="en-US" w:eastAsia="zh-CN"/>
                        </w:rPr>
                      </w:pPr>
                      <w:r>
                        <w:rPr>
                          <w:rFonts w:hint="eastAsia"/>
                          <w:sz w:val="20"/>
                          <w:szCs w:val="20"/>
                          <w:lang w:val="en-US" w:eastAsia="zh-CN"/>
                        </w:rPr>
                        <w:t>变压器</w:t>
                      </w:r>
                    </w:p>
                  </w:txbxContent>
                </v:textbox>
              </v:shape>
            </w:pict>
          </mc:Fallback>
        </mc:AlternateContent>
      </w:r>
      <w:r>
        <w:rPr>
          <w:color w:val="auto"/>
          <w:sz w:val="24"/>
          <w:highlight w:val="none"/>
        </w:rPr>
        <mc:AlternateContent>
          <mc:Choice Requires="wps">
            <w:drawing>
              <wp:anchor distT="0" distB="0" distL="114300" distR="114300" simplePos="0" relativeHeight="251685888" behindDoc="0" locked="0" layoutInCell="1" allowOverlap="1">
                <wp:simplePos x="0" y="0"/>
                <wp:positionH relativeFrom="column">
                  <wp:posOffset>1928495</wp:posOffset>
                </wp:positionH>
                <wp:positionV relativeFrom="paragraph">
                  <wp:posOffset>1734185</wp:posOffset>
                </wp:positionV>
                <wp:extent cx="599440" cy="342900"/>
                <wp:effectExtent l="4445" t="4445" r="386715" b="281305"/>
                <wp:wrapNone/>
                <wp:docPr id="74" name="矩形标注 74"/>
                <wp:cNvGraphicFramePr/>
                <a:graphic xmlns:a="http://schemas.openxmlformats.org/drawingml/2006/main">
                  <a:graphicData uri="http://schemas.microsoft.com/office/word/2010/wordprocessingShape">
                    <wps:wsp>
                      <wps:cNvSpPr/>
                      <wps:spPr>
                        <a:xfrm>
                          <a:off x="0" y="0"/>
                          <a:ext cx="599440" cy="342900"/>
                        </a:xfrm>
                        <a:prstGeom prst="wedgeRectCallout">
                          <a:avLst>
                            <a:gd name="adj1" fmla="val 105720"/>
                            <a:gd name="adj2" fmla="val 125740"/>
                          </a:avLst>
                        </a:prstGeom>
                        <a:solidFill>
                          <a:srgbClr val="FCD5B5"/>
                        </a:solidFill>
                        <a:ln w="9525" cap="flat" cmpd="sng">
                          <a:solidFill>
                            <a:srgbClr val="000000"/>
                          </a:solidFill>
                          <a:prstDash val="solid"/>
                          <a:miter/>
                          <a:headEnd type="none" w="med" len="med"/>
                          <a:tailEnd type="none" w="med" len="med"/>
                        </a:ln>
                      </wps:spPr>
                      <wps:txbx>
                        <w:txbxContent>
                          <w:p w14:paraId="4DFADFF3">
                            <w:pPr>
                              <w:rPr>
                                <w:rFonts w:hint="default" w:eastAsia="宋体"/>
                                <w:sz w:val="20"/>
                                <w:szCs w:val="20"/>
                                <w:lang w:val="en-US" w:eastAsia="zh-CN"/>
                              </w:rPr>
                            </w:pPr>
                            <w:r>
                              <w:rPr>
                                <w:rFonts w:hint="eastAsia"/>
                                <w:sz w:val="20"/>
                                <w:szCs w:val="20"/>
                                <w:lang w:val="en-US" w:eastAsia="zh-CN"/>
                              </w:rPr>
                              <w:t>成品库</w:t>
                            </w:r>
                          </w:p>
                        </w:txbxContent>
                      </wps:txbx>
                      <wps:bodyPr upright="1"/>
                    </wps:wsp>
                  </a:graphicData>
                </a:graphic>
              </wp:anchor>
            </w:drawing>
          </mc:Choice>
          <mc:Fallback>
            <w:pict>
              <v:shape id="_x0000_s1026" o:spid="_x0000_s1026" o:spt="61" type="#_x0000_t61" style="position:absolute;left:0pt;margin-left:151.85pt;margin-top:136.55pt;height:27pt;width:47.2pt;z-index:251685888;mso-width-relative:page;mso-height-relative:page;" fillcolor="#FCD5B5" filled="t" stroked="t" coordsize="21600,21600" o:gfxdata="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DROgbbaAAAACwEAAA8AAAAAAAAAAQAgAAAAIgAAAGRy&#10;cy9kb3ducmV2LnhtbFBLAQIUABQAAAAIAIdO4kDHNjcZPAIAAI8EAAAOAAAAAAAAAAEAIAAAACkB&#10;AABkcnMvZTJvRG9jLnhtbFBLBQYAAAAABgAGAFkBAADXBQAAAAA=&#10;" adj="33636,37960">
                <v:fill on="t" focussize="0,0"/>
                <v:stroke color="#000000" joinstyle="miter"/>
                <v:imagedata o:title=""/>
                <o:lock v:ext="edit" aspectratio="f"/>
                <v:textbox>
                  <w:txbxContent>
                    <w:p w14:paraId="4DFADFF3">
                      <w:pPr>
                        <w:rPr>
                          <w:rFonts w:hint="default" w:eastAsia="宋体"/>
                          <w:sz w:val="20"/>
                          <w:szCs w:val="20"/>
                          <w:lang w:val="en-US" w:eastAsia="zh-CN"/>
                        </w:rPr>
                      </w:pPr>
                      <w:r>
                        <w:rPr>
                          <w:rFonts w:hint="eastAsia"/>
                          <w:sz w:val="20"/>
                          <w:szCs w:val="20"/>
                          <w:lang w:val="en-US" w:eastAsia="zh-CN"/>
                        </w:rPr>
                        <w:t>成品库</w:t>
                      </w:r>
                    </w:p>
                  </w:txbxContent>
                </v:textbox>
              </v:shape>
            </w:pict>
          </mc:Fallback>
        </mc:AlternateContent>
      </w:r>
      <w:r>
        <w:rPr>
          <w:color w:val="auto"/>
          <w:sz w:val="24"/>
          <w:highlight w:val="none"/>
        </w:rPr>
        <mc:AlternateContent>
          <mc:Choice Requires="wps">
            <w:drawing>
              <wp:anchor distT="0" distB="0" distL="114300" distR="114300" simplePos="0" relativeHeight="251684864" behindDoc="0" locked="0" layoutInCell="1" allowOverlap="1">
                <wp:simplePos x="0" y="0"/>
                <wp:positionH relativeFrom="column">
                  <wp:posOffset>2871470</wp:posOffset>
                </wp:positionH>
                <wp:positionV relativeFrom="paragraph">
                  <wp:posOffset>1457960</wp:posOffset>
                </wp:positionV>
                <wp:extent cx="789940" cy="342900"/>
                <wp:effectExtent l="4445" t="5080" r="5715" b="509270"/>
                <wp:wrapNone/>
                <wp:docPr id="73" name="矩形标注 73"/>
                <wp:cNvGraphicFramePr/>
                <a:graphic xmlns:a="http://schemas.openxmlformats.org/drawingml/2006/main">
                  <a:graphicData uri="http://schemas.microsoft.com/office/word/2010/wordprocessingShape">
                    <wps:wsp>
                      <wps:cNvSpPr/>
                      <wps:spPr>
                        <a:xfrm>
                          <a:off x="0" y="0"/>
                          <a:ext cx="789940" cy="342900"/>
                        </a:xfrm>
                        <a:prstGeom prst="wedgeRectCallout">
                          <a:avLst>
                            <a:gd name="adj1" fmla="val -19051"/>
                            <a:gd name="adj2" fmla="val 186851"/>
                          </a:avLst>
                        </a:prstGeom>
                        <a:solidFill>
                          <a:srgbClr val="FCD5B5"/>
                        </a:solidFill>
                        <a:ln w="9525" cap="flat" cmpd="sng">
                          <a:solidFill>
                            <a:srgbClr val="000000"/>
                          </a:solidFill>
                          <a:prstDash val="solid"/>
                          <a:miter/>
                          <a:headEnd type="none" w="med" len="med"/>
                          <a:tailEnd type="none" w="med" len="med"/>
                        </a:ln>
                      </wps:spPr>
                      <wps:txbx>
                        <w:txbxContent>
                          <w:p w14:paraId="4904B0AB">
                            <w:pPr>
                              <w:rPr>
                                <w:rFonts w:hint="default" w:eastAsia="宋体"/>
                                <w:sz w:val="20"/>
                                <w:szCs w:val="20"/>
                                <w:lang w:val="en-US" w:eastAsia="zh-CN"/>
                              </w:rPr>
                            </w:pPr>
                            <w:r>
                              <w:rPr>
                                <w:rFonts w:hint="eastAsia"/>
                                <w:sz w:val="20"/>
                                <w:szCs w:val="20"/>
                                <w:lang w:val="en-US" w:eastAsia="zh-CN"/>
                              </w:rPr>
                              <w:t>生产车间</w:t>
                            </w:r>
                          </w:p>
                        </w:txbxContent>
                      </wps:txbx>
                      <wps:bodyPr upright="1"/>
                    </wps:wsp>
                  </a:graphicData>
                </a:graphic>
              </wp:anchor>
            </w:drawing>
          </mc:Choice>
          <mc:Fallback>
            <w:pict>
              <v:shape id="_x0000_s1026" o:spid="_x0000_s1026" o:spt="61" type="#_x0000_t61" style="position:absolute;left:0pt;margin-left:226.1pt;margin-top:114.8pt;height:27pt;width:62.2pt;z-index:251684864;mso-width-relative:page;mso-height-relative:page;" fillcolor="#FCD5B5" filled="t" stroked="t" coordsize="21600,21600" o:gfxdata="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6Bsku2QAAAAsBAAAPAAAAAAAAAAEAIAAAACIAAABk&#10;cnMvZG93bnJldi54bWxQSwECFAAUAAAACACHTuJArZ+lSz4CAACPBAAADgAAAAAAAAABACAAAAAo&#10;AQAAZHJzL2Uyb0RvYy54bWxQSwUGAAAAAAYABgBZAQAA2AUAAAAA&#10;" adj="6685,51160">
                <v:fill on="t" focussize="0,0"/>
                <v:stroke color="#000000" joinstyle="miter"/>
                <v:imagedata o:title=""/>
                <o:lock v:ext="edit" aspectratio="f"/>
                <v:textbox>
                  <w:txbxContent>
                    <w:p w14:paraId="4904B0AB">
                      <w:pPr>
                        <w:rPr>
                          <w:rFonts w:hint="default" w:eastAsia="宋体"/>
                          <w:sz w:val="20"/>
                          <w:szCs w:val="20"/>
                          <w:lang w:val="en-US" w:eastAsia="zh-CN"/>
                        </w:rPr>
                      </w:pPr>
                      <w:r>
                        <w:rPr>
                          <w:rFonts w:hint="eastAsia"/>
                          <w:sz w:val="20"/>
                          <w:szCs w:val="20"/>
                          <w:lang w:val="en-US" w:eastAsia="zh-CN"/>
                        </w:rPr>
                        <w:t>生产车间</w:t>
                      </w:r>
                    </w:p>
                  </w:txbxContent>
                </v:textbox>
              </v:shape>
            </w:pict>
          </mc:Fallback>
        </mc:AlternateContent>
      </w:r>
      <w:r>
        <w:rPr>
          <w:color w:val="auto"/>
          <w:sz w:val="24"/>
          <w:highlight w:val="none"/>
        </w:rPr>
        <mc:AlternateContent>
          <mc:Choice Requires="wps">
            <w:drawing>
              <wp:anchor distT="0" distB="0" distL="114300" distR="114300" simplePos="0" relativeHeight="251683840" behindDoc="0" locked="0" layoutInCell="1" allowOverlap="1">
                <wp:simplePos x="0" y="0"/>
                <wp:positionH relativeFrom="column">
                  <wp:posOffset>3519170</wp:posOffset>
                </wp:positionH>
                <wp:positionV relativeFrom="paragraph">
                  <wp:posOffset>1810385</wp:posOffset>
                </wp:positionV>
                <wp:extent cx="599440" cy="285750"/>
                <wp:effectExtent l="139700" t="4445" r="22860" b="319405"/>
                <wp:wrapNone/>
                <wp:docPr id="71" name="矩形标注 71"/>
                <wp:cNvGraphicFramePr/>
                <a:graphic xmlns:a="http://schemas.openxmlformats.org/drawingml/2006/main">
                  <a:graphicData uri="http://schemas.microsoft.com/office/word/2010/wordprocessingShape">
                    <wps:wsp>
                      <wps:cNvSpPr/>
                      <wps:spPr>
                        <a:xfrm>
                          <a:off x="0" y="0"/>
                          <a:ext cx="599440" cy="285750"/>
                        </a:xfrm>
                        <a:prstGeom prst="wedgeRectCallout">
                          <a:avLst>
                            <a:gd name="adj1" fmla="val -69067"/>
                            <a:gd name="adj2" fmla="val 151777"/>
                          </a:avLst>
                        </a:prstGeom>
                        <a:solidFill>
                          <a:srgbClr val="FCD5B5"/>
                        </a:solidFill>
                        <a:ln w="9525" cap="flat" cmpd="sng">
                          <a:solidFill>
                            <a:srgbClr val="000000"/>
                          </a:solidFill>
                          <a:prstDash val="solid"/>
                          <a:miter/>
                          <a:headEnd type="none" w="med" len="med"/>
                          <a:tailEnd type="none" w="med" len="med"/>
                        </a:ln>
                      </wps:spPr>
                      <wps:txbx>
                        <w:txbxContent>
                          <w:p w14:paraId="2ECB0F85">
                            <w:pPr>
                              <w:rPr>
                                <w:rFonts w:hint="default" w:eastAsia="宋体"/>
                                <w:sz w:val="20"/>
                                <w:szCs w:val="20"/>
                                <w:lang w:val="en-US" w:eastAsia="zh-CN"/>
                              </w:rPr>
                            </w:pPr>
                            <w:r>
                              <w:rPr>
                                <w:rFonts w:hint="eastAsia"/>
                                <w:sz w:val="20"/>
                                <w:szCs w:val="20"/>
                                <w:lang w:val="en-US" w:eastAsia="zh-CN"/>
                              </w:rPr>
                              <w:t>原料库</w:t>
                            </w:r>
                          </w:p>
                        </w:txbxContent>
                      </wps:txbx>
                      <wps:bodyPr upright="1"/>
                    </wps:wsp>
                  </a:graphicData>
                </a:graphic>
              </wp:anchor>
            </w:drawing>
          </mc:Choice>
          <mc:Fallback>
            <w:pict>
              <v:shape id="_x0000_s1026" o:spid="_x0000_s1026" o:spt="61" type="#_x0000_t61" style="position:absolute;left:0pt;margin-left:277.1pt;margin-top:142.55pt;height:22.5pt;width:47.2pt;z-index:251683840;mso-width-relative:page;mso-height-relative:page;" fillcolor="#FCD5B5" filled="t" stroked="t" coordsize="21600,21600" o:gfxdata="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T778EtoAAAALAQAADwAAAAAAAAABACAAAAAiAAAA&#10;ZHJzL2Rvd25yZXYueG1sUEsBAhQAFAAAAAgAh07iQDqHrpc+AgAAjwQAAA4AAAAAAAAAAQAgAAAA&#10;KQEAAGRycy9lMm9Eb2MueG1sUEsFBgAAAAAGAAYAWQEAANkFAAAAAA==&#10;" adj="-4118,43584">
                <v:fill on="t" focussize="0,0"/>
                <v:stroke color="#000000" joinstyle="miter"/>
                <v:imagedata o:title=""/>
                <o:lock v:ext="edit" aspectratio="f"/>
                <v:textbox>
                  <w:txbxContent>
                    <w:p w14:paraId="2ECB0F85">
                      <w:pPr>
                        <w:rPr>
                          <w:rFonts w:hint="default" w:eastAsia="宋体"/>
                          <w:sz w:val="20"/>
                          <w:szCs w:val="20"/>
                          <w:lang w:val="en-US" w:eastAsia="zh-CN"/>
                        </w:rPr>
                      </w:pPr>
                      <w:r>
                        <w:rPr>
                          <w:rFonts w:hint="eastAsia"/>
                          <w:sz w:val="20"/>
                          <w:szCs w:val="20"/>
                          <w:lang w:val="en-US" w:eastAsia="zh-CN"/>
                        </w:rPr>
                        <w:t>原料库</w:t>
                      </w:r>
                    </w:p>
                  </w:txbxContent>
                </v:textbox>
              </v:shape>
            </w:pict>
          </mc:Fallback>
        </mc:AlternateContent>
      </w:r>
      <w:r>
        <w:rPr>
          <w:sz w:val="24"/>
        </w:rPr>
        <mc:AlternateContent>
          <mc:Choice Requires="wps">
            <w:drawing>
              <wp:anchor distT="0" distB="0" distL="114300" distR="114300" simplePos="0" relativeHeight="251682816" behindDoc="0" locked="0" layoutInCell="1" allowOverlap="1">
                <wp:simplePos x="0" y="0"/>
                <wp:positionH relativeFrom="column">
                  <wp:posOffset>4613910</wp:posOffset>
                </wp:positionH>
                <wp:positionV relativeFrom="paragraph">
                  <wp:posOffset>560070</wp:posOffset>
                </wp:positionV>
                <wp:extent cx="496570" cy="314960"/>
                <wp:effectExtent l="0" t="0" r="17780" b="8890"/>
                <wp:wrapNone/>
                <wp:docPr id="70" name="文本框 70"/>
                <wp:cNvGraphicFramePr/>
                <a:graphic xmlns:a="http://schemas.openxmlformats.org/drawingml/2006/main">
                  <a:graphicData uri="http://schemas.microsoft.com/office/word/2010/wordprocessingShape">
                    <wps:wsp>
                      <wps:cNvSpPr txBox="1"/>
                      <wps:spPr>
                        <a:xfrm>
                          <a:off x="0" y="0"/>
                          <a:ext cx="496570" cy="314960"/>
                        </a:xfrm>
                        <a:prstGeom prst="rect">
                          <a:avLst/>
                        </a:prstGeom>
                        <a:solidFill>
                          <a:schemeClr val="bg1"/>
                        </a:solidFill>
                        <a:ln w="6350">
                          <a:noFill/>
                        </a:ln>
                      </wps:spPr>
                      <wps:style>
                        <a:lnRef idx="0">
                          <a:schemeClr val="accent1"/>
                        </a:lnRef>
                        <a:fillRef idx="0">
                          <a:schemeClr val="accent1"/>
                        </a:fillRef>
                        <a:effectRef idx="0">
                          <a:schemeClr val="accent1"/>
                        </a:effectRef>
                        <a:fontRef idx="minor">
                          <a:schemeClr val="dk1"/>
                        </a:fontRef>
                      </wps:style>
                      <wps:txbx>
                        <w:txbxContent>
                          <w:p w14:paraId="44716E78">
                            <w:pPr>
                              <w:rPr>
                                <w:rFonts w:hint="default" w:eastAsia="宋体"/>
                                <w:color w:val="auto"/>
                                <w:sz w:val="20"/>
                                <w:szCs w:val="20"/>
                                <w:highlight w:val="none"/>
                                <w:lang w:val="en-US" w:eastAsia="zh-CN"/>
                              </w:rPr>
                            </w:pPr>
                            <w:r>
                              <w:rPr>
                                <w:rFonts w:hint="eastAsia"/>
                                <w:color w:val="auto"/>
                                <w:sz w:val="20"/>
                                <w:szCs w:val="20"/>
                                <w:highlight w:val="none"/>
                                <w:lang w:val="en-US" w:eastAsia="zh-CN"/>
                              </w:rPr>
                              <w:t>空地</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63.3pt;margin-top:44.1pt;height:24.8pt;width:39.1pt;z-index:251682816;mso-width-relative:page;mso-height-relative:page;" fillcolor="#FFFFFF [3212]" filled="t" stroked="f" coordsize="21600,21600" o:gfxdata="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zrGYRdUAAAAKAQAADwAAAAAA&#10;AAABACAAAAAiAAAAZHJzL2Rvd25yZXYueG1sUEsBAhQAFAAAAAgAh07iQEcY5zZPAgAAkAQAAA4A&#10;AAAAAAAAAQAgAAAAJAEAAGRycy9lMm9Eb2MueG1sUEsFBgAAAAAGAAYAWQEAAOUFAAAAAA==&#10;">
                <v:fill on="t" focussize="0,0"/>
                <v:stroke on="f" weight="0.5pt"/>
                <v:imagedata o:title=""/>
                <o:lock v:ext="edit" aspectratio="f"/>
                <v:textbox>
                  <w:txbxContent>
                    <w:p w14:paraId="44716E78">
                      <w:pPr>
                        <w:rPr>
                          <w:rFonts w:hint="default" w:eastAsia="宋体"/>
                          <w:color w:val="auto"/>
                          <w:sz w:val="20"/>
                          <w:szCs w:val="20"/>
                          <w:highlight w:val="none"/>
                          <w:lang w:val="en-US" w:eastAsia="zh-CN"/>
                        </w:rPr>
                      </w:pPr>
                      <w:r>
                        <w:rPr>
                          <w:rFonts w:hint="eastAsia"/>
                          <w:color w:val="auto"/>
                          <w:sz w:val="20"/>
                          <w:szCs w:val="20"/>
                          <w:highlight w:val="none"/>
                          <w:lang w:val="en-US" w:eastAsia="zh-CN"/>
                        </w:rPr>
                        <w:t>空地</w:t>
                      </w:r>
                    </w:p>
                  </w:txbxContent>
                </v:textbox>
              </v:shape>
            </w:pict>
          </mc:Fallback>
        </mc:AlternateContent>
      </w:r>
      <w:r>
        <w:rPr>
          <w:sz w:val="24"/>
        </w:rPr>
        <mc:AlternateContent>
          <mc:Choice Requires="wps">
            <w:drawing>
              <wp:anchor distT="0" distB="0" distL="114300" distR="114300" simplePos="0" relativeHeight="251666432" behindDoc="0" locked="0" layoutInCell="1" allowOverlap="1">
                <wp:simplePos x="0" y="0"/>
                <wp:positionH relativeFrom="column">
                  <wp:posOffset>1194435</wp:posOffset>
                </wp:positionH>
                <wp:positionV relativeFrom="paragraph">
                  <wp:posOffset>1950720</wp:posOffset>
                </wp:positionV>
                <wp:extent cx="496570" cy="314960"/>
                <wp:effectExtent l="0" t="0" r="17780" b="8890"/>
                <wp:wrapNone/>
                <wp:docPr id="86" name="文本框 86"/>
                <wp:cNvGraphicFramePr/>
                <a:graphic xmlns:a="http://schemas.openxmlformats.org/drawingml/2006/main">
                  <a:graphicData uri="http://schemas.microsoft.com/office/word/2010/wordprocessingShape">
                    <wps:wsp>
                      <wps:cNvSpPr txBox="1"/>
                      <wps:spPr>
                        <a:xfrm>
                          <a:off x="0" y="0"/>
                          <a:ext cx="496570" cy="314960"/>
                        </a:xfrm>
                        <a:prstGeom prst="rect">
                          <a:avLst/>
                        </a:prstGeom>
                        <a:solidFill>
                          <a:schemeClr val="bg1"/>
                        </a:solidFill>
                        <a:ln w="6350">
                          <a:noFill/>
                        </a:ln>
                      </wps:spPr>
                      <wps:style>
                        <a:lnRef idx="0">
                          <a:schemeClr val="accent1"/>
                        </a:lnRef>
                        <a:fillRef idx="0">
                          <a:schemeClr val="accent1"/>
                        </a:fillRef>
                        <a:effectRef idx="0">
                          <a:schemeClr val="accent1"/>
                        </a:effectRef>
                        <a:fontRef idx="minor">
                          <a:schemeClr val="dk1"/>
                        </a:fontRef>
                      </wps:style>
                      <wps:txbx>
                        <w:txbxContent>
                          <w:p w14:paraId="03EA54BF">
                            <w:pPr>
                              <w:rPr>
                                <w:rFonts w:hint="default" w:eastAsia="宋体"/>
                                <w:color w:val="auto"/>
                                <w:sz w:val="20"/>
                                <w:szCs w:val="20"/>
                                <w:highlight w:val="none"/>
                                <w:lang w:val="en-US" w:eastAsia="zh-CN"/>
                              </w:rPr>
                            </w:pPr>
                            <w:r>
                              <w:rPr>
                                <w:rFonts w:hint="eastAsia"/>
                                <w:color w:val="auto"/>
                                <w:sz w:val="20"/>
                                <w:szCs w:val="20"/>
                                <w:highlight w:val="none"/>
                                <w:lang w:val="en-US" w:eastAsia="zh-CN"/>
                              </w:rPr>
                              <w:t>空地</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4.05pt;margin-top:153.6pt;height:24.8pt;width:39.1pt;z-index:251666432;mso-width-relative:page;mso-height-relative:page;" fillcolor="#FFFFFF [3212]" filled="t" stroked="f" coordsize="21600,21600" o:gfxdata="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DxkQ2d1gAAAAsBAAAPAAAA&#10;AAAAAAEAIAAAACIAAABkcnMvZG93bnJldi54bWxQSwECFAAUAAAACACHTuJAR4ER+VACAACQBAAA&#10;DgAAAAAAAAABACAAAAAlAQAAZHJzL2Uyb0RvYy54bWxQSwUGAAAAAAYABgBZAQAA5wUAAAAA&#10;">
                <v:fill on="t" focussize="0,0"/>
                <v:stroke on="f" weight="0.5pt"/>
                <v:imagedata o:title=""/>
                <o:lock v:ext="edit" aspectratio="f"/>
                <v:textbox>
                  <w:txbxContent>
                    <w:p w14:paraId="03EA54BF">
                      <w:pPr>
                        <w:rPr>
                          <w:rFonts w:hint="default" w:eastAsia="宋体"/>
                          <w:color w:val="auto"/>
                          <w:sz w:val="20"/>
                          <w:szCs w:val="20"/>
                          <w:highlight w:val="none"/>
                          <w:lang w:val="en-US" w:eastAsia="zh-CN"/>
                        </w:rPr>
                      </w:pPr>
                      <w:r>
                        <w:rPr>
                          <w:rFonts w:hint="eastAsia"/>
                          <w:color w:val="auto"/>
                          <w:sz w:val="20"/>
                          <w:szCs w:val="20"/>
                          <w:highlight w:val="none"/>
                          <w:lang w:val="en-US" w:eastAsia="zh-CN"/>
                        </w:rPr>
                        <w:t>空地</w:t>
                      </w:r>
                    </w:p>
                  </w:txbxContent>
                </v:textbox>
              </v:shape>
            </w:pict>
          </mc:Fallback>
        </mc:AlternateContent>
      </w:r>
      <w:r>
        <w:rPr>
          <w:color w:val="auto"/>
          <w:sz w:val="24"/>
          <w:highlight w:val="none"/>
        </w:rPr>
        <mc:AlternateContent>
          <mc:Choice Requires="wps">
            <w:drawing>
              <wp:anchor distT="0" distB="0" distL="114300" distR="114300" simplePos="0" relativeHeight="251671552" behindDoc="0" locked="0" layoutInCell="1" allowOverlap="1">
                <wp:simplePos x="0" y="0"/>
                <wp:positionH relativeFrom="column">
                  <wp:posOffset>1271905</wp:posOffset>
                </wp:positionH>
                <wp:positionV relativeFrom="paragraph">
                  <wp:posOffset>544195</wp:posOffset>
                </wp:positionV>
                <wp:extent cx="1313180" cy="523240"/>
                <wp:effectExtent l="4445" t="5080" r="815975" b="195580"/>
                <wp:wrapNone/>
                <wp:docPr id="56" name="矩形标注 56"/>
                <wp:cNvGraphicFramePr/>
                <a:graphic xmlns:a="http://schemas.openxmlformats.org/drawingml/2006/main">
                  <a:graphicData uri="http://schemas.microsoft.com/office/word/2010/wordprocessingShape">
                    <wps:wsp>
                      <wps:cNvSpPr/>
                      <wps:spPr>
                        <a:xfrm>
                          <a:off x="0" y="0"/>
                          <a:ext cx="1313180" cy="523240"/>
                        </a:xfrm>
                        <a:prstGeom prst="wedgeRectCallout">
                          <a:avLst>
                            <a:gd name="adj1" fmla="val 108317"/>
                            <a:gd name="adj2" fmla="val 81067"/>
                          </a:avLst>
                        </a:prstGeom>
                        <a:solidFill>
                          <a:srgbClr val="FFFF00"/>
                        </a:solidFill>
                        <a:ln w="9525" cap="flat" cmpd="sng">
                          <a:solidFill>
                            <a:srgbClr val="000000"/>
                          </a:solidFill>
                          <a:prstDash val="solid"/>
                          <a:miter/>
                          <a:headEnd type="none" w="med" len="med"/>
                          <a:tailEnd type="none" w="med" len="med"/>
                        </a:ln>
                      </wps:spPr>
                      <wps:txbx>
                        <w:txbxContent>
                          <w:p w14:paraId="3E747DA4">
                            <w:pPr>
                              <w:rPr>
                                <w:rFonts w:hint="default"/>
                                <w:sz w:val="22"/>
                                <w:szCs w:val="22"/>
                                <w:lang w:val="en-US" w:eastAsia="zh-CN"/>
                              </w:rPr>
                            </w:pPr>
                            <w:r>
                              <w:rPr>
                                <w:rFonts w:hint="default"/>
                                <w:sz w:val="22"/>
                                <w:szCs w:val="22"/>
                                <w:lang w:val="en-US" w:eastAsia="zh-CN"/>
                              </w:rPr>
                              <w:t>正蓝旗上都华欣能源有限责任公司</w:t>
                            </w:r>
                          </w:p>
                        </w:txbxContent>
                      </wps:txbx>
                      <wps:bodyPr upright="1"/>
                    </wps:wsp>
                  </a:graphicData>
                </a:graphic>
              </wp:anchor>
            </w:drawing>
          </mc:Choice>
          <mc:Fallback>
            <w:pict>
              <v:shape id="_x0000_s1026" o:spid="_x0000_s1026" o:spt="61" type="#_x0000_t61" style="position:absolute;left:0pt;margin-left:100.15pt;margin-top:42.85pt;height:41.2pt;width:103.4pt;z-index:251671552;mso-width-relative:page;mso-height-relative:page;" fillcolor="#FFFF00" filled="t" stroked="t" coordsize="21600,21600" o:gfxdata="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kz3VztcAAAAKAQAADwAAAAAAAAABACAAAAAiAAAAZHJzL2Rv&#10;d25yZXYueG1sUEsBAhQAFAAAAAgAh07iQHh5StE7AgAAjwQAAA4AAAAAAAAAAQAgAAAAJgEAAGRy&#10;cy9lMm9Eb2MueG1sUEsFBgAAAAAGAAYAWQEAANMFAAAAAA==&#10;" adj="34196,28310">
                <v:fill on="t" focussize="0,0"/>
                <v:stroke color="#000000" joinstyle="miter"/>
                <v:imagedata o:title=""/>
                <o:lock v:ext="edit" aspectratio="f"/>
                <v:textbox>
                  <w:txbxContent>
                    <w:p w14:paraId="3E747DA4">
                      <w:pPr>
                        <w:rPr>
                          <w:rFonts w:hint="default"/>
                          <w:sz w:val="22"/>
                          <w:szCs w:val="22"/>
                          <w:lang w:val="en-US" w:eastAsia="zh-CN"/>
                        </w:rPr>
                      </w:pPr>
                      <w:r>
                        <w:rPr>
                          <w:rFonts w:hint="default"/>
                          <w:sz w:val="22"/>
                          <w:szCs w:val="22"/>
                          <w:lang w:val="en-US" w:eastAsia="zh-CN"/>
                        </w:rPr>
                        <w:t>正蓝旗上都华欣能源有限责任公司</w:t>
                      </w:r>
                    </w:p>
                  </w:txbxContent>
                </v:textbox>
              </v:shape>
            </w:pict>
          </mc:Fallback>
        </mc:AlternateContent>
      </w:r>
      <w:r>
        <w:rPr>
          <w:sz w:val="24"/>
          <w:highlight w:val="yellow"/>
        </w:rPr>
        <w:drawing>
          <wp:anchor distT="0" distB="0" distL="114300" distR="114300" simplePos="0" relativeHeight="251663360" behindDoc="0" locked="0" layoutInCell="1" allowOverlap="1">
            <wp:simplePos x="0" y="0"/>
            <wp:positionH relativeFrom="column">
              <wp:posOffset>7091680</wp:posOffset>
            </wp:positionH>
            <wp:positionV relativeFrom="margin">
              <wp:posOffset>38735</wp:posOffset>
            </wp:positionV>
            <wp:extent cx="807085" cy="807085"/>
            <wp:effectExtent l="0" t="0" r="12065" b="12065"/>
            <wp:wrapNone/>
            <wp:docPr id="18" name="图片 2" descr="32313538393032313b32313538383439383bd6b8b1b1d5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descr="32313538393032313b32313538383439383bd6b8b1b1d5eb"/>
                    <pic:cNvPicPr>
                      <a:picLocks noChangeAspect="1"/>
                    </pic:cNvPicPr>
                  </pic:nvPicPr>
                  <pic:blipFill>
                    <a:blip r:embed="rId27"/>
                    <a:stretch>
                      <a:fillRect/>
                    </a:stretch>
                  </pic:blipFill>
                  <pic:spPr>
                    <a:xfrm>
                      <a:off x="0" y="0"/>
                      <a:ext cx="807085" cy="807085"/>
                    </a:xfrm>
                    <a:prstGeom prst="rect">
                      <a:avLst/>
                    </a:prstGeom>
                    <a:noFill/>
                    <a:ln>
                      <a:noFill/>
                    </a:ln>
                  </pic:spPr>
                </pic:pic>
              </a:graphicData>
            </a:graphic>
          </wp:anchor>
        </w:drawing>
      </w:r>
      <w:r>
        <w:drawing>
          <wp:inline distT="0" distB="0" distL="114300" distR="114300">
            <wp:extent cx="7308850" cy="4888230"/>
            <wp:effectExtent l="0" t="0" r="6350" b="7620"/>
            <wp:docPr id="6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4"/>
                    <pic:cNvPicPr>
                      <a:picLocks noChangeAspect="1"/>
                    </pic:cNvPicPr>
                  </pic:nvPicPr>
                  <pic:blipFill>
                    <a:blip r:embed="rId30"/>
                    <a:stretch>
                      <a:fillRect/>
                    </a:stretch>
                  </pic:blipFill>
                  <pic:spPr>
                    <a:xfrm>
                      <a:off x="0" y="0"/>
                      <a:ext cx="7308850" cy="4888230"/>
                    </a:xfrm>
                    <a:prstGeom prst="rect">
                      <a:avLst/>
                    </a:prstGeom>
                    <a:noFill/>
                    <a:ln>
                      <a:noFill/>
                    </a:ln>
                  </pic:spPr>
                </pic:pic>
              </a:graphicData>
            </a:graphic>
          </wp:inline>
        </w:drawing>
      </w:r>
    </w:p>
    <w:p w14:paraId="34738C9B">
      <w:pPr>
        <w:pStyle w:val="22"/>
        <w:ind w:left="0" w:leftChars="0" w:firstLine="0" w:firstLineChars="0"/>
        <w:jc w:val="center"/>
        <w:outlineLvl w:val="0"/>
        <w:rPr>
          <w:rFonts w:hint="default" w:ascii="Times New Roman" w:hAnsi="Times New Roman" w:cs="Times New Roman"/>
          <w:b/>
          <w:bCs/>
          <w:highlight w:val="none"/>
          <w:lang w:val="en-US" w:eastAsia="zh-CN"/>
        </w:rPr>
      </w:pPr>
      <w:r>
        <w:rPr>
          <w:rFonts w:hint="default" w:ascii="Times New Roman" w:hAnsi="Times New Roman" w:cs="Times New Roman"/>
          <w:b/>
          <w:bCs/>
          <w:highlight w:val="none"/>
          <w:lang w:val="en-US" w:eastAsia="zh-CN"/>
        </w:rPr>
        <w:t xml:space="preserve">附图4 </w:t>
      </w:r>
      <w:r>
        <w:rPr>
          <w:rFonts w:hint="eastAsia" w:ascii="Times New Roman" w:hAnsi="Times New Roman" w:cs="Times New Roman"/>
          <w:b/>
          <w:bCs/>
          <w:highlight w:val="none"/>
          <w:lang w:val="en-US" w:eastAsia="zh-CN"/>
        </w:rPr>
        <w:t xml:space="preserve"> </w:t>
      </w:r>
      <w:r>
        <w:rPr>
          <w:rFonts w:hint="default" w:ascii="Times New Roman" w:hAnsi="Times New Roman" w:cs="Times New Roman"/>
          <w:b/>
          <w:bCs/>
          <w:highlight w:val="none"/>
          <w:lang w:val="en-US" w:eastAsia="zh-CN"/>
        </w:rPr>
        <w:t xml:space="preserve">周边关系图 </w:t>
      </w:r>
      <w:r>
        <w:rPr>
          <w:rFonts w:hint="eastAsia" w:ascii="Times New Roman" w:hAnsi="Times New Roman" w:cs="Times New Roman"/>
          <w:b/>
          <w:bCs/>
          <w:highlight w:val="none"/>
          <w:lang w:val="en-US" w:eastAsia="zh-CN"/>
        </w:rPr>
        <w:t xml:space="preserve"> </w:t>
      </w:r>
      <w:r>
        <w:rPr>
          <w:rFonts w:hint="default" w:ascii="Times New Roman" w:hAnsi="Times New Roman" w:cs="Times New Roman"/>
          <w:b/>
          <w:bCs/>
          <w:highlight w:val="none"/>
          <w:lang w:val="en-US" w:eastAsia="zh-CN"/>
        </w:rPr>
        <w:t>比例尺1</w:t>
      </w:r>
      <w:r>
        <w:rPr>
          <w:rFonts w:hint="eastAsia" w:ascii="Times New Roman" w:hAnsi="Times New Roman" w:cs="Times New Roman"/>
          <w:b/>
          <w:bCs/>
          <w:highlight w:val="none"/>
          <w:lang w:val="en-US" w:eastAsia="zh-CN"/>
        </w:rPr>
        <w:t>:18000</w:t>
      </w:r>
    </w:p>
    <w:p w14:paraId="67937BB6">
      <w:pPr>
        <w:pStyle w:val="8"/>
        <w:ind w:left="0" w:leftChars="0" w:firstLine="0" w:firstLineChars="0"/>
        <w:jc w:val="center"/>
      </w:pPr>
      <w:r>
        <w:drawing>
          <wp:inline distT="0" distB="0" distL="114300" distR="114300">
            <wp:extent cx="8522335" cy="5138420"/>
            <wp:effectExtent l="0" t="0" r="12065" b="5080"/>
            <wp:docPr id="6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2"/>
                    <pic:cNvPicPr>
                      <a:picLocks noChangeAspect="1"/>
                    </pic:cNvPicPr>
                  </pic:nvPicPr>
                  <pic:blipFill>
                    <a:blip r:embed="rId31"/>
                    <a:stretch>
                      <a:fillRect/>
                    </a:stretch>
                  </pic:blipFill>
                  <pic:spPr>
                    <a:xfrm>
                      <a:off x="0" y="0"/>
                      <a:ext cx="8522335" cy="5138420"/>
                    </a:xfrm>
                    <a:prstGeom prst="rect">
                      <a:avLst/>
                    </a:prstGeom>
                    <a:noFill/>
                    <a:ln>
                      <a:noFill/>
                    </a:ln>
                  </pic:spPr>
                </pic:pic>
              </a:graphicData>
            </a:graphic>
          </wp:inline>
        </w:drawing>
      </w:r>
    </w:p>
    <w:p w14:paraId="7825DD85">
      <w:pPr>
        <w:pStyle w:val="22"/>
        <w:ind w:left="0" w:leftChars="0" w:firstLine="0" w:firstLineChars="0"/>
        <w:jc w:val="center"/>
        <w:outlineLvl w:val="0"/>
        <w:rPr>
          <w:rFonts w:hint="default" w:ascii="Times New Roman" w:hAnsi="Times New Roman" w:eastAsia="宋体" w:cs="Times New Roman"/>
          <w:b/>
          <w:bCs/>
          <w:lang w:val="en-US" w:eastAsia="zh-CN"/>
        </w:rPr>
      </w:pPr>
      <w:r>
        <w:rPr>
          <w:rFonts w:hint="eastAsia" w:ascii="Times New Roman" w:hAnsi="Times New Roman" w:eastAsia="宋体" w:cs="Times New Roman"/>
          <w:b/>
          <w:bCs/>
          <w:lang w:val="en-US" w:eastAsia="zh-CN"/>
        </w:rPr>
        <w:t>附图5  生态环境准入清单符合图</w:t>
      </w:r>
    </w:p>
    <w:p w14:paraId="1023D3F5">
      <w:pPr>
        <w:pStyle w:val="2"/>
        <w:sectPr>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14:paraId="55A893CB">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pPr>
      <w:r>
        <w:rPr>
          <w:color w:val="auto"/>
          <w:sz w:val="24"/>
          <w:highlight w:val="none"/>
        </w:rPr>
        <mc:AlternateContent>
          <mc:Choice Requires="wps">
            <w:drawing>
              <wp:anchor distT="0" distB="0" distL="114300" distR="114300" simplePos="0" relativeHeight="251688960" behindDoc="0" locked="0" layoutInCell="1" allowOverlap="1">
                <wp:simplePos x="0" y="0"/>
                <wp:positionH relativeFrom="column">
                  <wp:posOffset>4204970</wp:posOffset>
                </wp:positionH>
                <wp:positionV relativeFrom="paragraph">
                  <wp:posOffset>3639185</wp:posOffset>
                </wp:positionV>
                <wp:extent cx="599440" cy="342900"/>
                <wp:effectExtent l="684530" t="4445" r="11430" b="128905"/>
                <wp:wrapNone/>
                <wp:docPr id="59" name="矩形标注 59"/>
                <wp:cNvGraphicFramePr/>
                <a:graphic xmlns:a="http://schemas.openxmlformats.org/drawingml/2006/main">
                  <a:graphicData uri="http://schemas.microsoft.com/office/word/2010/wordprocessingShape">
                    <wps:wsp>
                      <wps:cNvSpPr/>
                      <wps:spPr>
                        <a:xfrm>
                          <a:off x="0" y="0"/>
                          <a:ext cx="599440" cy="342900"/>
                        </a:xfrm>
                        <a:prstGeom prst="wedgeRectCallout">
                          <a:avLst>
                            <a:gd name="adj1" fmla="val -158050"/>
                            <a:gd name="adj2" fmla="val 81296"/>
                          </a:avLst>
                        </a:prstGeom>
                        <a:solidFill>
                          <a:srgbClr val="FF0000"/>
                        </a:solidFill>
                        <a:ln w="9525" cap="flat" cmpd="sng">
                          <a:solidFill>
                            <a:srgbClr val="000000"/>
                          </a:solidFill>
                          <a:prstDash val="solid"/>
                          <a:miter/>
                          <a:headEnd type="none" w="med" len="med"/>
                          <a:tailEnd type="none" w="med" len="med"/>
                        </a:ln>
                      </wps:spPr>
                      <wps:txbx>
                        <w:txbxContent>
                          <w:p w14:paraId="6B905D54">
                            <w:pPr>
                              <w:rPr>
                                <w:rFonts w:hint="default" w:eastAsia="宋体"/>
                                <w:sz w:val="20"/>
                                <w:szCs w:val="20"/>
                                <w:lang w:val="en-US" w:eastAsia="zh-CN"/>
                              </w:rPr>
                            </w:pPr>
                            <w:r>
                              <w:rPr>
                                <w:rFonts w:hint="eastAsia"/>
                                <w:sz w:val="20"/>
                                <w:szCs w:val="20"/>
                                <w:lang w:val="en-US" w:eastAsia="zh-CN"/>
                              </w:rPr>
                              <w:t>本项目</w:t>
                            </w:r>
                          </w:p>
                        </w:txbxContent>
                      </wps:txbx>
                      <wps:bodyPr upright="1"/>
                    </wps:wsp>
                  </a:graphicData>
                </a:graphic>
              </wp:anchor>
            </w:drawing>
          </mc:Choice>
          <mc:Fallback>
            <w:pict>
              <v:shape id="_x0000_s1026" o:spid="_x0000_s1026" o:spt="61" type="#_x0000_t61" style="position:absolute;left:0pt;margin-left:331.1pt;margin-top:286.55pt;height:27pt;width:47.2pt;z-index:251688960;mso-width-relative:page;mso-height-relative:page;" fillcolor="#FF0000" filled="t" stroked="t" coordsize="21600,21600" o:gfxdata="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&#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DsoCFHZAAAACwEAAA8AAAAAAAAAAQAgAAAAIgAAAGRy&#10;cy9kb3ducmV2LnhtbFBLAQIUABQAAAAIAIdO4kAOU2ruPQIAAI8EAAAOAAAAAAAAAAEAIAAAACgB&#10;AABkcnMvZTJvRG9jLnhtbFBLBQYAAAAABgAGAFkBAADXBQAAAAA=&#10;" adj="-23339,28360">
                <v:fill on="t" focussize="0,0"/>
                <v:stroke color="#000000" joinstyle="miter"/>
                <v:imagedata o:title=""/>
                <o:lock v:ext="edit" aspectratio="f"/>
                <v:textbox>
                  <w:txbxContent>
                    <w:p w14:paraId="6B905D54">
                      <w:pPr>
                        <w:rPr>
                          <w:rFonts w:hint="default" w:eastAsia="宋体"/>
                          <w:sz w:val="20"/>
                          <w:szCs w:val="20"/>
                          <w:lang w:val="en-US" w:eastAsia="zh-CN"/>
                        </w:rPr>
                      </w:pPr>
                      <w:r>
                        <w:rPr>
                          <w:rFonts w:hint="eastAsia"/>
                          <w:sz w:val="20"/>
                          <w:szCs w:val="20"/>
                          <w:lang w:val="en-US" w:eastAsia="zh-CN"/>
                        </w:rPr>
                        <w:t>本项目</w:t>
                      </w:r>
                    </w:p>
                  </w:txbxContent>
                </v:textbox>
              </v:shape>
            </w:pict>
          </mc:Fallback>
        </mc:AlternateContent>
      </w:r>
      <w:r>
        <w:drawing>
          <wp:inline distT="0" distB="0" distL="114300" distR="114300">
            <wp:extent cx="7227570" cy="4916170"/>
            <wp:effectExtent l="0" t="0" r="11430" b="17780"/>
            <wp:docPr id="5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
                    <pic:cNvPicPr>
                      <a:picLocks noChangeAspect="1"/>
                    </pic:cNvPicPr>
                  </pic:nvPicPr>
                  <pic:blipFill>
                    <a:blip r:embed="rId32"/>
                    <a:stretch>
                      <a:fillRect/>
                    </a:stretch>
                  </pic:blipFill>
                  <pic:spPr>
                    <a:xfrm>
                      <a:off x="0" y="0"/>
                      <a:ext cx="7227570" cy="4916170"/>
                    </a:xfrm>
                    <a:prstGeom prst="rect">
                      <a:avLst/>
                    </a:prstGeom>
                    <a:noFill/>
                    <a:ln>
                      <a:noFill/>
                    </a:ln>
                  </pic:spPr>
                </pic:pic>
              </a:graphicData>
            </a:graphic>
          </wp:inline>
        </w:drawing>
      </w:r>
    </w:p>
    <w:p w14:paraId="0502C4EA">
      <w:pPr>
        <w:pStyle w:val="2"/>
        <w:ind w:left="0" w:leftChars="0" w:firstLine="0" w:firstLineChars="0"/>
        <w:jc w:val="center"/>
        <w:outlineLvl w:val="0"/>
        <w:rPr>
          <w:rFonts w:hint="eastAsia" w:ascii="Times New Roman" w:hAnsi="Times New Roman" w:eastAsia="宋体" w:cs="Times New Roman"/>
          <w:b/>
          <w:bCs/>
          <w:color w:val="auto"/>
          <w:kern w:val="2"/>
          <w:sz w:val="24"/>
          <w:szCs w:val="24"/>
          <w:lang w:val="en-US" w:eastAsia="zh-CN" w:bidi="ar-SA"/>
        </w:rPr>
      </w:pPr>
      <w:r>
        <w:rPr>
          <w:rFonts w:hint="eastAsia" w:ascii="Times New Roman" w:hAnsi="Times New Roman" w:eastAsia="宋体" w:cs="Times New Roman"/>
          <w:b/>
          <w:bCs/>
          <w:color w:val="auto"/>
          <w:kern w:val="2"/>
          <w:sz w:val="24"/>
          <w:szCs w:val="24"/>
          <w:lang w:val="en-US" w:eastAsia="zh-CN" w:bidi="ar-SA"/>
        </w:rPr>
        <w:t>附图</w:t>
      </w:r>
      <w:r>
        <w:rPr>
          <w:rFonts w:hint="eastAsia" w:ascii="Times New Roman" w:hAnsi="Times New Roman" w:cs="Times New Roman"/>
          <w:b/>
          <w:bCs/>
          <w:color w:val="auto"/>
          <w:kern w:val="2"/>
          <w:sz w:val="24"/>
          <w:szCs w:val="24"/>
          <w:lang w:val="en-US" w:eastAsia="zh-CN" w:bidi="ar-SA"/>
        </w:rPr>
        <w:t>6</w:t>
      </w:r>
      <w:r>
        <w:rPr>
          <w:rFonts w:hint="eastAsia" w:ascii="Times New Roman" w:hAnsi="Times New Roman" w:eastAsia="宋体" w:cs="Times New Roman"/>
          <w:b/>
          <w:bCs/>
          <w:color w:val="auto"/>
          <w:kern w:val="2"/>
          <w:sz w:val="24"/>
          <w:szCs w:val="24"/>
          <w:lang w:val="en-US" w:eastAsia="zh-CN" w:bidi="ar-SA"/>
        </w:rPr>
        <w:t xml:space="preserve">  生态</w:t>
      </w:r>
      <w:r>
        <w:rPr>
          <w:rFonts w:hint="eastAsia" w:ascii="Times New Roman" w:hAnsi="Times New Roman" w:cs="Times New Roman"/>
          <w:b/>
          <w:bCs/>
          <w:color w:val="auto"/>
          <w:kern w:val="2"/>
          <w:sz w:val="24"/>
          <w:szCs w:val="24"/>
          <w:lang w:val="en-US" w:eastAsia="zh-CN" w:bidi="ar-SA"/>
        </w:rPr>
        <w:t>保护红线位置关系</w:t>
      </w:r>
      <w:r>
        <w:rPr>
          <w:rFonts w:hint="eastAsia" w:ascii="Times New Roman" w:hAnsi="Times New Roman" w:eastAsia="宋体" w:cs="Times New Roman"/>
          <w:b/>
          <w:bCs/>
          <w:color w:val="auto"/>
          <w:kern w:val="2"/>
          <w:sz w:val="24"/>
          <w:szCs w:val="24"/>
          <w:lang w:val="en-US" w:eastAsia="zh-CN" w:bidi="ar-SA"/>
        </w:rPr>
        <w:t>图</w:t>
      </w:r>
    </w:p>
    <w:p w14:paraId="6E9D4DB7">
      <w:pPr>
        <w:pStyle w:val="2"/>
        <w:ind w:left="0" w:leftChars="0" w:firstLine="0" w:firstLineChars="0"/>
        <w:sectPr>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14:paraId="2E55D509">
      <w:pPr>
        <w:pStyle w:val="38"/>
        <w:jc w:val="both"/>
        <w:outlineLvl w:val="0"/>
        <w:rPr>
          <w:rFonts w:hint="default"/>
          <w:lang w:eastAsia="zh-CN"/>
        </w:rPr>
      </w:pPr>
      <w:r>
        <w:rPr>
          <w:rFonts w:hint="eastAsia" w:ascii="Times New Roman" w:hAnsi="Times New Roman" w:eastAsia="宋体" w:cs="Times New Roman"/>
          <w:b/>
          <w:bCs/>
          <w:color w:val="auto"/>
          <w:sz w:val="28"/>
          <w:szCs w:val="28"/>
          <w:highlight w:val="none"/>
          <w:lang w:val="en-US" w:eastAsia="zh-CN"/>
        </w:rPr>
        <w:t>附件1  委托函</w:t>
      </w:r>
    </w:p>
    <w:p w14:paraId="0D880D03">
      <w:pPr>
        <w:pStyle w:val="8"/>
        <w:ind w:left="0" w:leftChars="0" w:firstLine="0" w:firstLineChars="0"/>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drawing>
          <wp:inline distT="0" distB="0" distL="114300" distR="114300">
            <wp:extent cx="5562600" cy="7934325"/>
            <wp:effectExtent l="0" t="0" r="0" b="9525"/>
            <wp:docPr id="8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7"/>
                    <pic:cNvPicPr>
                      <a:picLocks noChangeAspect="1"/>
                    </pic:cNvPicPr>
                  </pic:nvPicPr>
                  <pic:blipFill>
                    <a:blip r:embed="rId33"/>
                    <a:stretch>
                      <a:fillRect/>
                    </a:stretch>
                  </pic:blipFill>
                  <pic:spPr>
                    <a:xfrm>
                      <a:off x="0" y="0"/>
                      <a:ext cx="5562600" cy="7934325"/>
                    </a:xfrm>
                    <a:prstGeom prst="rect">
                      <a:avLst/>
                    </a:prstGeom>
                    <a:noFill/>
                    <a:ln>
                      <a:noFill/>
                    </a:ln>
                  </pic:spPr>
                </pic:pic>
              </a:graphicData>
            </a:graphic>
          </wp:inline>
        </w:drawing>
      </w:r>
    </w:p>
    <w:p w14:paraId="79876198">
      <w:pPr>
        <w:pStyle w:val="23"/>
        <w:ind w:left="0" w:leftChars="0" w:firstLine="0" w:firstLineChars="0"/>
        <w:outlineLvl w:val="0"/>
        <w:rPr>
          <w:rFonts w:hint="default" w:ascii="Times New Roman" w:hAnsi="Times New Roman" w:eastAsia="宋体" w:cs="Times New Roman"/>
          <w:b/>
          <w:bCs/>
          <w:highlight w:val="none"/>
          <w:lang w:val="en-US" w:eastAsia="zh-CN"/>
        </w:rPr>
      </w:pPr>
      <w:r>
        <w:rPr>
          <w:rFonts w:hint="default" w:ascii="Times New Roman" w:hAnsi="Times New Roman" w:cs="Times New Roman"/>
          <w:b/>
          <w:bCs/>
          <w:highlight w:val="none"/>
          <w:lang w:val="en-US" w:eastAsia="zh-CN"/>
        </w:rPr>
        <w:t xml:space="preserve">附件2 </w:t>
      </w:r>
      <w:r>
        <w:rPr>
          <w:rFonts w:hint="eastAsia" w:ascii="Times New Roman" w:hAnsi="Times New Roman" w:cs="Times New Roman"/>
          <w:b/>
          <w:bCs/>
          <w:highlight w:val="none"/>
          <w:lang w:val="en-US" w:eastAsia="zh-CN"/>
        </w:rPr>
        <w:t xml:space="preserve"> </w:t>
      </w:r>
      <w:r>
        <w:rPr>
          <w:rFonts w:hint="default" w:ascii="Times New Roman" w:hAnsi="Times New Roman" w:cs="Times New Roman"/>
          <w:b/>
          <w:bCs/>
          <w:highlight w:val="none"/>
          <w:lang w:val="en-US" w:eastAsia="zh-CN"/>
        </w:rPr>
        <w:t>营业执照</w:t>
      </w:r>
    </w:p>
    <w:p w14:paraId="0FE05830">
      <w:pPr>
        <w:pStyle w:val="23"/>
        <w:ind w:left="0" w:leftChars="0" w:firstLine="0" w:firstLineChars="0"/>
        <w:jc w:val="center"/>
        <w:rPr>
          <w:rFonts w:hint="default"/>
          <w:highlight w:val="yellow"/>
          <w:lang w:val="en-US" w:eastAsia="zh-CN"/>
        </w:rPr>
        <w:sectPr>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rPr>
          <w:rFonts w:hint="eastAsia"/>
          <w:highlight w:val="none"/>
          <w:lang w:val="en-US" w:eastAsia="zh-CN"/>
        </w:rPr>
        <w:drawing>
          <wp:inline distT="0" distB="0" distL="114300" distR="114300">
            <wp:extent cx="5027930" cy="6875780"/>
            <wp:effectExtent l="0" t="0" r="1270" b="1270"/>
            <wp:docPr id="10" name="图片 10" descr="营业执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营业执照"/>
                    <pic:cNvPicPr>
                      <a:picLocks noChangeAspect="1"/>
                    </pic:cNvPicPr>
                  </pic:nvPicPr>
                  <pic:blipFill>
                    <a:blip r:embed="rId34"/>
                    <a:stretch>
                      <a:fillRect/>
                    </a:stretch>
                  </pic:blipFill>
                  <pic:spPr>
                    <a:xfrm rot="16200000">
                      <a:off x="0" y="0"/>
                      <a:ext cx="5027930" cy="6875780"/>
                    </a:xfrm>
                    <a:prstGeom prst="rect">
                      <a:avLst/>
                    </a:prstGeom>
                  </pic:spPr>
                </pic:pic>
              </a:graphicData>
            </a:graphic>
          </wp:inline>
        </w:drawing>
      </w:r>
      <w:r>
        <w:rPr>
          <w:rFonts w:hint="eastAsia"/>
          <w:highlight w:val="none"/>
          <w:lang w:val="en-US" w:eastAsia="zh-CN"/>
        </w:rPr>
        <w:t>.</w:t>
      </w:r>
    </w:p>
    <w:p w14:paraId="183116E5">
      <w:pPr>
        <w:pStyle w:val="22"/>
        <w:ind w:left="0" w:leftChars="0" w:firstLine="0" w:firstLineChars="0"/>
        <w:outlineLvl w:val="0"/>
        <w:rPr>
          <w:rFonts w:hint="default" w:ascii="Times New Roman" w:hAnsi="Times New Roman" w:cs="Times New Roman"/>
          <w:b/>
          <w:bCs/>
          <w:highlight w:val="none"/>
          <w:lang w:val="en-US" w:eastAsia="zh-CN"/>
        </w:rPr>
      </w:pPr>
      <w:r>
        <w:rPr>
          <w:rFonts w:hint="default" w:ascii="Times New Roman" w:hAnsi="Times New Roman" w:cs="Times New Roman"/>
          <w:b/>
          <w:bCs/>
          <w:highlight w:val="none"/>
          <w:lang w:val="en-US" w:eastAsia="zh-CN"/>
        </w:rPr>
        <w:t xml:space="preserve">附件3 </w:t>
      </w:r>
      <w:r>
        <w:rPr>
          <w:rFonts w:hint="eastAsia" w:ascii="Times New Roman" w:hAnsi="Times New Roman" w:cs="Times New Roman"/>
          <w:b/>
          <w:bCs/>
          <w:highlight w:val="none"/>
          <w:lang w:val="en-US" w:eastAsia="zh-CN"/>
        </w:rPr>
        <w:t xml:space="preserve"> 项目备案告知书</w:t>
      </w:r>
    </w:p>
    <w:p w14:paraId="0ECAC933">
      <w:pPr>
        <w:jc w:val="both"/>
        <w:rPr>
          <w:rFonts w:hint="eastAsia" w:eastAsia="宋体"/>
          <w:highlight w:val="none"/>
          <w:lang w:eastAsia="zh-CN"/>
        </w:rPr>
      </w:pPr>
      <w:r>
        <w:rPr>
          <w:rFonts w:hint="eastAsia" w:eastAsia="宋体"/>
          <w:highlight w:val="none"/>
          <w:lang w:eastAsia="zh-CN"/>
        </w:rPr>
        <w:drawing>
          <wp:inline distT="0" distB="0" distL="114300" distR="114300">
            <wp:extent cx="5612130" cy="8016875"/>
            <wp:effectExtent l="0" t="0" r="7620" b="3175"/>
            <wp:docPr id="12" name="图片 12" descr="项目备案告知书"/>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项目备案告知书"/>
                    <pic:cNvPicPr>
                      <a:picLocks noChangeAspect="1"/>
                    </pic:cNvPicPr>
                  </pic:nvPicPr>
                  <pic:blipFill>
                    <a:blip r:embed="rId35"/>
                    <a:stretch>
                      <a:fillRect/>
                    </a:stretch>
                  </pic:blipFill>
                  <pic:spPr>
                    <a:xfrm>
                      <a:off x="0" y="0"/>
                      <a:ext cx="5612130" cy="8016875"/>
                    </a:xfrm>
                    <a:prstGeom prst="rect">
                      <a:avLst/>
                    </a:prstGeom>
                  </pic:spPr>
                </pic:pic>
              </a:graphicData>
            </a:graphic>
          </wp:inline>
        </w:drawing>
      </w:r>
    </w:p>
    <w:p w14:paraId="65AA173D">
      <w:pPr>
        <w:rPr>
          <w:highlight w:val="none"/>
        </w:rPr>
      </w:pPr>
      <w:r>
        <w:rPr>
          <w:highlight w:val="none"/>
        </w:rPr>
        <w:br w:type="page"/>
      </w:r>
    </w:p>
    <w:p w14:paraId="790E9712">
      <w:pPr>
        <w:pStyle w:val="22"/>
        <w:ind w:left="0" w:leftChars="0" w:firstLine="0" w:firstLineChars="0"/>
        <w:outlineLvl w:val="0"/>
        <w:rPr>
          <w:rFonts w:hint="default" w:ascii="Times New Roman" w:hAnsi="Times New Roman" w:cs="Times New Roman"/>
          <w:b/>
          <w:bCs/>
          <w:highlight w:val="none"/>
          <w:lang w:val="en-US" w:eastAsia="zh-CN"/>
        </w:rPr>
      </w:pPr>
      <w:r>
        <w:rPr>
          <w:rFonts w:hint="default" w:ascii="Times New Roman" w:hAnsi="Times New Roman" w:eastAsia="宋体" w:cs="Times New Roman"/>
          <w:b/>
          <w:bCs/>
          <w:highlight w:val="none"/>
          <w:lang w:val="en-US" w:eastAsia="zh-CN"/>
        </w:rPr>
        <w:t xml:space="preserve">附件4 </w:t>
      </w:r>
      <w:r>
        <w:rPr>
          <w:rFonts w:hint="eastAsia" w:ascii="Times New Roman" w:hAnsi="Times New Roman" w:cs="Times New Roman"/>
          <w:b/>
          <w:bCs/>
          <w:highlight w:val="none"/>
          <w:lang w:val="en-US" w:eastAsia="zh-CN"/>
        </w:rPr>
        <w:t xml:space="preserve"> 土地证</w:t>
      </w:r>
    </w:p>
    <w:p w14:paraId="513C946D">
      <w:pPr>
        <w:pStyle w:val="22"/>
        <w:ind w:left="0" w:leftChars="0" w:firstLine="0" w:firstLineChars="0"/>
        <w:outlineLvl w:val="0"/>
        <w:rPr>
          <w:rFonts w:hint="eastAsia" w:ascii="Times New Roman" w:hAnsi="Times New Roman" w:cs="Times New Roman"/>
          <w:b/>
          <w:bCs/>
          <w:highlight w:val="none"/>
          <w:lang w:val="en-US" w:eastAsia="zh-CN"/>
        </w:rPr>
      </w:pPr>
      <w:r>
        <w:drawing>
          <wp:inline distT="0" distB="0" distL="114300" distR="114300">
            <wp:extent cx="5467350" cy="7962900"/>
            <wp:effectExtent l="0" t="0" r="0" b="0"/>
            <wp:docPr id="3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2"/>
                    <pic:cNvPicPr>
                      <a:picLocks noChangeAspect="1"/>
                    </pic:cNvPicPr>
                  </pic:nvPicPr>
                  <pic:blipFill>
                    <a:blip r:embed="rId36"/>
                    <a:stretch>
                      <a:fillRect/>
                    </a:stretch>
                  </pic:blipFill>
                  <pic:spPr>
                    <a:xfrm>
                      <a:off x="0" y="0"/>
                      <a:ext cx="5467350" cy="7962900"/>
                    </a:xfrm>
                    <a:prstGeom prst="rect">
                      <a:avLst/>
                    </a:prstGeom>
                    <a:noFill/>
                    <a:ln>
                      <a:noFill/>
                    </a:ln>
                  </pic:spPr>
                </pic:pic>
              </a:graphicData>
            </a:graphic>
          </wp:inline>
        </w:drawing>
      </w:r>
    </w:p>
    <w:p w14:paraId="5F018126">
      <w:pPr>
        <w:pStyle w:val="22"/>
        <w:ind w:left="0" w:leftChars="0" w:firstLine="0" w:firstLineChars="0"/>
        <w:outlineLvl w:val="0"/>
        <w:rPr>
          <w:rFonts w:hint="eastAsia" w:ascii="Times New Roman" w:hAnsi="Times New Roman" w:cs="Times New Roman"/>
          <w:b/>
          <w:bCs/>
          <w:highlight w:val="none"/>
          <w:lang w:val="en-US" w:eastAsia="zh-CN"/>
        </w:rPr>
      </w:pPr>
      <w:r>
        <w:drawing>
          <wp:inline distT="0" distB="0" distL="114300" distR="114300">
            <wp:extent cx="5495290" cy="8114665"/>
            <wp:effectExtent l="0" t="0" r="10160" b="635"/>
            <wp:docPr id="3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
                    <pic:cNvPicPr>
                      <a:picLocks noChangeAspect="1"/>
                    </pic:cNvPicPr>
                  </pic:nvPicPr>
                  <pic:blipFill>
                    <a:blip r:embed="rId37"/>
                    <a:stretch>
                      <a:fillRect/>
                    </a:stretch>
                  </pic:blipFill>
                  <pic:spPr>
                    <a:xfrm>
                      <a:off x="0" y="0"/>
                      <a:ext cx="5495290" cy="8114665"/>
                    </a:xfrm>
                    <a:prstGeom prst="rect">
                      <a:avLst/>
                    </a:prstGeom>
                    <a:noFill/>
                    <a:ln>
                      <a:noFill/>
                    </a:ln>
                  </pic:spPr>
                </pic:pic>
              </a:graphicData>
            </a:graphic>
          </wp:inline>
        </w:drawing>
      </w:r>
    </w:p>
    <w:p w14:paraId="0653B8D0">
      <w:pPr>
        <w:pStyle w:val="22"/>
        <w:ind w:left="0" w:leftChars="0" w:firstLine="0" w:firstLineChars="0"/>
        <w:outlineLvl w:val="0"/>
        <w:rPr>
          <w:rFonts w:hint="eastAsia" w:ascii="Times New Roman" w:hAnsi="Times New Roman" w:cs="Times New Roman"/>
          <w:b/>
          <w:bCs/>
          <w:highlight w:val="none"/>
          <w:lang w:val="en-US" w:eastAsia="zh-CN"/>
        </w:rPr>
      </w:pPr>
    </w:p>
    <w:p w14:paraId="0DB317BE">
      <w:pPr>
        <w:pStyle w:val="22"/>
        <w:ind w:left="0" w:leftChars="0" w:firstLine="0" w:firstLineChars="0"/>
        <w:outlineLvl w:val="0"/>
        <w:rPr>
          <w:rFonts w:hint="default" w:ascii="Times New Roman" w:hAnsi="Times New Roman" w:eastAsia="宋体" w:cs="Times New Roman"/>
          <w:b/>
          <w:bCs/>
          <w:highlight w:val="none"/>
          <w:lang w:val="en-US" w:eastAsia="zh-CN"/>
        </w:rPr>
      </w:pPr>
      <w:r>
        <w:rPr>
          <w:rFonts w:hint="eastAsia" w:ascii="Times New Roman" w:hAnsi="Times New Roman" w:cs="Times New Roman"/>
          <w:b/>
          <w:bCs/>
          <w:highlight w:val="none"/>
          <w:lang w:val="en-US" w:eastAsia="zh-CN"/>
        </w:rPr>
        <w:t xml:space="preserve">附件5  </w:t>
      </w:r>
      <w:r>
        <w:rPr>
          <w:rFonts w:hint="eastAsia" w:ascii="Times New Roman" w:hAnsi="Times New Roman" w:eastAsia="宋体" w:cs="Times New Roman"/>
          <w:b/>
          <w:bCs/>
          <w:highlight w:val="none"/>
          <w:lang w:val="en-US" w:eastAsia="zh-CN"/>
        </w:rPr>
        <w:t>租赁合同</w:t>
      </w:r>
    </w:p>
    <w:p w14:paraId="1FB02C48">
      <w:pPr>
        <w:pStyle w:val="22"/>
        <w:ind w:left="0" w:leftChars="0" w:firstLine="0" w:firstLineChars="0"/>
        <w:outlineLvl w:val="0"/>
        <w:rPr>
          <w:rFonts w:hint="default" w:ascii="Times New Roman" w:hAnsi="Times New Roman" w:eastAsia="宋体" w:cs="Times New Roman"/>
          <w:b/>
          <w:bCs/>
          <w:highlight w:val="none"/>
          <w:lang w:val="en-US" w:eastAsia="zh-CN"/>
        </w:rPr>
      </w:pPr>
      <w:r>
        <w:rPr>
          <w:rFonts w:hint="default" w:ascii="Times New Roman" w:hAnsi="Times New Roman" w:eastAsia="宋体" w:cs="Times New Roman"/>
          <w:b/>
          <w:bCs/>
          <w:highlight w:val="none"/>
          <w:lang w:val="en-US" w:eastAsia="zh-CN"/>
        </w:rPr>
        <w:drawing>
          <wp:inline distT="0" distB="0" distL="114300" distR="114300">
            <wp:extent cx="5603875" cy="8017510"/>
            <wp:effectExtent l="0" t="0" r="15875" b="2540"/>
            <wp:docPr id="23" name="图片 23" descr="租赁合同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租赁合同1"/>
                    <pic:cNvPicPr>
                      <a:picLocks noChangeAspect="1"/>
                    </pic:cNvPicPr>
                  </pic:nvPicPr>
                  <pic:blipFill>
                    <a:blip r:embed="rId38"/>
                    <a:stretch>
                      <a:fillRect/>
                    </a:stretch>
                  </pic:blipFill>
                  <pic:spPr>
                    <a:xfrm>
                      <a:off x="0" y="0"/>
                      <a:ext cx="5603875" cy="8017510"/>
                    </a:xfrm>
                    <a:prstGeom prst="rect">
                      <a:avLst/>
                    </a:prstGeom>
                  </pic:spPr>
                </pic:pic>
              </a:graphicData>
            </a:graphic>
          </wp:inline>
        </w:drawing>
      </w:r>
    </w:p>
    <w:p w14:paraId="6956C61B">
      <w:pPr>
        <w:rPr>
          <w:rFonts w:hint="default"/>
          <w:lang w:val="en-US" w:eastAsia="zh-CN"/>
        </w:rPr>
      </w:pPr>
      <w:r>
        <w:rPr>
          <w:rFonts w:hint="default"/>
          <w:lang w:val="en-US" w:eastAsia="zh-CN"/>
        </w:rPr>
        <w:drawing>
          <wp:inline distT="0" distB="0" distL="114300" distR="114300">
            <wp:extent cx="5603875" cy="8331835"/>
            <wp:effectExtent l="0" t="0" r="15875" b="12065"/>
            <wp:docPr id="29" name="图片 29" descr="租赁合同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租赁合同2"/>
                    <pic:cNvPicPr>
                      <a:picLocks noChangeAspect="1"/>
                    </pic:cNvPicPr>
                  </pic:nvPicPr>
                  <pic:blipFill>
                    <a:blip r:embed="rId39"/>
                    <a:stretch>
                      <a:fillRect/>
                    </a:stretch>
                  </pic:blipFill>
                  <pic:spPr>
                    <a:xfrm>
                      <a:off x="0" y="0"/>
                      <a:ext cx="5603875" cy="8331835"/>
                    </a:xfrm>
                    <a:prstGeom prst="rect">
                      <a:avLst/>
                    </a:prstGeom>
                  </pic:spPr>
                </pic:pic>
              </a:graphicData>
            </a:graphic>
          </wp:inline>
        </w:drawing>
      </w:r>
    </w:p>
    <w:p w14:paraId="655C2BF4">
      <w:pPr>
        <w:pStyle w:val="8"/>
        <w:ind w:left="0" w:leftChars="0" w:firstLine="0" w:firstLineChars="0"/>
        <w:rPr>
          <w:rFonts w:hint="default"/>
          <w:lang w:val="en-US" w:eastAsia="zh-CN"/>
        </w:rPr>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rPr>
          <w:rFonts w:hint="default"/>
          <w:lang w:val="en-US" w:eastAsia="zh-CN"/>
        </w:rPr>
        <w:drawing>
          <wp:inline distT="0" distB="0" distL="114300" distR="114300">
            <wp:extent cx="5603875" cy="8417560"/>
            <wp:effectExtent l="0" t="0" r="15875" b="2540"/>
            <wp:docPr id="58" name="图片 58" descr="租赁合同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租赁合同3"/>
                    <pic:cNvPicPr>
                      <a:picLocks noChangeAspect="1"/>
                    </pic:cNvPicPr>
                  </pic:nvPicPr>
                  <pic:blipFill>
                    <a:blip r:embed="rId40"/>
                    <a:stretch>
                      <a:fillRect/>
                    </a:stretch>
                  </pic:blipFill>
                  <pic:spPr>
                    <a:xfrm>
                      <a:off x="0" y="0"/>
                      <a:ext cx="5603875" cy="8417560"/>
                    </a:xfrm>
                    <a:prstGeom prst="rect">
                      <a:avLst/>
                    </a:prstGeom>
                  </pic:spPr>
                </pic:pic>
              </a:graphicData>
            </a:graphic>
          </wp:inline>
        </w:drawing>
      </w:r>
    </w:p>
    <w:p w14:paraId="2BE1798F">
      <w:pPr>
        <w:pStyle w:val="22"/>
        <w:ind w:left="0" w:leftChars="0" w:firstLine="0" w:firstLineChars="0"/>
        <w:outlineLvl w:val="0"/>
        <w:rPr>
          <w:rFonts w:hint="default" w:ascii="Times New Roman" w:hAnsi="Times New Roman" w:eastAsia="宋体" w:cs="Times New Roman"/>
          <w:b/>
          <w:bCs/>
          <w:highlight w:val="none"/>
          <w:lang w:val="en-US" w:eastAsia="zh-CN"/>
        </w:rPr>
      </w:pPr>
      <w:r>
        <w:rPr>
          <w:rFonts w:hint="eastAsia" w:ascii="Times New Roman" w:hAnsi="Times New Roman" w:cs="Times New Roman"/>
          <w:b/>
          <w:bCs/>
          <w:highlight w:val="none"/>
          <w:lang w:val="en-US" w:eastAsia="zh-CN"/>
        </w:rPr>
        <w:t>附件6  检测报告</w:t>
      </w:r>
    </w:p>
    <w:p w14:paraId="75834EDE">
      <w:r>
        <w:drawing>
          <wp:inline distT="0" distB="0" distL="114300" distR="114300">
            <wp:extent cx="5612765" cy="7991475"/>
            <wp:effectExtent l="0" t="0" r="6985" b="9525"/>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41"/>
                    <a:stretch>
                      <a:fillRect/>
                    </a:stretch>
                  </pic:blipFill>
                  <pic:spPr>
                    <a:xfrm>
                      <a:off x="0" y="0"/>
                      <a:ext cx="5612765" cy="7991475"/>
                    </a:xfrm>
                    <a:prstGeom prst="rect">
                      <a:avLst/>
                    </a:prstGeom>
                    <a:noFill/>
                    <a:ln>
                      <a:noFill/>
                    </a:ln>
                  </pic:spPr>
                </pic:pic>
              </a:graphicData>
            </a:graphic>
          </wp:inline>
        </w:drawing>
      </w:r>
    </w:p>
    <w:p w14:paraId="646955EB">
      <w:r>
        <w:drawing>
          <wp:inline distT="0" distB="0" distL="114300" distR="114300">
            <wp:extent cx="5614035" cy="8424545"/>
            <wp:effectExtent l="0" t="0" r="5715" b="1460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42"/>
                    <a:stretch>
                      <a:fillRect/>
                    </a:stretch>
                  </pic:blipFill>
                  <pic:spPr>
                    <a:xfrm>
                      <a:off x="0" y="0"/>
                      <a:ext cx="5614035" cy="8424545"/>
                    </a:xfrm>
                    <a:prstGeom prst="rect">
                      <a:avLst/>
                    </a:prstGeom>
                    <a:noFill/>
                    <a:ln>
                      <a:noFill/>
                    </a:ln>
                  </pic:spPr>
                </pic:pic>
              </a:graphicData>
            </a:graphic>
          </wp:inline>
        </w:drawing>
      </w:r>
    </w:p>
    <w:p w14:paraId="2EFA5278">
      <w:r>
        <w:drawing>
          <wp:inline distT="0" distB="0" distL="114300" distR="114300">
            <wp:extent cx="5612765" cy="8413115"/>
            <wp:effectExtent l="0" t="0" r="6985" b="6985"/>
            <wp:docPr id="1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3"/>
                    <pic:cNvPicPr>
                      <a:picLocks noChangeAspect="1"/>
                    </pic:cNvPicPr>
                  </pic:nvPicPr>
                  <pic:blipFill>
                    <a:blip r:embed="rId43"/>
                    <a:stretch>
                      <a:fillRect/>
                    </a:stretch>
                  </pic:blipFill>
                  <pic:spPr>
                    <a:xfrm>
                      <a:off x="0" y="0"/>
                      <a:ext cx="5612765" cy="8413115"/>
                    </a:xfrm>
                    <a:prstGeom prst="rect">
                      <a:avLst/>
                    </a:prstGeom>
                    <a:noFill/>
                    <a:ln>
                      <a:noFill/>
                    </a:ln>
                  </pic:spPr>
                </pic:pic>
              </a:graphicData>
            </a:graphic>
          </wp:inline>
        </w:drawing>
      </w:r>
    </w:p>
    <w:p w14:paraId="4D350A88">
      <w:r>
        <w:drawing>
          <wp:inline distT="0" distB="0" distL="114300" distR="114300">
            <wp:extent cx="5610860" cy="8398510"/>
            <wp:effectExtent l="0" t="0" r="8890" b="2540"/>
            <wp:docPr id="1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4"/>
                    <pic:cNvPicPr>
                      <a:picLocks noChangeAspect="1"/>
                    </pic:cNvPicPr>
                  </pic:nvPicPr>
                  <pic:blipFill>
                    <a:blip r:embed="rId44"/>
                    <a:stretch>
                      <a:fillRect/>
                    </a:stretch>
                  </pic:blipFill>
                  <pic:spPr>
                    <a:xfrm>
                      <a:off x="0" y="0"/>
                      <a:ext cx="5610860" cy="8398510"/>
                    </a:xfrm>
                    <a:prstGeom prst="rect">
                      <a:avLst/>
                    </a:prstGeom>
                    <a:noFill/>
                    <a:ln>
                      <a:noFill/>
                    </a:ln>
                  </pic:spPr>
                </pic:pic>
              </a:graphicData>
            </a:graphic>
          </wp:inline>
        </w:drawing>
      </w:r>
    </w:p>
    <w:p w14:paraId="009B2B1E">
      <w:r>
        <w:drawing>
          <wp:inline distT="0" distB="0" distL="114300" distR="114300">
            <wp:extent cx="5553075" cy="8257540"/>
            <wp:effectExtent l="0" t="0" r="9525" b="10160"/>
            <wp:docPr id="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pic:cNvPicPr>
                      <a:picLocks noChangeAspect="1"/>
                    </pic:cNvPicPr>
                  </pic:nvPicPr>
                  <pic:blipFill>
                    <a:blip r:embed="rId45"/>
                    <a:stretch>
                      <a:fillRect/>
                    </a:stretch>
                  </pic:blipFill>
                  <pic:spPr>
                    <a:xfrm>
                      <a:off x="0" y="0"/>
                      <a:ext cx="5553075" cy="8257540"/>
                    </a:xfrm>
                    <a:prstGeom prst="rect">
                      <a:avLst/>
                    </a:prstGeom>
                    <a:noFill/>
                    <a:ln>
                      <a:noFill/>
                    </a:ln>
                  </pic:spPr>
                </pic:pic>
              </a:graphicData>
            </a:graphic>
          </wp:inline>
        </w:drawing>
      </w:r>
    </w:p>
    <w:p w14:paraId="743D9E9F"/>
    <w:p w14:paraId="58A3C986">
      <w:pPr>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drawing>
          <wp:inline distT="0" distB="0" distL="114300" distR="114300">
            <wp:extent cx="5610860" cy="8348980"/>
            <wp:effectExtent l="0" t="0" r="8890" b="13970"/>
            <wp:docPr id="1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6"/>
                    <pic:cNvPicPr>
                      <a:picLocks noChangeAspect="1"/>
                    </pic:cNvPicPr>
                  </pic:nvPicPr>
                  <pic:blipFill>
                    <a:blip r:embed="rId46"/>
                    <a:stretch>
                      <a:fillRect/>
                    </a:stretch>
                  </pic:blipFill>
                  <pic:spPr>
                    <a:xfrm>
                      <a:off x="0" y="0"/>
                      <a:ext cx="5610860" cy="8348980"/>
                    </a:xfrm>
                    <a:prstGeom prst="rect">
                      <a:avLst/>
                    </a:prstGeom>
                    <a:noFill/>
                    <a:ln>
                      <a:noFill/>
                    </a:ln>
                  </pic:spPr>
                </pic:pic>
              </a:graphicData>
            </a:graphic>
          </wp:inline>
        </w:drawing>
      </w:r>
    </w:p>
    <w:p w14:paraId="603C36CE">
      <w:pPr>
        <w:pStyle w:val="22"/>
        <w:ind w:left="0" w:leftChars="0" w:firstLine="0" w:firstLineChars="0"/>
        <w:outlineLvl w:val="0"/>
        <w:rPr>
          <w:rFonts w:hint="default"/>
          <w:lang w:val="en-US" w:eastAsia="zh-CN"/>
        </w:rPr>
      </w:pPr>
      <w:r>
        <w:rPr>
          <w:rFonts w:hint="eastAsia" w:ascii="Times New Roman" w:hAnsi="Times New Roman" w:cs="Times New Roman"/>
          <w:b/>
          <w:bCs/>
          <w:highlight w:val="none"/>
          <w:lang w:val="en-US" w:eastAsia="zh-CN"/>
        </w:rPr>
        <w:t>附件7  2013年环评批复</w:t>
      </w:r>
    </w:p>
    <w:p w14:paraId="27D9F9B2">
      <w:pPr>
        <w:pStyle w:val="11"/>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drawing>
          <wp:inline distT="0" distB="0" distL="114300" distR="114300">
            <wp:extent cx="5611495" cy="7710805"/>
            <wp:effectExtent l="0" t="0" r="8255" b="4445"/>
            <wp:docPr id="3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2"/>
                    <pic:cNvPicPr>
                      <a:picLocks noChangeAspect="1"/>
                    </pic:cNvPicPr>
                  </pic:nvPicPr>
                  <pic:blipFill>
                    <a:blip r:embed="rId47"/>
                    <a:stretch>
                      <a:fillRect/>
                    </a:stretch>
                  </pic:blipFill>
                  <pic:spPr>
                    <a:xfrm>
                      <a:off x="0" y="0"/>
                      <a:ext cx="5611495" cy="7710805"/>
                    </a:xfrm>
                    <a:prstGeom prst="rect">
                      <a:avLst/>
                    </a:prstGeom>
                    <a:noFill/>
                    <a:ln>
                      <a:noFill/>
                    </a:ln>
                  </pic:spPr>
                </pic:pic>
              </a:graphicData>
            </a:graphic>
          </wp:inline>
        </w:drawing>
      </w:r>
    </w:p>
    <w:p w14:paraId="27B1CA0F">
      <w:pPr>
        <w:pStyle w:val="22"/>
        <w:ind w:left="0" w:leftChars="0" w:firstLine="0" w:firstLineChars="0"/>
        <w:outlineLvl w:val="0"/>
        <w:rPr>
          <w:rFonts w:hint="default" w:ascii="Times New Roman" w:hAnsi="Times New Roman" w:eastAsia="宋体" w:cs="Times New Roman"/>
          <w:b/>
          <w:bCs/>
          <w:highlight w:val="none"/>
          <w:lang w:val="en-US" w:eastAsia="zh-CN"/>
        </w:rPr>
      </w:pPr>
      <w:r>
        <w:rPr>
          <w:rFonts w:hint="eastAsia" w:ascii="Times New Roman" w:hAnsi="Times New Roman" w:cs="Times New Roman"/>
          <w:b/>
          <w:bCs/>
          <w:highlight w:val="none"/>
          <w:lang w:val="en-US" w:eastAsia="zh-CN"/>
        </w:rPr>
        <w:t>附件8  2016年验收意见</w:t>
      </w:r>
    </w:p>
    <w:p w14:paraId="4F4C2DD6">
      <w:pPr>
        <w:pStyle w:val="11"/>
      </w:pPr>
      <w:r>
        <w:drawing>
          <wp:inline distT="0" distB="0" distL="114300" distR="114300">
            <wp:extent cx="5609590" cy="8091805"/>
            <wp:effectExtent l="0" t="0" r="10160" b="4445"/>
            <wp:docPr id="3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
                    <pic:cNvPicPr>
                      <a:picLocks noChangeAspect="1"/>
                    </pic:cNvPicPr>
                  </pic:nvPicPr>
                  <pic:blipFill>
                    <a:blip r:embed="rId48"/>
                    <a:stretch>
                      <a:fillRect/>
                    </a:stretch>
                  </pic:blipFill>
                  <pic:spPr>
                    <a:xfrm>
                      <a:off x="0" y="0"/>
                      <a:ext cx="5609590" cy="8091805"/>
                    </a:xfrm>
                    <a:prstGeom prst="rect">
                      <a:avLst/>
                    </a:prstGeom>
                    <a:noFill/>
                    <a:ln>
                      <a:noFill/>
                    </a:ln>
                  </pic:spPr>
                </pic:pic>
              </a:graphicData>
            </a:graphic>
          </wp:inline>
        </w:drawing>
      </w:r>
    </w:p>
    <w:p w14:paraId="145B268C">
      <w:pPr>
        <w:pStyle w:val="11"/>
      </w:pPr>
      <w:r>
        <w:drawing>
          <wp:inline distT="0" distB="0" distL="114300" distR="114300">
            <wp:extent cx="5612765" cy="8340090"/>
            <wp:effectExtent l="0" t="0" r="6985" b="3810"/>
            <wp:docPr id="4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
                    <pic:cNvPicPr>
                      <a:picLocks noChangeAspect="1"/>
                    </pic:cNvPicPr>
                  </pic:nvPicPr>
                  <pic:blipFill>
                    <a:blip r:embed="rId49"/>
                    <a:stretch>
                      <a:fillRect/>
                    </a:stretch>
                  </pic:blipFill>
                  <pic:spPr>
                    <a:xfrm>
                      <a:off x="0" y="0"/>
                      <a:ext cx="5612765" cy="8340090"/>
                    </a:xfrm>
                    <a:prstGeom prst="rect">
                      <a:avLst/>
                    </a:prstGeom>
                    <a:noFill/>
                    <a:ln>
                      <a:noFill/>
                    </a:ln>
                  </pic:spPr>
                </pic:pic>
              </a:graphicData>
            </a:graphic>
          </wp:inline>
        </w:drawing>
      </w:r>
    </w:p>
    <w:p w14:paraId="6C7F47CE">
      <w:pPr>
        <w:pStyle w:val="11"/>
      </w:pPr>
      <w:r>
        <w:drawing>
          <wp:inline distT="0" distB="0" distL="114300" distR="114300">
            <wp:extent cx="5609590" cy="8283575"/>
            <wp:effectExtent l="0" t="0" r="10160" b="3175"/>
            <wp:docPr id="4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5"/>
                    <pic:cNvPicPr>
                      <a:picLocks noChangeAspect="1"/>
                    </pic:cNvPicPr>
                  </pic:nvPicPr>
                  <pic:blipFill>
                    <a:blip r:embed="rId50"/>
                    <a:stretch>
                      <a:fillRect/>
                    </a:stretch>
                  </pic:blipFill>
                  <pic:spPr>
                    <a:xfrm>
                      <a:off x="0" y="0"/>
                      <a:ext cx="5609590" cy="8283575"/>
                    </a:xfrm>
                    <a:prstGeom prst="rect">
                      <a:avLst/>
                    </a:prstGeom>
                    <a:noFill/>
                    <a:ln>
                      <a:noFill/>
                    </a:ln>
                  </pic:spPr>
                </pic:pic>
              </a:graphicData>
            </a:graphic>
          </wp:inline>
        </w:drawing>
      </w:r>
    </w:p>
    <w:p w14:paraId="3234E9DD">
      <w:pPr>
        <w:pStyle w:val="11"/>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drawing>
          <wp:inline distT="0" distB="0" distL="114300" distR="114300">
            <wp:extent cx="5611495" cy="8450580"/>
            <wp:effectExtent l="0" t="0" r="8255" b="7620"/>
            <wp:docPr id="4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6"/>
                    <pic:cNvPicPr>
                      <a:picLocks noChangeAspect="1"/>
                    </pic:cNvPicPr>
                  </pic:nvPicPr>
                  <pic:blipFill>
                    <a:blip r:embed="rId51"/>
                    <a:stretch>
                      <a:fillRect/>
                    </a:stretch>
                  </pic:blipFill>
                  <pic:spPr>
                    <a:xfrm>
                      <a:off x="0" y="0"/>
                      <a:ext cx="5611495" cy="8450580"/>
                    </a:xfrm>
                    <a:prstGeom prst="rect">
                      <a:avLst/>
                    </a:prstGeom>
                    <a:noFill/>
                    <a:ln>
                      <a:noFill/>
                    </a:ln>
                  </pic:spPr>
                </pic:pic>
              </a:graphicData>
            </a:graphic>
          </wp:inline>
        </w:drawing>
      </w:r>
    </w:p>
    <w:p w14:paraId="25068A6C">
      <w:pPr>
        <w:pStyle w:val="22"/>
        <w:ind w:left="0" w:leftChars="0" w:firstLine="0" w:firstLineChars="0"/>
        <w:outlineLvl w:val="0"/>
        <w:rPr>
          <w:rFonts w:hint="default" w:ascii="Times New Roman" w:hAnsi="Times New Roman" w:eastAsia="宋体" w:cs="Times New Roman"/>
          <w:b/>
          <w:bCs/>
          <w:highlight w:val="none"/>
          <w:lang w:val="en-US" w:eastAsia="zh-CN"/>
        </w:rPr>
      </w:pPr>
      <w:r>
        <w:rPr>
          <w:rFonts w:hint="eastAsia" w:ascii="Times New Roman" w:hAnsi="Times New Roman" w:cs="Times New Roman"/>
          <w:b/>
          <w:bCs/>
          <w:highlight w:val="none"/>
          <w:lang w:val="en-US" w:eastAsia="zh-CN"/>
        </w:rPr>
        <w:t>附件9  检测报告</w:t>
      </w:r>
    </w:p>
    <w:p w14:paraId="493A5437">
      <w:pPr>
        <w:pStyle w:val="11"/>
      </w:pPr>
      <w:r>
        <w:drawing>
          <wp:inline distT="0" distB="0" distL="114300" distR="114300">
            <wp:extent cx="5561965" cy="8172450"/>
            <wp:effectExtent l="0" t="0" r="635" b="0"/>
            <wp:docPr id="4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7"/>
                    <pic:cNvPicPr>
                      <a:picLocks noChangeAspect="1"/>
                    </pic:cNvPicPr>
                  </pic:nvPicPr>
                  <pic:blipFill>
                    <a:blip r:embed="rId52"/>
                    <a:stretch>
                      <a:fillRect/>
                    </a:stretch>
                  </pic:blipFill>
                  <pic:spPr>
                    <a:xfrm>
                      <a:off x="0" y="0"/>
                      <a:ext cx="5561965" cy="8172450"/>
                    </a:xfrm>
                    <a:prstGeom prst="rect">
                      <a:avLst/>
                    </a:prstGeom>
                    <a:noFill/>
                    <a:ln>
                      <a:noFill/>
                    </a:ln>
                  </pic:spPr>
                </pic:pic>
              </a:graphicData>
            </a:graphic>
          </wp:inline>
        </w:drawing>
      </w:r>
    </w:p>
    <w:p w14:paraId="7F6B78DF">
      <w:pPr>
        <w:pStyle w:val="11"/>
      </w:pPr>
      <w:r>
        <w:drawing>
          <wp:inline distT="0" distB="0" distL="114300" distR="114300">
            <wp:extent cx="5628640" cy="8362950"/>
            <wp:effectExtent l="0" t="0" r="10160" b="0"/>
            <wp:docPr id="4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8"/>
                    <pic:cNvPicPr>
                      <a:picLocks noChangeAspect="1"/>
                    </pic:cNvPicPr>
                  </pic:nvPicPr>
                  <pic:blipFill>
                    <a:blip r:embed="rId53"/>
                    <a:stretch>
                      <a:fillRect/>
                    </a:stretch>
                  </pic:blipFill>
                  <pic:spPr>
                    <a:xfrm>
                      <a:off x="0" y="0"/>
                      <a:ext cx="5628640" cy="8362950"/>
                    </a:xfrm>
                    <a:prstGeom prst="rect">
                      <a:avLst/>
                    </a:prstGeom>
                    <a:noFill/>
                    <a:ln>
                      <a:noFill/>
                    </a:ln>
                  </pic:spPr>
                </pic:pic>
              </a:graphicData>
            </a:graphic>
          </wp:inline>
        </w:drawing>
      </w:r>
    </w:p>
    <w:p w14:paraId="33F99335">
      <w:pPr>
        <w:pStyle w:val="11"/>
      </w:pPr>
      <w:r>
        <w:drawing>
          <wp:inline distT="0" distB="0" distL="114300" distR="114300">
            <wp:extent cx="5523865" cy="8381365"/>
            <wp:effectExtent l="0" t="0" r="635" b="635"/>
            <wp:docPr id="4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9"/>
                    <pic:cNvPicPr>
                      <a:picLocks noChangeAspect="1"/>
                    </pic:cNvPicPr>
                  </pic:nvPicPr>
                  <pic:blipFill>
                    <a:blip r:embed="rId54"/>
                    <a:stretch>
                      <a:fillRect/>
                    </a:stretch>
                  </pic:blipFill>
                  <pic:spPr>
                    <a:xfrm>
                      <a:off x="0" y="0"/>
                      <a:ext cx="5523865" cy="8381365"/>
                    </a:xfrm>
                    <a:prstGeom prst="rect">
                      <a:avLst/>
                    </a:prstGeom>
                    <a:noFill/>
                    <a:ln>
                      <a:noFill/>
                    </a:ln>
                  </pic:spPr>
                </pic:pic>
              </a:graphicData>
            </a:graphic>
          </wp:inline>
        </w:drawing>
      </w:r>
    </w:p>
    <w:p w14:paraId="18A903B5">
      <w:pPr>
        <w:pStyle w:val="11"/>
      </w:pPr>
      <w:r>
        <w:drawing>
          <wp:inline distT="0" distB="0" distL="114300" distR="114300">
            <wp:extent cx="5572125" cy="8353425"/>
            <wp:effectExtent l="0" t="0" r="9525" b="9525"/>
            <wp:docPr id="5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0"/>
                    <pic:cNvPicPr>
                      <a:picLocks noChangeAspect="1"/>
                    </pic:cNvPicPr>
                  </pic:nvPicPr>
                  <pic:blipFill>
                    <a:blip r:embed="rId55"/>
                    <a:stretch>
                      <a:fillRect/>
                    </a:stretch>
                  </pic:blipFill>
                  <pic:spPr>
                    <a:xfrm>
                      <a:off x="0" y="0"/>
                      <a:ext cx="5572125" cy="8353425"/>
                    </a:xfrm>
                    <a:prstGeom prst="rect">
                      <a:avLst/>
                    </a:prstGeom>
                    <a:noFill/>
                    <a:ln>
                      <a:noFill/>
                    </a:ln>
                  </pic:spPr>
                </pic:pic>
              </a:graphicData>
            </a:graphic>
          </wp:inline>
        </w:drawing>
      </w:r>
    </w:p>
    <w:p w14:paraId="76F395DC">
      <w:pPr>
        <w:pStyle w:val="11"/>
      </w:pPr>
      <w:r>
        <w:drawing>
          <wp:inline distT="0" distB="0" distL="114300" distR="114300">
            <wp:extent cx="5534025" cy="8390890"/>
            <wp:effectExtent l="0" t="0" r="9525" b="10160"/>
            <wp:docPr id="5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1"/>
                    <pic:cNvPicPr>
                      <a:picLocks noChangeAspect="1"/>
                    </pic:cNvPicPr>
                  </pic:nvPicPr>
                  <pic:blipFill>
                    <a:blip r:embed="rId56"/>
                    <a:stretch>
                      <a:fillRect/>
                    </a:stretch>
                  </pic:blipFill>
                  <pic:spPr>
                    <a:xfrm>
                      <a:off x="0" y="0"/>
                      <a:ext cx="5534025" cy="8390890"/>
                    </a:xfrm>
                    <a:prstGeom prst="rect">
                      <a:avLst/>
                    </a:prstGeom>
                    <a:noFill/>
                    <a:ln>
                      <a:noFill/>
                    </a:ln>
                  </pic:spPr>
                </pic:pic>
              </a:graphicData>
            </a:graphic>
          </wp:inline>
        </w:drawing>
      </w:r>
    </w:p>
    <w:p w14:paraId="2B7A00C7">
      <w:pPr>
        <w:pStyle w:val="11"/>
      </w:pPr>
      <w:r>
        <w:drawing>
          <wp:inline distT="0" distB="0" distL="114300" distR="114300">
            <wp:extent cx="5486400" cy="8305165"/>
            <wp:effectExtent l="0" t="0" r="0" b="635"/>
            <wp:docPr id="5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2"/>
                    <pic:cNvPicPr>
                      <a:picLocks noChangeAspect="1"/>
                    </pic:cNvPicPr>
                  </pic:nvPicPr>
                  <pic:blipFill>
                    <a:blip r:embed="rId57"/>
                    <a:stretch>
                      <a:fillRect/>
                    </a:stretch>
                  </pic:blipFill>
                  <pic:spPr>
                    <a:xfrm>
                      <a:off x="0" y="0"/>
                      <a:ext cx="5486400" cy="8305165"/>
                    </a:xfrm>
                    <a:prstGeom prst="rect">
                      <a:avLst/>
                    </a:prstGeom>
                    <a:noFill/>
                    <a:ln>
                      <a:noFill/>
                    </a:ln>
                  </pic:spPr>
                </pic:pic>
              </a:graphicData>
            </a:graphic>
          </wp:inline>
        </w:drawing>
      </w:r>
    </w:p>
    <w:p w14:paraId="797483AE">
      <w:pPr>
        <w:pStyle w:val="11"/>
      </w:pPr>
      <w:r>
        <w:drawing>
          <wp:inline distT="0" distB="0" distL="114300" distR="114300">
            <wp:extent cx="5523865" cy="8362950"/>
            <wp:effectExtent l="0" t="0" r="635" b="0"/>
            <wp:docPr id="5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3"/>
                    <pic:cNvPicPr>
                      <a:picLocks noChangeAspect="1"/>
                    </pic:cNvPicPr>
                  </pic:nvPicPr>
                  <pic:blipFill>
                    <a:blip r:embed="rId58"/>
                    <a:stretch>
                      <a:fillRect/>
                    </a:stretch>
                  </pic:blipFill>
                  <pic:spPr>
                    <a:xfrm>
                      <a:off x="0" y="0"/>
                      <a:ext cx="5523865" cy="8362950"/>
                    </a:xfrm>
                    <a:prstGeom prst="rect">
                      <a:avLst/>
                    </a:prstGeom>
                    <a:noFill/>
                    <a:ln>
                      <a:noFill/>
                    </a:ln>
                  </pic:spPr>
                </pic:pic>
              </a:graphicData>
            </a:graphic>
          </wp:inline>
        </w:drawing>
      </w:r>
    </w:p>
    <w:p w14:paraId="5283B789">
      <w:pPr>
        <w:pStyle w:val="11"/>
      </w:pPr>
      <w:r>
        <w:drawing>
          <wp:inline distT="0" distB="0" distL="114300" distR="114300">
            <wp:extent cx="5542915" cy="8401050"/>
            <wp:effectExtent l="0" t="0" r="635" b="0"/>
            <wp:docPr id="5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4"/>
                    <pic:cNvPicPr>
                      <a:picLocks noChangeAspect="1"/>
                    </pic:cNvPicPr>
                  </pic:nvPicPr>
                  <pic:blipFill>
                    <a:blip r:embed="rId59"/>
                    <a:stretch>
                      <a:fillRect/>
                    </a:stretch>
                  </pic:blipFill>
                  <pic:spPr>
                    <a:xfrm>
                      <a:off x="0" y="0"/>
                      <a:ext cx="5542915" cy="8401050"/>
                    </a:xfrm>
                    <a:prstGeom prst="rect">
                      <a:avLst/>
                    </a:prstGeom>
                    <a:noFill/>
                    <a:ln>
                      <a:noFill/>
                    </a:ln>
                  </pic:spPr>
                </pic:pic>
              </a:graphicData>
            </a:graphic>
          </wp:inline>
        </w:drawing>
      </w:r>
    </w:p>
    <w:p w14:paraId="5A4555FF">
      <w:pPr>
        <w:pStyle w:val="11"/>
      </w:pPr>
      <w:r>
        <w:drawing>
          <wp:inline distT="0" distB="0" distL="114300" distR="114300">
            <wp:extent cx="5534025" cy="8438515"/>
            <wp:effectExtent l="0" t="0" r="9525" b="635"/>
            <wp:docPr id="5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5"/>
                    <pic:cNvPicPr>
                      <a:picLocks noChangeAspect="1"/>
                    </pic:cNvPicPr>
                  </pic:nvPicPr>
                  <pic:blipFill>
                    <a:blip r:embed="rId60"/>
                    <a:stretch>
                      <a:fillRect/>
                    </a:stretch>
                  </pic:blipFill>
                  <pic:spPr>
                    <a:xfrm>
                      <a:off x="0" y="0"/>
                      <a:ext cx="5534025" cy="8438515"/>
                    </a:xfrm>
                    <a:prstGeom prst="rect">
                      <a:avLst/>
                    </a:prstGeom>
                    <a:noFill/>
                    <a:ln>
                      <a:noFill/>
                    </a:ln>
                  </pic:spPr>
                </pic:pic>
              </a:graphicData>
            </a:graphic>
          </wp:inline>
        </w:drawing>
      </w:r>
    </w:p>
    <w:p w14:paraId="2404BB16">
      <w:pPr>
        <w:pStyle w:val="22"/>
        <w:ind w:left="0" w:leftChars="0" w:firstLine="0" w:firstLineChars="0"/>
        <w:outlineLvl w:val="0"/>
        <w:rPr>
          <w:rFonts w:hint="default" w:ascii="Times New Roman" w:hAnsi="Times New Roman" w:eastAsia="宋体" w:cs="Times New Roman"/>
          <w:b/>
          <w:bCs/>
          <w:highlight w:val="none"/>
          <w:lang w:val="en-US" w:eastAsia="zh-CN"/>
        </w:rPr>
      </w:pPr>
      <w:r>
        <w:rPr>
          <w:rFonts w:hint="eastAsia" w:ascii="Times New Roman" w:hAnsi="Times New Roman" w:cs="Times New Roman"/>
          <w:b/>
          <w:bCs/>
          <w:highlight w:val="none"/>
          <w:lang w:val="en-US" w:eastAsia="zh-CN"/>
        </w:rPr>
        <w:t>附件10  原料来源企业合法性材料1</w:t>
      </w:r>
    </w:p>
    <w:p w14:paraId="0015A20B">
      <w:pPr>
        <w:pStyle w:val="11"/>
        <w:rPr>
          <w:rFonts w:hint="default"/>
          <w:lang w:val="en-US" w:eastAsia="zh-CN"/>
        </w:rPr>
      </w:pPr>
      <w:r>
        <w:rPr>
          <w:rFonts w:hint="default"/>
          <w:lang w:val="en-US" w:eastAsia="zh-CN"/>
        </w:rPr>
        <w:drawing>
          <wp:inline distT="0" distB="0" distL="114300" distR="114300">
            <wp:extent cx="5512435" cy="8150860"/>
            <wp:effectExtent l="0" t="0" r="12065" b="2540"/>
            <wp:docPr id="3" name="图片 3" descr="d4a2a1b2327a6a4af222af5decabc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d4a2a1b2327a6a4af222af5decabc445"/>
                    <pic:cNvPicPr>
                      <a:picLocks noChangeAspect="1"/>
                    </pic:cNvPicPr>
                  </pic:nvPicPr>
                  <pic:blipFill>
                    <a:blip r:embed="rId61"/>
                    <a:stretch>
                      <a:fillRect/>
                    </a:stretch>
                  </pic:blipFill>
                  <pic:spPr>
                    <a:xfrm>
                      <a:off x="0" y="0"/>
                      <a:ext cx="5512435" cy="8150860"/>
                    </a:xfrm>
                    <a:prstGeom prst="rect">
                      <a:avLst/>
                    </a:prstGeom>
                  </pic:spPr>
                </pic:pic>
              </a:graphicData>
            </a:graphic>
          </wp:inline>
        </w:drawing>
      </w:r>
    </w:p>
    <w:p w14:paraId="41D34204">
      <w:pPr>
        <w:pStyle w:val="11"/>
        <w:rPr>
          <w:rFonts w:hint="default"/>
          <w:lang w:val="en-US" w:eastAsia="zh-CN"/>
        </w:rPr>
      </w:pPr>
      <w:r>
        <w:rPr>
          <w:rFonts w:hint="default"/>
          <w:lang w:val="en-US" w:eastAsia="zh-CN"/>
        </w:rPr>
        <w:drawing>
          <wp:inline distT="0" distB="0" distL="114300" distR="114300">
            <wp:extent cx="5608320" cy="8352155"/>
            <wp:effectExtent l="0" t="0" r="11430" b="10795"/>
            <wp:docPr id="87" name="图片 87" descr="be43e7328452d19300d65deb85900e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87" descr="be43e7328452d19300d65deb85900e89"/>
                    <pic:cNvPicPr>
                      <a:picLocks noChangeAspect="1"/>
                    </pic:cNvPicPr>
                  </pic:nvPicPr>
                  <pic:blipFill>
                    <a:blip r:embed="rId62"/>
                    <a:stretch>
                      <a:fillRect/>
                    </a:stretch>
                  </pic:blipFill>
                  <pic:spPr>
                    <a:xfrm>
                      <a:off x="0" y="0"/>
                      <a:ext cx="5608320" cy="8352155"/>
                    </a:xfrm>
                    <a:prstGeom prst="rect">
                      <a:avLst/>
                    </a:prstGeom>
                  </pic:spPr>
                </pic:pic>
              </a:graphicData>
            </a:graphic>
          </wp:inline>
        </w:drawing>
      </w:r>
    </w:p>
    <w:p w14:paraId="2C7CB155">
      <w:pPr>
        <w:pStyle w:val="11"/>
        <w:rPr>
          <w:rFonts w:hint="default"/>
          <w:lang w:val="en-US" w:eastAsia="zh-CN"/>
        </w:rPr>
      </w:pPr>
      <w:r>
        <w:rPr>
          <w:rFonts w:hint="default"/>
          <w:lang w:val="en-US" w:eastAsia="zh-CN"/>
        </w:rPr>
        <w:drawing>
          <wp:inline distT="0" distB="0" distL="114300" distR="114300">
            <wp:extent cx="5620385" cy="8515985"/>
            <wp:effectExtent l="0" t="0" r="18415" b="18415"/>
            <wp:docPr id="88" name="图片 88" descr="c302a9b0dc2bf3454f42773ad5af87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descr="c302a9b0dc2bf3454f42773ad5af870c"/>
                    <pic:cNvPicPr>
                      <a:picLocks noChangeAspect="1"/>
                    </pic:cNvPicPr>
                  </pic:nvPicPr>
                  <pic:blipFill>
                    <a:blip r:embed="rId63"/>
                    <a:stretch>
                      <a:fillRect/>
                    </a:stretch>
                  </pic:blipFill>
                  <pic:spPr>
                    <a:xfrm>
                      <a:off x="0" y="0"/>
                      <a:ext cx="5620385" cy="8515985"/>
                    </a:xfrm>
                    <a:prstGeom prst="rect">
                      <a:avLst/>
                    </a:prstGeom>
                  </pic:spPr>
                </pic:pic>
              </a:graphicData>
            </a:graphic>
          </wp:inline>
        </w:drawing>
      </w:r>
    </w:p>
    <w:p w14:paraId="0E59C98F">
      <w:pPr>
        <w:pStyle w:val="22"/>
        <w:ind w:left="0" w:leftChars="0" w:firstLine="0" w:firstLineChars="0"/>
        <w:outlineLvl w:val="0"/>
        <w:rPr>
          <w:rFonts w:hint="default" w:ascii="Times New Roman" w:hAnsi="Times New Roman" w:eastAsia="宋体" w:cs="Times New Roman"/>
          <w:b/>
          <w:bCs/>
          <w:highlight w:val="none"/>
          <w:lang w:val="en-US" w:eastAsia="zh-CN"/>
        </w:rPr>
      </w:pPr>
      <w:r>
        <w:rPr>
          <w:rFonts w:hint="eastAsia" w:ascii="Times New Roman" w:hAnsi="Times New Roman" w:cs="Times New Roman"/>
          <w:b/>
          <w:bCs/>
          <w:highlight w:val="none"/>
          <w:lang w:val="en-US" w:eastAsia="zh-CN"/>
        </w:rPr>
        <w:t>附件11  原料来源企业合法性材料2</w:t>
      </w:r>
    </w:p>
    <w:p w14:paraId="5809DB51">
      <w:pPr>
        <w:pStyle w:val="11"/>
      </w:pPr>
      <w:r>
        <w:drawing>
          <wp:inline distT="0" distB="0" distL="114300" distR="114300">
            <wp:extent cx="5410200" cy="8143875"/>
            <wp:effectExtent l="0" t="0" r="0" b="9525"/>
            <wp:docPr id="8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1"/>
                    <pic:cNvPicPr>
                      <a:picLocks noChangeAspect="1"/>
                    </pic:cNvPicPr>
                  </pic:nvPicPr>
                  <pic:blipFill>
                    <a:blip r:embed="rId64"/>
                    <a:stretch>
                      <a:fillRect/>
                    </a:stretch>
                  </pic:blipFill>
                  <pic:spPr>
                    <a:xfrm>
                      <a:off x="0" y="0"/>
                      <a:ext cx="5410200" cy="8143875"/>
                    </a:xfrm>
                    <a:prstGeom prst="rect">
                      <a:avLst/>
                    </a:prstGeom>
                    <a:noFill/>
                    <a:ln>
                      <a:noFill/>
                    </a:ln>
                  </pic:spPr>
                </pic:pic>
              </a:graphicData>
            </a:graphic>
          </wp:inline>
        </w:drawing>
      </w:r>
    </w:p>
    <w:p w14:paraId="38E9882D">
      <w:pPr>
        <w:pStyle w:val="11"/>
      </w:pPr>
      <w:r>
        <w:drawing>
          <wp:inline distT="0" distB="0" distL="114300" distR="114300">
            <wp:extent cx="5647690" cy="8324850"/>
            <wp:effectExtent l="0" t="0" r="10160" b="0"/>
            <wp:docPr id="9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2"/>
                    <pic:cNvPicPr>
                      <a:picLocks noChangeAspect="1"/>
                    </pic:cNvPicPr>
                  </pic:nvPicPr>
                  <pic:blipFill>
                    <a:blip r:embed="rId65"/>
                    <a:stretch>
                      <a:fillRect/>
                    </a:stretch>
                  </pic:blipFill>
                  <pic:spPr>
                    <a:xfrm>
                      <a:off x="0" y="0"/>
                      <a:ext cx="5647690" cy="8324850"/>
                    </a:xfrm>
                    <a:prstGeom prst="rect">
                      <a:avLst/>
                    </a:prstGeom>
                    <a:noFill/>
                    <a:ln>
                      <a:noFill/>
                    </a:ln>
                  </pic:spPr>
                </pic:pic>
              </a:graphicData>
            </a:graphic>
          </wp:inline>
        </w:drawing>
      </w:r>
    </w:p>
    <w:p w14:paraId="2B1CD132">
      <w:pPr>
        <w:pStyle w:val="11"/>
      </w:pPr>
      <w:r>
        <w:drawing>
          <wp:inline distT="0" distB="0" distL="114300" distR="114300">
            <wp:extent cx="5581650" cy="8362950"/>
            <wp:effectExtent l="0" t="0" r="0" b="0"/>
            <wp:docPr id="9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3"/>
                    <pic:cNvPicPr>
                      <a:picLocks noChangeAspect="1"/>
                    </pic:cNvPicPr>
                  </pic:nvPicPr>
                  <pic:blipFill>
                    <a:blip r:embed="rId66"/>
                    <a:stretch>
                      <a:fillRect/>
                    </a:stretch>
                  </pic:blipFill>
                  <pic:spPr>
                    <a:xfrm>
                      <a:off x="0" y="0"/>
                      <a:ext cx="5581650" cy="8362950"/>
                    </a:xfrm>
                    <a:prstGeom prst="rect">
                      <a:avLst/>
                    </a:prstGeom>
                    <a:noFill/>
                    <a:ln>
                      <a:noFill/>
                    </a:ln>
                  </pic:spPr>
                </pic:pic>
              </a:graphicData>
            </a:graphic>
          </wp:inline>
        </w:drawing>
      </w:r>
    </w:p>
    <w:p w14:paraId="7D1A1DD3">
      <w:pPr>
        <w:pStyle w:val="11"/>
        <w:rPr>
          <w:rFonts w:hint="default"/>
          <w:lang w:val="en-US" w:eastAsia="zh-CN"/>
        </w:rPr>
      </w:pPr>
      <w:r>
        <w:drawing>
          <wp:inline distT="0" distB="0" distL="114300" distR="114300">
            <wp:extent cx="5438140" cy="8353425"/>
            <wp:effectExtent l="0" t="0" r="10160" b="9525"/>
            <wp:docPr id="9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4"/>
                    <pic:cNvPicPr>
                      <a:picLocks noChangeAspect="1"/>
                    </pic:cNvPicPr>
                  </pic:nvPicPr>
                  <pic:blipFill>
                    <a:blip r:embed="rId67"/>
                    <a:stretch>
                      <a:fillRect/>
                    </a:stretch>
                  </pic:blipFill>
                  <pic:spPr>
                    <a:xfrm>
                      <a:off x="0" y="0"/>
                      <a:ext cx="5438140" cy="8353425"/>
                    </a:xfrm>
                    <a:prstGeom prst="rect">
                      <a:avLst/>
                    </a:prstGeom>
                    <a:noFill/>
                    <a:ln>
                      <a:noFill/>
                    </a:ln>
                  </pic:spPr>
                </pic:pic>
              </a:graphicData>
            </a:graphic>
          </wp:inline>
        </w:drawing>
      </w:r>
    </w:p>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Lucida Console">
    <w:panose1 w:val="020B0609040504020204"/>
    <w:charset w:val="00"/>
    <w:family w:val="modern"/>
    <w:pitch w:val="default"/>
    <w:sig w:usb0="8000028F" w:usb1="00001800" w:usb2="00000000" w:usb3="00000000" w:csb0="0000001F" w:csb1="D7D70000"/>
  </w:font>
  <w:font w:name="MS Gothic">
    <w:panose1 w:val="020B0609070205080204"/>
    <w:charset w:val="80"/>
    <w:family w:val="modern"/>
    <w:pitch w:val="default"/>
    <w:sig w:usb0="E00002FF" w:usb1="6AC7FDFB" w:usb2="08000012" w:usb3="00000000" w:csb0="4002009F" w:csb1="DFD70000"/>
  </w:font>
  <w:font w:name="ILPZD C+ T T 4 B B 2o 00">
    <w:altName w:val="宋体"/>
    <w:panose1 w:val="00000000000000000000"/>
    <w:charset w:val="86"/>
    <w:family w:val="swiss"/>
    <w:pitch w:val="default"/>
    <w:sig w:usb0="00000000" w:usb1="00000000" w:usb2="0000001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Arial Unicode MS">
    <w:panose1 w:val="020B0604020202020204"/>
    <w:charset w:val="86"/>
    <w:family w:val="swiss"/>
    <w:pitch w:val="default"/>
    <w:sig w:usb0="FFFFFFFF" w:usb1="E9FFFFFF"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auto"/>
    <w:pitch w:val="default"/>
    <w:sig w:usb0="E00006FF" w:usb1="420024FF" w:usb2="02000000" w:usb3="00000000" w:csb0="2000019F" w:csb1="00000000"/>
  </w:font>
  <w:font w:name="方正小标宋_GBK">
    <w:altName w:val="微软雅黑"/>
    <w:panose1 w:val="02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F1292">
    <w:pPr>
      <w:pStyle w:val="15"/>
      <w:spacing w:beforeLines="0" w:afterLines="0"/>
      <w:ind w:right="360" w:firstLine="360"/>
      <w:jc w:val="center"/>
      <w:rPr>
        <w:rFonts w:hint="default"/>
        <w:sz w:val="18"/>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1EA56">
    <w:pPr>
      <w:pStyle w:val="15"/>
      <w:spacing w:beforeLines="0" w:afterLines="0"/>
      <w:ind w:right="360" w:firstLine="360"/>
      <w:jc w:val="center"/>
      <w:rPr>
        <w:rFonts w:hint="default"/>
        <w:sz w:val="18"/>
        <w:szCs w:val="24"/>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5" name="文本框 8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5B3456">
                          <w:pPr>
                            <w:pStyle w:val="15"/>
                            <w:spacing w:beforeLines="0" w:afterLines="0"/>
                            <w:rPr>
                              <w:rStyle w:val="27"/>
                              <w:rFonts w:hint="eastAsia" w:ascii="宋体" w:hAnsi="宋体" w:eastAsia="宋体"/>
                              <w:sz w:val="28"/>
                              <w:szCs w:val="24"/>
                            </w:rPr>
                          </w:pPr>
                          <w:r>
                            <w:rPr>
                              <w:rStyle w:val="27"/>
                              <w:rFonts w:hint="eastAsia" w:ascii="宋体" w:hAnsi="宋体" w:eastAsia="宋体"/>
                              <w:sz w:val="28"/>
                              <w:szCs w:val="24"/>
                            </w:rPr>
                            <w:t>—</w:t>
                          </w:r>
                          <w:r>
                            <w:rPr>
                              <w:rStyle w:val="27"/>
                              <w:rFonts w:hint="eastAsia" w:ascii="宋体" w:hAnsi="宋体" w:eastAsia="宋体"/>
                              <w:sz w:val="20"/>
                              <w:szCs w:val="24"/>
                            </w:rPr>
                            <w:t xml:space="preserve">  </w:t>
                          </w:r>
                          <w:r>
                            <w:rPr>
                              <w:rStyle w:val="27"/>
                              <w:rFonts w:hint="eastAsia" w:ascii="宋体" w:hAnsi="宋体" w:eastAsia="宋体"/>
                              <w:sz w:val="26"/>
                              <w:szCs w:val="24"/>
                            </w:rPr>
                            <w:fldChar w:fldCharType="begin"/>
                          </w:r>
                          <w:r>
                            <w:rPr>
                              <w:rStyle w:val="27"/>
                              <w:rFonts w:hint="eastAsia" w:ascii="宋体" w:hAnsi="宋体" w:eastAsia="宋体"/>
                              <w:sz w:val="26"/>
                              <w:szCs w:val="24"/>
                            </w:rPr>
                            <w:instrText xml:space="preserve">PAGE  </w:instrText>
                          </w:r>
                          <w:r>
                            <w:rPr>
                              <w:rStyle w:val="27"/>
                              <w:rFonts w:hint="eastAsia" w:ascii="宋体" w:hAnsi="宋体" w:eastAsia="宋体"/>
                              <w:sz w:val="26"/>
                              <w:szCs w:val="24"/>
                            </w:rPr>
                            <w:fldChar w:fldCharType="separate"/>
                          </w:r>
                          <w:r>
                            <w:rPr>
                              <w:rStyle w:val="27"/>
                              <w:rFonts w:hint="eastAsia" w:ascii="宋体" w:hAnsi="宋体" w:eastAsia="宋体"/>
                              <w:sz w:val="26"/>
                              <w:szCs w:val="24"/>
                            </w:rPr>
                            <w:t>9</w:t>
                          </w:r>
                          <w:r>
                            <w:rPr>
                              <w:rStyle w:val="27"/>
                              <w:rFonts w:hint="eastAsia" w:ascii="宋体" w:hAnsi="宋体" w:eastAsia="宋体"/>
                              <w:sz w:val="26"/>
                              <w:szCs w:val="24"/>
                            </w:rPr>
                            <w:fldChar w:fldCharType="end"/>
                          </w:r>
                          <w:r>
                            <w:rPr>
                              <w:rStyle w:val="27"/>
                              <w:rFonts w:hint="eastAsia" w:ascii="宋体" w:hAnsi="宋体" w:eastAsia="宋体"/>
                              <w:sz w:val="20"/>
                              <w:szCs w:val="24"/>
                            </w:rPr>
                            <w:t xml:space="preserve">  </w:t>
                          </w:r>
                          <w:r>
                            <w:rPr>
                              <w:rStyle w:val="27"/>
                              <w:rFonts w:hint="eastAsia" w:ascii="宋体" w:hAnsi="宋体" w:eastAsia="宋体"/>
                              <w:sz w:val="28"/>
                              <w:szCs w:val="2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3cvA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7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3cvAzAgAAYwQAAA4AAAAAAAAAAQAgAAAAHwEAAGRycy9lMm9Eb2MueG1sUEsF&#10;BgAAAAAGAAYAWQEAAMQFAAAAAA==&#10;">
              <v:fill on="f" focussize="0,0"/>
              <v:stroke on="f" weight="0.5pt"/>
              <v:imagedata o:title=""/>
              <o:lock v:ext="edit" aspectratio="f"/>
              <v:textbox inset="0mm,0mm,0mm,0mm" style="mso-fit-shape-to-text:t;">
                <w:txbxContent>
                  <w:p w14:paraId="1F5B3456">
                    <w:pPr>
                      <w:pStyle w:val="15"/>
                      <w:spacing w:beforeLines="0" w:afterLines="0"/>
                      <w:rPr>
                        <w:rStyle w:val="27"/>
                        <w:rFonts w:hint="eastAsia" w:ascii="宋体" w:hAnsi="宋体" w:eastAsia="宋体"/>
                        <w:sz w:val="28"/>
                        <w:szCs w:val="24"/>
                      </w:rPr>
                    </w:pPr>
                    <w:r>
                      <w:rPr>
                        <w:rStyle w:val="27"/>
                        <w:rFonts w:hint="eastAsia" w:ascii="宋体" w:hAnsi="宋体" w:eastAsia="宋体"/>
                        <w:sz w:val="28"/>
                        <w:szCs w:val="24"/>
                      </w:rPr>
                      <w:t>—</w:t>
                    </w:r>
                    <w:r>
                      <w:rPr>
                        <w:rStyle w:val="27"/>
                        <w:rFonts w:hint="eastAsia" w:ascii="宋体" w:hAnsi="宋体" w:eastAsia="宋体"/>
                        <w:sz w:val="20"/>
                        <w:szCs w:val="24"/>
                      </w:rPr>
                      <w:t xml:space="preserve">  </w:t>
                    </w:r>
                    <w:r>
                      <w:rPr>
                        <w:rStyle w:val="27"/>
                        <w:rFonts w:hint="eastAsia" w:ascii="宋体" w:hAnsi="宋体" w:eastAsia="宋体"/>
                        <w:sz w:val="26"/>
                        <w:szCs w:val="24"/>
                      </w:rPr>
                      <w:fldChar w:fldCharType="begin"/>
                    </w:r>
                    <w:r>
                      <w:rPr>
                        <w:rStyle w:val="27"/>
                        <w:rFonts w:hint="eastAsia" w:ascii="宋体" w:hAnsi="宋体" w:eastAsia="宋体"/>
                        <w:sz w:val="26"/>
                        <w:szCs w:val="24"/>
                      </w:rPr>
                      <w:instrText xml:space="preserve">PAGE  </w:instrText>
                    </w:r>
                    <w:r>
                      <w:rPr>
                        <w:rStyle w:val="27"/>
                        <w:rFonts w:hint="eastAsia" w:ascii="宋体" w:hAnsi="宋体" w:eastAsia="宋体"/>
                        <w:sz w:val="26"/>
                        <w:szCs w:val="24"/>
                      </w:rPr>
                      <w:fldChar w:fldCharType="separate"/>
                    </w:r>
                    <w:r>
                      <w:rPr>
                        <w:rStyle w:val="27"/>
                        <w:rFonts w:hint="eastAsia" w:ascii="宋体" w:hAnsi="宋体" w:eastAsia="宋体"/>
                        <w:sz w:val="26"/>
                        <w:szCs w:val="24"/>
                      </w:rPr>
                      <w:t>9</w:t>
                    </w:r>
                    <w:r>
                      <w:rPr>
                        <w:rStyle w:val="27"/>
                        <w:rFonts w:hint="eastAsia" w:ascii="宋体" w:hAnsi="宋体" w:eastAsia="宋体"/>
                        <w:sz w:val="26"/>
                        <w:szCs w:val="24"/>
                      </w:rPr>
                      <w:fldChar w:fldCharType="end"/>
                    </w:r>
                    <w:r>
                      <w:rPr>
                        <w:rStyle w:val="27"/>
                        <w:rFonts w:hint="eastAsia" w:ascii="宋体" w:hAnsi="宋体" w:eastAsia="宋体"/>
                        <w:sz w:val="20"/>
                        <w:szCs w:val="24"/>
                      </w:rPr>
                      <w:t xml:space="preserve">  </w:t>
                    </w:r>
                    <w:r>
                      <w:rPr>
                        <w:rStyle w:val="27"/>
                        <w:rFonts w:hint="eastAsia" w:ascii="宋体" w:hAnsi="宋体" w:eastAsia="宋体"/>
                        <w:sz w:val="28"/>
                        <w:szCs w:val="24"/>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2F461E">
    <w:pPr>
      <w:pStyle w:val="15"/>
      <w:spacing w:beforeLines="0" w:afterLines="0"/>
      <w:ind w:right="360" w:firstLine="360"/>
      <w:jc w:val="center"/>
      <w:rPr>
        <w:rFonts w:hint="default"/>
        <w:sz w:val="18"/>
        <w:szCs w:val="24"/>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020F62">
                          <w:pPr>
                            <w:pStyle w:val="15"/>
                            <w:spacing w:beforeLines="0" w:afterLines="0"/>
                            <w:rPr>
                              <w:rStyle w:val="27"/>
                              <w:rFonts w:hint="eastAsia" w:ascii="宋体" w:hAnsi="宋体" w:eastAsia="宋体"/>
                              <w:sz w:val="28"/>
                              <w:szCs w:val="24"/>
                            </w:rPr>
                          </w:pPr>
                          <w:r>
                            <w:rPr>
                              <w:rStyle w:val="27"/>
                              <w:rFonts w:hint="eastAsia" w:ascii="宋体" w:hAnsi="宋体" w:eastAsia="宋体"/>
                              <w:sz w:val="28"/>
                              <w:szCs w:val="24"/>
                            </w:rPr>
                            <w:t>—</w:t>
                          </w:r>
                          <w:r>
                            <w:rPr>
                              <w:rStyle w:val="27"/>
                              <w:rFonts w:hint="eastAsia" w:ascii="宋体" w:hAnsi="宋体" w:eastAsia="宋体"/>
                              <w:sz w:val="20"/>
                              <w:szCs w:val="24"/>
                            </w:rPr>
                            <w:t xml:space="preserve">  </w:t>
                          </w:r>
                          <w:r>
                            <w:rPr>
                              <w:rStyle w:val="27"/>
                              <w:rFonts w:hint="eastAsia" w:ascii="宋体" w:hAnsi="宋体" w:eastAsia="宋体"/>
                              <w:sz w:val="26"/>
                              <w:szCs w:val="24"/>
                            </w:rPr>
                            <w:fldChar w:fldCharType="begin"/>
                          </w:r>
                          <w:r>
                            <w:rPr>
                              <w:rStyle w:val="27"/>
                              <w:rFonts w:hint="eastAsia" w:ascii="宋体" w:hAnsi="宋体" w:eastAsia="宋体"/>
                              <w:sz w:val="26"/>
                              <w:szCs w:val="24"/>
                            </w:rPr>
                            <w:instrText xml:space="preserve">PAGE  </w:instrText>
                          </w:r>
                          <w:r>
                            <w:rPr>
                              <w:rStyle w:val="27"/>
                              <w:rFonts w:hint="eastAsia" w:ascii="宋体" w:hAnsi="宋体" w:eastAsia="宋体"/>
                              <w:sz w:val="26"/>
                              <w:szCs w:val="24"/>
                            </w:rPr>
                            <w:fldChar w:fldCharType="separate"/>
                          </w:r>
                          <w:r>
                            <w:rPr>
                              <w:rStyle w:val="27"/>
                              <w:rFonts w:hint="eastAsia" w:ascii="宋体" w:hAnsi="宋体" w:eastAsia="宋体"/>
                              <w:sz w:val="26"/>
                              <w:szCs w:val="24"/>
                            </w:rPr>
                            <w:t>10</w:t>
                          </w:r>
                          <w:r>
                            <w:rPr>
                              <w:rStyle w:val="27"/>
                              <w:rFonts w:hint="eastAsia" w:ascii="宋体" w:hAnsi="宋体" w:eastAsia="宋体"/>
                              <w:sz w:val="26"/>
                              <w:szCs w:val="24"/>
                            </w:rPr>
                            <w:fldChar w:fldCharType="end"/>
                          </w:r>
                          <w:r>
                            <w:rPr>
                              <w:rStyle w:val="27"/>
                              <w:rFonts w:hint="eastAsia" w:ascii="宋体" w:hAnsi="宋体" w:eastAsia="宋体"/>
                              <w:sz w:val="20"/>
                              <w:szCs w:val="24"/>
                            </w:rPr>
                            <w:t xml:space="preserve">  </w:t>
                          </w:r>
                          <w:r>
                            <w:rPr>
                              <w:rStyle w:val="27"/>
                              <w:rFonts w:hint="eastAsia" w:ascii="宋体" w:hAnsi="宋体" w:eastAsia="宋体"/>
                              <w:sz w:val="28"/>
                              <w:szCs w:val="2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7020F62">
                    <w:pPr>
                      <w:pStyle w:val="15"/>
                      <w:spacing w:beforeLines="0" w:afterLines="0"/>
                      <w:rPr>
                        <w:rStyle w:val="27"/>
                        <w:rFonts w:hint="eastAsia" w:ascii="宋体" w:hAnsi="宋体" w:eastAsia="宋体"/>
                        <w:sz w:val="28"/>
                        <w:szCs w:val="24"/>
                      </w:rPr>
                    </w:pPr>
                    <w:r>
                      <w:rPr>
                        <w:rStyle w:val="27"/>
                        <w:rFonts w:hint="eastAsia" w:ascii="宋体" w:hAnsi="宋体" w:eastAsia="宋体"/>
                        <w:sz w:val="28"/>
                        <w:szCs w:val="24"/>
                      </w:rPr>
                      <w:t>—</w:t>
                    </w:r>
                    <w:r>
                      <w:rPr>
                        <w:rStyle w:val="27"/>
                        <w:rFonts w:hint="eastAsia" w:ascii="宋体" w:hAnsi="宋体" w:eastAsia="宋体"/>
                        <w:sz w:val="20"/>
                        <w:szCs w:val="24"/>
                      </w:rPr>
                      <w:t xml:space="preserve">  </w:t>
                    </w:r>
                    <w:r>
                      <w:rPr>
                        <w:rStyle w:val="27"/>
                        <w:rFonts w:hint="eastAsia" w:ascii="宋体" w:hAnsi="宋体" w:eastAsia="宋体"/>
                        <w:sz w:val="26"/>
                        <w:szCs w:val="24"/>
                      </w:rPr>
                      <w:fldChar w:fldCharType="begin"/>
                    </w:r>
                    <w:r>
                      <w:rPr>
                        <w:rStyle w:val="27"/>
                        <w:rFonts w:hint="eastAsia" w:ascii="宋体" w:hAnsi="宋体" w:eastAsia="宋体"/>
                        <w:sz w:val="26"/>
                        <w:szCs w:val="24"/>
                      </w:rPr>
                      <w:instrText xml:space="preserve">PAGE  </w:instrText>
                    </w:r>
                    <w:r>
                      <w:rPr>
                        <w:rStyle w:val="27"/>
                        <w:rFonts w:hint="eastAsia" w:ascii="宋体" w:hAnsi="宋体" w:eastAsia="宋体"/>
                        <w:sz w:val="26"/>
                        <w:szCs w:val="24"/>
                      </w:rPr>
                      <w:fldChar w:fldCharType="separate"/>
                    </w:r>
                    <w:r>
                      <w:rPr>
                        <w:rStyle w:val="27"/>
                        <w:rFonts w:hint="eastAsia" w:ascii="宋体" w:hAnsi="宋体" w:eastAsia="宋体"/>
                        <w:sz w:val="26"/>
                        <w:szCs w:val="24"/>
                      </w:rPr>
                      <w:t>10</w:t>
                    </w:r>
                    <w:r>
                      <w:rPr>
                        <w:rStyle w:val="27"/>
                        <w:rFonts w:hint="eastAsia" w:ascii="宋体" w:hAnsi="宋体" w:eastAsia="宋体"/>
                        <w:sz w:val="26"/>
                        <w:szCs w:val="24"/>
                      </w:rPr>
                      <w:fldChar w:fldCharType="end"/>
                    </w:r>
                    <w:r>
                      <w:rPr>
                        <w:rStyle w:val="27"/>
                        <w:rFonts w:hint="eastAsia" w:ascii="宋体" w:hAnsi="宋体" w:eastAsia="宋体"/>
                        <w:sz w:val="20"/>
                        <w:szCs w:val="24"/>
                      </w:rPr>
                      <w:t xml:space="preserve">  </w:t>
                    </w:r>
                    <w:r>
                      <w:rPr>
                        <w:rStyle w:val="27"/>
                        <w:rFonts w:hint="eastAsia" w:ascii="宋体" w:hAnsi="宋体" w:eastAsia="宋体"/>
                        <w:sz w:val="28"/>
                        <w:szCs w:val="24"/>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5B241">
    <w:pPr>
      <w:pStyle w:val="15"/>
      <w:spacing w:beforeLines="0" w:afterLines="0"/>
      <w:ind w:right="360" w:firstLine="360"/>
      <w:jc w:val="center"/>
      <w:rPr>
        <w:rFonts w:hint="default"/>
        <w:sz w:val="18"/>
        <w:szCs w:val="24"/>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E44028">
                          <w:pPr>
                            <w:pStyle w:val="15"/>
                            <w:spacing w:beforeLines="0" w:afterLines="0"/>
                            <w:rPr>
                              <w:rStyle w:val="27"/>
                              <w:rFonts w:hint="eastAsia" w:ascii="宋体" w:hAnsi="宋体" w:eastAsia="宋体"/>
                              <w:sz w:val="28"/>
                              <w:szCs w:val="24"/>
                            </w:rPr>
                          </w:pPr>
                          <w:r>
                            <w:rPr>
                              <w:rStyle w:val="27"/>
                              <w:rFonts w:hint="eastAsia" w:ascii="宋体" w:hAnsi="宋体" w:eastAsia="宋体"/>
                              <w:sz w:val="28"/>
                              <w:szCs w:val="24"/>
                            </w:rPr>
                            <w:t>—</w:t>
                          </w:r>
                          <w:r>
                            <w:rPr>
                              <w:rStyle w:val="27"/>
                              <w:rFonts w:hint="eastAsia" w:ascii="宋体" w:hAnsi="宋体" w:eastAsia="宋体"/>
                              <w:sz w:val="20"/>
                              <w:szCs w:val="24"/>
                            </w:rPr>
                            <w:t xml:space="preserve">  </w:t>
                          </w:r>
                          <w:r>
                            <w:rPr>
                              <w:rStyle w:val="27"/>
                              <w:rFonts w:hint="eastAsia" w:ascii="宋体" w:hAnsi="宋体" w:eastAsia="宋体"/>
                              <w:sz w:val="26"/>
                              <w:szCs w:val="24"/>
                            </w:rPr>
                            <w:fldChar w:fldCharType="begin"/>
                          </w:r>
                          <w:r>
                            <w:rPr>
                              <w:rStyle w:val="27"/>
                              <w:rFonts w:hint="eastAsia" w:ascii="宋体" w:hAnsi="宋体" w:eastAsia="宋体"/>
                              <w:sz w:val="26"/>
                              <w:szCs w:val="24"/>
                            </w:rPr>
                            <w:instrText xml:space="preserve">PAGE  </w:instrText>
                          </w:r>
                          <w:r>
                            <w:rPr>
                              <w:rStyle w:val="27"/>
                              <w:rFonts w:hint="eastAsia" w:ascii="宋体" w:hAnsi="宋体" w:eastAsia="宋体"/>
                              <w:sz w:val="26"/>
                              <w:szCs w:val="24"/>
                            </w:rPr>
                            <w:fldChar w:fldCharType="separate"/>
                          </w:r>
                          <w:r>
                            <w:rPr>
                              <w:rStyle w:val="27"/>
                              <w:rFonts w:hint="eastAsia" w:ascii="宋体" w:hAnsi="宋体" w:eastAsia="宋体"/>
                              <w:sz w:val="26"/>
                              <w:szCs w:val="24"/>
                            </w:rPr>
                            <w:t>11</w:t>
                          </w:r>
                          <w:r>
                            <w:rPr>
                              <w:rStyle w:val="27"/>
                              <w:rFonts w:hint="eastAsia" w:ascii="宋体" w:hAnsi="宋体" w:eastAsia="宋体"/>
                              <w:sz w:val="26"/>
                              <w:szCs w:val="24"/>
                            </w:rPr>
                            <w:fldChar w:fldCharType="end"/>
                          </w:r>
                          <w:r>
                            <w:rPr>
                              <w:rStyle w:val="27"/>
                              <w:rFonts w:hint="eastAsia" w:ascii="宋体" w:hAnsi="宋体" w:eastAsia="宋体"/>
                              <w:sz w:val="20"/>
                              <w:szCs w:val="24"/>
                            </w:rPr>
                            <w:t xml:space="preserve">  </w:t>
                          </w:r>
                          <w:r>
                            <w:rPr>
                              <w:rStyle w:val="27"/>
                              <w:rFonts w:hint="eastAsia" w:ascii="宋体" w:hAnsi="宋体" w:eastAsia="宋体"/>
                              <w:sz w:val="28"/>
                              <w:szCs w:val="2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14:paraId="67E44028">
                    <w:pPr>
                      <w:pStyle w:val="15"/>
                      <w:spacing w:beforeLines="0" w:afterLines="0"/>
                      <w:rPr>
                        <w:rStyle w:val="27"/>
                        <w:rFonts w:hint="eastAsia" w:ascii="宋体" w:hAnsi="宋体" w:eastAsia="宋体"/>
                        <w:sz w:val="28"/>
                        <w:szCs w:val="24"/>
                      </w:rPr>
                    </w:pPr>
                    <w:r>
                      <w:rPr>
                        <w:rStyle w:val="27"/>
                        <w:rFonts w:hint="eastAsia" w:ascii="宋体" w:hAnsi="宋体" w:eastAsia="宋体"/>
                        <w:sz w:val="28"/>
                        <w:szCs w:val="24"/>
                      </w:rPr>
                      <w:t>—</w:t>
                    </w:r>
                    <w:r>
                      <w:rPr>
                        <w:rStyle w:val="27"/>
                        <w:rFonts w:hint="eastAsia" w:ascii="宋体" w:hAnsi="宋体" w:eastAsia="宋体"/>
                        <w:sz w:val="20"/>
                        <w:szCs w:val="24"/>
                      </w:rPr>
                      <w:t xml:space="preserve">  </w:t>
                    </w:r>
                    <w:r>
                      <w:rPr>
                        <w:rStyle w:val="27"/>
                        <w:rFonts w:hint="eastAsia" w:ascii="宋体" w:hAnsi="宋体" w:eastAsia="宋体"/>
                        <w:sz w:val="26"/>
                        <w:szCs w:val="24"/>
                      </w:rPr>
                      <w:fldChar w:fldCharType="begin"/>
                    </w:r>
                    <w:r>
                      <w:rPr>
                        <w:rStyle w:val="27"/>
                        <w:rFonts w:hint="eastAsia" w:ascii="宋体" w:hAnsi="宋体" w:eastAsia="宋体"/>
                        <w:sz w:val="26"/>
                        <w:szCs w:val="24"/>
                      </w:rPr>
                      <w:instrText xml:space="preserve">PAGE  </w:instrText>
                    </w:r>
                    <w:r>
                      <w:rPr>
                        <w:rStyle w:val="27"/>
                        <w:rFonts w:hint="eastAsia" w:ascii="宋体" w:hAnsi="宋体" w:eastAsia="宋体"/>
                        <w:sz w:val="26"/>
                        <w:szCs w:val="24"/>
                      </w:rPr>
                      <w:fldChar w:fldCharType="separate"/>
                    </w:r>
                    <w:r>
                      <w:rPr>
                        <w:rStyle w:val="27"/>
                        <w:rFonts w:hint="eastAsia" w:ascii="宋体" w:hAnsi="宋体" w:eastAsia="宋体"/>
                        <w:sz w:val="26"/>
                        <w:szCs w:val="24"/>
                      </w:rPr>
                      <w:t>11</w:t>
                    </w:r>
                    <w:r>
                      <w:rPr>
                        <w:rStyle w:val="27"/>
                        <w:rFonts w:hint="eastAsia" w:ascii="宋体" w:hAnsi="宋体" w:eastAsia="宋体"/>
                        <w:sz w:val="26"/>
                        <w:szCs w:val="24"/>
                      </w:rPr>
                      <w:fldChar w:fldCharType="end"/>
                    </w:r>
                    <w:r>
                      <w:rPr>
                        <w:rStyle w:val="27"/>
                        <w:rFonts w:hint="eastAsia" w:ascii="宋体" w:hAnsi="宋体" w:eastAsia="宋体"/>
                        <w:sz w:val="20"/>
                        <w:szCs w:val="24"/>
                      </w:rPr>
                      <w:t xml:space="preserve">  </w:t>
                    </w:r>
                    <w:r>
                      <w:rPr>
                        <w:rStyle w:val="27"/>
                        <w:rFonts w:hint="eastAsia" w:ascii="宋体" w:hAnsi="宋体" w:eastAsia="宋体"/>
                        <w:sz w:val="28"/>
                        <w:szCs w:val="24"/>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6A0B2E"/>
    <w:multiLevelType w:val="singleLevel"/>
    <w:tmpl w:val="C46A0B2E"/>
    <w:lvl w:ilvl="0" w:tentative="0">
      <w:start w:val="1"/>
      <w:numFmt w:val="decimal"/>
      <w:suff w:val="nothing"/>
      <w:lvlText w:val="（%1）"/>
      <w:lvlJc w:val="left"/>
    </w:lvl>
  </w:abstractNum>
  <w:abstractNum w:abstractNumId="1">
    <w:nsid w:val="C9825E16"/>
    <w:multiLevelType w:val="singleLevel"/>
    <w:tmpl w:val="C9825E16"/>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JjM2I0OWE0NDNiNTExOTc5ZWIxY2I1ZTA1OTFkYTUifQ=="/>
  </w:docVars>
  <w:rsids>
    <w:rsidRoot w:val="00172A27"/>
    <w:rsid w:val="001D6BCF"/>
    <w:rsid w:val="003250FC"/>
    <w:rsid w:val="007958E0"/>
    <w:rsid w:val="00974520"/>
    <w:rsid w:val="00C80389"/>
    <w:rsid w:val="0113520A"/>
    <w:rsid w:val="01333758"/>
    <w:rsid w:val="01341807"/>
    <w:rsid w:val="01571E23"/>
    <w:rsid w:val="0159575A"/>
    <w:rsid w:val="01712D82"/>
    <w:rsid w:val="01910A08"/>
    <w:rsid w:val="01981DF4"/>
    <w:rsid w:val="01AC3A93"/>
    <w:rsid w:val="0217497C"/>
    <w:rsid w:val="02444D9E"/>
    <w:rsid w:val="024C58CC"/>
    <w:rsid w:val="027F3E24"/>
    <w:rsid w:val="02E3529F"/>
    <w:rsid w:val="033C77D8"/>
    <w:rsid w:val="036068E4"/>
    <w:rsid w:val="036A1B20"/>
    <w:rsid w:val="038375EC"/>
    <w:rsid w:val="03D82976"/>
    <w:rsid w:val="04117BDE"/>
    <w:rsid w:val="04504BAA"/>
    <w:rsid w:val="04842AA6"/>
    <w:rsid w:val="048B7990"/>
    <w:rsid w:val="0492079E"/>
    <w:rsid w:val="04D962EF"/>
    <w:rsid w:val="04DE31DC"/>
    <w:rsid w:val="04F73278"/>
    <w:rsid w:val="05031C1C"/>
    <w:rsid w:val="0559183C"/>
    <w:rsid w:val="0585736B"/>
    <w:rsid w:val="05AC3C76"/>
    <w:rsid w:val="05AD1831"/>
    <w:rsid w:val="05BB6053"/>
    <w:rsid w:val="05F00EAD"/>
    <w:rsid w:val="06B41E81"/>
    <w:rsid w:val="075456F6"/>
    <w:rsid w:val="077A1F3E"/>
    <w:rsid w:val="0785400C"/>
    <w:rsid w:val="07E06245"/>
    <w:rsid w:val="082C148A"/>
    <w:rsid w:val="082E6A9D"/>
    <w:rsid w:val="084B06F4"/>
    <w:rsid w:val="08605622"/>
    <w:rsid w:val="08EE4992"/>
    <w:rsid w:val="09075A53"/>
    <w:rsid w:val="09704DB0"/>
    <w:rsid w:val="099B68C7"/>
    <w:rsid w:val="099C1636"/>
    <w:rsid w:val="09E76569"/>
    <w:rsid w:val="09FC30DE"/>
    <w:rsid w:val="0A205C65"/>
    <w:rsid w:val="0A2A37A7"/>
    <w:rsid w:val="0A553823"/>
    <w:rsid w:val="0A8C2CE9"/>
    <w:rsid w:val="0AB37C41"/>
    <w:rsid w:val="0ADE2FD6"/>
    <w:rsid w:val="0B89136E"/>
    <w:rsid w:val="0BBA6231"/>
    <w:rsid w:val="0BC05535"/>
    <w:rsid w:val="0BC67D70"/>
    <w:rsid w:val="0C160487"/>
    <w:rsid w:val="0C937C7F"/>
    <w:rsid w:val="0D1F4A81"/>
    <w:rsid w:val="0D383401"/>
    <w:rsid w:val="0D8A1D87"/>
    <w:rsid w:val="0DFA7935"/>
    <w:rsid w:val="0E0B38F0"/>
    <w:rsid w:val="0E4A66AF"/>
    <w:rsid w:val="0E520D9E"/>
    <w:rsid w:val="0E5E4367"/>
    <w:rsid w:val="0E625C06"/>
    <w:rsid w:val="0E794CFD"/>
    <w:rsid w:val="0E9E1920"/>
    <w:rsid w:val="0E9E4764"/>
    <w:rsid w:val="0F8120BC"/>
    <w:rsid w:val="0FCD5301"/>
    <w:rsid w:val="0FE22CD5"/>
    <w:rsid w:val="0FEE07CC"/>
    <w:rsid w:val="0FF617C6"/>
    <w:rsid w:val="103709CC"/>
    <w:rsid w:val="108856CC"/>
    <w:rsid w:val="10DB5CE9"/>
    <w:rsid w:val="111A272A"/>
    <w:rsid w:val="112445EA"/>
    <w:rsid w:val="113960CC"/>
    <w:rsid w:val="11514DDE"/>
    <w:rsid w:val="11AA5D0A"/>
    <w:rsid w:val="11FE3E97"/>
    <w:rsid w:val="120D5E88"/>
    <w:rsid w:val="120D7D54"/>
    <w:rsid w:val="12816876"/>
    <w:rsid w:val="12823F5A"/>
    <w:rsid w:val="12C4693D"/>
    <w:rsid w:val="130F2B6D"/>
    <w:rsid w:val="1348720E"/>
    <w:rsid w:val="135F107C"/>
    <w:rsid w:val="13DE6E69"/>
    <w:rsid w:val="13EA2F2D"/>
    <w:rsid w:val="14060DE1"/>
    <w:rsid w:val="140B7783"/>
    <w:rsid w:val="15063063"/>
    <w:rsid w:val="1511748F"/>
    <w:rsid w:val="15721353"/>
    <w:rsid w:val="15AA29E3"/>
    <w:rsid w:val="15BF7E64"/>
    <w:rsid w:val="15F630D7"/>
    <w:rsid w:val="167A12C3"/>
    <w:rsid w:val="16BD3DF2"/>
    <w:rsid w:val="16D50F3F"/>
    <w:rsid w:val="16D61723"/>
    <w:rsid w:val="1767603B"/>
    <w:rsid w:val="1789105F"/>
    <w:rsid w:val="17AA5F28"/>
    <w:rsid w:val="17B445FE"/>
    <w:rsid w:val="183132AC"/>
    <w:rsid w:val="18371B2C"/>
    <w:rsid w:val="186B09C2"/>
    <w:rsid w:val="18DC65B5"/>
    <w:rsid w:val="19263CD4"/>
    <w:rsid w:val="1938692F"/>
    <w:rsid w:val="195B0738"/>
    <w:rsid w:val="197762DD"/>
    <w:rsid w:val="19AC1DBC"/>
    <w:rsid w:val="19C21C4E"/>
    <w:rsid w:val="19D070DD"/>
    <w:rsid w:val="19F65454"/>
    <w:rsid w:val="1A4C1518"/>
    <w:rsid w:val="1A91517D"/>
    <w:rsid w:val="1AAC1FB7"/>
    <w:rsid w:val="1AD82DAC"/>
    <w:rsid w:val="1AFB080F"/>
    <w:rsid w:val="1B0E2A8A"/>
    <w:rsid w:val="1B167CC8"/>
    <w:rsid w:val="1B491C41"/>
    <w:rsid w:val="1B533C51"/>
    <w:rsid w:val="1B574618"/>
    <w:rsid w:val="1B747DFE"/>
    <w:rsid w:val="1BCD39C8"/>
    <w:rsid w:val="1BD344D3"/>
    <w:rsid w:val="1BDD6B3D"/>
    <w:rsid w:val="1CA27BED"/>
    <w:rsid w:val="1CF10155"/>
    <w:rsid w:val="1CF77E61"/>
    <w:rsid w:val="1CF814E3"/>
    <w:rsid w:val="1D1E6C78"/>
    <w:rsid w:val="1E032E67"/>
    <w:rsid w:val="1E0C5B52"/>
    <w:rsid w:val="1E5E7A6C"/>
    <w:rsid w:val="1EFE17EC"/>
    <w:rsid w:val="1F843D44"/>
    <w:rsid w:val="1FDE6E9A"/>
    <w:rsid w:val="20356E0E"/>
    <w:rsid w:val="205005EA"/>
    <w:rsid w:val="206707F5"/>
    <w:rsid w:val="20674D1F"/>
    <w:rsid w:val="20CA3197"/>
    <w:rsid w:val="21007032"/>
    <w:rsid w:val="2107263D"/>
    <w:rsid w:val="21081E77"/>
    <w:rsid w:val="2116462E"/>
    <w:rsid w:val="217355DC"/>
    <w:rsid w:val="21C978F2"/>
    <w:rsid w:val="21F91F85"/>
    <w:rsid w:val="22104E16"/>
    <w:rsid w:val="22317971"/>
    <w:rsid w:val="223D5FB3"/>
    <w:rsid w:val="227B299A"/>
    <w:rsid w:val="22C961B7"/>
    <w:rsid w:val="22E9330E"/>
    <w:rsid w:val="234C2D59"/>
    <w:rsid w:val="23774348"/>
    <w:rsid w:val="23852EF1"/>
    <w:rsid w:val="23A719BA"/>
    <w:rsid w:val="23C27922"/>
    <w:rsid w:val="23C6578D"/>
    <w:rsid w:val="242C4855"/>
    <w:rsid w:val="243E6375"/>
    <w:rsid w:val="24401254"/>
    <w:rsid w:val="24437090"/>
    <w:rsid w:val="245F1BD6"/>
    <w:rsid w:val="249E485B"/>
    <w:rsid w:val="24A14DAF"/>
    <w:rsid w:val="24C43CE5"/>
    <w:rsid w:val="24C50845"/>
    <w:rsid w:val="255B4211"/>
    <w:rsid w:val="25710473"/>
    <w:rsid w:val="25973B60"/>
    <w:rsid w:val="25C56C46"/>
    <w:rsid w:val="25CE5F37"/>
    <w:rsid w:val="25D06DC7"/>
    <w:rsid w:val="25DD4E4D"/>
    <w:rsid w:val="26105416"/>
    <w:rsid w:val="261A696E"/>
    <w:rsid w:val="26457013"/>
    <w:rsid w:val="26747E2C"/>
    <w:rsid w:val="271E423C"/>
    <w:rsid w:val="2725381D"/>
    <w:rsid w:val="27637EA1"/>
    <w:rsid w:val="277125BE"/>
    <w:rsid w:val="27731819"/>
    <w:rsid w:val="27944870"/>
    <w:rsid w:val="279938C3"/>
    <w:rsid w:val="27D33A7D"/>
    <w:rsid w:val="27E234BC"/>
    <w:rsid w:val="283F3D12"/>
    <w:rsid w:val="28C51073"/>
    <w:rsid w:val="28D9041B"/>
    <w:rsid w:val="28DC3F59"/>
    <w:rsid w:val="28DE0721"/>
    <w:rsid w:val="28E3573D"/>
    <w:rsid w:val="29A50C45"/>
    <w:rsid w:val="29B241D5"/>
    <w:rsid w:val="29B407A1"/>
    <w:rsid w:val="2A716822"/>
    <w:rsid w:val="2AAE5382"/>
    <w:rsid w:val="2AC77529"/>
    <w:rsid w:val="2AFCF3CA"/>
    <w:rsid w:val="2B1A5FBB"/>
    <w:rsid w:val="2B9D6CE0"/>
    <w:rsid w:val="2BA54F2C"/>
    <w:rsid w:val="2BCC070B"/>
    <w:rsid w:val="2BF1242A"/>
    <w:rsid w:val="2BF60650"/>
    <w:rsid w:val="2C3E2F8D"/>
    <w:rsid w:val="2C4958B7"/>
    <w:rsid w:val="2C5E1973"/>
    <w:rsid w:val="2C8B23BA"/>
    <w:rsid w:val="2CC6515A"/>
    <w:rsid w:val="2CDD762F"/>
    <w:rsid w:val="2CE774CF"/>
    <w:rsid w:val="2D041B3E"/>
    <w:rsid w:val="2D2A55B7"/>
    <w:rsid w:val="2D3617F0"/>
    <w:rsid w:val="2D3E1194"/>
    <w:rsid w:val="2D46629B"/>
    <w:rsid w:val="2DAF6C92"/>
    <w:rsid w:val="2DD92C6B"/>
    <w:rsid w:val="2DE662FF"/>
    <w:rsid w:val="2E3F51C4"/>
    <w:rsid w:val="2E47276C"/>
    <w:rsid w:val="2E693FEF"/>
    <w:rsid w:val="2E6B36B0"/>
    <w:rsid w:val="2F0B779C"/>
    <w:rsid w:val="2F0C3CD3"/>
    <w:rsid w:val="2F212728"/>
    <w:rsid w:val="2F656EAC"/>
    <w:rsid w:val="2F72331A"/>
    <w:rsid w:val="2FA653B8"/>
    <w:rsid w:val="2FAB0ED5"/>
    <w:rsid w:val="2FE222AB"/>
    <w:rsid w:val="2FEA669B"/>
    <w:rsid w:val="305331A8"/>
    <w:rsid w:val="305610DD"/>
    <w:rsid w:val="305A4537"/>
    <w:rsid w:val="30711FA8"/>
    <w:rsid w:val="307A0735"/>
    <w:rsid w:val="30E70A3F"/>
    <w:rsid w:val="310722CD"/>
    <w:rsid w:val="314966CB"/>
    <w:rsid w:val="317433D6"/>
    <w:rsid w:val="31797BD7"/>
    <w:rsid w:val="31853836"/>
    <w:rsid w:val="31B92B8B"/>
    <w:rsid w:val="31D22AA9"/>
    <w:rsid w:val="31DE115B"/>
    <w:rsid w:val="328B3337"/>
    <w:rsid w:val="32C22910"/>
    <w:rsid w:val="32F9594C"/>
    <w:rsid w:val="335E433E"/>
    <w:rsid w:val="33D15ED0"/>
    <w:rsid w:val="34000F51"/>
    <w:rsid w:val="340B6BEB"/>
    <w:rsid w:val="343A7E80"/>
    <w:rsid w:val="34C938D6"/>
    <w:rsid w:val="35557533"/>
    <w:rsid w:val="35A11CA5"/>
    <w:rsid w:val="35A16764"/>
    <w:rsid w:val="35B06739"/>
    <w:rsid w:val="35D972F8"/>
    <w:rsid w:val="36102F9D"/>
    <w:rsid w:val="361138EA"/>
    <w:rsid w:val="362424DB"/>
    <w:rsid w:val="368F6434"/>
    <w:rsid w:val="36BB4E15"/>
    <w:rsid w:val="36C32B8F"/>
    <w:rsid w:val="36C812F7"/>
    <w:rsid w:val="36FB4F8C"/>
    <w:rsid w:val="37811B02"/>
    <w:rsid w:val="37996F25"/>
    <w:rsid w:val="37A25927"/>
    <w:rsid w:val="37CD55EE"/>
    <w:rsid w:val="37D72911"/>
    <w:rsid w:val="38215757"/>
    <w:rsid w:val="38923B67"/>
    <w:rsid w:val="3895437E"/>
    <w:rsid w:val="389C3213"/>
    <w:rsid w:val="38EF51DE"/>
    <w:rsid w:val="390C65EA"/>
    <w:rsid w:val="390F7E89"/>
    <w:rsid w:val="393953AB"/>
    <w:rsid w:val="39416760"/>
    <w:rsid w:val="39B649FE"/>
    <w:rsid w:val="39E06C58"/>
    <w:rsid w:val="3A6E1318"/>
    <w:rsid w:val="3A7618E5"/>
    <w:rsid w:val="3AAF4547"/>
    <w:rsid w:val="3B343BD6"/>
    <w:rsid w:val="3B5B0E00"/>
    <w:rsid w:val="3B626249"/>
    <w:rsid w:val="3BB241ED"/>
    <w:rsid w:val="3BBA33BD"/>
    <w:rsid w:val="3C453B8B"/>
    <w:rsid w:val="3C4B7FBD"/>
    <w:rsid w:val="3CA65218"/>
    <w:rsid w:val="3CB13731"/>
    <w:rsid w:val="3CD45671"/>
    <w:rsid w:val="3D023F8C"/>
    <w:rsid w:val="3D112A25"/>
    <w:rsid w:val="3D7B26AF"/>
    <w:rsid w:val="3D8F3346"/>
    <w:rsid w:val="3DA43275"/>
    <w:rsid w:val="3DC32A57"/>
    <w:rsid w:val="3DF912ED"/>
    <w:rsid w:val="3E014244"/>
    <w:rsid w:val="3E382AD9"/>
    <w:rsid w:val="3E497999"/>
    <w:rsid w:val="3E6A003B"/>
    <w:rsid w:val="3F010273"/>
    <w:rsid w:val="40534AFF"/>
    <w:rsid w:val="405745EF"/>
    <w:rsid w:val="405B278F"/>
    <w:rsid w:val="40650DCD"/>
    <w:rsid w:val="40B7508E"/>
    <w:rsid w:val="413761CE"/>
    <w:rsid w:val="413C0E6F"/>
    <w:rsid w:val="413E130B"/>
    <w:rsid w:val="414C1C7A"/>
    <w:rsid w:val="41503348"/>
    <w:rsid w:val="415B1EBD"/>
    <w:rsid w:val="41F04390"/>
    <w:rsid w:val="41F74BB1"/>
    <w:rsid w:val="427F1BDB"/>
    <w:rsid w:val="42957B16"/>
    <w:rsid w:val="42A80427"/>
    <w:rsid w:val="42AB6E74"/>
    <w:rsid w:val="42BC7709"/>
    <w:rsid w:val="42FA1C63"/>
    <w:rsid w:val="43667CF8"/>
    <w:rsid w:val="436D5042"/>
    <w:rsid w:val="437A6D15"/>
    <w:rsid w:val="440E2BC1"/>
    <w:rsid w:val="441709A1"/>
    <w:rsid w:val="441D4595"/>
    <w:rsid w:val="445E73B1"/>
    <w:rsid w:val="44ED393A"/>
    <w:rsid w:val="451C7BB5"/>
    <w:rsid w:val="458A7D66"/>
    <w:rsid w:val="463351B6"/>
    <w:rsid w:val="46374CEA"/>
    <w:rsid w:val="465D66D7"/>
    <w:rsid w:val="469F5CBE"/>
    <w:rsid w:val="46D21AC8"/>
    <w:rsid w:val="46D70238"/>
    <w:rsid w:val="47743240"/>
    <w:rsid w:val="47F70704"/>
    <w:rsid w:val="48C40185"/>
    <w:rsid w:val="48DF681D"/>
    <w:rsid w:val="4904307D"/>
    <w:rsid w:val="491F1A22"/>
    <w:rsid w:val="492412FE"/>
    <w:rsid w:val="493C1756"/>
    <w:rsid w:val="494505B0"/>
    <w:rsid w:val="49636EC0"/>
    <w:rsid w:val="497A75A0"/>
    <w:rsid w:val="49957F36"/>
    <w:rsid w:val="49CB7EAA"/>
    <w:rsid w:val="49CC0F07"/>
    <w:rsid w:val="49D56585"/>
    <w:rsid w:val="49FF2180"/>
    <w:rsid w:val="4A5C1C70"/>
    <w:rsid w:val="4A840D27"/>
    <w:rsid w:val="4A9B5A20"/>
    <w:rsid w:val="4AAB060C"/>
    <w:rsid w:val="4AC960E9"/>
    <w:rsid w:val="4B0B7EC9"/>
    <w:rsid w:val="4B101F6A"/>
    <w:rsid w:val="4B26353C"/>
    <w:rsid w:val="4B4C20B1"/>
    <w:rsid w:val="4B5F155D"/>
    <w:rsid w:val="4BB02127"/>
    <w:rsid w:val="4BD225EB"/>
    <w:rsid w:val="4CC16C7C"/>
    <w:rsid w:val="4CD51E95"/>
    <w:rsid w:val="4DE90850"/>
    <w:rsid w:val="4DF47921"/>
    <w:rsid w:val="4DFB28A5"/>
    <w:rsid w:val="4E8F0694"/>
    <w:rsid w:val="4ED11A10"/>
    <w:rsid w:val="4F0E4DD1"/>
    <w:rsid w:val="4F1009C9"/>
    <w:rsid w:val="4F5D2BD2"/>
    <w:rsid w:val="4F696075"/>
    <w:rsid w:val="4FCE5F50"/>
    <w:rsid w:val="4FD35314"/>
    <w:rsid w:val="4FFF25AD"/>
    <w:rsid w:val="503C3083"/>
    <w:rsid w:val="503D01FE"/>
    <w:rsid w:val="50AC35FD"/>
    <w:rsid w:val="50BB43AE"/>
    <w:rsid w:val="50F6575E"/>
    <w:rsid w:val="51477D68"/>
    <w:rsid w:val="515060A5"/>
    <w:rsid w:val="5157299F"/>
    <w:rsid w:val="515D3A2F"/>
    <w:rsid w:val="52055321"/>
    <w:rsid w:val="52272456"/>
    <w:rsid w:val="530238B8"/>
    <w:rsid w:val="531F615F"/>
    <w:rsid w:val="54200D37"/>
    <w:rsid w:val="54322F51"/>
    <w:rsid w:val="54410C83"/>
    <w:rsid w:val="54CF69F2"/>
    <w:rsid w:val="55432F3C"/>
    <w:rsid w:val="556B48E1"/>
    <w:rsid w:val="556D4576"/>
    <w:rsid w:val="55772F0F"/>
    <w:rsid w:val="55B8632C"/>
    <w:rsid w:val="55E464CD"/>
    <w:rsid w:val="56004989"/>
    <w:rsid w:val="5666279B"/>
    <w:rsid w:val="56C46B46"/>
    <w:rsid w:val="57144222"/>
    <w:rsid w:val="572264A0"/>
    <w:rsid w:val="574C257C"/>
    <w:rsid w:val="577B69BD"/>
    <w:rsid w:val="57A51C8C"/>
    <w:rsid w:val="58584F50"/>
    <w:rsid w:val="58C81A2F"/>
    <w:rsid w:val="58F22CAF"/>
    <w:rsid w:val="58F9078D"/>
    <w:rsid w:val="59186D49"/>
    <w:rsid w:val="593C217C"/>
    <w:rsid w:val="595B49A7"/>
    <w:rsid w:val="59684D1F"/>
    <w:rsid w:val="59886A06"/>
    <w:rsid w:val="59D32AE1"/>
    <w:rsid w:val="59E85E60"/>
    <w:rsid w:val="59EF71EF"/>
    <w:rsid w:val="59FB5B93"/>
    <w:rsid w:val="5A3D43FE"/>
    <w:rsid w:val="5A5B2F40"/>
    <w:rsid w:val="5B772B14"/>
    <w:rsid w:val="5B9641AC"/>
    <w:rsid w:val="5BCE72A9"/>
    <w:rsid w:val="5BD53C06"/>
    <w:rsid w:val="5BDA4433"/>
    <w:rsid w:val="5C6D5FB0"/>
    <w:rsid w:val="5C743393"/>
    <w:rsid w:val="5D284EF1"/>
    <w:rsid w:val="5D417392"/>
    <w:rsid w:val="5DAF4C1B"/>
    <w:rsid w:val="5DC32E6C"/>
    <w:rsid w:val="5DEF67DC"/>
    <w:rsid w:val="5E0C7967"/>
    <w:rsid w:val="5E143B1E"/>
    <w:rsid w:val="5EA7453C"/>
    <w:rsid w:val="5EB015B3"/>
    <w:rsid w:val="5EC537A4"/>
    <w:rsid w:val="5F1124DB"/>
    <w:rsid w:val="5F576AB7"/>
    <w:rsid w:val="5F5A4609"/>
    <w:rsid w:val="5F8333B2"/>
    <w:rsid w:val="5F911B3B"/>
    <w:rsid w:val="5FCE0AF6"/>
    <w:rsid w:val="5FE07D05"/>
    <w:rsid w:val="600F61D2"/>
    <w:rsid w:val="605F4FDA"/>
    <w:rsid w:val="608B350E"/>
    <w:rsid w:val="60991A0D"/>
    <w:rsid w:val="60A44C28"/>
    <w:rsid w:val="60A91233"/>
    <w:rsid w:val="60CC405A"/>
    <w:rsid w:val="60E618D8"/>
    <w:rsid w:val="60FF065F"/>
    <w:rsid w:val="61201BA6"/>
    <w:rsid w:val="61434B8B"/>
    <w:rsid w:val="615A41E6"/>
    <w:rsid w:val="61C45B06"/>
    <w:rsid w:val="61E733D1"/>
    <w:rsid w:val="61FE0E14"/>
    <w:rsid w:val="620871CC"/>
    <w:rsid w:val="623940AD"/>
    <w:rsid w:val="625B3673"/>
    <w:rsid w:val="62811D1C"/>
    <w:rsid w:val="62CC4063"/>
    <w:rsid w:val="62D35C05"/>
    <w:rsid w:val="62D840CB"/>
    <w:rsid w:val="632223E3"/>
    <w:rsid w:val="63225164"/>
    <w:rsid w:val="634A234A"/>
    <w:rsid w:val="63902AC3"/>
    <w:rsid w:val="63CD05A1"/>
    <w:rsid w:val="640F128A"/>
    <w:rsid w:val="6417765E"/>
    <w:rsid w:val="6420238B"/>
    <w:rsid w:val="646105E0"/>
    <w:rsid w:val="64722A87"/>
    <w:rsid w:val="64AE0A09"/>
    <w:rsid w:val="64BC28D6"/>
    <w:rsid w:val="64F45CC6"/>
    <w:rsid w:val="651641C9"/>
    <w:rsid w:val="657F32E5"/>
    <w:rsid w:val="659C46CE"/>
    <w:rsid w:val="65B8407E"/>
    <w:rsid w:val="65D0310E"/>
    <w:rsid w:val="65DE5E07"/>
    <w:rsid w:val="660D2ED6"/>
    <w:rsid w:val="661701F9"/>
    <w:rsid w:val="664B56C2"/>
    <w:rsid w:val="66505AF7"/>
    <w:rsid w:val="666A152C"/>
    <w:rsid w:val="666B7A14"/>
    <w:rsid w:val="670D0C1A"/>
    <w:rsid w:val="67422E95"/>
    <w:rsid w:val="67786A75"/>
    <w:rsid w:val="678B567F"/>
    <w:rsid w:val="678E6A80"/>
    <w:rsid w:val="67B11F87"/>
    <w:rsid w:val="67CC164B"/>
    <w:rsid w:val="67D839E1"/>
    <w:rsid w:val="67F325A0"/>
    <w:rsid w:val="681C38A5"/>
    <w:rsid w:val="682518DE"/>
    <w:rsid w:val="682E35D8"/>
    <w:rsid w:val="6832131A"/>
    <w:rsid w:val="6832156D"/>
    <w:rsid w:val="688D02FE"/>
    <w:rsid w:val="68B8350B"/>
    <w:rsid w:val="68DB2765"/>
    <w:rsid w:val="691B0BA5"/>
    <w:rsid w:val="69692B1A"/>
    <w:rsid w:val="697A5BAD"/>
    <w:rsid w:val="6A1A18CD"/>
    <w:rsid w:val="6A843983"/>
    <w:rsid w:val="6AB029CA"/>
    <w:rsid w:val="6ACE4BFE"/>
    <w:rsid w:val="6ADB22F2"/>
    <w:rsid w:val="6AFE37F7"/>
    <w:rsid w:val="6B19231D"/>
    <w:rsid w:val="6BB237B6"/>
    <w:rsid w:val="6BBD02FA"/>
    <w:rsid w:val="6BDC771A"/>
    <w:rsid w:val="6C132065"/>
    <w:rsid w:val="6C3D2622"/>
    <w:rsid w:val="6C51245B"/>
    <w:rsid w:val="6C9FC6BA"/>
    <w:rsid w:val="6CEA0BB5"/>
    <w:rsid w:val="6CFA684D"/>
    <w:rsid w:val="6D2D5C8A"/>
    <w:rsid w:val="6D3D2040"/>
    <w:rsid w:val="6D5A2BB1"/>
    <w:rsid w:val="6E2416F4"/>
    <w:rsid w:val="6E647D53"/>
    <w:rsid w:val="6ED639E8"/>
    <w:rsid w:val="6F001C2C"/>
    <w:rsid w:val="6F4631C8"/>
    <w:rsid w:val="6F5A4CB2"/>
    <w:rsid w:val="6F5F686C"/>
    <w:rsid w:val="6FB70357"/>
    <w:rsid w:val="6FDD7DBD"/>
    <w:rsid w:val="6FDE4125"/>
    <w:rsid w:val="6FE0425B"/>
    <w:rsid w:val="702B386A"/>
    <w:rsid w:val="706310C2"/>
    <w:rsid w:val="70664497"/>
    <w:rsid w:val="70C90783"/>
    <w:rsid w:val="70D311C0"/>
    <w:rsid w:val="710B6BAC"/>
    <w:rsid w:val="7113780F"/>
    <w:rsid w:val="711E19C0"/>
    <w:rsid w:val="71EA06E9"/>
    <w:rsid w:val="71FD4747"/>
    <w:rsid w:val="722C0B88"/>
    <w:rsid w:val="72642C76"/>
    <w:rsid w:val="72887472"/>
    <w:rsid w:val="7297269C"/>
    <w:rsid w:val="72FB6C32"/>
    <w:rsid w:val="73207978"/>
    <w:rsid w:val="735A1725"/>
    <w:rsid w:val="73DF23E2"/>
    <w:rsid w:val="73FB1F1D"/>
    <w:rsid w:val="74816EB6"/>
    <w:rsid w:val="74C07CAE"/>
    <w:rsid w:val="74CA52D9"/>
    <w:rsid w:val="7503076C"/>
    <w:rsid w:val="752F139E"/>
    <w:rsid w:val="75A650F5"/>
    <w:rsid w:val="75B27178"/>
    <w:rsid w:val="76037EB7"/>
    <w:rsid w:val="76626085"/>
    <w:rsid w:val="767D7858"/>
    <w:rsid w:val="768D53A7"/>
    <w:rsid w:val="769B62DC"/>
    <w:rsid w:val="76AC6C37"/>
    <w:rsid w:val="76DD3DA0"/>
    <w:rsid w:val="76EF2810"/>
    <w:rsid w:val="775A6197"/>
    <w:rsid w:val="778E4093"/>
    <w:rsid w:val="77C92594"/>
    <w:rsid w:val="780F0D30"/>
    <w:rsid w:val="783B42D7"/>
    <w:rsid w:val="786C6182"/>
    <w:rsid w:val="78CB7529"/>
    <w:rsid w:val="78F84FB9"/>
    <w:rsid w:val="792D4F1D"/>
    <w:rsid w:val="79331FF5"/>
    <w:rsid w:val="795A3882"/>
    <w:rsid w:val="796706F8"/>
    <w:rsid w:val="79793081"/>
    <w:rsid w:val="79955265"/>
    <w:rsid w:val="79C30024"/>
    <w:rsid w:val="79F74F54"/>
    <w:rsid w:val="7A03105A"/>
    <w:rsid w:val="7A782F9B"/>
    <w:rsid w:val="7ABE7744"/>
    <w:rsid w:val="7AF50463"/>
    <w:rsid w:val="7B465873"/>
    <w:rsid w:val="7BEC5703"/>
    <w:rsid w:val="7BF01B66"/>
    <w:rsid w:val="7C24601E"/>
    <w:rsid w:val="7C4176DD"/>
    <w:rsid w:val="7C60105B"/>
    <w:rsid w:val="7C7536B7"/>
    <w:rsid w:val="7C9E734F"/>
    <w:rsid w:val="7CC077BF"/>
    <w:rsid w:val="7CFE5817"/>
    <w:rsid w:val="7D0627A0"/>
    <w:rsid w:val="7D840E4A"/>
    <w:rsid w:val="7DA56368"/>
    <w:rsid w:val="7DB755F7"/>
    <w:rsid w:val="7DBA10EA"/>
    <w:rsid w:val="7DF32EA2"/>
    <w:rsid w:val="7E12311E"/>
    <w:rsid w:val="7E1B0471"/>
    <w:rsid w:val="7E48108A"/>
    <w:rsid w:val="7E521B77"/>
    <w:rsid w:val="7EDF17DB"/>
    <w:rsid w:val="7EEE56CB"/>
    <w:rsid w:val="7EF401A0"/>
    <w:rsid w:val="7F0F5AB9"/>
    <w:rsid w:val="7F2C7859"/>
    <w:rsid w:val="7FFF1062"/>
    <w:rsid w:val="F1FF1F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spacing w:beforeLines="0" w:afterLines="0"/>
      <w:jc w:val="both"/>
    </w:pPr>
    <w:rPr>
      <w:rFonts w:hint="default" w:eastAsia="宋体" w:asciiTheme="minorAscii" w:hAnsiTheme="minorAscii" w:cstheme="minorBidi"/>
      <w:kern w:val="2"/>
      <w:sz w:val="24"/>
      <w:szCs w:val="24"/>
      <w:lang w:val="en-US" w:eastAsia="zh-CN" w:bidi="ar-SA"/>
    </w:rPr>
  </w:style>
  <w:style w:type="paragraph" w:styleId="3">
    <w:name w:val="heading 1"/>
    <w:basedOn w:val="1"/>
    <w:next w:val="1"/>
    <w:link w:val="31"/>
    <w:qFormat/>
    <w:uiPriority w:val="0"/>
    <w:pPr>
      <w:keepNext/>
      <w:keepLines/>
      <w:spacing w:before="100" w:beforeLines="100" w:line="360" w:lineRule="auto"/>
      <w:ind w:firstLine="0" w:firstLineChars="0"/>
      <w:jc w:val="center"/>
      <w:outlineLvl w:val="0"/>
    </w:pPr>
    <w:rPr>
      <w:rFonts w:eastAsia="黑体" w:cstheme="minorBidi"/>
      <w:kern w:val="44"/>
      <w:sz w:val="36"/>
      <w:szCs w:val="30"/>
      <w:lang w:eastAsia="zh-CN" w:bidi="ar-SA"/>
    </w:rPr>
  </w:style>
  <w:style w:type="paragraph" w:styleId="4">
    <w:name w:val="heading 2"/>
    <w:basedOn w:val="1"/>
    <w:next w:val="1"/>
    <w:link w:val="32"/>
    <w:semiHidden/>
    <w:unhideWhenUsed/>
    <w:qFormat/>
    <w:uiPriority w:val="0"/>
    <w:pPr>
      <w:keepNext/>
      <w:keepLines/>
      <w:spacing w:before="100" w:beforeLines="100" w:beforeAutospacing="0" w:afterLines="0" w:afterAutospacing="0" w:line="360" w:lineRule="auto"/>
      <w:ind w:firstLine="0" w:firstLineChars="0"/>
      <w:outlineLvl w:val="1"/>
    </w:pPr>
    <w:rPr>
      <w:rFonts w:ascii="Times New Roman" w:hAnsi="Times New Roman" w:eastAsia="黑体" w:cstheme="minorBidi"/>
      <w:kern w:val="2"/>
      <w:sz w:val="32"/>
      <w:szCs w:val="28"/>
      <w:lang w:eastAsia="zh-CN" w:bidi="ar-SA"/>
    </w:rPr>
  </w:style>
  <w:style w:type="paragraph" w:styleId="5">
    <w:name w:val="heading 3"/>
    <w:basedOn w:val="1"/>
    <w:next w:val="1"/>
    <w:link w:val="33"/>
    <w:semiHidden/>
    <w:unhideWhenUsed/>
    <w:qFormat/>
    <w:uiPriority w:val="0"/>
    <w:pPr>
      <w:keepNext/>
      <w:keepLines/>
      <w:spacing w:before="50" w:beforeLines="50" w:beforeAutospacing="0" w:afterLines="0" w:afterAutospacing="0" w:line="360" w:lineRule="auto"/>
      <w:ind w:firstLine="0" w:firstLineChars="0"/>
      <w:outlineLvl w:val="2"/>
    </w:pPr>
    <w:rPr>
      <w:rFonts w:ascii="Times New Roman" w:hAnsi="Times New Roman" w:eastAsia="黑体" w:cs="Times New Roman"/>
      <w:kern w:val="2"/>
      <w:sz w:val="30"/>
      <w:lang w:eastAsia="zh-CN" w:bidi="ar-SA"/>
    </w:rPr>
  </w:style>
  <w:style w:type="paragraph" w:styleId="6">
    <w:name w:val="heading 4"/>
    <w:basedOn w:val="1"/>
    <w:next w:val="1"/>
    <w:semiHidden/>
    <w:unhideWhenUsed/>
    <w:qFormat/>
    <w:uiPriority w:val="0"/>
    <w:pPr>
      <w:keepNext/>
      <w:keepLines/>
      <w:spacing w:before="200" w:beforeLines="0" w:beforeAutospacing="0" w:after="200" w:afterLines="0" w:afterAutospacing="0" w:line="240" w:lineRule="auto"/>
      <w:ind w:firstLine="0" w:firstLineChars="0"/>
      <w:outlineLvl w:val="3"/>
    </w:pPr>
    <w:rPr>
      <w:rFonts w:ascii="Times New Roman" w:hAnsi="Times New Roman" w:eastAsia="黑体" w:cs="Times New Roman"/>
    </w:rPr>
  </w:style>
  <w:style w:type="paragraph" w:styleId="7">
    <w:name w:val="heading 5"/>
    <w:basedOn w:val="1"/>
    <w:next w:val="1"/>
    <w:semiHidden/>
    <w:unhideWhenUsed/>
    <w:qFormat/>
    <w:uiPriority w:val="0"/>
    <w:pPr>
      <w:keepNext/>
      <w:keepLines/>
      <w:spacing w:beforeLines="0" w:beforeAutospacing="0" w:afterLines="0" w:afterAutospacing="0" w:line="440" w:lineRule="exact"/>
      <w:ind w:firstLine="0" w:firstLineChars="0"/>
      <w:jc w:val="left"/>
      <w:outlineLvl w:val="4"/>
    </w:pPr>
    <w:rPr>
      <w:rFonts w:ascii="Times New Roman" w:hAnsi="Times New Roman"/>
      <w:szCs w:val="22"/>
    </w:rPr>
  </w:style>
  <w:style w:type="character" w:default="1" w:styleId="26">
    <w:name w:val="Default Paragraph Font"/>
    <w:semiHidden/>
    <w:qFormat/>
    <w:uiPriority w:val="0"/>
  </w:style>
  <w:style w:type="table" w:default="1" w:styleId="24">
    <w:name w:val="Normal Table"/>
    <w:semiHidden/>
    <w:qFormat/>
    <w:uiPriority w:val="0"/>
    <w:tblPr>
      <w:tblCellMar>
        <w:top w:w="0" w:type="dxa"/>
        <w:left w:w="108" w:type="dxa"/>
        <w:bottom w:w="0" w:type="dxa"/>
        <w:right w:w="108" w:type="dxa"/>
      </w:tblCellMar>
    </w:tblPr>
  </w:style>
  <w:style w:type="paragraph" w:customStyle="1" w:styleId="2">
    <w:name w:val="样式 正文11 + 首行缩进:  2 字符"/>
    <w:basedOn w:val="1"/>
    <w:qFormat/>
    <w:uiPriority w:val="0"/>
    <w:pPr>
      <w:spacing w:line="500" w:lineRule="exact"/>
      <w:ind w:firstLine="560"/>
    </w:pPr>
    <w:rPr>
      <w:color w:val="FF0000"/>
      <w:sz w:val="24"/>
    </w:rPr>
  </w:style>
  <w:style w:type="paragraph" w:styleId="8">
    <w:name w:val="Normal Indent"/>
    <w:basedOn w:val="1"/>
    <w:next w:val="1"/>
    <w:qFormat/>
    <w:uiPriority w:val="99"/>
    <w:pPr>
      <w:ind w:firstLine="420" w:firstLineChars="200"/>
    </w:pPr>
  </w:style>
  <w:style w:type="paragraph" w:styleId="9">
    <w:name w:val="annotation text"/>
    <w:basedOn w:val="1"/>
    <w:next w:val="10"/>
    <w:qFormat/>
    <w:uiPriority w:val="99"/>
    <w:pPr>
      <w:jc w:val="left"/>
    </w:pPr>
  </w:style>
  <w:style w:type="paragraph" w:styleId="10">
    <w:name w:val="annotation subject"/>
    <w:basedOn w:val="9"/>
    <w:next w:val="9"/>
    <w:semiHidden/>
    <w:qFormat/>
    <w:uiPriority w:val="0"/>
    <w:rPr>
      <w:b/>
      <w:bCs/>
    </w:rPr>
  </w:style>
  <w:style w:type="paragraph" w:styleId="11">
    <w:name w:val="Body Text"/>
    <w:basedOn w:val="1"/>
    <w:qFormat/>
    <w:uiPriority w:val="99"/>
    <w:pPr>
      <w:spacing w:after="120"/>
    </w:pPr>
  </w:style>
  <w:style w:type="paragraph" w:styleId="12">
    <w:name w:val="Body Text Indent"/>
    <w:basedOn w:val="1"/>
    <w:next w:val="1"/>
    <w:qFormat/>
    <w:uiPriority w:val="0"/>
    <w:pPr>
      <w:spacing w:after="120" w:afterLines="0" w:afterAutospacing="0"/>
      <w:ind w:left="420" w:leftChars="200"/>
    </w:pPr>
  </w:style>
  <w:style w:type="paragraph" w:styleId="13">
    <w:name w:val="Plain Text"/>
    <w:basedOn w:val="1"/>
    <w:qFormat/>
    <w:uiPriority w:val="0"/>
    <w:rPr>
      <w:rFonts w:ascii="宋体" w:hAnsi="Lucida Console" w:eastAsia="宋体"/>
      <w:sz w:val="21"/>
      <w:szCs w:val="24"/>
    </w:rPr>
  </w:style>
  <w:style w:type="paragraph" w:styleId="14">
    <w:name w:val="Body Text Indent 2"/>
    <w:basedOn w:val="1"/>
    <w:qFormat/>
    <w:uiPriority w:val="99"/>
    <w:pPr>
      <w:spacing w:after="120" w:line="480" w:lineRule="auto"/>
      <w:ind w:left="420" w:leftChars="200"/>
    </w:pPr>
  </w:style>
  <w:style w:type="paragraph" w:styleId="15">
    <w:name w:val="footer"/>
    <w:basedOn w:val="1"/>
    <w:unhideWhenUsed/>
    <w:qFormat/>
    <w:uiPriority w:val="99"/>
    <w:pPr>
      <w:tabs>
        <w:tab w:val="center" w:pos="4153"/>
        <w:tab w:val="right" w:pos="8306"/>
      </w:tabs>
      <w:snapToGrid w:val="0"/>
      <w:spacing w:beforeLines="0" w:afterLines="0"/>
      <w:jc w:val="left"/>
    </w:pPr>
    <w:rPr>
      <w:rFonts w:hint="default"/>
      <w:kern w:val="0"/>
      <w:sz w:val="18"/>
      <w:szCs w:val="24"/>
    </w:rPr>
  </w:style>
  <w:style w:type="paragraph" w:styleId="1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7">
    <w:name w:val="List"/>
    <w:basedOn w:val="1"/>
    <w:unhideWhenUsed/>
    <w:qFormat/>
    <w:uiPriority w:val="99"/>
    <w:pPr>
      <w:ind w:left="200" w:hanging="200" w:hangingChars="200"/>
    </w:pPr>
    <w:rPr>
      <w:szCs w:val="21"/>
    </w:rPr>
  </w:style>
  <w:style w:type="paragraph" w:styleId="18">
    <w:name w:val="table of figures"/>
    <w:basedOn w:val="1"/>
    <w:next w:val="1"/>
    <w:qFormat/>
    <w:uiPriority w:val="0"/>
    <w:pPr>
      <w:spacing w:line="240" w:lineRule="auto"/>
      <w:ind w:left="200" w:leftChars="200" w:hanging="200" w:hangingChars="200"/>
      <w:jc w:val="both"/>
    </w:pPr>
    <w:rPr>
      <w:rFonts w:ascii="Times New Roman" w:hAnsi="Times New Roman" w:eastAsia="MS Gothic" w:cs="Times New Roman"/>
      <w:sz w:val="21"/>
      <w:szCs w:val="21"/>
    </w:rPr>
  </w:style>
  <w:style w:type="paragraph" w:styleId="19">
    <w:name w:val="Body Text 2"/>
    <w:basedOn w:val="1"/>
    <w:qFormat/>
    <w:uiPriority w:val="99"/>
    <w:pPr>
      <w:spacing w:after="120" w:line="480" w:lineRule="auto"/>
    </w:pPr>
  </w:style>
  <w:style w:type="paragraph" w:styleId="20">
    <w:name w:val="Normal (Web)"/>
    <w:basedOn w:val="1"/>
    <w:unhideWhenUsed/>
    <w:qFormat/>
    <w:uiPriority w:val="0"/>
    <w:pPr>
      <w:widowControl/>
      <w:spacing w:before="100" w:beforeLines="0" w:beforeAutospacing="1" w:after="100" w:afterLines="0" w:afterAutospacing="1"/>
      <w:jc w:val="left"/>
    </w:pPr>
    <w:rPr>
      <w:rFonts w:hint="eastAsia" w:ascii="宋体" w:hAnsi="宋体" w:eastAsia="宋体"/>
      <w:kern w:val="0"/>
      <w:sz w:val="24"/>
      <w:szCs w:val="24"/>
    </w:rPr>
  </w:style>
  <w:style w:type="paragraph" w:styleId="21">
    <w:name w:val="Title"/>
    <w:basedOn w:val="1"/>
    <w:next w:val="1"/>
    <w:qFormat/>
    <w:uiPriority w:val="0"/>
    <w:pPr>
      <w:ind w:firstLine="0" w:firstLineChars="0"/>
      <w:jc w:val="center"/>
    </w:pPr>
    <w:rPr>
      <w:b/>
      <w:bCs/>
      <w:sz w:val="21"/>
      <w:szCs w:val="32"/>
    </w:rPr>
  </w:style>
  <w:style w:type="paragraph" w:styleId="22">
    <w:name w:val="Body Text First Indent"/>
    <w:basedOn w:val="11"/>
    <w:next w:val="1"/>
    <w:qFormat/>
    <w:uiPriority w:val="0"/>
    <w:pPr>
      <w:ind w:firstLine="420" w:firstLineChars="100"/>
    </w:pPr>
  </w:style>
  <w:style w:type="paragraph" w:styleId="23">
    <w:name w:val="Body Text First Indent 2"/>
    <w:basedOn w:val="12"/>
    <w:qFormat/>
    <w:uiPriority w:val="0"/>
    <w:pPr>
      <w:ind w:firstLine="420" w:firstLineChars="200"/>
    </w:pPr>
  </w:style>
  <w:style w:type="table" w:styleId="25">
    <w:name w:val="Table Grid"/>
    <w:basedOn w:val="24"/>
    <w:unhideWhenUsed/>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27">
    <w:name w:val="page number"/>
    <w:basedOn w:val="26"/>
    <w:unhideWhenUsed/>
    <w:qFormat/>
    <w:uiPriority w:val="0"/>
    <w:rPr>
      <w:rFonts w:hint="default"/>
      <w:sz w:val="24"/>
      <w:szCs w:val="24"/>
    </w:rPr>
  </w:style>
  <w:style w:type="character" w:styleId="28">
    <w:name w:val="annotation reference"/>
    <w:basedOn w:val="26"/>
    <w:qFormat/>
    <w:uiPriority w:val="99"/>
    <w:rPr>
      <w:rFonts w:cs="Times New Roman"/>
      <w:sz w:val="21"/>
      <w:szCs w:val="21"/>
    </w:rPr>
  </w:style>
  <w:style w:type="paragraph" w:customStyle="1" w:styleId="29">
    <w:name w:val="表格、图片文字"/>
    <w:basedOn w:val="1"/>
    <w:qFormat/>
    <w:uiPriority w:val="0"/>
    <w:pPr>
      <w:ind w:firstLine="0" w:firstLineChars="0"/>
      <w:jc w:val="center"/>
    </w:pPr>
    <w:rPr>
      <w:rFonts w:ascii="Times New Roman" w:hAnsi="Times New Roman" w:eastAsia="宋体"/>
      <w:b/>
      <w:color w:val="000000"/>
      <w:szCs w:val="24"/>
    </w:rPr>
  </w:style>
  <w:style w:type="paragraph" w:customStyle="1" w:styleId="30">
    <w:name w:val="表格文字"/>
    <w:qFormat/>
    <w:uiPriority w:val="0"/>
    <w:pPr>
      <w:widowControl w:val="0"/>
      <w:adjustRightInd w:val="0"/>
      <w:spacing w:line="240" w:lineRule="auto"/>
      <w:jc w:val="center"/>
      <w:textAlignment w:val="baseline"/>
    </w:pPr>
    <w:rPr>
      <w:rFonts w:ascii="Times New Roman" w:hAnsi="Times New Roman" w:eastAsia="宋体" w:cs="Times New Roman"/>
      <w:kern w:val="2"/>
      <w:sz w:val="21"/>
      <w:szCs w:val="21"/>
      <w:lang w:val="en-US" w:eastAsia="zh-CN" w:bidi="ar-SA"/>
    </w:rPr>
  </w:style>
  <w:style w:type="character" w:customStyle="1" w:styleId="31">
    <w:name w:val="标题 1 Char"/>
    <w:link w:val="3"/>
    <w:qFormat/>
    <w:uiPriority w:val="9"/>
    <w:rPr>
      <w:rFonts w:ascii="Times New Roman" w:hAnsi="Times New Roman" w:eastAsia="黑体" w:cstheme="minorBidi"/>
      <w:kern w:val="44"/>
      <w:sz w:val="36"/>
      <w:szCs w:val="30"/>
      <w:lang w:eastAsia="zh-CN" w:bidi="ar-SA"/>
    </w:rPr>
  </w:style>
  <w:style w:type="character" w:customStyle="1" w:styleId="32">
    <w:name w:val="标题 2 Char"/>
    <w:link w:val="4"/>
    <w:qFormat/>
    <w:uiPriority w:val="0"/>
    <w:rPr>
      <w:rFonts w:hint="default" w:ascii="Times New Roman" w:hAnsi="Times New Roman" w:eastAsia="黑体" w:cstheme="minorBidi"/>
      <w:kern w:val="2"/>
      <w:sz w:val="32"/>
      <w:szCs w:val="32"/>
      <w:lang w:eastAsia="zh-CN" w:bidi="ar-SA"/>
    </w:rPr>
  </w:style>
  <w:style w:type="character" w:customStyle="1" w:styleId="33">
    <w:name w:val="标题 3 Char"/>
    <w:link w:val="5"/>
    <w:qFormat/>
    <w:uiPriority w:val="0"/>
    <w:rPr>
      <w:rFonts w:ascii="Times New Roman" w:hAnsi="Times New Roman" w:eastAsia="黑体" w:cs="Times New Roman"/>
      <w:kern w:val="2"/>
      <w:sz w:val="30"/>
      <w:szCs w:val="32"/>
      <w:lang w:eastAsia="zh-CN" w:bidi="ar-SA"/>
    </w:rPr>
  </w:style>
  <w:style w:type="paragraph" w:customStyle="1" w:styleId="34">
    <w:name w:val="图片、表格标题"/>
    <w:qFormat/>
    <w:uiPriority w:val="0"/>
    <w:pPr>
      <w:ind w:leftChars="0"/>
      <w:jc w:val="center"/>
    </w:pPr>
    <w:rPr>
      <w:rFonts w:ascii="Times New Roman" w:hAnsi="Times New Roman" w:eastAsia="宋体" w:cs="Times New Roman"/>
      <w:sz w:val="24"/>
      <w:szCs w:val="24"/>
    </w:rPr>
  </w:style>
  <w:style w:type="paragraph" w:customStyle="1" w:styleId="35">
    <w:name w:val="表格首行两字符"/>
    <w:basedOn w:val="36"/>
    <w:qFormat/>
    <w:uiPriority w:val="0"/>
    <w:pPr>
      <w:spacing w:line="240" w:lineRule="auto"/>
      <w:ind w:firstLine="920" w:firstLineChars="200"/>
      <w:jc w:val="both"/>
    </w:pPr>
    <w:rPr>
      <w:rFonts w:ascii="Times New Roman" w:hAnsi="Times New Roman"/>
    </w:rPr>
  </w:style>
  <w:style w:type="paragraph" w:customStyle="1" w:styleId="36">
    <w:name w:val="表格居中对齐"/>
    <w:qFormat/>
    <w:uiPriority w:val="0"/>
    <w:pPr>
      <w:widowControl w:val="0"/>
      <w:adjustRightInd w:val="0"/>
      <w:spacing w:line="240" w:lineRule="auto"/>
      <w:jc w:val="center"/>
      <w:textAlignment w:val="baseline"/>
    </w:pPr>
    <w:rPr>
      <w:rFonts w:ascii="Times New Roman" w:hAnsi="Times New Roman" w:eastAsia="宋体" w:cs="Times New Roman"/>
      <w:kern w:val="2"/>
      <w:sz w:val="21"/>
      <w:szCs w:val="21"/>
      <w:lang w:val="en-US" w:eastAsia="zh-CN" w:bidi="ar-SA"/>
    </w:rPr>
  </w:style>
  <w:style w:type="paragraph" w:customStyle="1" w:styleId="37">
    <w:name w:val="表头"/>
    <w:basedOn w:val="8"/>
    <w:next w:val="1"/>
    <w:qFormat/>
    <w:uiPriority w:val="0"/>
    <w:pPr>
      <w:spacing w:line="360" w:lineRule="auto"/>
      <w:ind w:firstLine="0" w:firstLineChars="0"/>
      <w:jc w:val="center"/>
    </w:pPr>
    <w:rPr>
      <w:rFonts w:ascii="Times New Roman" w:hAnsi="Times New Roman" w:eastAsia="黑体"/>
      <w:kern w:val="2"/>
      <w:lang w:eastAsia="zh-CN" w:bidi="ar-SA"/>
    </w:rPr>
  </w:style>
  <w:style w:type="paragraph" w:customStyle="1" w:styleId="38">
    <w:name w:val="Default"/>
    <w:basedOn w:val="39"/>
    <w:next w:val="40"/>
    <w:qFormat/>
    <w:uiPriority w:val="0"/>
    <w:pPr>
      <w:widowControl w:val="0"/>
      <w:autoSpaceDE w:val="0"/>
      <w:autoSpaceDN w:val="0"/>
      <w:adjustRightInd w:val="0"/>
    </w:pPr>
    <w:rPr>
      <w:rFonts w:ascii="ILPZD C+ T T 4 B B 2o 00" w:hAnsi="Calibri" w:eastAsia="ILPZD C+ T T 4 B B 2o 00" w:cs="Times New Roman"/>
      <w:color w:val="000000"/>
      <w:sz w:val="24"/>
      <w:szCs w:val="24"/>
      <w:lang w:val="en-US" w:eastAsia="zh-CN" w:bidi="ar-SA"/>
    </w:rPr>
  </w:style>
  <w:style w:type="paragraph" w:customStyle="1" w:styleId="39">
    <w:name w:val="表格17"/>
    <w:qFormat/>
    <w:uiPriority w:val="0"/>
    <w:pPr>
      <w:widowControl w:val="0"/>
      <w:adjustRightInd w:val="0"/>
      <w:jc w:val="center"/>
    </w:pPr>
    <w:rPr>
      <w:rFonts w:ascii="Times New Roman" w:hAnsi="Times New Roman" w:eastAsia="宋体" w:cs="Times New Roman"/>
      <w:kern w:val="28"/>
      <w:sz w:val="28"/>
      <w:lang w:val="en-US" w:eastAsia="zh-CN" w:bidi="ar-SA"/>
    </w:rPr>
  </w:style>
  <w:style w:type="paragraph" w:customStyle="1" w:styleId="40">
    <w:name w:val="c正文"/>
    <w:qFormat/>
    <w:uiPriority w:val="0"/>
    <w:pPr>
      <w:adjustRightInd w:val="0"/>
      <w:snapToGrid w:val="0"/>
      <w:spacing w:line="500" w:lineRule="exact"/>
      <w:ind w:firstLine="200" w:firstLineChars="200"/>
    </w:pPr>
    <w:rPr>
      <w:rFonts w:ascii="Times New Roman" w:hAnsi="Times New Roman" w:eastAsia="宋体" w:cs="Times New Roman"/>
      <w:color w:val="000000"/>
      <w:kern w:val="44"/>
      <w:sz w:val="24"/>
      <w:szCs w:val="24"/>
      <w:lang w:val="en-US" w:eastAsia="zh-CN" w:bidi="ar-SA"/>
    </w:rPr>
  </w:style>
  <w:style w:type="paragraph" w:customStyle="1" w:styleId="41">
    <w:name w:val="表格"/>
    <w:basedOn w:val="37"/>
    <w:next w:val="1"/>
    <w:unhideWhenUsed/>
    <w:qFormat/>
    <w:uiPriority w:val="0"/>
    <w:pPr>
      <w:adjustRightInd w:val="0"/>
      <w:snapToGrid w:val="0"/>
      <w:spacing w:beforeLines="10" w:afterLines="10" w:line="259" w:lineRule="auto"/>
      <w:jc w:val="center"/>
    </w:pPr>
    <w:rPr>
      <w:rFonts w:hint="eastAsia" w:ascii="宋体" w:hAnsi="Times New Roman" w:eastAsia="宋体"/>
      <w:kern w:val="0"/>
      <w:sz w:val="21"/>
      <w:szCs w:val="24"/>
    </w:rPr>
  </w:style>
  <w:style w:type="paragraph" w:customStyle="1" w:styleId="42">
    <w:name w:val="样式 正文缩进正文缩进2正文缩进 Char Char正文缩进 Char Char Char Char正文缩进 Char ..."/>
    <w:basedOn w:val="8"/>
    <w:qFormat/>
    <w:uiPriority w:val="0"/>
    <w:pPr>
      <w:spacing w:line="360" w:lineRule="auto"/>
      <w:ind w:firstLine="200"/>
    </w:pPr>
    <w:rPr>
      <w:rFonts w:cs="宋体"/>
      <w:sz w:val="24"/>
    </w:rPr>
  </w:style>
  <w:style w:type="paragraph" w:customStyle="1" w:styleId="43">
    <w:name w:val="列出段落1"/>
    <w:basedOn w:val="1"/>
    <w:qFormat/>
    <w:uiPriority w:val="99"/>
    <w:pPr>
      <w:ind w:firstLine="420" w:firstLineChars="200"/>
    </w:pPr>
    <w:rPr>
      <w:rFonts w:ascii="Calibri" w:hAnsi="Calibri"/>
      <w:sz w:val="28"/>
      <w:szCs w:val="22"/>
    </w:rPr>
  </w:style>
  <w:style w:type="paragraph" w:customStyle="1" w:styleId="44">
    <w:name w:val="Table Paragraph"/>
    <w:basedOn w:val="1"/>
    <w:qFormat/>
    <w:uiPriority w:val="1"/>
  </w:style>
  <w:style w:type="paragraph" w:customStyle="1" w:styleId="45">
    <w:name w:val="表格居中"/>
    <w:basedOn w:val="1"/>
    <w:qFormat/>
    <w:uiPriority w:val="0"/>
    <w:pPr>
      <w:spacing w:line="240" w:lineRule="auto"/>
      <w:jc w:val="center"/>
    </w:pPr>
    <w:rPr>
      <w:rFonts w:ascii="Calibri" w:hAnsi="Calibri" w:cs="Times New Roman"/>
    </w:rPr>
  </w:style>
  <w:style w:type="paragraph" w:customStyle="1" w:styleId="46">
    <w:name w:val="表内容"/>
    <w:basedOn w:val="1"/>
    <w:next w:val="1"/>
    <w:qFormat/>
    <w:uiPriority w:val="0"/>
    <w:pPr>
      <w:spacing w:line="0" w:lineRule="atLeast"/>
      <w:ind w:firstLine="0" w:firstLineChars="0"/>
      <w:jc w:val="center"/>
    </w:pPr>
    <w:rPr>
      <w:rFonts w:eastAsia="宋体"/>
      <w:sz w:val="21"/>
    </w:rPr>
  </w:style>
  <w:style w:type="table" w:customStyle="1" w:styleId="47">
    <w:name w:val="网格型12"/>
    <w:basedOn w:val="24"/>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8">
    <w:name w:val="网格型11"/>
    <w:basedOn w:val="24"/>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9">
    <w:name w:val="1正文"/>
    <w:basedOn w:val="1"/>
    <w:qFormat/>
    <w:uiPriority w:val="99"/>
    <w:pPr>
      <w:ind w:firstLine="198" w:firstLineChars="200"/>
    </w:pPr>
    <w:rPr>
      <w:sz w:val="24"/>
    </w:rPr>
  </w:style>
  <w:style w:type="paragraph" w:customStyle="1" w:styleId="50">
    <w:name w:val="Other|1"/>
    <w:basedOn w:val="1"/>
    <w:qFormat/>
    <w:uiPriority w:val="0"/>
    <w:pPr>
      <w:widowControl w:val="0"/>
      <w:shd w:val="clear" w:color="auto" w:fill="auto"/>
      <w:spacing w:line="427" w:lineRule="auto"/>
      <w:ind w:firstLine="400"/>
    </w:pPr>
    <w:rPr>
      <w:rFonts w:ascii="宋体" w:hAnsi="宋体" w:eastAsia="宋体" w:cs="宋体"/>
      <w:sz w:val="22"/>
      <w:szCs w:val="22"/>
      <w:u w:val="none"/>
      <w:shd w:val="clear" w:color="auto" w:fill="auto"/>
      <w:lang w:val="zh-TW" w:eastAsia="zh-TW" w:bidi="zh-TW"/>
    </w:rPr>
  </w:style>
  <w:style w:type="paragraph" w:customStyle="1" w:styleId="51">
    <w:name w:val="正文1"/>
    <w:basedOn w:val="1"/>
    <w:qFormat/>
    <w:uiPriority w:val="0"/>
    <w:pPr>
      <w:adjustRightInd w:val="0"/>
      <w:snapToGrid w:val="0"/>
      <w:spacing w:line="480" w:lineRule="exact"/>
      <w:ind w:firstLine="200" w:firstLineChars="200"/>
    </w:pPr>
    <w:rPr>
      <w:snapToGrid w:val="0"/>
      <w:sz w:val="24"/>
      <w:szCs w:val="20"/>
    </w:rPr>
  </w:style>
  <w:style w:type="paragraph" w:customStyle="1" w:styleId="52">
    <w:name w:val="正文11"/>
    <w:basedOn w:val="1"/>
    <w:qFormat/>
    <w:uiPriority w:val="0"/>
    <w:pPr>
      <w:adjustRightInd w:val="0"/>
      <w:snapToGrid w:val="0"/>
      <w:spacing w:line="480" w:lineRule="exact"/>
      <w:ind w:firstLine="200" w:firstLineChars="200"/>
    </w:pPr>
    <w:rPr>
      <w:snapToGrid w:val="0"/>
      <w:sz w:val="24"/>
      <w:szCs w:val="20"/>
    </w:rPr>
  </w:style>
  <w:style w:type="paragraph" w:customStyle="1" w:styleId="53">
    <w:name w:val="样式 正文文本缩进 + 行距: 1.5 倍行距"/>
    <w:basedOn w:val="54"/>
    <w:next w:val="1"/>
    <w:qFormat/>
    <w:uiPriority w:val="0"/>
    <w:pPr>
      <w:spacing w:after="120" w:line="360" w:lineRule="auto"/>
      <w:ind w:left="90" w:leftChars="32" w:firstLine="560" w:firstLineChars="200"/>
    </w:pPr>
    <w:rPr>
      <w:rFonts w:cs="宋体"/>
      <w:sz w:val="24"/>
    </w:rPr>
  </w:style>
  <w:style w:type="paragraph" w:customStyle="1" w:styleId="54">
    <w:name w:val="Body Text Indent"/>
    <w:basedOn w:val="55"/>
    <w:next w:val="53"/>
    <w:qFormat/>
    <w:uiPriority w:val="0"/>
    <w:pPr>
      <w:spacing w:after="120" w:afterLines="0"/>
      <w:ind w:left="420" w:leftChars="200"/>
    </w:pPr>
    <w:rPr>
      <w:rFonts w:ascii="Times New Roman" w:hAnsi="Times New Roman" w:eastAsia="宋体"/>
      <w:sz w:val="24"/>
    </w:rPr>
  </w:style>
  <w:style w:type="paragraph" w:customStyle="1" w:styleId="55">
    <w:name w:val="Normal"/>
    <w:qFormat/>
    <w:uiPriority w:val="0"/>
    <w:pPr>
      <w:widowControl w:val="0"/>
      <w:adjustRightInd w:val="0"/>
      <w:spacing w:line="360" w:lineRule="atLeast"/>
      <w:textAlignment w:val="baseline"/>
    </w:pPr>
    <w:rPr>
      <w:rFonts w:ascii="Tms Rmn" w:hAnsi="Tms Rmn" w:eastAsia="宋体" w:cs="Times New Roman"/>
      <w:lang w:val="en-US" w:eastAsia="zh-CN" w:bidi="ar-SA"/>
    </w:rPr>
  </w:style>
  <w:style w:type="paragraph" w:customStyle="1" w:styleId="56">
    <w:name w:val="Table Text"/>
    <w:basedOn w:val="1"/>
    <w:semiHidden/>
    <w:qFormat/>
    <w:uiPriority w:val="0"/>
    <w:rPr>
      <w:rFonts w:ascii="宋体" w:hAnsi="宋体" w:eastAsia="宋体" w:cs="宋体"/>
      <w:sz w:val="20"/>
      <w:szCs w:val="20"/>
      <w:lang w:val="en-US" w:eastAsia="en-US" w:bidi="ar-SA"/>
    </w:rPr>
  </w:style>
  <w:style w:type="table" w:customStyle="1" w:styleId="57">
    <w:name w:val="Table Normal"/>
    <w:semiHidden/>
    <w:unhideWhenUsed/>
    <w:qFormat/>
    <w:uiPriority w:val="0"/>
    <w:tblPr>
      <w:tblCellMar>
        <w:top w:w="0" w:type="dxa"/>
        <w:left w:w="0" w:type="dxa"/>
        <w:bottom w:w="0" w:type="dxa"/>
        <w:right w:w="0" w:type="dxa"/>
      </w:tblCellMar>
    </w:tblPr>
  </w:style>
  <w:style w:type="paragraph" w:customStyle="1" w:styleId="58">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59">
    <w:name w:val="li_正文"/>
    <w:basedOn w:val="1"/>
    <w:qFormat/>
    <w:uiPriority w:val="0"/>
    <w:pPr>
      <w:ind w:firstLine="200" w:firstLineChars="200"/>
      <w:jc w:val="left"/>
    </w:pPr>
    <w:rPr>
      <w:rFonts w:ascii="Calibri" w:hAnsi="Calibri" w:eastAsia="宋体" w:cs="Times New Roman"/>
      <w:sz w:val="28"/>
      <w:szCs w:val="28"/>
    </w:rPr>
  </w:style>
  <w:style w:type="paragraph" w:customStyle="1" w:styleId="60">
    <w:name w:val="Body text|1"/>
    <w:basedOn w:val="1"/>
    <w:qFormat/>
    <w:uiPriority w:val="0"/>
    <w:pPr>
      <w:spacing w:line="360" w:lineRule="auto"/>
      <w:jc w:val="left"/>
    </w:pPr>
    <w:rPr>
      <w:rFonts w:hAnsi="宋体"/>
      <w:b/>
      <w:sz w:val="24"/>
      <w:lang w:val="zh-TW" w:eastAsia="zh-TW" w:bidi="zh-TW"/>
    </w:rPr>
  </w:style>
  <w:style w:type="paragraph" w:customStyle="1" w:styleId="61">
    <w:name w:val="Default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62">
    <w:name w:val="[1]正文"/>
    <w:basedOn w:val="1"/>
    <w:qFormat/>
    <w:uiPriority w:val="0"/>
    <w:pPr>
      <w:autoSpaceDE w:val="0"/>
      <w:autoSpaceDN w:val="0"/>
    </w:pPr>
    <w:rPr>
      <w:rFonts w:ascii="Calibri" w:hAnsi="Calibri"/>
      <w:color w:val="000000"/>
      <w:kern w:val="0"/>
      <w:lang w:val="zh-CN"/>
    </w:rPr>
  </w:style>
  <w:style w:type="paragraph" w:customStyle="1" w:styleId="63">
    <w:name w:val="0正文"/>
    <w:basedOn w:val="20"/>
    <w:qFormat/>
    <w:uiPriority w:val="0"/>
    <w:pPr>
      <w:widowControl w:val="0"/>
      <w:adjustRightInd w:val="0"/>
      <w:snapToGrid w:val="0"/>
      <w:spacing w:line="360" w:lineRule="auto"/>
      <w:ind w:firstLine="200" w:firstLineChars="200"/>
    </w:pPr>
    <w:rPr>
      <w:kern w:val="2"/>
      <w:szCs w:val="22"/>
    </w:rPr>
  </w:style>
  <w:style w:type="paragraph" w:customStyle="1" w:styleId="64">
    <w:name w:val="表格内容"/>
    <w:basedOn w:val="8"/>
    <w:qFormat/>
    <w:uiPriority w:val="0"/>
    <w:pPr>
      <w:spacing w:line="312" w:lineRule="auto"/>
      <w:ind w:firstLine="0" w:firstLineChars="0"/>
      <w:jc w:val="center"/>
    </w:pPr>
    <w:rPr>
      <w:szCs w:val="20"/>
    </w:rPr>
  </w:style>
  <w:style w:type="paragraph" w:customStyle="1" w:styleId="65">
    <w:name w:val="表格内文字"/>
    <w:next w:val="1"/>
    <w:qFormat/>
    <w:uiPriority w:val="0"/>
    <w:pPr>
      <w:autoSpaceDE w:val="0"/>
      <w:autoSpaceDN w:val="0"/>
      <w:adjustRightInd w:val="0"/>
      <w:snapToGrid w:val="0"/>
      <w:spacing w:line="240" w:lineRule="auto"/>
      <w:jc w:val="center"/>
    </w:pPr>
    <w:rPr>
      <w:rFonts w:ascii="Times New Roman" w:hAnsi="Times New Roman" w:eastAsia="宋体" w:cs="Times New Roman"/>
      <w:sz w:val="21"/>
      <w:szCs w:val="21"/>
      <w:lang w:val="zh-CN"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0" Type="http://schemas.openxmlformats.org/officeDocument/2006/relationships/fontTable" Target="fontTable.xml"/><Relationship Id="rId7" Type="http://schemas.openxmlformats.org/officeDocument/2006/relationships/footer" Target="footer4.xml"/><Relationship Id="rId69" Type="http://schemas.openxmlformats.org/officeDocument/2006/relationships/numbering" Target="numbering.xml"/><Relationship Id="rId68" Type="http://schemas.openxmlformats.org/officeDocument/2006/relationships/customXml" Target="../customXml/item1.xml"/><Relationship Id="rId67" Type="http://schemas.openxmlformats.org/officeDocument/2006/relationships/image" Target="media/image59.png"/><Relationship Id="rId66" Type="http://schemas.openxmlformats.org/officeDocument/2006/relationships/image" Target="media/image58.png"/><Relationship Id="rId65" Type="http://schemas.openxmlformats.org/officeDocument/2006/relationships/image" Target="media/image57.png"/><Relationship Id="rId64" Type="http://schemas.openxmlformats.org/officeDocument/2006/relationships/image" Target="media/image56.png"/><Relationship Id="rId63" Type="http://schemas.openxmlformats.org/officeDocument/2006/relationships/image" Target="media/image55.jpeg"/><Relationship Id="rId62" Type="http://schemas.openxmlformats.org/officeDocument/2006/relationships/image" Target="media/image54.jpeg"/><Relationship Id="rId61" Type="http://schemas.openxmlformats.org/officeDocument/2006/relationships/image" Target="media/image53.jpeg"/><Relationship Id="rId60" Type="http://schemas.openxmlformats.org/officeDocument/2006/relationships/image" Target="media/image52.png"/><Relationship Id="rId6" Type="http://schemas.openxmlformats.org/officeDocument/2006/relationships/footer" Target="footer3.xml"/><Relationship Id="rId59" Type="http://schemas.openxmlformats.org/officeDocument/2006/relationships/image" Target="media/image51.png"/><Relationship Id="rId58" Type="http://schemas.openxmlformats.org/officeDocument/2006/relationships/image" Target="media/image50.png"/><Relationship Id="rId57" Type="http://schemas.openxmlformats.org/officeDocument/2006/relationships/image" Target="media/image49.png"/><Relationship Id="rId56" Type="http://schemas.openxmlformats.org/officeDocument/2006/relationships/image" Target="media/image48.png"/><Relationship Id="rId55" Type="http://schemas.openxmlformats.org/officeDocument/2006/relationships/image" Target="media/image47.png"/><Relationship Id="rId54" Type="http://schemas.openxmlformats.org/officeDocument/2006/relationships/image" Target="media/image46.png"/><Relationship Id="rId53" Type="http://schemas.openxmlformats.org/officeDocument/2006/relationships/image" Target="media/image45.png"/><Relationship Id="rId52" Type="http://schemas.openxmlformats.org/officeDocument/2006/relationships/image" Target="media/image44.png"/><Relationship Id="rId51" Type="http://schemas.openxmlformats.org/officeDocument/2006/relationships/image" Target="media/image43.png"/><Relationship Id="rId50" Type="http://schemas.openxmlformats.org/officeDocument/2006/relationships/image" Target="media/image42.png"/><Relationship Id="rId5" Type="http://schemas.openxmlformats.org/officeDocument/2006/relationships/footer" Target="footer2.xml"/><Relationship Id="rId49" Type="http://schemas.openxmlformats.org/officeDocument/2006/relationships/image" Target="media/image41.png"/><Relationship Id="rId48" Type="http://schemas.openxmlformats.org/officeDocument/2006/relationships/image" Target="media/image40.png"/><Relationship Id="rId47" Type="http://schemas.openxmlformats.org/officeDocument/2006/relationships/image" Target="media/image39.png"/><Relationship Id="rId46" Type="http://schemas.openxmlformats.org/officeDocument/2006/relationships/image" Target="media/image38.png"/><Relationship Id="rId45" Type="http://schemas.openxmlformats.org/officeDocument/2006/relationships/image" Target="media/image37.png"/><Relationship Id="rId44" Type="http://schemas.openxmlformats.org/officeDocument/2006/relationships/image" Target="media/image36.png"/><Relationship Id="rId43" Type="http://schemas.openxmlformats.org/officeDocument/2006/relationships/image" Target="media/image35.png"/><Relationship Id="rId42" Type="http://schemas.openxmlformats.org/officeDocument/2006/relationships/image" Target="media/image34.png"/><Relationship Id="rId41" Type="http://schemas.openxmlformats.org/officeDocument/2006/relationships/image" Target="media/image33.png"/><Relationship Id="rId40" Type="http://schemas.openxmlformats.org/officeDocument/2006/relationships/image" Target="media/image32.jpeg"/><Relationship Id="rId4" Type="http://schemas.openxmlformats.org/officeDocument/2006/relationships/footer" Target="footer1.xml"/><Relationship Id="rId39" Type="http://schemas.openxmlformats.org/officeDocument/2006/relationships/image" Target="media/image31.jpeg"/><Relationship Id="rId38" Type="http://schemas.openxmlformats.org/officeDocument/2006/relationships/image" Target="media/image30.jpeg"/><Relationship Id="rId37" Type="http://schemas.openxmlformats.org/officeDocument/2006/relationships/image" Target="media/image29.png"/><Relationship Id="rId36" Type="http://schemas.openxmlformats.org/officeDocument/2006/relationships/image" Target="media/image28.png"/><Relationship Id="rId35" Type="http://schemas.openxmlformats.org/officeDocument/2006/relationships/image" Target="media/image27.jpeg"/><Relationship Id="rId34" Type="http://schemas.openxmlformats.org/officeDocument/2006/relationships/image" Target="media/image26.jpeg"/><Relationship Id="rId33" Type="http://schemas.openxmlformats.org/officeDocument/2006/relationships/image" Target="media/image25.png"/><Relationship Id="rId32" Type="http://schemas.openxmlformats.org/officeDocument/2006/relationships/image" Target="media/image24.png"/><Relationship Id="rId31" Type="http://schemas.openxmlformats.org/officeDocument/2006/relationships/image" Target="media/image23.png"/><Relationship Id="rId30" Type="http://schemas.openxmlformats.org/officeDocument/2006/relationships/image" Target="media/image22.png"/><Relationship Id="rId3" Type="http://schemas.openxmlformats.org/officeDocument/2006/relationships/footnotes" Target="footnotes.xml"/><Relationship Id="rId29" Type="http://schemas.openxmlformats.org/officeDocument/2006/relationships/image" Target="media/image21.png"/><Relationship Id="rId28" Type="http://schemas.openxmlformats.org/officeDocument/2006/relationships/image" Target="media/image20.png"/><Relationship Id="rId27" Type="http://schemas.openxmlformats.org/officeDocument/2006/relationships/image" Target="media/image19.png"/><Relationship Id="rId26" Type="http://schemas.openxmlformats.org/officeDocument/2006/relationships/image" Target="media/image18.jpeg"/><Relationship Id="rId25" Type="http://schemas.openxmlformats.org/officeDocument/2006/relationships/image" Target="media/image17.png"/><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106</Pages>
  <Words>14261</Words>
  <Characters>15377</Characters>
  <Lines>0</Lines>
  <Paragraphs>0</Paragraphs>
  <TotalTime>43</TotalTime>
  <ScaleCrop>false</ScaleCrop>
  <LinksUpToDate>false</LinksUpToDate>
  <CharactersWithSpaces>15431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2020-05-25T17:09:00Z</dcterms:created>
  <dc:creator>Administrator</dc:creator>
  <cp:lastModifiedBy>云淡风轻</cp:lastModifiedBy>
  <cp:lastPrinted>2026-04-22T01:57:00Z</cp:lastPrinted>
  <dcterms:modified xsi:type="dcterms:W3CDTF">2026-04-22T07:16:35Z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DCD06E2C9F19418DAE287D652AC0EB82_13</vt:lpwstr>
  </property>
  <property fmtid="{D5CDD505-2E9C-101B-9397-08002B2CF9AE}" pid="4" name="KSOSaveFontToCloudKey">
    <vt:lpwstr>289212702_cloud</vt:lpwstr>
  </property>
  <property fmtid="{D5CDD505-2E9C-101B-9397-08002B2CF9AE}" pid="5" name="KSOTemplateDocerSaveRecord">
    <vt:lpwstr>eyJoZGlkIjoiZTg0OWFlYTA2ZWE3ZDdhMTIzMTJlNDIwOWUxNDA0NzUiLCJ1c2VySWQiOiIyMDA5NzE0NDIifQ==</vt:lpwstr>
  </property>
</Properties>
</file>