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Times New Roman" w:hAnsi="Times New Roman" w:eastAsia="宋体" w:cs="宋体"/>
          <w:color w:val="auto"/>
          <w:sz w:val="28"/>
          <w:szCs w:val="28"/>
          <w:highlight w:val="none"/>
          <w:lang w:val="en-US" w:eastAsia="zh-CN"/>
        </w:rPr>
      </w:pPr>
    </w:p>
    <w:p>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Times New Roman" w:hAnsi="Times New Roman" w:eastAsia="宋体" w:cs="宋体"/>
          <w:color w:val="auto"/>
          <w:sz w:val="28"/>
          <w:szCs w:val="28"/>
          <w:highlight w:val="none"/>
          <w:lang w:val="en-US" w:eastAsia="zh-CN"/>
        </w:rPr>
      </w:pPr>
    </w:p>
    <w:p>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Times New Roman" w:hAnsi="Times New Roman" w:eastAsia="宋体" w:cs="宋体"/>
          <w:color w:val="auto"/>
          <w:sz w:val="28"/>
          <w:szCs w:val="28"/>
          <w:highlight w:val="none"/>
          <w:lang w:val="en-US" w:eastAsia="zh-CN"/>
        </w:rPr>
      </w:pPr>
    </w:p>
    <w:p>
      <w:pPr>
        <w:pStyle w:val="9"/>
        <w:keepNext w:val="0"/>
        <w:keepLines w:val="0"/>
        <w:pageBreakBefore w:val="0"/>
        <w:widowControl w:val="0"/>
        <w:kinsoku/>
        <w:wordWrap/>
        <w:overflowPunct/>
        <w:topLinePunct w:val="0"/>
        <w:autoSpaceDE/>
        <w:autoSpaceDN/>
        <w:bidi w:val="0"/>
        <w:adjustRightInd/>
        <w:spacing w:line="588" w:lineRule="exact"/>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苏左环审表</w:t>
      </w:r>
      <w:r>
        <w:rPr>
          <w:rFonts w:hint="eastAsia" w:ascii="仿宋_GB2312" w:hAnsi="Times New Roman" w:eastAsia="仿宋_GB2312" w:cs="Arial"/>
          <w:color w:val="auto"/>
          <w:sz w:val="32"/>
          <w:szCs w:val="32"/>
          <w:lang w:bidi="en-US"/>
        </w:rPr>
        <w:t>〔20</w:t>
      </w:r>
      <w:r>
        <w:rPr>
          <w:rFonts w:hint="eastAsia" w:ascii="仿宋_GB2312" w:hAnsi="Times New Roman" w:eastAsia="仿宋_GB2312" w:cs="Arial"/>
          <w:color w:val="auto"/>
          <w:sz w:val="32"/>
          <w:szCs w:val="32"/>
          <w:highlight w:val="none"/>
          <w:lang w:bidi="en-US"/>
        </w:rPr>
        <w:t>2</w:t>
      </w:r>
      <w:r>
        <w:rPr>
          <w:rFonts w:hint="eastAsia" w:ascii="仿宋_GB2312" w:hAnsi="Times New Roman" w:eastAsia="仿宋_GB2312" w:cs="Arial"/>
          <w:color w:val="auto"/>
          <w:sz w:val="32"/>
          <w:szCs w:val="32"/>
          <w:highlight w:val="none"/>
          <w:lang w:val="en-US" w:eastAsia="zh-CN" w:bidi="en-US"/>
        </w:rPr>
        <w:t>4</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8</w:t>
      </w:r>
      <w:r>
        <w:rPr>
          <w:rFonts w:hint="eastAsia" w:ascii="仿宋_GB2312" w:hAnsi="仿宋_GB2312" w:eastAsia="仿宋_GB2312" w:cs="仿宋_GB2312"/>
          <w:color w:val="auto"/>
          <w:sz w:val="32"/>
          <w:szCs w:val="32"/>
          <w:highlight w:val="none"/>
          <w:lang w:val="en-US" w:eastAsia="zh-CN"/>
        </w:rPr>
        <w:t>号</w:t>
      </w:r>
    </w:p>
    <w:p>
      <w:pPr>
        <w:keepNext w:val="0"/>
        <w:keepLines w:val="0"/>
        <w:pageBreakBefore w:val="0"/>
        <w:kinsoku/>
        <w:wordWrap/>
        <w:overflowPunct/>
        <w:topLinePunct w:val="0"/>
        <w:bidi w:val="0"/>
        <w:spacing w:line="560" w:lineRule="exact"/>
        <w:textAlignment w:val="auto"/>
        <w:rPr>
          <w:rFonts w:hint="eastAsia"/>
          <w:lang w:val="en-US" w:eastAsia="zh-CN"/>
        </w:rPr>
      </w:pPr>
    </w:p>
    <w:p>
      <w:pPr>
        <w:keepNext w:val="0"/>
        <w:keepLines w:val="0"/>
        <w:pageBreakBefore w:val="0"/>
        <w:widowControl/>
        <w:suppressLineNumbers w:val="0"/>
        <w:kinsoku/>
        <w:wordWrap/>
        <w:overflowPunct/>
        <w:topLinePunct w:val="0"/>
        <w:bidi w:val="0"/>
        <w:spacing w:line="560" w:lineRule="exact"/>
        <w:jc w:val="center"/>
        <w:textAlignment w:val="auto"/>
        <w:rPr>
          <w:rFonts w:hint="eastAsia" w:ascii="宋体" w:hAnsi="宋体" w:eastAsia="宋体" w:cs="宋体"/>
          <w:b/>
          <w:bCs/>
          <w:color w:val="auto"/>
          <w:sz w:val="44"/>
          <w:szCs w:val="44"/>
          <w:highlight w:val="none"/>
          <w:lang w:val="en-US" w:eastAsia="zh-CN"/>
        </w:rPr>
      </w:pPr>
      <w:r>
        <w:rPr>
          <w:rFonts w:hint="eastAsia" w:ascii="宋体" w:hAnsi="宋体" w:eastAsia="宋体" w:cs="宋体"/>
          <w:b/>
          <w:bCs/>
          <w:color w:val="auto"/>
          <w:sz w:val="44"/>
          <w:szCs w:val="44"/>
          <w:highlight w:val="none"/>
          <w:lang w:val="en-US" w:eastAsia="zh-CN"/>
        </w:rPr>
        <w:t>锡林郭勒盟生态环境局</w:t>
      </w:r>
    </w:p>
    <w:p>
      <w:pPr>
        <w:keepNext w:val="0"/>
        <w:keepLines w:val="0"/>
        <w:pageBreakBefore w:val="0"/>
        <w:widowControl/>
        <w:suppressLineNumbers w:val="0"/>
        <w:kinsoku/>
        <w:wordWrap/>
        <w:overflowPunct/>
        <w:topLinePunct w:val="0"/>
        <w:bidi w:val="0"/>
        <w:spacing w:line="560" w:lineRule="exact"/>
        <w:jc w:val="center"/>
        <w:textAlignment w:val="auto"/>
        <w:rPr>
          <w:rFonts w:hint="default" w:ascii="宋体" w:hAnsi="宋体" w:eastAsia="宋体" w:cs="宋体"/>
          <w:b/>
          <w:bCs/>
          <w:color w:val="auto"/>
          <w:sz w:val="44"/>
          <w:szCs w:val="44"/>
          <w:highlight w:val="none"/>
          <w:lang w:val="en-US" w:eastAsia="zh-CN"/>
        </w:rPr>
      </w:pPr>
      <w:r>
        <w:rPr>
          <w:rFonts w:hint="eastAsia" w:ascii="宋体" w:hAnsi="宋体" w:eastAsia="宋体" w:cs="宋体"/>
          <w:b/>
          <w:bCs/>
          <w:color w:val="000000"/>
          <w:kern w:val="0"/>
          <w:sz w:val="44"/>
          <w:szCs w:val="44"/>
          <w:lang w:val="en-US" w:eastAsia="zh-CN" w:bidi="ar"/>
        </w:rPr>
        <w:t>关于</w:t>
      </w:r>
      <w:r>
        <w:rPr>
          <w:rFonts w:hint="default" w:ascii="宋体" w:hAnsi="宋体" w:eastAsia="宋体" w:cs="宋体"/>
          <w:b/>
          <w:bCs/>
          <w:color w:val="auto"/>
          <w:sz w:val="44"/>
          <w:szCs w:val="44"/>
          <w:highlight w:val="none"/>
          <w:lang w:val="en-US" w:eastAsia="zh-CN"/>
        </w:rPr>
        <w:t>中国石油天然气股份有限公司内蒙古锡林郭勒销售分公司苏尼特左旗呼锡路</w:t>
      </w:r>
    </w:p>
    <w:p>
      <w:pPr>
        <w:keepNext w:val="0"/>
        <w:keepLines w:val="0"/>
        <w:pageBreakBefore w:val="0"/>
        <w:widowControl/>
        <w:suppressLineNumbers w:val="0"/>
        <w:kinsoku/>
        <w:wordWrap/>
        <w:overflowPunct/>
        <w:topLinePunct w:val="0"/>
        <w:bidi w:val="0"/>
        <w:spacing w:line="560" w:lineRule="exact"/>
        <w:jc w:val="center"/>
        <w:textAlignment w:val="auto"/>
        <w:rPr>
          <w:rFonts w:hint="default" w:ascii="宋体" w:hAnsi="宋体" w:eastAsia="宋体" w:cs="宋体"/>
          <w:b/>
          <w:bCs/>
          <w:color w:val="auto"/>
          <w:sz w:val="44"/>
          <w:szCs w:val="44"/>
          <w:highlight w:val="none"/>
          <w:lang w:val="en-US" w:eastAsia="zh-CN"/>
        </w:rPr>
      </w:pPr>
      <w:r>
        <w:rPr>
          <w:rFonts w:hint="default" w:ascii="宋体" w:hAnsi="宋体" w:eastAsia="宋体" w:cs="宋体"/>
          <w:b/>
          <w:bCs/>
          <w:color w:val="auto"/>
          <w:sz w:val="44"/>
          <w:szCs w:val="44"/>
          <w:highlight w:val="none"/>
          <w:lang w:val="en-US" w:eastAsia="zh-CN"/>
        </w:rPr>
        <w:t>满镇西出口加油站新增LNG项目</w:t>
      </w:r>
    </w:p>
    <w:p>
      <w:pPr>
        <w:keepNext w:val="0"/>
        <w:keepLines w:val="0"/>
        <w:pageBreakBefore w:val="0"/>
        <w:widowControl/>
        <w:suppressLineNumbers w:val="0"/>
        <w:kinsoku/>
        <w:wordWrap/>
        <w:overflowPunct/>
        <w:topLinePunct w:val="0"/>
        <w:bidi w:val="0"/>
        <w:spacing w:line="560" w:lineRule="exact"/>
        <w:jc w:val="center"/>
        <w:textAlignment w:val="auto"/>
        <w:rPr>
          <w:rFonts w:hint="eastAsia" w:ascii="宋体" w:hAnsi="宋体" w:eastAsia="宋体" w:cs="宋体"/>
          <w:b/>
          <w:bCs/>
          <w:color w:val="auto"/>
          <w:sz w:val="44"/>
          <w:szCs w:val="44"/>
          <w:highlight w:val="none"/>
          <w:lang w:val="en-US" w:eastAsia="zh-CN"/>
        </w:rPr>
      </w:pPr>
      <w:r>
        <w:rPr>
          <w:rFonts w:hint="eastAsia" w:ascii="宋体" w:hAnsi="宋体" w:eastAsia="宋体" w:cs="宋体"/>
          <w:b/>
          <w:bCs/>
          <w:color w:val="auto"/>
          <w:sz w:val="44"/>
          <w:szCs w:val="44"/>
          <w:highlight w:val="none"/>
          <w:lang w:val="en-US" w:eastAsia="zh-CN"/>
        </w:rPr>
        <w:t>环境影响报告表的批复</w:t>
      </w:r>
    </w:p>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eastAsia="仿宋_GB2312"/>
          <w:color w:val="auto"/>
          <w:sz w:val="32"/>
          <w:szCs w:val="32"/>
          <w:highlight w:val="none"/>
          <w:u w:val="none"/>
          <w:lang w:val="en-US" w:eastAsia="zh-CN"/>
        </w:rPr>
      </w:pPr>
    </w:p>
    <w:p>
      <w:pPr>
        <w:keepNext w:val="0"/>
        <w:keepLines w:val="0"/>
        <w:pageBreakBefore w:val="0"/>
        <w:kinsoku/>
        <w:wordWrap/>
        <w:overflowPunct/>
        <w:topLinePunct w:val="0"/>
        <w:bidi w:val="0"/>
        <w:adjustRightInd w:val="0"/>
        <w:snapToGrid w:val="0"/>
        <w:spacing w:line="560" w:lineRule="exact"/>
        <w:textAlignment w:val="auto"/>
        <w:rPr>
          <w:rFonts w:hint="eastAsia" w:ascii="仿宋" w:hAnsi="仿宋" w:eastAsia="仿宋" w:cs="仿宋"/>
          <w:b w:val="0"/>
          <w:bCs w:val="0"/>
          <w:color w:val="auto"/>
          <w:kern w:val="2"/>
          <w:sz w:val="32"/>
          <w:szCs w:val="32"/>
          <w:highlight w:val="none"/>
          <w:lang w:val="en-US" w:eastAsia="zh-CN" w:bidi="ar-SA"/>
        </w:rPr>
      </w:pPr>
      <w:r>
        <w:rPr>
          <w:rFonts w:hint="default" w:ascii="仿宋" w:hAnsi="仿宋" w:eastAsia="仿宋" w:cs="仿宋"/>
          <w:color w:val="000000"/>
          <w:kern w:val="0"/>
          <w:sz w:val="32"/>
          <w:szCs w:val="32"/>
          <w:lang w:val="en-US" w:eastAsia="zh-CN" w:bidi="ar"/>
        </w:rPr>
        <w:t>中国石油天然气股份有限公司内蒙古锡林郭勒销售分公司</w:t>
      </w:r>
      <w:r>
        <w:rPr>
          <w:rFonts w:hint="eastAsia" w:ascii="仿宋" w:hAnsi="仿宋" w:eastAsia="仿宋" w:cs="仿宋"/>
          <w:b w:val="0"/>
          <w:bCs w:val="0"/>
          <w:color w:val="auto"/>
          <w:kern w:val="2"/>
          <w:sz w:val="32"/>
          <w:szCs w:val="32"/>
          <w:highlight w:val="none"/>
          <w:lang w:val="en-US" w:eastAsia="zh-CN" w:bidi="ar-SA"/>
        </w:rPr>
        <w:t>：</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你公司由亿特利工程技术集团有限公司编制的《</w:t>
      </w:r>
      <w:bookmarkStart w:id="0" w:name="_GoBack"/>
      <w:r>
        <w:rPr>
          <w:rFonts w:hint="default" w:ascii="仿宋" w:hAnsi="仿宋" w:eastAsia="仿宋" w:cs="仿宋"/>
          <w:color w:val="000000"/>
          <w:kern w:val="0"/>
          <w:sz w:val="32"/>
          <w:szCs w:val="32"/>
          <w:lang w:val="en-US" w:eastAsia="zh-CN" w:bidi="ar"/>
        </w:rPr>
        <w:t>中国石油天然气股份有限公司内蒙古锡林郭勒销售分公司苏尼特左旗呼锡路满镇西出口加油站新增LNG项目</w:t>
      </w:r>
      <w:bookmarkEnd w:id="0"/>
      <w:r>
        <w:rPr>
          <w:rFonts w:hint="eastAsia" w:ascii="仿宋" w:hAnsi="仿宋" w:eastAsia="仿宋" w:cs="仿宋"/>
          <w:color w:val="000000"/>
          <w:kern w:val="0"/>
          <w:sz w:val="32"/>
          <w:szCs w:val="32"/>
          <w:lang w:val="en-US" w:eastAsia="zh-CN" w:bidi="ar"/>
        </w:rPr>
        <w:t>环境影响报告表》收悉。我局委托内蒙古墨菲工程咨询有限公司对《报告表》进行了技术评估，出具了评估报告（墨菲评估〔2024〕40号）。依据《锡林郭勒盟生态环境局关于委托实施行政许可事项的通知》（锡署环字[2021]41号），现将批复如下：</w:t>
      </w:r>
    </w:p>
    <w:p>
      <w:pPr>
        <w:keepNext w:val="0"/>
        <w:keepLines w:val="0"/>
        <w:pageBreakBefore w:val="0"/>
        <w:widowControl w:val="0"/>
        <w:kinsoku/>
        <w:wordWrap/>
        <w:overflowPunct/>
        <w:topLinePunct w:val="0"/>
        <w:autoSpaceDE w:val="0"/>
        <w:autoSpaceDN w:val="0"/>
        <w:bidi w:val="0"/>
        <w:adjustRightInd/>
        <w:snapToGrid/>
        <w:spacing w:beforeAutospacing="0" w:afterAutospacing="0" w:line="560" w:lineRule="exact"/>
        <w:ind w:left="0" w:leftChars="0" w:right="0" w:righ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一、建设项目基本情况，产业政策及“三线一单”符合性</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中国石油天然气股份有限公司内蒙古锡林郭勒销售分公司苏尼特左旗呼锡路满镇西出口加油站项目位于内蒙古自治区锡林郭勒盟苏尼特左旗G209国道与S222省道交汇处北600米，站区总占地面积2500平方米。本项目属于扩建项目，在原加油站空地进行建设，不新增占地。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本次新增LNG双枪加气机1台，新增60m</w:t>
      </w:r>
      <w:r>
        <w:rPr>
          <w:rFonts w:hint="eastAsia" w:ascii="仿宋" w:hAnsi="仿宋" w:eastAsia="仿宋" w:cs="仿宋"/>
          <w:color w:val="000000"/>
          <w:kern w:val="0"/>
          <w:sz w:val="32"/>
          <w:szCs w:val="32"/>
          <w:vertAlign w:val="superscript"/>
          <w:lang w:val="en-US" w:eastAsia="zh-CN" w:bidi="ar"/>
        </w:rPr>
        <w:t>3</w:t>
      </w:r>
      <w:r>
        <w:rPr>
          <w:rFonts w:hint="eastAsia" w:ascii="仿宋" w:hAnsi="仿宋" w:eastAsia="仿宋" w:cs="仿宋"/>
          <w:color w:val="000000"/>
          <w:kern w:val="0"/>
          <w:sz w:val="32"/>
          <w:szCs w:val="32"/>
          <w:lang w:val="en-US" w:eastAsia="zh-CN" w:bidi="ar"/>
        </w:rPr>
        <w:t xml:space="preserve">LNG储液罐一个，新增潜液泵撬一套，相关控制系统一套等，并新增一个遮雨棚，扩宽硬化区域，预计扩建后年加气量1825吨。 </w:t>
      </w:r>
    </w:p>
    <w:p>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项目的总投资为700万元人民币，环保投资39万元，占总投资的5.57%。</w:t>
      </w:r>
    </w:p>
    <w:p>
      <w:pPr>
        <w:keepNext w:val="0"/>
        <w:keepLines w:val="0"/>
        <w:widowControl/>
        <w:suppressLineNumbers w:val="0"/>
        <w:ind w:firstLine="640" w:firstLineChars="200"/>
        <w:jc w:val="left"/>
      </w:pPr>
      <w:r>
        <w:rPr>
          <w:rFonts w:ascii="楷体" w:hAnsi="楷体" w:eastAsia="楷体" w:cs="楷体"/>
          <w:color w:val="000000"/>
          <w:kern w:val="0"/>
          <w:sz w:val="32"/>
          <w:szCs w:val="32"/>
          <w:lang w:val="en-US" w:eastAsia="zh-CN" w:bidi="ar"/>
        </w:rPr>
        <w:t>（一）产业政策符合性分析</w:t>
      </w:r>
      <w:r>
        <w:rPr>
          <w:rFonts w:ascii="楷体" w:hAnsi="楷体" w:eastAsia="楷体" w:cs="楷体"/>
          <w:color w:val="000000"/>
          <w:kern w:val="0"/>
          <w:sz w:val="31"/>
          <w:szCs w:val="31"/>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项目为机动车燃气零售建设项目，根据国家《产业结构调整指导目录（2024年本）》，项目不属于淘汰类和限制类目录之列，属于允许类项目。因此，项目建设符合国家产业政策。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（二）选址合理性分析</w:t>
      </w:r>
      <w:r>
        <w:rPr>
          <w:rFonts w:hint="eastAsia" w:ascii="仿宋" w:hAnsi="仿宋" w:eastAsia="仿宋" w:cs="仿宋"/>
          <w:color w:val="000000"/>
          <w:kern w:val="0"/>
          <w:sz w:val="32"/>
          <w:szCs w:val="32"/>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项目厂址周边无自然保护区、风景名胜区、饮用水水源保护区等环境敏感区，不涉及生态保护红线，地理条件优越，交通便利。项目选址及周边环境单元符合《汽车加油加气加氢站技术标准》（GB50156-2021）的要求。因此本项目选址合理。 </w:t>
      </w:r>
    </w:p>
    <w:p>
      <w:pPr>
        <w:keepNext w:val="0"/>
        <w:keepLines w:val="0"/>
        <w:widowControl/>
        <w:suppressLineNumbers w:val="0"/>
        <w:ind w:firstLine="640" w:firstLineChars="200"/>
        <w:jc w:val="left"/>
        <w:rPr>
          <w:rFonts w:hint="eastAsia" w:ascii="楷体" w:hAnsi="楷体" w:eastAsia="楷体" w:cs="楷体"/>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（三）“三线一单”符合性分析</w:t>
      </w:r>
    </w:p>
    <w:p>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依据《锡林郭勒盟生态环境保护委员会办公室关于印发锡林郭勒盟“三线一单”生态环境分区管控意见修改单和锡林郭勒盟生态环境准入清单的通知》（锡环委办发〔2024〕1 号），本项目区域环境管控单元名称为“苏尼特左旗一般管控单元”，管控单元类别为“一般管控单元”，环境管控单元编码为“ZH15252330001”。对照“锡林郭勒盟苏尼特左旗生态环境准入清单（2023 年 12 月）”本项目符合该环境管控单元的空间布局约束、污染物排放管控、环境风险防控、资源利用效率要求等管控要求。</w:t>
      </w:r>
    </w:p>
    <w:p>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二、项目在设计、建设和运营过程中应做好以下工作：</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（一）大气污染防治措施</w:t>
      </w:r>
      <w:r>
        <w:rPr>
          <w:rFonts w:hint="eastAsia" w:ascii="仿宋" w:hAnsi="仿宋" w:eastAsia="仿宋" w:cs="仿宋"/>
          <w:color w:val="000000"/>
          <w:kern w:val="0"/>
          <w:sz w:val="32"/>
          <w:szCs w:val="32"/>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项目运营期废气主要包括储罐超压排放的天然气，加气废气，无组织泄漏排放的天然气（液化天然气在站内输送过程、槽车装卸过程中无组织泄漏废气），检修排放的天然气，汽车尾气。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项目设置一套EAG放空系统，放空经LNG卸压时产生的废气。项目放空塔为8m（高于地面5m），与站房距离为15m（大于12m），与最近的居民距离为70m以上（大于标准距离15m的要求），放空塔的设置满足《液化天然气（LNG）汽车加气站设计与施工规范》（NB/1001-2011）中“集中放空管管口应高出以储罐和管口为半径12m范围内建（构）筑物2.0m及以上，且应高出地面5.0m及以上”的相关规定。LNG系统在整个接收、调压、加注过程中因吸收热能LNG气化间歇产生闪蒸汽（BOG），产生的闪蒸汽经回收管道收集，通过BOG系统回收至单独设置的BOG储罐暂存，定期由槽车运回生产厂家回收利用。并且业主需对项目天然气易漏点应加强巡检，在LNG储罐附近设置可燃气体报警器，防止空气中有害物质积累超标。</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项目周边绿地较多且环境开阔，机动车尾气通过自然扩散排放，由于汽车停留时间较短，尾气排放量较少，站场周围无高大建筑，有利于汽车尾气的稀释和扩散，并且项目周围种植的植物等对进出车辆排放的尾气有一定的净化作用，汽车尾气污染物对周围环境影响较小。 </w:t>
      </w:r>
    </w:p>
    <w:p>
      <w:pPr>
        <w:keepNext w:val="0"/>
        <w:keepLines w:val="0"/>
        <w:widowControl/>
        <w:suppressLineNumbers w:val="0"/>
        <w:ind w:firstLine="640" w:firstLineChars="200"/>
        <w:jc w:val="left"/>
        <w:rPr>
          <w:rFonts w:hint="eastAsia" w:ascii="楷体" w:hAnsi="楷体" w:eastAsia="楷体" w:cs="楷体"/>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 xml:space="preserve">（二）水污染防治措施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项目产生废水主要为生活盥洗污水。</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生活盥洗污水集中收集至化粪池，定期由环卫部门拉运至苏尼特左旗满都拉图镇污水处理厂统一处理。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（三）噪声污染防治措施</w:t>
      </w:r>
      <w:r>
        <w:rPr>
          <w:rFonts w:hint="eastAsia" w:ascii="仿宋" w:hAnsi="仿宋" w:eastAsia="仿宋" w:cs="仿宋"/>
          <w:color w:val="000000"/>
          <w:kern w:val="0"/>
          <w:sz w:val="32"/>
          <w:szCs w:val="32"/>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项目扩建后将新增设备噪声，增加的噪声源强主要为潜 </w:t>
      </w:r>
    </w:p>
    <w:p>
      <w:pPr>
        <w:keepNext w:val="0"/>
        <w:keepLines w:val="0"/>
        <w:widowControl/>
        <w:suppressLineNumbers w:val="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液泵、加气机等设备产生的噪声及其进出车辆噪声。噪声防治对策应该主要从声源上降低噪声和从噪声传播等途径上进行，采取优先选用先进的低噪音设备；潜液泵基础设橡胶隔振垫以减振，同时潜液泵安装在密闭的真空泵池内；控制放空时间，尽量在白天放空，安装消音器，严格管理，尽量减少放空次数；加强管理，站内禁止鸣笛，控制车速，减少汽车噪声等措施。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（四）固体废物防治措施</w:t>
      </w:r>
      <w:r>
        <w:rPr>
          <w:rFonts w:hint="eastAsia" w:ascii="仿宋" w:hAnsi="仿宋" w:eastAsia="仿宋" w:cs="仿宋"/>
          <w:color w:val="000000"/>
          <w:kern w:val="0"/>
          <w:sz w:val="32"/>
          <w:szCs w:val="32"/>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项目固体废物主要为进出站内的顾客产生的生活垃圾。 </w:t>
      </w:r>
    </w:p>
    <w:p>
      <w:pPr>
        <w:keepNext w:val="0"/>
        <w:keepLines w:val="0"/>
        <w:widowControl/>
        <w:suppressLineNumbers w:val="0"/>
        <w:jc w:val="left"/>
      </w:pPr>
      <w:r>
        <w:rPr>
          <w:rFonts w:hint="eastAsia" w:ascii="仿宋" w:hAnsi="仿宋" w:eastAsia="仿宋" w:cs="仿宋"/>
          <w:color w:val="000000"/>
          <w:kern w:val="0"/>
          <w:sz w:val="32"/>
          <w:szCs w:val="32"/>
          <w:lang w:val="en-US" w:eastAsia="zh-CN" w:bidi="ar"/>
        </w:rPr>
        <w:t>生活垃圾分类袋装收集后，由当地环卫部门统一清运处理。</w:t>
      </w:r>
    </w:p>
    <w:p>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三、项目建设必须严格执行环境保护设施与主体工程同时设计、同时施工、同时投产使用的环境保护“三同时”制度。</w:t>
      </w:r>
    </w:p>
    <w:p>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（一）要将环境保护措施纳入初步设计报告并落实环保设施投资概算。</w:t>
      </w:r>
    </w:p>
    <w:p>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（二）要将环境保护设施建设纳入施工合同，保证环境保护设施建设进度和资金。</w:t>
      </w:r>
    </w:p>
    <w:p>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（三）项目竣工后须按规定程序实施竣工环境保护验收，验收合格后方可正式投运。</w:t>
      </w:r>
    </w:p>
    <w:p>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四、苏尼特左旗生态环境综合行政执法大队对该项目建设期间各项生态环境保护措施落实情况进行监督检查和管理。</w:t>
      </w:r>
    </w:p>
    <w:p>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p>
    <w:p>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960" w:firstLineChars="30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此页无正文</w:t>
      </w:r>
    </w:p>
    <w:p>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p>
    <w:p>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p>
    <w:p>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锡林郭勒盟生态环境局</w:t>
      </w:r>
    </w:p>
    <w:p>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800" w:firstLineChars="15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2024年7月12日</w:t>
      </w:r>
    </w:p>
    <w:p>
      <w:pPr>
        <w:pStyle w:val="6"/>
        <w:ind w:left="0" w:leftChars="0" w:firstLine="0" w:firstLineChars="0"/>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jc w:val="both"/>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pStyle w:val="2"/>
        <w:jc w:val="both"/>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rPr>
          <w:rFonts w:hint="eastAsia"/>
          <w:lang w:val="en-US" w:eastAsia="zh-CN"/>
        </w:rPr>
      </w:pPr>
    </w:p>
    <w:p>
      <w:pPr>
        <w:rPr>
          <w:rFonts w:hint="eastAsia"/>
          <w:lang w:val="en-US" w:eastAsia="zh-CN"/>
        </w:rPr>
      </w:pPr>
    </w:p>
    <w:p>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r>
        <w:rPr>
          <w:rFonts w:hint="eastAsia" w:ascii="仿宋_GB2312" w:hAnsi="仿宋_GB2312" w:eastAsia="仿宋_GB2312" w:cs="仿宋_GB2312"/>
          <w:sz w:val="28"/>
          <w:szCs w:val="28"/>
          <w:u w:val="none"/>
        </w:rPr>
        <w:t>抄送：盟生态环境综合行政执法支队、</w:t>
      </w:r>
      <w:r>
        <w:rPr>
          <w:rFonts w:hint="eastAsia" w:ascii="仿宋_GB2312" w:hAnsi="仿宋_GB2312" w:eastAsia="仿宋_GB2312" w:cs="仿宋_GB2312"/>
          <w:sz w:val="28"/>
          <w:szCs w:val="28"/>
          <w:u w:val="none"/>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26670</wp:posOffset>
                </wp:positionV>
                <wp:extent cx="5039360" cy="9525"/>
                <wp:effectExtent l="0" t="0" r="0" b="0"/>
                <wp:wrapNone/>
                <wp:docPr id="4" name="直接箭头连接符 4"/>
                <wp:cNvGraphicFramePr/>
                <a:graphic xmlns:a="http://schemas.openxmlformats.org/drawingml/2006/main">
                  <a:graphicData uri="http://schemas.microsoft.com/office/word/2010/wordprocessingShape">
                    <wps:wsp>
                      <wps:cNvCnPr/>
                      <wps:spPr>
                        <a:xfrm flipV="1">
                          <a:off x="0" y="0"/>
                          <a:ext cx="5039360" cy="952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1pt;height:0.75pt;width:396.8pt;z-index:251659264;mso-width-relative:page;mso-height-relative:page;" filled="f" stroked="t" coordsize="21600,21600" o:gfxdata="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t0G411QAAAAUBAAAPAAAAAAAAAAEAIAAAACIA&#10;AABkcnMvZG93bnJldi54bWxQSwECFAAUAAAACACHTuJA2+mYXQwCAAADBAAADgAAAAAAAAABACAA&#10;AAAkAQAAZHJzL2Uyb0RvYy54bWxQSwUGAAAAAAYABgBZAQAAogU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u w:val="none"/>
        </w:rPr>
        <w:t>盟生态环境局</w:t>
      </w:r>
      <w:r>
        <w:rPr>
          <w:rFonts w:hint="eastAsia" w:ascii="仿宋_GB2312" w:hAnsi="仿宋_GB2312" w:eastAsia="仿宋_GB2312" w:cs="仿宋_GB2312"/>
          <w:sz w:val="28"/>
          <w:szCs w:val="28"/>
          <w:u w:val="none"/>
          <w:lang w:val="en-US" w:eastAsia="zh-CN"/>
        </w:rPr>
        <w:t>苏尼特左旗</w:t>
      </w:r>
      <w:r>
        <w:rPr>
          <w:rFonts w:hint="eastAsia" w:ascii="仿宋_GB2312" w:hAnsi="仿宋_GB2312" w:eastAsia="仿宋_GB2312" w:cs="仿宋_GB2312"/>
          <w:sz w:val="28"/>
          <w:szCs w:val="28"/>
          <w:u w:val="none"/>
        </w:rPr>
        <w:t>分局</w:t>
      </w:r>
    </w:p>
    <w:p>
      <w:pPr>
        <w:pStyle w:val="9"/>
        <w:keepNext w:val="0"/>
        <w:keepLines w:val="0"/>
        <w:pageBreakBefore w:val="0"/>
        <w:pBdr>
          <w:top w:val="single" w:color="auto" w:sz="4" w:space="0"/>
          <w:bottom w:val="single" w:color="auto" w:sz="4" w:space="0"/>
        </w:pBdr>
        <w:kinsoku/>
        <w:wordWrap/>
        <w:overflowPunct/>
        <w:topLinePunct w:val="0"/>
        <w:autoSpaceDE/>
        <w:autoSpaceDN/>
        <w:bidi w:val="0"/>
        <w:spacing w:before="62" w:beforeLines="20" w:line="560" w:lineRule="exact"/>
        <w:ind w:left="0" w:leftChars="0" w:firstLine="0" w:firstLineChars="0"/>
        <w:jc w:val="both"/>
        <w:textAlignment w:val="auto"/>
        <w:rPr>
          <w:rFonts w:hint="default"/>
          <w:lang w:val="en-US" w:eastAsia="zh-CN"/>
        </w:rPr>
      </w:pPr>
      <w:r>
        <w:rPr>
          <w:rFonts w:hint="eastAsia" w:ascii="仿宋_GB2312" w:hAnsi="仿宋_GB2312" w:eastAsia="仿宋_GB2312" w:cs="仿宋_GB2312"/>
          <w:sz w:val="28"/>
          <w:szCs w:val="28"/>
          <w:u w:val="none"/>
        </w:rPr>
        <w:t>锡林郭勒盟生态环境局办公室           202</w:t>
      </w:r>
      <w:r>
        <w:rPr>
          <w:rFonts w:hint="eastAsia" w:ascii="仿宋_GB2312" w:hAnsi="仿宋_GB2312" w:eastAsia="仿宋_GB2312" w:cs="仿宋_GB2312"/>
          <w:sz w:val="28"/>
          <w:szCs w:val="28"/>
          <w:u w:val="none"/>
          <w:lang w:val="en-US" w:eastAsia="zh-CN"/>
        </w:rPr>
        <w:t>4</w:t>
      </w:r>
      <w:r>
        <w:rPr>
          <w:rFonts w:hint="eastAsia" w:ascii="仿宋_GB2312" w:hAnsi="仿宋_GB2312" w:eastAsia="仿宋_GB2312" w:cs="仿宋_GB2312"/>
          <w:sz w:val="28"/>
          <w:szCs w:val="28"/>
          <w:u w:val="none"/>
        </w:rPr>
        <w:t>年</w:t>
      </w:r>
      <w:r>
        <w:rPr>
          <w:rFonts w:hint="eastAsia" w:ascii="仿宋_GB2312" w:hAnsi="仿宋_GB2312" w:eastAsia="仿宋_GB2312" w:cs="仿宋_GB2312"/>
          <w:sz w:val="28"/>
          <w:szCs w:val="28"/>
          <w:u w:val="none"/>
          <w:lang w:val="en-US" w:eastAsia="zh-CN"/>
        </w:rPr>
        <w:t>7</w:t>
      </w:r>
      <w:r>
        <w:rPr>
          <w:rFonts w:hint="eastAsia" w:ascii="仿宋_GB2312" w:hAnsi="仿宋_GB2312" w:eastAsia="仿宋_GB2312" w:cs="仿宋_GB2312"/>
          <w:sz w:val="28"/>
          <w:szCs w:val="28"/>
          <w:u w:val="none"/>
        </w:rPr>
        <w:t>月</w:t>
      </w:r>
      <w:r>
        <w:rPr>
          <w:rFonts w:hint="eastAsia" w:ascii="仿宋_GB2312" w:hAnsi="仿宋_GB2312" w:eastAsia="仿宋_GB2312" w:cs="仿宋_GB2312"/>
          <w:sz w:val="28"/>
          <w:szCs w:val="28"/>
          <w:u w:val="none"/>
          <w:lang w:val="en-US" w:eastAsia="zh-CN"/>
        </w:rPr>
        <w:t>12</w:t>
      </w:r>
      <w:r>
        <w:rPr>
          <w:rFonts w:hint="eastAsia" w:ascii="仿宋_GB2312" w:hAnsi="仿宋_GB2312" w:eastAsia="仿宋_GB2312" w:cs="仿宋_GB2312"/>
          <w:sz w:val="28"/>
          <w:szCs w:val="28"/>
          <w:u w:val="none"/>
        </w:rPr>
        <w:t>日印发</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swiss"/>
    <w:pitch w:val="default"/>
    <w:sig w:usb0="00000000" w:usb1="00000000" w:usb2="0000003F" w:usb3="00000000" w:csb0="003F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NDY1MGEwZmMxN2QwY2NhZmE0ODRiNjg4MWM3NTEifQ=="/>
  </w:docVars>
  <w:rsids>
    <w:rsidRoot w:val="2B1B5EE9"/>
    <w:rsid w:val="01244F19"/>
    <w:rsid w:val="02B82FD4"/>
    <w:rsid w:val="067155FB"/>
    <w:rsid w:val="0B6673AF"/>
    <w:rsid w:val="14215995"/>
    <w:rsid w:val="14792ECD"/>
    <w:rsid w:val="17B4441E"/>
    <w:rsid w:val="1CD91E20"/>
    <w:rsid w:val="1E391DFB"/>
    <w:rsid w:val="1FAD1396"/>
    <w:rsid w:val="24983AB5"/>
    <w:rsid w:val="267E11C9"/>
    <w:rsid w:val="2B1B5EE9"/>
    <w:rsid w:val="32074BC0"/>
    <w:rsid w:val="366F678F"/>
    <w:rsid w:val="38B04AF7"/>
    <w:rsid w:val="39C80E81"/>
    <w:rsid w:val="3CB11420"/>
    <w:rsid w:val="40415869"/>
    <w:rsid w:val="4772691E"/>
    <w:rsid w:val="49684719"/>
    <w:rsid w:val="4C0C25D8"/>
    <w:rsid w:val="5857376F"/>
    <w:rsid w:val="5A763C60"/>
    <w:rsid w:val="646E5840"/>
    <w:rsid w:val="65240459"/>
    <w:rsid w:val="687D19A4"/>
    <w:rsid w:val="69820AD8"/>
    <w:rsid w:val="723338D8"/>
    <w:rsid w:val="73E363D7"/>
    <w:rsid w:val="79634769"/>
    <w:rsid w:val="79787ABF"/>
    <w:rsid w:val="7BEB0C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autoRedefine/>
    <w:qFormat/>
    <w:uiPriority w:val="1"/>
    <w:pPr>
      <w:spacing w:line="360" w:lineRule="auto"/>
      <w:jc w:val="center"/>
      <w:outlineLvl w:val="1"/>
    </w:pPr>
    <w:rPr>
      <w:szCs w:val="21"/>
    </w:rPr>
  </w:style>
  <w:style w:type="character" w:default="1" w:styleId="11">
    <w:name w:val="Default Paragraph Font"/>
    <w:autoRedefine/>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3">
    <w:name w:val="Normal Indent"/>
    <w:basedOn w:val="1"/>
    <w:next w:val="4"/>
    <w:autoRedefine/>
    <w:qFormat/>
    <w:uiPriority w:val="0"/>
    <w:pPr>
      <w:ind w:firstLine="420"/>
    </w:pPr>
    <w:rPr>
      <w:sz w:val="24"/>
      <w:szCs w:val="20"/>
    </w:rPr>
  </w:style>
  <w:style w:type="paragraph" w:styleId="4">
    <w:name w:val="Body Text First Indent 2"/>
    <w:basedOn w:val="5"/>
    <w:next w:val="6"/>
    <w:autoRedefine/>
    <w:unhideWhenUsed/>
    <w:qFormat/>
    <w:uiPriority w:val="0"/>
    <w:pPr>
      <w:ind w:leftChars="200" w:firstLine="420" w:firstLineChars="200"/>
    </w:pPr>
  </w:style>
  <w:style w:type="paragraph" w:styleId="5">
    <w:name w:val="Body Text Indent"/>
    <w:basedOn w:val="1"/>
    <w:next w:val="1"/>
    <w:semiHidden/>
    <w:qFormat/>
    <w:uiPriority w:val="0"/>
    <w:pPr>
      <w:spacing w:after="120"/>
      <w:ind w:left="420" w:leftChars="200"/>
    </w:pPr>
  </w:style>
  <w:style w:type="paragraph" w:styleId="6">
    <w:name w:val="Body Text First Indent"/>
    <w:basedOn w:val="7"/>
    <w:next w:val="1"/>
    <w:autoRedefine/>
    <w:unhideWhenUsed/>
    <w:qFormat/>
    <w:uiPriority w:val="99"/>
    <w:pPr>
      <w:ind w:firstLine="420" w:firstLineChars="100"/>
    </w:pPr>
    <w:rPr>
      <w:spacing w:val="6"/>
    </w:rPr>
  </w:style>
  <w:style w:type="paragraph" w:styleId="7">
    <w:name w:val="Body Text"/>
    <w:basedOn w:val="1"/>
    <w:next w:val="8"/>
    <w:autoRedefine/>
    <w:qFormat/>
    <w:uiPriority w:val="0"/>
    <w:pPr>
      <w:widowControl/>
      <w:snapToGrid w:val="0"/>
      <w:spacing w:before="60" w:after="160" w:line="259" w:lineRule="auto"/>
      <w:ind w:right="113"/>
    </w:pPr>
    <w:rPr>
      <w:kern w:val="0"/>
      <w:sz w:val="18"/>
      <w:szCs w:val="18"/>
    </w:rPr>
  </w:style>
  <w:style w:type="paragraph" w:customStyle="1" w:styleId="8">
    <w:name w:val="xl27"/>
    <w:basedOn w:val="1"/>
    <w:autoRedefine/>
    <w:qFormat/>
    <w:uiPriority w:val="0"/>
    <w:pPr>
      <w:spacing w:before="100" w:beforeAutospacing="1" w:after="100" w:afterAutospacing="1"/>
      <w:jc w:val="center"/>
      <w:textAlignment w:val="center"/>
    </w:pPr>
    <w:rPr>
      <w:rFonts w:ascii="Arial Unicode MS" w:hAnsi="Arial Unicode MS" w:eastAsia="Arial Unicode MS"/>
      <w:bCs/>
      <w:sz w:val="20"/>
      <w:szCs w:val="32"/>
    </w:rPr>
  </w:style>
  <w:style w:type="paragraph" w:styleId="9">
    <w:name w:val="footer"/>
    <w:basedOn w:val="1"/>
    <w:next w:val="1"/>
    <w:autoRedefine/>
    <w:qFormat/>
    <w:uiPriority w:val="99"/>
    <w:pPr>
      <w:tabs>
        <w:tab w:val="center" w:pos="4153"/>
        <w:tab w:val="right" w:pos="8306"/>
      </w:tabs>
      <w:snapToGrid w:val="0"/>
      <w:ind w:right="360" w:firstLine="360"/>
      <w:jc w:val="center"/>
    </w:pPr>
    <w:rPr>
      <w:kern w:val="0"/>
      <w:sz w:val="18"/>
      <w:szCs w:val="20"/>
    </w:rPr>
  </w:style>
  <w:style w:type="paragraph" w:customStyle="1" w:styleId="12">
    <w:name w:val="样式 正文缩进正文缩进2正文缩进 Char Char正文缩进 Char Char Char Char正文缩进 Char ..."/>
    <w:basedOn w:val="3"/>
    <w:autoRedefine/>
    <w:qFormat/>
    <w:uiPriority w:val="0"/>
    <w:pPr>
      <w:spacing w:line="360" w:lineRule="auto"/>
      <w:ind w:firstLine="200"/>
    </w:pPr>
    <w:rPr>
      <w:rFonts w:cs="宋体"/>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2506</Words>
  <Characters>2686</Characters>
  <Lines>0</Lines>
  <Paragraphs>0</Paragraphs>
  <TotalTime>48</TotalTime>
  <ScaleCrop>false</ScaleCrop>
  <LinksUpToDate>false</LinksUpToDate>
  <CharactersWithSpaces>2732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2022-02-16T02:46:00Z</dcterms:created>
  <dc:creator>Cqdn</dc:creator>
  <cp:lastModifiedBy>sn</cp:lastModifiedBy>
  <cp:lastPrinted>2023-10-13T02:57:00Z</cp:lastPrinted>
  <dcterms:modified xsi:type="dcterms:W3CDTF">2024-07-12T08:16:41Z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03C11E6A5E6C468B95386705FE3A4E01_13</vt:lpwstr>
  </property>
</Properties>
</file>