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800F90">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14:paraId="0E8F82BF">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14:paraId="44121906">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14:paraId="5501F1D8">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14:paraId="55344B85">
      <w:pPr>
        <w:keepNext w:val="0"/>
        <w:keepLines w:val="0"/>
        <w:pageBreakBefore w:val="0"/>
        <w:widowControl w:val="0"/>
        <w:kinsoku/>
        <w:wordWrap/>
        <w:overflowPunct/>
        <w:topLinePunct w:val="0"/>
        <w:autoSpaceDE/>
        <w:autoSpaceDN/>
        <w:bidi w:val="0"/>
        <w:adjustRightInd/>
        <w:spacing w:line="588" w:lineRule="exact"/>
        <w:textAlignment w:val="auto"/>
        <w:rPr>
          <w:rFonts w:hint="eastAsia" w:ascii="Times New Roman" w:hAnsi="Times New Roman" w:eastAsia="宋体" w:cs="宋体"/>
          <w:color w:val="auto"/>
          <w:sz w:val="44"/>
          <w:szCs w:val="44"/>
          <w:highlight w:val="none"/>
          <w:lang w:val="en-US" w:eastAsia="zh-CN"/>
        </w:rPr>
      </w:pPr>
    </w:p>
    <w:p w14:paraId="28B68835">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14:paraId="608BEE3F">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14:paraId="397E48F2">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Times New Roman" w:hAnsi="Times New Roman" w:eastAsia="宋体" w:cs="宋体"/>
          <w:color w:val="auto"/>
          <w:sz w:val="28"/>
          <w:szCs w:val="28"/>
          <w:highlight w:val="none"/>
          <w:lang w:val="en-US" w:eastAsia="zh-CN"/>
        </w:rPr>
      </w:pPr>
    </w:p>
    <w:p w14:paraId="47485390">
      <w:pPr>
        <w:pStyle w:val="9"/>
        <w:keepNext w:val="0"/>
        <w:keepLines w:val="0"/>
        <w:pageBreakBefore w:val="0"/>
        <w:widowControl w:val="0"/>
        <w:kinsoku/>
        <w:wordWrap/>
        <w:overflowPunct/>
        <w:topLinePunct w:val="0"/>
        <w:autoSpaceDE/>
        <w:autoSpaceDN/>
        <w:bidi w:val="0"/>
        <w:adjustRightInd/>
        <w:spacing w:line="588" w:lineRule="exact"/>
        <w:textAlignment w:val="auto"/>
        <w:rPr>
          <w:rFonts w:hint="eastAsia"/>
          <w:lang w:val="en-US" w:eastAsia="zh-CN"/>
        </w:rPr>
      </w:pPr>
    </w:p>
    <w:p w14:paraId="63F2118E">
      <w:pPr>
        <w:keepNext w:val="0"/>
        <w:keepLines w:val="0"/>
        <w:pageBreakBefore w:val="0"/>
        <w:widowControl w:val="0"/>
        <w:kinsoku/>
        <w:wordWrap/>
        <w:overflowPunct/>
        <w:topLinePunct w:val="0"/>
        <w:autoSpaceDE/>
        <w:autoSpaceDN/>
        <w:bidi w:val="0"/>
        <w:adjustRightInd/>
        <w:spacing w:line="588" w:lineRule="exact"/>
        <w:jc w:val="center"/>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苏左环审表</w:t>
      </w:r>
      <w:r>
        <w:rPr>
          <w:rFonts w:hint="eastAsia" w:ascii="仿宋_GB2312" w:hAnsi="Times New Roman" w:eastAsia="仿宋_GB2312" w:cs="Arial"/>
          <w:color w:val="auto"/>
          <w:sz w:val="32"/>
          <w:szCs w:val="32"/>
          <w:lang w:bidi="en-US"/>
        </w:rPr>
        <w:t>〔20</w:t>
      </w:r>
      <w:r>
        <w:rPr>
          <w:rFonts w:hint="eastAsia" w:ascii="仿宋_GB2312" w:hAnsi="Times New Roman" w:eastAsia="仿宋_GB2312" w:cs="Arial"/>
          <w:color w:val="auto"/>
          <w:sz w:val="32"/>
          <w:szCs w:val="32"/>
          <w:highlight w:val="none"/>
          <w:lang w:bidi="en-US"/>
        </w:rPr>
        <w:t>2</w:t>
      </w:r>
      <w:r>
        <w:rPr>
          <w:rFonts w:hint="eastAsia" w:ascii="仿宋_GB2312" w:hAnsi="Times New Roman" w:eastAsia="仿宋_GB2312" w:cs="Arial"/>
          <w:color w:val="auto"/>
          <w:sz w:val="32"/>
          <w:szCs w:val="32"/>
          <w:highlight w:val="none"/>
          <w:lang w:val="en-US" w:eastAsia="zh-CN" w:bidi="en-US"/>
        </w:rPr>
        <w:t>4</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11</w:t>
      </w:r>
      <w:r>
        <w:rPr>
          <w:rFonts w:hint="eastAsia" w:ascii="仿宋_GB2312" w:hAnsi="仿宋_GB2312" w:eastAsia="仿宋_GB2312" w:cs="仿宋_GB2312"/>
          <w:color w:val="auto"/>
          <w:sz w:val="32"/>
          <w:szCs w:val="32"/>
          <w:highlight w:val="none"/>
          <w:lang w:val="en-US" w:eastAsia="zh-CN"/>
        </w:rPr>
        <w:t>号</w:t>
      </w:r>
    </w:p>
    <w:p w14:paraId="3788C5CE">
      <w:pPr>
        <w:keepNext w:val="0"/>
        <w:keepLines w:val="0"/>
        <w:pageBreakBefore w:val="0"/>
        <w:kinsoku/>
        <w:wordWrap/>
        <w:overflowPunct/>
        <w:topLinePunct w:val="0"/>
        <w:bidi w:val="0"/>
        <w:spacing w:line="560" w:lineRule="exact"/>
        <w:textAlignment w:val="auto"/>
        <w:rPr>
          <w:rFonts w:hint="eastAsia"/>
          <w:lang w:val="en-US" w:eastAsia="zh-CN"/>
        </w:rPr>
      </w:pPr>
    </w:p>
    <w:p w14:paraId="647A5BA9">
      <w:pPr>
        <w:keepNext w:val="0"/>
        <w:keepLines w:val="0"/>
        <w:pageBreakBefore w:val="0"/>
        <w:widowControl/>
        <w:suppressLineNumbers w:val="0"/>
        <w:kinsoku/>
        <w:wordWrap/>
        <w:overflowPunct/>
        <w:topLinePunct w:val="0"/>
        <w:bidi w:val="0"/>
        <w:spacing w:line="560" w:lineRule="exact"/>
        <w:jc w:val="center"/>
        <w:textAlignment w:val="auto"/>
        <w:rPr>
          <w:rFonts w:hint="eastAsia" w:ascii="宋体" w:hAnsi="宋体" w:eastAsia="宋体" w:cs="宋体"/>
          <w:b/>
          <w:bCs/>
          <w:color w:val="auto"/>
          <w:sz w:val="44"/>
          <w:szCs w:val="44"/>
          <w:highlight w:val="none"/>
          <w:lang w:val="en-US" w:eastAsia="zh-CN"/>
        </w:rPr>
      </w:pPr>
      <w:r>
        <w:rPr>
          <w:rFonts w:hint="eastAsia" w:ascii="宋体" w:hAnsi="宋体" w:eastAsia="宋体" w:cs="宋体"/>
          <w:b/>
          <w:bCs/>
          <w:color w:val="auto"/>
          <w:sz w:val="44"/>
          <w:szCs w:val="44"/>
          <w:highlight w:val="none"/>
          <w:lang w:val="en-US" w:eastAsia="zh-CN"/>
        </w:rPr>
        <w:t>锡林郭勒盟生态环境局</w:t>
      </w:r>
    </w:p>
    <w:p w14:paraId="5E249F69">
      <w:pPr>
        <w:keepNext w:val="0"/>
        <w:keepLines w:val="0"/>
        <w:widowControl/>
        <w:suppressLineNumbers w:val="0"/>
        <w:jc w:val="center"/>
        <w:rPr>
          <w:rFonts w:hint="default" w:ascii="宋体" w:hAnsi="宋体" w:eastAsia="宋体" w:cs="宋体"/>
          <w:b/>
          <w:bCs/>
          <w:color w:val="auto"/>
          <w:sz w:val="44"/>
          <w:szCs w:val="44"/>
          <w:highlight w:val="none"/>
          <w:lang w:val="en-US" w:eastAsia="zh-CN"/>
        </w:rPr>
      </w:pPr>
      <w:r>
        <w:rPr>
          <w:rFonts w:hint="eastAsia" w:ascii="宋体" w:hAnsi="宋体" w:eastAsia="宋体" w:cs="宋体"/>
          <w:b/>
          <w:bCs/>
          <w:color w:val="000000"/>
          <w:kern w:val="0"/>
          <w:sz w:val="44"/>
          <w:szCs w:val="44"/>
          <w:lang w:val="en-US" w:eastAsia="zh-CN" w:bidi="ar"/>
        </w:rPr>
        <w:t>关于</w:t>
      </w:r>
      <w:r>
        <w:rPr>
          <w:rFonts w:hint="default" w:ascii="宋体" w:hAnsi="宋体" w:eastAsia="宋体" w:cs="宋体"/>
          <w:b/>
          <w:bCs/>
          <w:color w:val="auto"/>
          <w:sz w:val="44"/>
          <w:szCs w:val="44"/>
          <w:highlight w:val="none"/>
          <w:lang w:val="en-US" w:eastAsia="zh-CN"/>
        </w:rPr>
        <w:t>河北建投新能源有限公司苏尼特左旗100MW/400MWh压缩空气储能1#示范项目</w:t>
      </w:r>
    </w:p>
    <w:p w14:paraId="0360536A">
      <w:pPr>
        <w:keepNext w:val="0"/>
        <w:keepLines w:val="0"/>
        <w:widowControl/>
        <w:suppressLineNumbers w:val="0"/>
        <w:jc w:val="center"/>
        <w:rPr>
          <w:rFonts w:hint="eastAsia" w:ascii="宋体" w:hAnsi="宋体" w:eastAsia="宋体" w:cs="宋体"/>
          <w:b/>
          <w:bCs/>
          <w:color w:val="auto"/>
          <w:sz w:val="44"/>
          <w:szCs w:val="44"/>
          <w:highlight w:val="none"/>
          <w:lang w:val="en-US" w:eastAsia="zh-CN"/>
        </w:rPr>
      </w:pPr>
      <w:r>
        <w:rPr>
          <w:rFonts w:hint="eastAsia" w:ascii="宋体" w:hAnsi="宋体" w:eastAsia="宋体" w:cs="宋体"/>
          <w:b/>
          <w:bCs/>
          <w:color w:val="auto"/>
          <w:sz w:val="44"/>
          <w:szCs w:val="44"/>
          <w:highlight w:val="none"/>
          <w:lang w:val="en-US" w:eastAsia="zh-CN"/>
        </w:rPr>
        <w:t>环境影响报告表的批复</w:t>
      </w:r>
    </w:p>
    <w:p w14:paraId="03E071CA">
      <w:pPr>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rPr>
          <w:rFonts w:hint="eastAsia" w:ascii="仿宋_GB2312" w:eastAsia="仿宋_GB2312"/>
          <w:color w:val="auto"/>
          <w:sz w:val="32"/>
          <w:szCs w:val="32"/>
          <w:highlight w:val="none"/>
          <w:u w:val="none"/>
          <w:lang w:val="en-US" w:eastAsia="zh-CN"/>
        </w:rPr>
      </w:pPr>
      <w:bookmarkStart w:id="0" w:name="_GoBack"/>
      <w:bookmarkEnd w:id="0"/>
    </w:p>
    <w:p w14:paraId="1A95A7F8">
      <w:pPr>
        <w:keepNext w:val="0"/>
        <w:keepLines w:val="0"/>
        <w:pageBreakBefore w:val="0"/>
        <w:kinsoku/>
        <w:wordWrap/>
        <w:overflowPunct/>
        <w:topLinePunct w:val="0"/>
        <w:bidi w:val="0"/>
        <w:adjustRightInd w:val="0"/>
        <w:snapToGrid w:val="0"/>
        <w:spacing w:line="560" w:lineRule="exact"/>
        <w:textAlignment w:val="auto"/>
        <w:rPr>
          <w:rFonts w:hint="eastAsia" w:ascii="仿宋" w:hAnsi="仿宋" w:eastAsia="仿宋" w:cs="仿宋"/>
          <w:b w:val="0"/>
          <w:bCs w:val="0"/>
          <w:color w:val="auto"/>
          <w:kern w:val="2"/>
          <w:sz w:val="32"/>
          <w:szCs w:val="32"/>
          <w:highlight w:val="none"/>
          <w:lang w:val="en-US" w:eastAsia="zh-CN" w:bidi="ar-SA"/>
        </w:rPr>
      </w:pPr>
      <w:r>
        <w:rPr>
          <w:rFonts w:hint="default" w:ascii="仿宋" w:hAnsi="仿宋" w:eastAsia="仿宋" w:cs="仿宋"/>
          <w:color w:val="000000"/>
          <w:kern w:val="0"/>
          <w:sz w:val="32"/>
          <w:szCs w:val="32"/>
          <w:lang w:val="en-US" w:eastAsia="zh-CN" w:bidi="ar"/>
        </w:rPr>
        <w:t>苏尼特左旗元储科技有限公司</w:t>
      </w:r>
      <w:r>
        <w:rPr>
          <w:rFonts w:hint="eastAsia" w:ascii="仿宋" w:hAnsi="仿宋" w:eastAsia="仿宋" w:cs="仿宋"/>
          <w:b w:val="0"/>
          <w:bCs w:val="0"/>
          <w:color w:val="auto"/>
          <w:kern w:val="2"/>
          <w:sz w:val="32"/>
          <w:szCs w:val="32"/>
          <w:highlight w:val="none"/>
          <w:lang w:val="en-US" w:eastAsia="zh-CN" w:bidi="ar-SA"/>
        </w:rPr>
        <w:t>：</w:t>
      </w:r>
    </w:p>
    <w:p w14:paraId="65802605">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你公司由内蒙古汇远勘测规划设计</w:t>
      </w:r>
      <w:r>
        <w:rPr>
          <w:rFonts w:hint="eastAsia" w:ascii="仿宋" w:hAnsi="仿宋" w:eastAsia="仿宋" w:cs="仿宋"/>
          <w:color w:val="000000"/>
          <w:kern w:val="0"/>
          <w:sz w:val="32"/>
          <w:szCs w:val="32"/>
          <w:lang w:val="en-US" w:eastAsia="zh-CN" w:bidi="ar"/>
        </w:rPr>
        <w:t>有限公司编制的《</w:t>
      </w:r>
      <w:r>
        <w:rPr>
          <w:rFonts w:hint="default" w:ascii="仿宋" w:hAnsi="仿宋" w:eastAsia="仿宋" w:cs="仿宋"/>
          <w:color w:val="000000"/>
          <w:kern w:val="0"/>
          <w:sz w:val="32"/>
          <w:szCs w:val="32"/>
          <w:lang w:val="en-US" w:eastAsia="zh-CN" w:bidi="ar"/>
        </w:rPr>
        <w:t>河北建投新能源有限公司苏尼特左旗100MW/400MWh压缩空气储能1#示范项目</w:t>
      </w:r>
      <w:r>
        <w:rPr>
          <w:rFonts w:hint="eastAsia" w:ascii="仿宋" w:hAnsi="仿宋" w:eastAsia="仿宋" w:cs="仿宋"/>
          <w:color w:val="000000"/>
          <w:kern w:val="0"/>
          <w:sz w:val="32"/>
          <w:szCs w:val="32"/>
          <w:lang w:val="en-US" w:eastAsia="zh-CN" w:bidi="ar"/>
        </w:rPr>
        <w:t>环境影响报告表》收悉。我局委托内蒙古墨菲工程咨询有限公司对《报告表》进行了技术评估，出具了评估报告（墨菲评估〔2024〕76号）。依据《锡林郭勒盟生态环境局关于委托实施行政许可事项的通知》（锡署环字[2021]41号），现将批复如下：</w:t>
      </w:r>
    </w:p>
    <w:p w14:paraId="00D3D84A">
      <w:pPr>
        <w:keepNext w:val="0"/>
        <w:keepLines w:val="0"/>
        <w:pageBreakBefore w:val="0"/>
        <w:widowControl w:val="0"/>
        <w:kinsoku/>
        <w:wordWrap/>
        <w:overflowPunct/>
        <w:topLinePunct w:val="0"/>
        <w:autoSpaceDE w:val="0"/>
        <w:autoSpaceDN w:val="0"/>
        <w:bidi w:val="0"/>
        <w:adjustRightInd/>
        <w:snapToGrid/>
        <w:spacing w:beforeAutospacing="0" w:afterAutospacing="0" w:line="560" w:lineRule="exact"/>
        <w:ind w:left="0" w:leftChars="0" w:right="0" w:righ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一、建设项目基本情况，产业政策及“三线一单”符合性</w:t>
      </w:r>
    </w:p>
    <w:p w14:paraId="1EEA6C6C">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项目位于内蒙古自治区锡林郭勒盟苏尼特左旗满都拉</w:t>
      </w:r>
    </w:p>
    <w:p w14:paraId="2FE9B7E7">
      <w:pPr>
        <w:keepNext w:val="0"/>
        <w:keepLines w:val="0"/>
        <w:widowControl/>
        <w:suppressLineNumbers w:val="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图镇萨如拉塔拉嘎查，规划用地面积为32.79公顷。苏尼特左旗元储科技有限公司拟新建100MW/400MWh压缩空气储能电站，项目建设内容包括100MW/400MWh新型非补燃型压缩空气储能电站一座，分地面工厂部分和储气库部分；地面工厂部分主要包含压缩空气储能各设备安装、试验厂房、升压站、控制室、综合楼、宿舍、食堂及相关配套设施建设，配空气压缩机组1套，100M透平机组1套，储换热子系统1套及附属冷却系统。储气库容积6万立方米。项目主要用于提升电网稳定性，改善新能源消纳问题。 </w:t>
      </w:r>
    </w:p>
    <w:p w14:paraId="1E0F5A5C">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用地类型为天然牧草地，涉及基本草原481.22亩，需依法办理征占用草原手续。项目供水由自打井供给，深井井径为200mm，井深为150m。生活污水经化粪池收集后拉运至满都拉图镇污水处理厂处理。项目施工用电引自附近10kV线路。新建364m</w:t>
      </w:r>
      <w:r>
        <w:rPr>
          <w:rFonts w:hint="eastAsia" w:ascii="仿宋" w:hAnsi="仿宋" w:eastAsia="仿宋" w:cs="仿宋"/>
          <w:color w:val="000000"/>
          <w:kern w:val="0"/>
          <w:sz w:val="32"/>
          <w:szCs w:val="32"/>
          <w:vertAlign w:val="superscript"/>
          <w:lang w:val="en-US" w:eastAsia="zh-CN" w:bidi="ar"/>
        </w:rPr>
        <w:t>2</w:t>
      </w:r>
      <w:r>
        <w:rPr>
          <w:rFonts w:hint="eastAsia" w:ascii="仿宋" w:hAnsi="仿宋" w:eastAsia="仿宋" w:cs="仿宋"/>
          <w:color w:val="000000"/>
          <w:kern w:val="0"/>
          <w:sz w:val="32"/>
          <w:szCs w:val="32"/>
          <w:lang w:val="en-US" w:eastAsia="zh-CN" w:bidi="ar"/>
        </w:rPr>
        <w:t xml:space="preserve">锅炉房1座，内设2台电锅炉，用于冬季供暖。 </w:t>
      </w:r>
    </w:p>
    <w:p w14:paraId="47481B14">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项目总投资105400万元，环保投资为202.21万元，占总投资的0.19%。</w:t>
      </w:r>
    </w:p>
    <w:p w14:paraId="19F8288E">
      <w:pPr>
        <w:keepNext w:val="0"/>
        <w:keepLines w:val="0"/>
        <w:widowControl/>
        <w:suppressLineNumbers w:val="0"/>
        <w:ind w:firstLine="640" w:firstLineChars="200"/>
        <w:jc w:val="left"/>
      </w:pPr>
      <w:r>
        <w:rPr>
          <w:rFonts w:ascii="楷体" w:hAnsi="楷体" w:eastAsia="楷体" w:cs="楷体"/>
          <w:color w:val="000000"/>
          <w:kern w:val="0"/>
          <w:sz w:val="32"/>
          <w:szCs w:val="32"/>
          <w:lang w:val="en-US" w:eastAsia="zh-CN" w:bidi="ar"/>
        </w:rPr>
        <w:t>（一）产业政策符合性分析</w:t>
      </w:r>
      <w:r>
        <w:rPr>
          <w:rFonts w:ascii="楷体" w:hAnsi="楷体" w:eastAsia="楷体" w:cs="楷体"/>
          <w:color w:val="000000"/>
          <w:kern w:val="0"/>
          <w:sz w:val="31"/>
          <w:szCs w:val="31"/>
          <w:lang w:val="en-US" w:eastAsia="zh-CN" w:bidi="ar"/>
        </w:rPr>
        <w:t xml:space="preserve"> </w:t>
      </w:r>
    </w:p>
    <w:p w14:paraId="177DBA0E">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根据中华人民共和国国家发展和改革委员会令第7号《产业结构调整指导目录（2024年本）》，该项目属于鼓励类项目中的“新型电力系统技术及装备”，具体包括电化学储能、压缩空气储能等各类新型储能技术及应用。项目已取得锡林郭勒盟能源局的项目备案告知书，项目代码为2408-152523-60-01-915824。这意味着项目已经得到了地方能源局的批准，符合地方产业规划和能源发展需求。 </w:t>
      </w:r>
    </w:p>
    <w:p w14:paraId="46ADD158">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（二）选址合理性分析 </w:t>
      </w:r>
    </w:p>
    <w:p w14:paraId="492DF1B6">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项目位于内蒙古自治区锡林郭勒盟苏尼特左旗满都拉图镇萨如拉塔拉嘎查，该地区具有丰富的风能和太阳能资源，适合建设新能源项目。项目规划用地面积为32.79公顷，用地类型为天然牧草地，符合当地土地利用规划。项目选址避开了自然保护区、水源地、风景名胜区、文物古迹等需要特别保护的区域，减少了对生态环境的影响。根据苏尼特左旗自然资源局的复函，项目不占用生态保护红线，符合生态保护的要求。项目涉及基本草原和非基本草原的占用，但建设单位正在依法办理征占用草原审核审批手续，以确保合规性。项目选址合理，通过采取适当的环保措施和风险管理，项目对环境的影响可控，符合可持续发展的原则。 </w:t>
      </w:r>
    </w:p>
    <w:p w14:paraId="7253265E">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（三）“三线一单”符合性分析 </w:t>
      </w:r>
    </w:p>
    <w:p w14:paraId="23F72FF7">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default"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项目选址不占用生态保护红线，符合生态保护红线的管控要求。项目在建设和运营过程中，将采取有效措施确保废水、废气、噪声等污染物的排放达到国家和地方规定的环境质量标准，不降低区域环境质量。项目在资源利用上，如土地使用、水资源消耗等方面，均在区域资源可承载范围内，不超出资源利用的上限。项目选址位于苏尼特左旗一般管控单元，也符合生态环境准入清单方面政策要求。</w:t>
      </w:r>
    </w:p>
    <w:p w14:paraId="79F4AE27">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二、项目在设计、建设和运营过程中应做好以下工作：</w:t>
      </w:r>
    </w:p>
    <w:p w14:paraId="0E1FED37">
      <w:pPr>
        <w:keepNext w:val="0"/>
        <w:keepLines w:val="0"/>
        <w:widowControl/>
        <w:suppressLineNumbers w:val="0"/>
        <w:ind w:firstLine="640" w:firstLineChars="200"/>
        <w:jc w:val="left"/>
        <w:rPr>
          <w:rFonts w:hint="eastAsia" w:ascii="仿宋" w:hAnsi="仿宋" w:eastAsia="仿宋" w:cs="仿宋"/>
          <w:color w:val="000000"/>
          <w:kern w:val="0"/>
          <w:sz w:val="32"/>
          <w:szCs w:val="32"/>
          <w:lang w:val="en-US" w:eastAsia="zh-CN" w:bidi="ar"/>
        </w:rPr>
      </w:pPr>
      <w:r>
        <w:rPr>
          <w:rFonts w:hint="eastAsia" w:ascii="楷体" w:hAnsi="楷体" w:eastAsia="楷体" w:cs="楷体"/>
          <w:color w:val="000000"/>
          <w:kern w:val="0"/>
          <w:sz w:val="32"/>
          <w:szCs w:val="32"/>
          <w:lang w:val="en-US" w:eastAsia="zh-CN" w:bidi="ar"/>
        </w:rPr>
        <w:t>（一）大气污染防治措施</w:t>
      </w:r>
      <w:r>
        <w:rPr>
          <w:rFonts w:hint="eastAsia" w:ascii="仿宋" w:hAnsi="仿宋" w:eastAsia="仿宋" w:cs="仿宋"/>
          <w:color w:val="000000"/>
          <w:kern w:val="0"/>
          <w:sz w:val="32"/>
          <w:szCs w:val="32"/>
          <w:lang w:val="en-US" w:eastAsia="zh-CN" w:bidi="ar"/>
        </w:rPr>
        <w:t xml:space="preserve"> </w:t>
      </w:r>
    </w:p>
    <w:p w14:paraId="201C29B3">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在项目的施工和运营过程中，废气防治措施集中在扬尘控制，具体措施如施工现场管理，建筑施工现场实行 100%围挡，确保粉尘不外泄。裸露的土方和地面 100%覆盖，防止风蚀扬尘。工地主要道路 100%硬化，减少车辆行驶时产生的扬尘。 </w:t>
      </w:r>
    </w:p>
    <w:p w14:paraId="06EEB4B7">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配备洒水车对施工现场及运输道路定期洒水降尘。运输车辆驶出工地前，确保清洗干净，防止土石撒落，对临时堆放的土方进行苫盖，并采取围挡措施以减少风蚀。 </w:t>
      </w:r>
    </w:p>
    <w:p w14:paraId="04CA7D66">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临时弃渣场在大风天气时，增加洒水频率，保持堆场湿 </w:t>
      </w:r>
    </w:p>
    <w:p w14:paraId="1622B5E9">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0" w:firstLineChars="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润，以减少扬尘。临时堆放的土石方需及时铺平、碾压，降低扬尘产生的概率。对弃渣场裸露区域设置围挡或苫盖措施，防止起尘。 </w:t>
      </w:r>
    </w:p>
    <w:p w14:paraId="215CC452">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通过以上措施，项目确保施工和运营期间的废气排放达到《大气污染物综合排放标准》（GB16297-1996）中的无组织排放限值，对周边环境的影响得到有效控制。 </w:t>
      </w:r>
    </w:p>
    <w:p w14:paraId="49354179">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（二）水污染防治措施 </w:t>
      </w:r>
    </w:p>
    <w:p w14:paraId="185E659D">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项目产生的员工生活污水将通过化粪池进行初步处理，然后定期由环卫部门清运处理，确保不直接排放到外部环境中。项目设置干湿复合节水型闭式冷却塔，循环冷却水系统及软水系统排水排入废水收集池，后运至满都拉图镇污水处理厂处理。项目产生的废水将满足《污水综合排放标准》（GB8978-1996）三级标准。通过这些措施，项目旨在减少对水环境的影响，保护地表水和地下水资源，确保水体的质量和生态环境的可持续性。 </w:t>
      </w:r>
    </w:p>
    <w:p w14:paraId="61A2826B">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（三）噪声污染防治措施 </w:t>
      </w:r>
    </w:p>
    <w:p w14:paraId="2A38B34D">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在设计和施工阶段，项目将选用低噪声的机械设备，以降低噪声源的强度。对产生噪声的设备采取基础减振措施，减少噪声通过固体传播。合理安排施工时间，避免在夜间进行高噪声作业，以减少对周围环境和居民的影响。施工期间，将采取有效措施控制施工噪声，如设置临时声屏障、限制施工车辆鸣笛等。通过这些措施，项目旨在将噪声影响降至最低，保护周围居民的生活质量和工作环境，并确保厂界噪声满足《工业企业厂界环境噪声排放标准》（GB12348-2008）中1类标准的要求。 </w:t>
      </w:r>
    </w:p>
    <w:p w14:paraId="7CECC265">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楷体" w:hAnsi="楷体" w:eastAsia="楷体" w:cs="楷体"/>
          <w:b w:val="0"/>
          <w:bCs w:val="0"/>
          <w:color w:val="auto"/>
          <w:kern w:val="2"/>
          <w:sz w:val="32"/>
          <w:szCs w:val="32"/>
          <w:highlight w:val="none"/>
          <w:lang w:val="en-US" w:eastAsia="zh-CN" w:bidi="ar-SA"/>
        </w:rPr>
      </w:pPr>
      <w:r>
        <w:rPr>
          <w:rFonts w:hint="eastAsia" w:ascii="楷体" w:hAnsi="楷体" w:eastAsia="楷体" w:cs="楷体"/>
          <w:b w:val="0"/>
          <w:bCs w:val="0"/>
          <w:color w:val="auto"/>
          <w:kern w:val="2"/>
          <w:sz w:val="32"/>
          <w:szCs w:val="32"/>
          <w:highlight w:val="none"/>
          <w:lang w:val="en-US" w:eastAsia="zh-CN" w:bidi="ar-SA"/>
        </w:rPr>
        <w:t xml:space="preserve">（四）固体废物处置措施 </w:t>
      </w:r>
    </w:p>
    <w:p w14:paraId="77DBBAB7">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项目产生的员工生活垃圾将集中收集，并定期清运至当地环卫部门指定的地点进行集中处置。</w:t>
      </w:r>
    </w:p>
    <w:p w14:paraId="10B60FD8">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项目在维修过程中产生的废零部件、废机油、废润滑油等危险废物，将采用带盖容器收集，并暂存于危废暂存间，最后交由有资质的单位进行处理。项目设置了专门的危废暂存间，按照《危险废物贮存污染控制标准》（GB18597-2023）的要求进行设计和施工，包括防渗处理、导流槽、集液池等，以防止危废泄漏对环境造成污染。在危废暂存间设立危险废物警示标志，并建立严格的管理制度，对于进出存放库的危废进行严格登记。危险废物的运输将使用专用运输工具，并按照《危险废物转移联单管理办法》填写危险废物转移联单，并向相关部门报告。 </w:t>
      </w:r>
    </w:p>
    <w:p w14:paraId="2B3E523A">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对于可能发生的变压器油泄漏事故，项目在主变压器底部设置了贮油坑，并将泄漏的油排至事故油池，事故油池进行了防渗处理，确保不会对地下水和土壤造成污染。 </w:t>
      </w:r>
    </w:p>
    <w:p w14:paraId="66D10C88">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通过这些措施，项目确保固体废物得到安全、合规的处置，防止对环境造成二次污染。</w:t>
      </w:r>
    </w:p>
    <w:p w14:paraId="242313A4">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三、项目建设必须严格执行环境保护设施与主体工程同时设计、同时施工、同时投产使用的环境保护“三同时”制度。</w:t>
      </w:r>
    </w:p>
    <w:p w14:paraId="23A967F4">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firstLine="624" w:firstLineChars="195"/>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（一）要将环境保护措施纳入初步设计报告并落实环保设施投资概算。</w:t>
      </w:r>
    </w:p>
    <w:p w14:paraId="279BDE47">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（二）要将环境保护设施建设纳入施工合同，保证环境保护设施建设进度和资金。</w:t>
      </w:r>
    </w:p>
    <w:p w14:paraId="101CB3F1">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（三）项目竣工后须按规定程序实施竣工环境保护验收，验收合格后方可正式投运。</w:t>
      </w:r>
    </w:p>
    <w:p w14:paraId="00AC3842">
      <w:pPr>
        <w:pStyle w:val="12"/>
        <w:keepNext w:val="0"/>
        <w:keepLines w:val="0"/>
        <w:pageBreakBefore w:val="0"/>
        <w:widowControl w:val="0"/>
        <w:tabs>
          <w:tab w:val="left" w:pos="0"/>
        </w:tabs>
        <w:kinsoku/>
        <w:wordWrap/>
        <w:overflowPunct/>
        <w:topLinePunct w:val="0"/>
        <w:bidi w:val="0"/>
        <w:adjustRightInd/>
        <w:snapToGrid/>
        <w:spacing w:beforeAutospacing="0" w:afterAutospacing="0" w:line="560" w:lineRule="exact"/>
        <w:ind w:left="0" w:lef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黑体" w:hAnsi="黑体" w:eastAsia="黑体" w:cs="黑体"/>
          <w:b w:val="0"/>
          <w:bCs w:val="0"/>
          <w:color w:val="auto"/>
          <w:kern w:val="2"/>
          <w:sz w:val="32"/>
          <w:szCs w:val="32"/>
          <w:highlight w:val="none"/>
          <w:lang w:val="en-US" w:eastAsia="zh-CN" w:bidi="ar-SA"/>
        </w:rPr>
        <w:t>四、苏尼特左旗生态环境综合行政执法大队对该项目建设期间各项生态环境保护措施落实情况进行监督检查和管理。</w:t>
      </w:r>
    </w:p>
    <w:p w14:paraId="5B808F72">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14:paraId="44F1E328">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14:paraId="2C8E144B">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此页无正文</w:t>
      </w:r>
    </w:p>
    <w:p w14:paraId="7213958F">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14:paraId="5EAA49D5">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p>
    <w:p w14:paraId="7CF8B7F5">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480" w:firstLineChars="14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锡林郭勒盟生态环境局</w:t>
      </w:r>
    </w:p>
    <w:p w14:paraId="2AA876C8">
      <w:pPr>
        <w:pStyle w:val="12"/>
        <w:keepNext w:val="0"/>
        <w:keepLines w:val="0"/>
        <w:pageBreakBefore w:val="0"/>
        <w:widowControl w:val="0"/>
        <w:numPr>
          <w:ilvl w:val="0"/>
          <w:numId w:val="0"/>
        </w:numPr>
        <w:tabs>
          <w:tab w:val="left" w:pos="0"/>
        </w:tabs>
        <w:kinsoku/>
        <w:wordWrap/>
        <w:overflowPunct/>
        <w:topLinePunct w:val="0"/>
        <w:bidi w:val="0"/>
        <w:adjustRightInd/>
        <w:snapToGrid/>
        <w:spacing w:beforeAutospacing="0" w:afterAutospacing="0" w:line="560" w:lineRule="exact"/>
        <w:ind w:firstLine="4800" w:firstLineChars="15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2024年11月7日</w:t>
      </w:r>
    </w:p>
    <w:p w14:paraId="734F268B">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201EC5D7">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0AD5CBB2">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0BCD28E3">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4B3ABEFC">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422CD1E8">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45E67FD8">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762D5587">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47DFBA1B">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00655764">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7F83871A">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5361B158">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192E33B5">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11167F39">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1A464E11">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0C746DA4">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3F9CE372">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p>
    <w:p w14:paraId="2571C015">
      <w:pPr>
        <w:keepNext w:val="0"/>
        <w:keepLines w:val="0"/>
        <w:pageBreakBefore w:val="0"/>
        <w:kinsoku/>
        <w:wordWrap/>
        <w:overflowPunct/>
        <w:topLinePunct w:val="0"/>
        <w:autoSpaceDE/>
        <w:autoSpaceDN/>
        <w:bidi w:val="0"/>
        <w:spacing w:line="560" w:lineRule="exact"/>
        <w:textAlignment w:val="auto"/>
        <w:rPr>
          <w:rFonts w:hint="eastAsia" w:ascii="仿宋_GB2312" w:hAnsi="仿宋_GB2312" w:eastAsia="仿宋_GB2312" w:cs="仿宋_GB2312"/>
          <w:sz w:val="28"/>
          <w:szCs w:val="28"/>
          <w:u w:val="none"/>
        </w:rPr>
      </w:pPr>
      <w:r>
        <w:rPr>
          <w:rFonts w:hint="eastAsia" w:ascii="仿宋_GB2312" w:hAnsi="仿宋_GB2312" w:eastAsia="仿宋_GB2312" w:cs="仿宋_GB2312"/>
          <w:sz w:val="28"/>
          <w:szCs w:val="28"/>
          <w:u w:val="none"/>
        </w:rPr>
        <w:t>抄送：盟生态环境综合行政执法支队、</w:t>
      </w:r>
      <w:r>
        <w:rPr>
          <w:rFonts w:hint="eastAsia" w:ascii="仿宋_GB2312" w:hAnsi="仿宋_GB2312" w:eastAsia="仿宋_GB2312" w:cs="仿宋_GB2312"/>
          <w:sz w:val="28"/>
          <w:szCs w:val="28"/>
          <w:u w:val="none"/>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26670</wp:posOffset>
                </wp:positionV>
                <wp:extent cx="5039360" cy="9525"/>
                <wp:effectExtent l="0" t="0" r="0" b="0"/>
                <wp:wrapNone/>
                <wp:docPr id="4" name="直接箭头连接符 4"/>
                <wp:cNvGraphicFramePr/>
                <a:graphic xmlns:a="http://schemas.openxmlformats.org/drawingml/2006/main">
                  <a:graphicData uri="http://schemas.microsoft.com/office/word/2010/wordprocessingShape">
                    <wps:wsp>
                      <wps:cNvCnPr/>
                      <wps:spPr>
                        <a:xfrm flipV="1">
                          <a:off x="0" y="0"/>
                          <a:ext cx="5039360" cy="9525"/>
                        </a:xfrm>
                        <a:prstGeom prst="straightConnector1">
                          <a:avLst/>
                        </a:prstGeom>
                        <a:ln w="3175" cap="flat" cmpd="sng">
                          <a:solidFill>
                            <a:srgbClr val="000000"/>
                          </a:solidFill>
                          <a:prstDash val="solid"/>
                          <a:round/>
                          <a:headEnd type="none" w="med" len="med"/>
                          <a:tailEnd type="none" w="med" len="med"/>
                        </a:ln>
                      </wps:spPr>
                      <wps:bodyPr/>
                    </wps:wsp>
                  </a:graphicData>
                </a:graphic>
              </wp:anchor>
            </w:drawing>
          </mc:Choice>
          <mc:Fallback>
            <w:pict>
              <v:shape id="_x0000_s1026" o:spid="_x0000_s1026" o:spt="32" type="#_x0000_t32" style="position:absolute;left:0pt;flip:y;margin-left:1pt;margin-top:2.1pt;height:0.75pt;width:396.8pt;z-index:251659264;mso-width-relative:page;mso-height-relative:page;" filled="f" stroked="t" coordsize="21600,21600" o:gfxdata="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t0G411QAAAAUBAAAPAAAAAAAAAAEAIAAAACIA&#10;AABkcnMvZG93bnJldi54bWxQSwECFAAUAAAACACHTuJA2+mYXQwCAAADBAAADgAAAAAAAAABACAA&#10;AAAkAQAAZHJzL2Uyb0RvYy54bWxQSwUGAAAAAAYABgBZAQAAogUAAAAA&#10;">
                <v:fill on="f" focussize="0,0"/>
                <v:stroke weight="0.25pt" color="#000000" joinstyle="round"/>
                <v:imagedata o:title=""/>
                <o:lock v:ext="edit" aspectratio="f"/>
              </v:shape>
            </w:pict>
          </mc:Fallback>
        </mc:AlternateContent>
      </w:r>
      <w:r>
        <w:rPr>
          <w:rFonts w:hint="eastAsia" w:ascii="仿宋_GB2312" w:hAnsi="仿宋_GB2312" w:eastAsia="仿宋_GB2312" w:cs="仿宋_GB2312"/>
          <w:sz w:val="28"/>
          <w:szCs w:val="28"/>
          <w:u w:val="none"/>
        </w:rPr>
        <w:t>盟生态环境局</w:t>
      </w:r>
      <w:r>
        <w:rPr>
          <w:rFonts w:hint="eastAsia" w:ascii="仿宋_GB2312" w:hAnsi="仿宋_GB2312" w:eastAsia="仿宋_GB2312" w:cs="仿宋_GB2312"/>
          <w:sz w:val="28"/>
          <w:szCs w:val="28"/>
          <w:u w:val="none"/>
          <w:lang w:val="en-US" w:eastAsia="zh-CN"/>
        </w:rPr>
        <w:t>苏尼特左旗</w:t>
      </w:r>
      <w:r>
        <w:rPr>
          <w:rFonts w:hint="eastAsia" w:ascii="仿宋_GB2312" w:hAnsi="仿宋_GB2312" w:eastAsia="仿宋_GB2312" w:cs="仿宋_GB2312"/>
          <w:sz w:val="28"/>
          <w:szCs w:val="28"/>
          <w:u w:val="none"/>
        </w:rPr>
        <w:t>分局</w:t>
      </w:r>
    </w:p>
    <w:p w14:paraId="781CBC53">
      <w:pPr>
        <w:pStyle w:val="9"/>
        <w:keepNext w:val="0"/>
        <w:keepLines w:val="0"/>
        <w:pageBreakBefore w:val="0"/>
        <w:pBdr>
          <w:top w:val="single" w:color="auto" w:sz="4" w:space="0"/>
          <w:bottom w:val="single" w:color="auto" w:sz="4" w:space="0"/>
        </w:pBdr>
        <w:kinsoku/>
        <w:wordWrap/>
        <w:overflowPunct/>
        <w:topLinePunct w:val="0"/>
        <w:autoSpaceDE/>
        <w:autoSpaceDN/>
        <w:bidi w:val="0"/>
        <w:spacing w:before="62" w:beforeLines="20" w:line="560" w:lineRule="exact"/>
        <w:ind w:left="0" w:leftChars="0" w:firstLine="0" w:firstLineChars="0"/>
        <w:jc w:val="both"/>
        <w:textAlignment w:val="auto"/>
        <w:rPr>
          <w:rFonts w:hint="default"/>
          <w:lang w:val="en-US" w:eastAsia="zh-CN"/>
        </w:rPr>
      </w:pPr>
      <w:r>
        <w:rPr>
          <w:rFonts w:hint="eastAsia" w:ascii="仿宋_GB2312" w:hAnsi="仿宋_GB2312" w:eastAsia="仿宋_GB2312" w:cs="仿宋_GB2312"/>
          <w:sz w:val="28"/>
          <w:szCs w:val="28"/>
          <w:u w:val="none"/>
        </w:rPr>
        <w:t>锡林郭勒盟生态环境局办公室           202</w:t>
      </w:r>
      <w:r>
        <w:rPr>
          <w:rFonts w:hint="eastAsia" w:ascii="仿宋_GB2312" w:hAnsi="仿宋_GB2312" w:eastAsia="仿宋_GB2312" w:cs="仿宋_GB2312"/>
          <w:sz w:val="28"/>
          <w:szCs w:val="28"/>
          <w:u w:val="none"/>
          <w:lang w:val="en-US" w:eastAsia="zh-CN"/>
        </w:rPr>
        <w:t>4</w:t>
      </w:r>
      <w:r>
        <w:rPr>
          <w:rFonts w:hint="eastAsia" w:ascii="仿宋_GB2312" w:hAnsi="仿宋_GB2312" w:eastAsia="仿宋_GB2312" w:cs="仿宋_GB2312"/>
          <w:sz w:val="28"/>
          <w:szCs w:val="28"/>
          <w:u w:val="none"/>
        </w:rPr>
        <w:t>年</w:t>
      </w:r>
      <w:r>
        <w:rPr>
          <w:rFonts w:hint="eastAsia" w:ascii="仿宋_GB2312" w:hAnsi="仿宋_GB2312" w:eastAsia="仿宋_GB2312" w:cs="仿宋_GB2312"/>
          <w:sz w:val="28"/>
          <w:szCs w:val="28"/>
          <w:u w:val="none"/>
          <w:lang w:val="en-US" w:eastAsia="zh-CN"/>
        </w:rPr>
        <w:t>11</w:t>
      </w:r>
      <w:r>
        <w:rPr>
          <w:rFonts w:hint="eastAsia" w:ascii="仿宋_GB2312" w:hAnsi="仿宋_GB2312" w:eastAsia="仿宋_GB2312" w:cs="仿宋_GB2312"/>
          <w:sz w:val="28"/>
          <w:szCs w:val="28"/>
          <w:u w:val="none"/>
        </w:rPr>
        <w:t>月</w:t>
      </w:r>
      <w:r>
        <w:rPr>
          <w:rFonts w:hint="eastAsia" w:ascii="仿宋_GB2312" w:hAnsi="仿宋_GB2312" w:eastAsia="仿宋_GB2312" w:cs="仿宋_GB2312"/>
          <w:sz w:val="28"/>
          <w:szCs w:val="28"/>
          <w:u w:val="none"/>
          <w:lang w:val="en-US" w:eastAsia="zh-CN"/>
        </w:rPr>
        <w:t>7</w:t>
      </w:r>
      <w:r>
        <w:rPr>
          <w:rFonts w:hint="eastAsia" w:ascii="仿宋_GB2312" w:hAnsi="仿宋_GB2312" w:eastAsia="仿宋_GB2312" w:cs="仿宋_GB2312"/>
          <w:sz w:val="28"/>
          <w:szCs w:val="28"/>
          <w:u w:val="none"/>
        </w:rPr>
        <w:t>日印发</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0ZTJjNmViNTUwNDczNjJlZDBmNzNlNzcxZTkzMGQifQ=="/>
  </w:docVars>
  <w:rsids>
    <w:rsidRoot w:val="2B1B5EE9"/>
    <w:rsid w:val="01244F19"/>
    <w:rsid w:val="02B82FD4"/>
    <w:rsid w:val="067155FB"/>
    <w:rsid w:val="0B6673AF"/>
    <w:rsid w:val="14215995"/>
    <w:rsid w:val="14792ECD"/>
    <w:rsid w:val="17B4441E"/>
    <w:rsid w:val="1CD91E20"/>
    <w:rsid w:val="1E391DFB"/>
    <w:rsid w:val="1FAD1396"/>
    <w:rsid w:val="24983AB5"/>
    <w:rsid w:val="267E11C9"/>
    <w:rsid w:val="2B1B5EE9"/>
    <w:rsid w:val="32074BC0"/>
    <w:rsid w:val="366F678F"/>
    <w:rsid w:val="38B04AF7"/>
    <w:rsid w:val="39C80E81"/>
    <w:rsid w:val="3CB11420"/>
    <w:rsid w:val="3FAB6F42"/>
    <w:rsid w:val="40415869"/>
    <w:rsid w:val="44C27D7C"/>
    <w:rsid w:val="4772691E"/>
    <w:rsid w:val="49684719"/>
    <w:rsid w:val="4C0C25D8"/>
    <w:rsid w:val="5857376F"/>
    <w:rsid w:val="5A763C60"/>
    <w:rsid w:val="5B7213B9"/>
    <w:rsid w:val="646E5840"/>
    <w:rsid w:val="65240459"/>
    <w:rsid w:val="687D19A4"/>
    <w:rsid w:val="69820AD8"/>
    <w:rsid w:val="6F7B5CBB"/>
    <w:rsid w:val="723338D8"/>
    <w:rsid w:val="73E363D7"/>
    <w:rsid w:val="79634769"/>
    <w:rsid w:val="79787ABF"/>
    <w:rsid w:val="7BEB0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autoRedefine/>
    <w:qFormat/>
    <w:uiPriority w:val="1"/>
    <w:pPr>
      <w:spacing w:line="360" w:lineRule="auto"/>
      <w:jc w:val="center"/>
      <w:outlineLvl w:val="1"/>
    </w:pPr>
    <w:rPr>
      <w:szCs w:val="21"/>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3">
    <w:name w:val="Normal Indent"/>
    <w:basedOn w:val="1"/>
    <w:next w:val="4"/>
    <w:autoRedefine/>
    <w:qFormat/>
    <w:uiPriority w:val="0"/>
    <w:pPr>
      <w:ind w:firstLine="420"/>
    </w:pPr>
    <w:rPr>
      <w:sz w:val="24"/>
      <w:szCs w:val="20"/>
    </w:rPr>
  </w:style>
  <w:style w:type="paragraph" w:styleId="4">
    <w:name w:val="Body Text First Indent 2"/>
    <w:basedOn w:val="5"/>
    <w:next w:val="6"/>
    <w:autoRedefine/>
    <w:unhideWhenUsed/>
    <w:qFormat/>
    <w:uiPriority w:val="0"/>
    <w:pPr>
      <w:ind w:leftChars="200" w:firstLine="420" w:firstLineChars="200"/>
    </w:pPr>
  </w:style>
  <w:style w:type="paragraph" w:styleId="5">
    <w:name w:val="Body Text Indent"/>
    <w:basedOn w:val="1"/>
    <w:next w:val="1"/>
    <w:semiHidden/>
    <w:qFormat/>
    <w:uiPriority w:val="0"/>
    <w:pPr>
      <w:spacing w:after="120"/>
      <w:ind w:left="420" w:leftChars="200"/>
    </w:pPr>
  </w:style>
  <w:style w:type="paragraph" w:styleId="6">
    <w:name w:val="Body Text First Indent"/>
    <w:basedOn w:val="7"/>
    <w:next w:val="1"/>
    <w:autoRedefine/>
    <w:unhideWhenUsed/>
    <w:qFormat/>
    <w:uiPriority w:val="99"/>
    <w:pPr>
      <w:ind w:firstLine="420" w:firstLineChars="100"/>
    </w:pPr>
    <w:rPr>
      <w:spacing w:val="6"/>
    </w:rPr>
  </w:style>
  <w:style w:type="paragraph" w:styleId="7">
    <w:name w:val="Body Text"/>
    <w:basedOn w:val="1"/>
    <w:next w:val="8"/>
    <w:autoRedefine/>
    <w:qFormat/>
    <w:uiPriority w:val="0"/>
    <w:pPr>
      <w:widowControl/>
      <w:snapToGrid w:val="0"/>
      <w:spacing w:before="60" w:after="160" w:line="259" w:lineRule="auto"/>
      <w:ind w:right="113"/>
    </w:pPr>
    <w:rPr>
      <w:kern w:val="0"/>
      <w:sz w:val="18"/>
      <w:szCs w:val="18"/>
    </w:rPr>
  </w:style>
  <w:style w:type="paragraph" w:customStyle="1" w:styleId="8">
    <w:name w:val="xl27"/>
    <w:basedOn w:val="1"/>
    <w:autoRedefine/>
    <w:qFormat/>
    <w:uiPriority w:val="0"/>
    <w:pPr>
      <w:spacing w:before="100" w:beforeAutospacing="1" w:after="100" w:afterAutospacing="1"/>
      <w:jc w:val="center"/>
      <w:textAlignment w:val="center"/>
    </w:pPr>
    <w:rPr>
      <w:rFonts w:ascii="Arial Unicode MS" w:hAnsi="Arial Unicode MS" w:eastAsia="Arial Unicode MS"/>
      <w:bCs/>
      <w:sz w:val="20"/>
      <w:szCs w:val="32"/>
    </w:rPr>
  </w:style>
  <w:style w:type="paragraph" w:styleId="9">
    <w:name w:val="footer"/>
    <w:basedOn w:val="1"/>
    <w:next w:val="1"/>
    <w:autoRedefine/>
    <w:qFormat/>
    <w:uiPriority w:val="99"/>
    <w:pPr>
      <w:tabs>
        <w:tab w:val="center" w:pos="4153"/>
        <w:tab w:val="right" w:pos="8306"/>
      </w:tabs>
      <w:snapToGrid w:val="0"/>
      <w:ind w:right="360" w:firstLine="360"/>
      <w:jc w:val="center"/>
    </w:pPr>
    <w:rPr>
      <w:kern w:val="0"/>
      <w:sz w:val="18"/>
      <w:szCs w:val="20"/>
    </w:rPr>
  </w:style>
  <w:style w:type="paragraph" w:customStyle="1" w:styleId="12">
    <w:name w:val="样式 正文缩进正文缩进2正文缩进 Char Char正文缩进 Char Char Char Char正文缩进 Char ..."/>
    <w:basedOn w:val="3"/>
    <w:autoRedefine/>
    <w:qFormat/>
    <w:uiPriority w:val="0"/>
    <w:pPr>
      <w:spacing w:line="360" w:lineRule="auto"/>
      <w:ind w:firstLine="200"/>
    </w:pPr>
    <w:rPr>
      <w:rFonts w:cs="宋体"/>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2061</Words>
  <Characters>2261</Characters>
  <Lines>0</Lines>
  <Paragraphs>0</Paragraphs>
  <TotalTime>23</TotalTime>
  <ScaleCrop>false</ScaleCrop>
  <LinksUpToDate>false</LinksUpToDate>
  <CharactersWithSpaces>2312</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2022-02-16T02:46:00Z</dcterms:created>
  <dc:creator>Cqdn</dc:creator>
  <cp:lastModifiedBy>sn</cp:lastModifiedBy>
  <cp:lastPrinted>2023-10-13T02:57:00Z</cp:lastPrinted>
  <dcterms:modified xsi:type="dcterms:W3CDTF">2024-11-07T02:15:29Z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3B22E8662AE04FD584C59656EBECEDD3_13</vt:lpwstr>
  </property>
</Properties>
</file>