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800F90">
      <w:pPr>
        <w:keepNext w:val="0"/>
        <w:keepLines w:val="0"/>
        <w:pageBreakBefore w:val="0"/>
        <w:widowControl w:val="0"/>
        <w:kinsoku/>
        <w:wordWrap/>
        <w:overflowPunct/>
        <w:topLinePunct w:val="0"/>
        <w:autoSpaceDE/>
        <w:autoSpaceDN/>
        <w:bidi w:val="0"/>
        <w:adjustRightInd/>
        <w:spacing w:line="640" w:lineRule="exact"/>
        <w:ind w:right="0"/>
        <w:textAlignment w:val="auto"/>
        <w:rPr>
          <w:rFonts w:hint="eastAsia" w:ascii="Times New Roman" w:hAnsi="Times New Roman" w:eastAsia="宋体" w:cs="宋体"/>
          <w:color w:val="auto"/>
          <w:sz w:val="32"/>
          <w:szCs w:val="32"/>
          <w:highlight w:val="none"/>
          <w:lang w:val="en-US" w:eastAsia="zh-CN"/>
        </w:rPr>
      </w:pPr>
    </w:p>
    <w:p w14:paraId="0E8F82BF">
      <w:pPr>
        <w:keepNext w:val="0"/>
        <w:keepLines w:val="0"/>
        <w:pageBreakBefore w:val="0"/>
        <w:widowControl w:val="0"/>
        <w:kinsoku/>
        <w:wordWrap/>
        <w:overflowPunct/>
        <w:topLinePunct w:val="0"/>
        <w:autoSpaceDE/>
        <w:autoSpaceDN/>
        <w:bidi w:val="0"/>
        <w:adjustRightInd/>
        <w:spacing w:line="640" w:lineRule="exact"/>
        <w:ind w:right="0"/>
        <w:textAlignment w:val="auto"/>
        <w:rPr>
          <w:rFonts w:hint="eastAsia" w:ascii="Times New Roman" w:hAnsi="Times New Roman" w:eastAsia="宋体" w:cs="宋体"/>
          <w:color w:val="auto"/>
          <w:sz w:val="32"/>
          <w:szCs w:val="32"/>
          <w:highlight w:val="none"/>
          <w:lang w:val="en-US" w:eastAsia="zh-CN"/>
        </w:rPr>
      </w:pPr>
    </w:p>
    <w:p w14:paraId="44121906">
      <w:pPr>
        <w:keepNext w:val="0"/>
        <w:keepLines w:val="0"/>
        <w:pageBreakBefore w:val="0"/>
        <w:widowControl w:val="0"/>
        <w:kinsoku/>
        <w:wordWrap/>
        <w:overflowPunct/>
        <w:topLinePunct w:val="0"/>
        <w:autoSpaceDE/>
        <w:autoSpaceDN/>
        <w:bidi w:val="0"/>
        <w:adjustRightInd/>
        <w:spacing w:line="640" w:lineRule="exact"/>
        <w:ind w:right="0"/>
        <w:textAlignment w:val="auto"/>
        <w:rPr>
          <w:rFonts w:hint="eastAsia" w:ascii="Times New Roman" w:hAnsi="Times New Roman" w:eastAsia="宋体" w:cs="宋体"/>
          <w:color w:val="auto"/>
          <w:sz w:val="32"/>
          <w:szCs w:val="32"/>
          <w:highlight w:val="none"/>
          <w:lang w:val="en-US" w:eastAsia="zh-CN"/>
        </w:rPr>
      </w:pPr>
    </w:p>
    <w:p w14:paraId="5501F1D8">
      <w:pPr>
        <w:keepNext w:val="0"/>
        <w:keepLines w:val="0"/>
        <w:pageBreakBefore w:val="0"/>
        <w:widowControl w:val="0"/>
        <w:kinsoku/>
        <w:wordWrap/>
        <w:overflowPunct/>
        <w:topLinePunct w:val="0"/>
        <w:autoSpaceDE/>
        <w:autoSpaceDN/>
        <w:bidi w:val="0"/>
        <w:adjustRightInd/>
        <w:spacing w:line="640" w:lineRule="exact"/>
        <w:ind w:right="0"/>
        <w:textAlignment w:val="auto"/>
        <w:rPr>
          <w:rFonts w:hint="eastAsia" w:ascii="Times New Roman" w:hAnsi="Times New Roman" w:eastAsia="宋体" w:cs="宋体"/>
          <w:color w:val="auto"/>
          <w:sz w:val="32"/>
          <w:szCs w:val="32"/>
          <w:highlight w:val="none"/>
          <w:lang w:val="en-US" w:eastAsia="zh-CN"/>
        </w:rPr>
      </w:pPr>
    </w:p>
    <w:p w14:paraId="55344B85">
      <w:pPr>
        <w:keepNext w:val="0"/>
        <w:keepLines w:val="0"/>
        <w:pageBreakBefore w:val="0"/>
        <w:widowControl w:val="0"/>
        <w:kinsoku/>
        <w:wordWrap/>
        <w:overflowPunct/>
        <w:topLinePunct w:val="0"/>
        <w:autoSpaceDE/>
        <w:autoSpaceDN/>
        <w:bidi w:val="0"/>
        <w:adjustRightInd/>
        <w:spacing w:line="640" w:lineRule="exact"/>
        <w:ind w:right="0"/>
        <w:textAlignment w:val="auto"/>
        <w:rPr>
          <w:rFonts w:hint="eastAsia" w:ascii="Times New Roman" w:hAnsi="Times New Roman" w:eastAsia="宋体" w:cs="宋体"/>
          <w:color w:val="auto"/>
          <w:sz w:val="32"/>
          <w:szCs w:val="32"/>
          <w:highlight w:val="none"/>
          <w:lang w:val="en-US" w:eastAsia="zh-CN"/>
        </w:rPr>
      </w:pPr>
    </w:p>
    <w:p w14:paraId="28B68835">
      <w:pPr>
        <w:keepNext w:val="0"/>
        <w:keepLines w:val="0"/>
        <w:pageBreakBefore w:val="0"/>
        <w:widowControl w:val="0"/>
        <w:kinsoku/>
        <w:wordWrap/>
        <w:overflowPunct/>
        <w:topLinePunct w:val="0"/>
        <w:autoSpaceDE/>
        <w:autoSpaceDN/>
        <w:bidi w:val="0"/>
        <w:adjustRightInd/>
        <w:spacing w:line="640" w:lineRule="exact"/>
        <w:ind w:right="0"/>
        <w:jc w:val="center"/>
        <w:textAlignment w:val="auto"/>
        <w:rPr>
          <w:rFonts w:hint="eastAsia" w:ascii="Times New Roman" w:hAnsi="Times New Roman" w:eastAsia="宋体" w:cs="宋体"/>
          <w:color w:val="auto"/>
          <w:sz w:val="32"/>
          <w:szCs w:val="32"/>
          <w:highlight w:val="none"/>
          <w:lang w:val="en-US" w:eastAsia="zh-CN"/>
        </w:rPr>
      </w:pPr>
    </w:p>
    <w:p w14:paraId="47485390">
      <w:pPr>
        <w:pStyle w:val="8"/>
        <w:keepNext w:val="0"/>
        <w:keepLines w:val="0"/>
        <w:pageBreakBefore w:val="0"/>
        <w:widowControl w:val="0"/>
        <w:kinsoku/>
        <w:wordWrap/>
        <w:overflowPunct/>
        <w:topLinePunct w:val="0"/>
        <w:autoSpaceDE/>
        <w:autoSpaceDN/>
        <w:bidi w:val="0"/>
        <w:adjustRightInd/>
        <w:spacing w:line="640" w:lineRule="exact"/>
        <w:ind w:left="0" w:leftChars="0" w:right="0" w:firstLine="0" w:firstLineChars="0"/>
        <w:jc w:val="both"/>
        <w:textAlignment w:val="auto"/>
        <w:rPr>
          <w:rFonts w:hint="eastAsia"/>
          <w:sz w:val="32"/>
          <w:szCs w:val="32"/>
          <w:lang w:val="en-US" w:eastAsia="zh-CN"/>
        </w:rPr>
      </w:pPr>
    </w:p>
    <w:p w14:paraId="63F2118E">
      <w:pPr>
        <w:keepNext w:val="0"/>
        <w:keepLines w:val="0"/>
        <w:pageBreakBefore w:val="0"/>
        <w:widowControl w:val="0"/>
        <w:kinsoku/>
        <w:wordWrap/>
        <w:overflowPunct/>
        <w:topLinePunct w:val="0"/>
        <w:autoSpaceDE/>
        <w:autoSpaceDN/>
        <w:bidi w:val="0"/>
        <w:adjustRightInd/>
        <w:spacing w:line="640" w:lineRule="exact"/>
        <w:ind w:right="0"/>
        <w:jc w:val="center"/>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苏左环审表</w:t>
      </w:r>
      <w:r>
        <w:rPr>
          <w:rFonts w:hint="eastAsia" w:ascii="仿宋_GB2312" w:hAnsi="Times New Roman" w:eastAsia="仿宋_GB2312" w:cs="Arial"/>
          <w:color w:val="auto"/>
          <w:sz w:val="32"/>
          <w:szCs w:val="32"/>
          <w:lang w:bidi="en-US"/>
        </w:rPr>
        <w:t>〔20</w:t>
      </w:r>
      <w:r>
        <w:rPr>
          <w:rFonts w:hint="eastAsia" w:ascii="仿宋_GB2312" w:hAnsi="Times New Roman" w:eastAsia="仿宋_GB2312" w:cs="Arial"/>
          <w:color w:val="auto"/>
          <w:sz w:val="32"/>
          <w:szCs w:val="32"/>
          <w:highlight w:val="none"/>
          <w:lang w:bidi="en-US"/>
        </w:rPr>
        <w:t>2</w:t>
      </w:r>
      <w:r>
        <w:rPr>
          <w:rFonts w:hint="eastAsia" w:ascii="仿宋_GB2312" w:hAnsi="Times New Roman" w:eastAsia="仿宋_GB2312" w:cs="Arial"/>
          <w:color w:val="auto"/>
          <w:sz w:val="32"/>
          <w:szCs w:val="32"/>
          <w:highlight w:val="none"/>
          <w:lang w:val="en-US" w:eastAsia="zh-CN" w:bidi="en-US"/>
        </w:rPr>
        <w:t>4</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12</w:t>
      </w:r>
      <w:r>
        <w:rPr>
          <w:rFonts w:hint="eastAsia" w:ascii="仿宋_GB2312" w:hAnsi="仿宋_GB2312" w:eastAsia="仿宋_GB2312" w:cs="仿宋_GB2312"/>
          <w:color w:val="auto"/>
          <w:sz w:val="32"/>
          <w:szCs w:val="32"/>
          <w:highlight w:val="none"/>
          <w:lang w:val="en-US" w:eastAsia="zh-CN"/>
        </w:rPr>
        <w:t>号</w:t>
      </w:r>
    </w:p>
    <w:p w14:paraId="3788C5CE">
      <w:pPr>
        <w:keepNext w:val="0"/>
        <w:keepLines w:val="0"/>
        <w:pageBreakBefore w:val="0"/>
        <w:kinsoku/>
        <w:wordWrap/>
        <w:overflowPunct/>
        <w:topLinePunct w:val="0"/>
        <w:autoSpaceDE/>
        <w:autoSpaceDN/>
        <w:bidi w:val="0"/>
        <w:adjustRightInd/>
        <w:spacing w:line="560" w:lineRule="exact"/>
        <w:ind w:right="0"/>
        <w:textAlignment w:val="auto"/>
        <w:rPr>
          <w:rFonts w:hint="eastAsia"/>
          <w:sz w:val="32"/>
          <w:szCs w:val="32"/>
          <w:lang w:val="en-US" w:eastAsia="zh-CN"/>
        </w:rPr>
      </w:pPr>
    </w:p>
    <w:p w14:paraId="647A5BA9">
      <w:pPr>
        <w:keepNext w:val="0"/>
        <w:keepLines w:val="0"/>
        <w:pageBreakBefore w:val="0"/>
        <w:widowControl/>
        <w:suppressLineNumbers w:val="0"/>
        <w:kinsoku/>
        <w:wordWrap/>
        <w:overflowPunct/>
        <w:topLinePunct w:val="0"/>
        <w:autoSpaceDE/>
        <w:autoSpaceDN/>
        <w:bidi w:val="0"/>
        <w:adjustRightInd/>
        <w:spacing w:line="560" w:lineRule="exact"/>
        <w:ind w:right="0"/>
        <w:jc w:val="center"/>
        <w:textAlignment w:val="auto"/>
        <w:rPr>
          <w:rFonts w:hint="eastAsia" w:ascii="宋体" w:hAnsi="宋体" w:eastAsia="宋体" w:cs="宋体"/>
          <w:b w:val="0"/>
          <w:bCs w:val="0"/>
          <w:color w:val="auto"/>
          <w:sz w:val="44"/>
          <w:szCs w:val="44"/>
          <w:highlight w:val="none"/>
          <w:lang w:val="en-US" w:eastAsia="zh-CN"/>
        </w:rPr>
      </w:pPr>
      <w:r>
        <w:rPr>
          <w:rFonts w:hint="eastAsia" w:ascii="宋体" w:hAnsi="宋体" w:eastAsia="宋体" w:cs="宋体"/>
          <w:b w:val="0"/>
          <w:bCs w:val="0"/>
          <w:color w:val="auto"/>
          <w:sz w:val="44"/>
          <w:szCs w:val="44"/>
          <w:highlight w:val="none"/>
          <w:lang w:val="en-US" w:eastAsia="zh-CN"/>
        </w:rPr>
        <w:t>锡林郭勒盟生态环境局</w:t>
      </w:r>
    </w:p>
    <w:p w14:paraId="3CBAE8E7">
      <w:pPr>
        <w:keepNext w:val="0"/>
        <w:keepLines w:val="0"/>
        <w:pageBreakBefore w:val="0"/>
        <w:widowControl/>
        <w:suppressLineNumbers w:val="0"/>
        <w:kinsoku/>
        <w:wordWrap/>
        <w:overflowPunct/>
        <w:topLinePunct w:val="0"/>
        <w:autoSpaceDE/>
        <w:autoSpaceDN/>
        <w:bidi w:val="0"/>
        <w:adjustRightInd/>
        <w:spacing w:line="560" w:lineRule="exact"/>
        <w:ind w:right="0"/>
        <w:jc w:val="center"/>
        <w:textAlignment w:val="auto"/>
        <w:rPr>
          <w:rFonts w:hint="eastAsia" w:ascii="宋体" w:hAnsi="宋体" w:eastAsia="宋体" w:cs="宋体"/>
          <w:b w:val="0"/>
          <w:bCs w:val="0"/>
          <w:color w:val="000000"/>
          <w:kern w:val="0"/>
          <w:sz w:val="44"/>
          <w:szCs w:val="44"/>
          <w:lang w:val="en-US" w:eastAsia="zh-CN" w:bidi="ar"/>
        </w:rPr>
      </w:pPr>
      <w:r>
        <w:rPr>
          <w:rFonts w:hint="eastAsia" w:ascii="宋体" w:hAnsi="宋体" w:eastAsia="宋体" w:cs="宋体"/>
          <w:b w:val="0"/>
          <w:bCs w:val="0"/>
          <w:color w:val="000000"/>
          <w:kern w:val="0"/>
          <w:sz w:val="44"/>
          <w:szCs w:val="44"/>
          <w:lang w:val="en-US" w:eastAsia="zh-CN" w:bidi="ar"/>
        </w:rPr>
        <w:t>关于内蒙古忠那勒食品有限公司民族奶制品</w:t>
      </w:r>
    </w:p>
    <w:p w14:paraId="0360536A">
      <w:pPr>
        <w:keepNext w:val="0"/>
        <w:keepLines w:val="0"/>
        <w:pageBreakBefore w:val="0"/>
        <w:widowControl/>
        <w:suppressLineNumbers w:val="0"/>
        <w:kinsoku/>
        <w:wordWrap/>
        <w:overflowPunct/>
        <w:topLinePunct w:val="0"/>
        <w:autoSpaceDE/>
        <w:autoSpaceDN/>
        <w:bidi w:val="0"/>
        <w:adjustRightInd/>
        <w:spacing w:line="560" w:lineRule="exact"/>
        <w:ind w:right="0"/>
        <w:jc w:val="center"/>
        <w:textAlignment w:val="auto"/>
        <w:rPr>
          <w:rFonts w:hint="eastAsia" w:ascii="宋体" w:hAnsi="宋体" w:eastAsia="宋体" w:cs="宋体"/>
          <w:b w:val="0"/>
          <w:bCs w:val="0"/>
          <w:color w:val="auto"/>
          <w:sz w:val="44"/>
          <w:szCs w:val="44"/>
          <w:highlight w:val="none"/>
          <w:lang w:val="en-US" w:eastAsia="zh-CN"/>
        </w:rPr>
      </w:pPr>
      <w:r>
        <w:rPr>
          <w:rFonts w:hint="eastAsia" w:ascii="宋体" w:hAnsi="宋体" w:eastAsia="宋体" w:cs="宋体"/>
          <w:b w:val="0"/>
          <w:bCs w:val="0"/>
          <w:color w:val="000000"/>
          <w:kern w:val="0"/>
          <w:sz w:val="44"/>
          <w:szCs w:val="44"/>
          <w:lang w:val="en-US" w:eastAsia="zh-CN" w:bidi="ar"/>
        </w:rPr>
        <w:t>加工项目</w:t>
      </w:r>
      <w:r>
        <w:rPr>
          <w:rFonts w:hint="eastAsia" w:ascii="宋体" w:hAnsi="宋体" w:eastAsia="宋体" w:cs="宋体"/>
          <w:b w:val="0"/>
          <w:bCs w:val="0"/>
          <w:color w:val="auto"/>
          <w:sz w:val="44"/>
          <w:szCs w:val="44"/>
          <w:highlight w:val="none"/>
          <w:lang w:val="en-US" w:eastAsia="zh-CN"/>
        </w:rPr>
        <w:t>环境影响报告表的批复</w:t>
      </w:r>
    </w:p>
    <w:p w14:paraId="03E071CA">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eastAsia="仿宋_GB2312"/>
          <w:color w:val="auto"/>
          <w:sz w:val="32"/>
          <w:szCs w:val="32"/>
          <w:highlight w:val="none"/>
          <w:u w:val="none"/>
          <w:lang w:val="en-US" w:eastAsia="zh-CN"/>
        </w:rPr>
      </w:pPr>
    </w:p>
    <w:p w14:paraId="1A95A7F8">
      <w:pPr>
        <w:keepNext w:val="0"/>
        <w:keepLines w:val="0"/>
        <w:pageBreakBefore w:val="0"/>
        <w:kinsoku/>
        <w:wordWrap/>
        <w:overflowPunct/>
        <w:topLinePunct w:val="0"/>
        <w:bidi w:val="0"/>
        <w:adjustRightInd w:val="0"/>
        <w:snapToGrid w:val="0"/>
        <w:spacing w:line="480" w:lineRule="exact"/>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内蒙古忠那勒食品有限公司：</w:t>
      </w:r>
    </w:p>
    <w:p w14:paraId="65802605">
      <w:pPr>
        <w:keepNext w:val="0"/>
        <w:keepLines w:val="0"/>
        <w:pageBreakBefore w:val="0"/>
        <w:widowControl/>
        <w:suppressLineNumbers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你公司由内蒙古格林蓝环保科技有限公司编制的《内蒙古忠那勒食品有限公司民族奶制品加工项目环境影响报告表》收悉。我局委托内蒙古墨菲工程咨询有限公司对《报告表》进行了技术评估，出具了评估报告（墨菲评估〔2024〕93号）。依据《锡林郭勒盟生态环境局关于委托实施行政许可事项的通知》（锡署环字〔2021〕41号），现将批复如下：</w:t>
      </w:r>
    </w:p>
    <w:p w14:paraId="00D3D84A">
      <w:pPr>
        <w:keepNext w:val="0"/>
        <w:keepLines w:val="0"/>
        <w:pageBreakBefore w:val="0"/>
        <w:widowControl w:val="0"/>
        <w:kinsoku/>
        <w:wordWrap/>
        <w:overflowPunct/>
        <w:topLinePunct w:val="0"/>
        <w:autoSpaceDE w:val="0"/>
        <w:autoSpaceDN w:val="0"/>
        <w:bidi w:val="0"/>
        <w:adjustRightInd/>
        <w:snapToGrid/>
        <w:spacing w:beforeAutospacing="0" w:afterAutospacing="0" w:line="480" w:lineRule="exact"/>
        <w:ind w:left="0" w:leftChars="0" w:right="0" w:righ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一、建设项目基本情况，产业政策及“三线一单”符合性</w:t>
      </w:r>
    </w:p>
    <w:p w14:paraId="6526EE10">
      <w:pPr>
        <w:keepNext w:val="0"/>
        <w:keepLines w:val="0"/>
        <w:pageBreakBefore w:val="0"/>
        <w:widowControl/>
        <w:suppressLineNumbers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内蒙古忠那勒食品有限公司拟于内蒙古锡林郭勒盟苏尼特左旗满都拉图镇西环路肉食品园区1#楼1层建设民族奶制品加工项目。建设内容包括1条奶酪生产线，1条奶豆腐生产线，1条奶皮子生产线。生产规模为年生产奶酪200t、奶豆腐30t、奶皮子6t。项目租用建设车间1座，建筑面积约1000m</w:t>
      </w:r>
      <w:r>
        <w:rPr>
          <w:rFonts w:hint="eastAsia" w:ascii="仿宋_GB2312" w:hAnsi="仿宋_GB2312" w:eastAsia="仿宋_GB2312" w:cs="仿宋_GB2312"/>
          <w:b w:val="0"/>
          <w:bCs w:val="0"/>
          <w:color w:val="auto"/>
          <w:kern w:val="2"/>
          <w:sz w:val="32"/>
          <w:szCs w:val="32"/>
          <w:highlight w:val="none"/>
          <w:vertAlign w:val="superscript"/>
          <w:lang w:val="en-US" w:eastAsia="zh-CN" w:bidi="ar-SA"/>
        </w:rPr>
        <w:t>2</w:t>
      </w:r>
      <w:r>
        <w:rPr>
          <w:rFonts w:hint="eastAsia" w:ascii="仿宋_GB2312" w:hAnsi="仿宋_GB2312" w:eastAsia="仿宋_GB2312" w:cs="仿宋_GB2312"/>
          <w:b w:val="0"/>
          <w:bCs w:val="0"/>
          <w:color w:val="auto"/>
          <w:kern w:val="2"/>
          <w:sz w:val="32"/>
          <w:szCs w:val="32"/>
          <w:highlight w:val="none"/>
          <w:lang w:val="en-US" w:eastAsia="zh-CN" w:bidi="ar-SA"/>
        </w:rPr>
        <w:t>，车间包含原奶间，发酵间，奶皮间，加工间，晾晒间，内包装间，外包装间等，不设置办公室及员工食堂，化验室及冷库位于厂房西北角，冷库内设制冷机，用于奶制品储存。本项目职工定员10人，年工作天数为330天，实行一班制。</w:t>
      </w:r>
    </w:p>
    <w:p w14:paraId="0C8A519C">
      <w:pPr>
        <w:keepNext w:val="0"/>
        <w:keepLines w:val="0"/>
        <w:pageBreakBefore w:val="0"/>
        <w:widowControl/>
        <w:suppressLineNumbers w:val="0"/>
        <w:kinsoku/>
        <w:wordWrap/>
        <w:overflowPunct/>
        <w:topLinePunct w:val="0"/>
        <w:bidi w:val="0"/>
        <w:spacing w:line="480" w:lineRule="exact"/>
        <w:ind w:firstLine="640" w:firstLineChars="200"/>
        <w:jc w:val="both"/>
        <w:textAlignment w:val="auto"/>
        <w:rPr>
          <w:rFonts w:hint="default"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项目总投资150万元，其中环保投资8万元，占总投资的5.3%。</w:t>
      </w:r>
    </w:p>
    <w:p w14:paraId="19F8288E">
      <w:pPr>
        <w:keepNext w:val="0"/>
        <w:keepLines w:val="0"/>
        <w:pageBreakBefore w:val="0"/>
        <w:widowControl/>
        <w:suppressLineNumbers w:val="0"/>
        <w:kinsoku/>
        <w:wordWrap/>
        <w:overflowPunct/>
        <w:topLinePunct w:val="0"/>
        <w:bidi w:val="0"/>
        <w:spacing w:line="480" w:lineRule="exact"/>
        <w:ind w:firstLine="640" w:firstLineChars="200"/>
        <w:jc w:val="left"/>
        <w:textAlignment w:val="auto"/>
        <w:rPr>
          <w:sz w:val="32"/>
          <w:szCs w:val="32"/>
        </w:rPr>
      </w:pPr>
      <w:r>
        <w:rPr>
          <w:rFonts w:ascii="楷体" w:hAnsi="楷体" w:eastAsia="楷体" w:cs="楷体"/>
          <w:color w:val="000000"/>
          <w:kern w:val="0"/>
          <w:sz w:val="32"/>
          <w:szCs w:val="32"/>
          <w:lang w:val="en-US" w:eastAsia="zh-CN" w:bidi="ar"/>
        </w:rPr>
        <w:t xml:space="preserve">（一）产业政策符合性分析 </w:t>
      </w:r>
    </w:p>
    <w:p w14:paraId="177DBA0E">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根据《产业结构调整指导目录（2024年本）》（中华人民共和国国家发展和改革委员会令第7号），本项目不属于鼓励类、限制类、淘汰类项目，属于允许类，本项目取得苏尼特左旗发展和改革委员会出具的项目备案告知书，项目代码：2410-152523-04-05-770810，项目的建设符合国家和地方产业政策。 </w:t>
      </w:r>
    </w:p>
    <w:p w14:paraId="46ADD158">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（二）选址合理性分析</w:t>
      </w:r>
      <w:r>
        <w:rPr>
          <w:rFonts w:hint="eastAsia" w:ascii="仿宋_GB2312" w:hAnsi="仿宋_GB2312" w:eastAsia="仿宋_GB2312" w:cs="仿宋_GB2312"/>
          <w:b w:val="0"/>
          <w:bCs w:val="0"/>
          <w:color w:val="auto"/>
          <w:kern w:val="2"/>
          <w:sz w:val="32"/>
          <w:szCs w:val="32"/>
          <w:highlight w:val="none"/>
          <w:lang w:val="en-US" w:eastAsia="zh-CN" w:bidi="ar-SA"/>
        </w:rPr>
        <w:t xml:space="preserve"> </w:t>
      </w:r>
    </w:p>
    <w:p w14:paraId="321C66EC">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本项目位于苏尼特左旗芒来循环经济产业园区内的畜产品精深加工产业园，项目区占地为工业用地，不涉及基本农田等生态敏感区。项目区不在自然保护区、风景名胜区、文物（考古）保护区、生活饮用水源保护区、供水远景规划区等特别保护区域，周边无需要特殊保护军事设施等敏感区域，项目选址合理。</w:t>
      </w:r>
    </w:p>
    <w:p w14:paraId="7253265E">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（三）“三线一单”符合性分析</w:t>
      </w:r>
      <w:r>
        <w:rPr>
          <w:rFonts w:hint="eastAsia" w:ascii="仿宋_GB2312" w:hAnsi="仿宋_GB2312" w:eastAsia="仿宋_GB2312" w:cs="仿宋_GB2312"/>
          <w:b w:val="0"/>
          <w:bCs w:val="0"/>
          <w:color w:val="auto"/>
          <w:kern w:val="2"/>
          <w:sz w:val="32"/>
          <w:szCs w:val="32"/>
          <w:highlight w:val="none"/>
          <w:lang w:val="en-US" w:eastAsia="zh-CN" w:bidi="ar-SA"/>
        </w:rPr>
        <w:t xml:space="preserve"> </w:t>
      </w:r>
    </w:p>
    <w:p w14:paraId="23F72FF7">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default" w:ascii="仿宋_GB2312" w:hAnsi="仿宋_GB2312" w:eastAsia="仿宋_GB2312" w:cs="仿宋_GB2312"/>
          <w:b w:val="0"/>
          <w:bCs w:val="0"/>
          <w:color w:val="auto"/>
          <w:kern w:val="2"/>
          <w:sz w:val="32"/>
          <w:szCs w:val="32"/>
          <w:highlight w:val="none"/>
          <w:lang w:val="en-US" w:eastAsia="zh-CN" w:bidi="ar-SA"/>
        </w:rPr>
      </w:pPr>
      <w:r>
        <w:rPr>
          <w:rFonts w:hint="default" w:ascii="仿宋_GB2312" w:hAnsi="仿宋_GB2312" w:eastAsia="仿宋_GB2312" w:cs="仿宋_GB2312"/>
          <w:b w:val="0"/>
          <w:bCs w:val="0"/>
          <w:color w:val="auto"/>
          <w:kern w:val="2"/>
          <w:sz w:val="32"/>
          <w:szCs w:val="32"/>
          <w:highlight w:val="none"/>
          <w:lang w:val="en-US" w:eastAsia="zh-CN" w:bidi="ar-SA"/>
        </w:rPr>
        <w:t>本项目区域环境管控单元名称为“内蒙古锡林郭勒苏尼特经济开发区-苏尼特左旗产业园”，管控单元类别为“重点管控单元”，环境管控单元编码为“ZH15252320003”。本项目符合该环境管控单元的空间布局约束、污染物排放管控、环境风险防控、资源利用效率等管控要求</w:t>
      </w:r>
      <w:r>
        <w:rPr>
          <w:rFonts w:hint="eastAsia" w:ascii="仿宋_GB2312" w:hAnsi="仿宋_GB2312" w:eastAsia="仿宋_GB2312" w:cs="仿宋_GB2312"/>
          <w:b w:val="0"/>
          <w:bCs w:val="0"/>
          <w:color w:val="auto"/>
          <w:kern w:val="2"/>
          <w:sz w:val="32"/>
          <w:szCs w:val="32"/>
          <w:highlight w:val="none"/>
          <w:lang w:val="en-US" w:eastAsia="zh-CN" w:bidi="ar-SA"/>
        </w:rPr>
        <w:t>，</w:t>
      </w:r>
      <w:r>
        <w:rPr>
          <w:rFonts w:hint="default" w:ascii="仿宋_GB2312" w:hAnsi="仿宋_GB2312" w:eastAsia="仿宋_GB2312" w:cs="仿宋_GB2312"/>
          <w:b w:val="0"/>
          <w:bCs w:val="0"/>
          <w:color w:val="auto"/>
          <w:kern w:val="2"/>
          <w:sz w:val="32"/>
          <w:szCs w:val="32"/>
          <w:highlight w:val="none"/>
          <w:lang w:val="en-US" w:eastAsia="zh-CN" w:bidi="ar-SA"/>
        </w:rPr>
        <w:t>符合生态环境准入清单的要求。</w:t>
      </w:r>
    </w:p>
    <w:p w14:paraId="79F4AE27">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二、项目在设计、建设和运营过程中应做好以下工作：</w:t>
      </w:r>
    </w:p>
    <w:p w14:paraId="0E1FED37">
      <w:pPr>
        <w:keepNext w:val="0"/>
        <w:keepLines w:val="0"/>
        <w:pageBreakBefore w:val="0"/>
        <w:widowControl/>
        <w:suppressLineNumbers w:val="0"/>
        <w:kinsoku/>
        <w:wordWrap/>
        <w:overflowPunct/>
        <w:topLinePunct w:val="0"/>
        <w:bidi w:val="0"/>
        <w:spacing w:line="480" w:lineRule="exact"/>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（一）大气污染防治措施</w:t>
      </w:r>
      <w:r>
        <w:rPr>
          <w:rFonts w:hint="eastAsia" w:ascii="仿宋" w:hAnsi="仿宋" w:eastAsia="仿宋" w:cs="仿宋"/>
          <w:color w:val="000000"/>
          <w:kern w:val="0"/>
          <w:sz w:val="32"/>
          <w:szCs w:val="32"/>
          <w:lang w:val="en-US" w:eastAsia="zh-CN" w:bidi="ar"/>
        </w:rPr>
        <w:t xml:space="preserve"> </w:t>
      </w:r>
    </w:p>
    <w:p w14:paraId="647C8E6A">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在本项目为奶制品生产项目，主要的废气污染物为奶豆腐发酵废气、奶皮子奶豆腐加热熟化废气及少量投料粉尘。</w:t>
      </w:r>
    </w:p>
    <w:p w14:paraId="215CC452">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企业周围房屋多为工业厂房，奶豆腐、奶酪发酵废气、奶皮子奶豆腐加热熟化废气主要成分为CO</w:t>
      </w:r>
      <w:r>
        <w:rPr>
          <w:rFonts w:hint="eastAsia" w:ascii="仿宋_GB2312" w:hAnsi="仿宋_GB2312" w:eastAsia="仿宋_GB2312" w:cs="仿宋_GB2312"/>
          <w:b w:val="0"/>
          <w:bCs w:val="0"/>
          <w:color w:val="auto"/>
          <w:kern w:val="2"/>
          <w:sz w:val="32"/>
          <w:szCs w:val="32"/>
          <w:highlight w:val="none"/>
          <w:vertAlign w:val="subscript"/>
          <w:lang w:val="en-US" w:eastAsia="zh-CN" w:bidi="ar-SA"/>
        </w:rPr>
        <w:t>2</w:t>
      </w:r>
      <w:r>
        <w:rPr>
          <w:rFonts w:hint="eastAsia" w:ascii="仿宋_GB2312" w:hAnsi="仿宋_GB2312" w:eastAsia="仿宋_GB2312" w:cs="仿宋_GB2312"/>
          <w:b w:val="0"/>
          <w:bCs w:val="0"/>
          <w:color w:val="auto"/>
          <w:kern w:val="2"/>
          <w:sz w:val="32"/>
          <w:szCs w:val="32"/>
          <w:highlight w:val="none"/>
          <w:lang w:val="en-US" w:eastAsia="zh-CN" w:bidi="ar-SA"/>
        </w:rPr>
        <w:t xml:space="preserve">、水蒸气和少量芳香味的发酵废气（主要成分有机酸和酯类物质，如乳酸、醋酸、甲酸、丙酸、乙酸乙酯等），不会产生恶臭气体等让周边居民不适的气味，故对周边居民影响较小。 </w:t>
      </w:r>
    </w:p>
    <w:p w14:paraId="49354179">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 xml:space="preserve">（二）水污染防治措施 </w:t>
      </w:r>
    </w:p>
    <w:p w14:paraId="185E659D">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本项目员工生活污水、设备清洗废水、地面冲洗废水排入防渗化粪池中（15m</w:t>
      </w:r>
      <w:r>
        <w:rPr>
          <w:rFonts w:hint="eastAsia" w:ascii="仿宋_GB2312" w:hAnsi="仿宋_GB2312" w:eastAsia="仿宋_GB2312" w:cs="仿宋_GB2312"/>
          <w:b w:val="0"/>
          <w:bCs w:val="0"/>
          <w:color w:val="auto"/>
          <w:kern w:val="2"/>
          <w:sz w:val="32"/>
          <w:szCs w:val="32"/>
          <w:highlight w:val="none"/>
          <w:vertAlign w:val="superscript"/>
          <w:lang w:val="en-US" w:eastAsia="zh-CN" w:bidi="ar-SA"/>
        </w:rPr>
        <w:t>3</w:t>
      </w:r>
      <w:r>
        <w:rPr>
          <w:rFonts w:hint="eastAsia" w:ascii="仿宋_GB2312" w:hAnsi="仿宋_GB2312" w:eastAsia="仿宋_GB2312" w:cs="仿宋_GB2312"/>
          <w:b w:val="0"/>
          <w:bCs w:val="0"/>
          <w:color w:val="auto"/>
          <w:kern w:val="2"/>
          <w:sz w:val="32"/>
          <w:szCs w:val="32"/>
          <w:highlight w:val="none"/>
          <w:lang w:val="en-US" w:eastAsia="zh-CN" w:bidi="ar-SA"/>
        </w:rPr>
        <w:t>），化粪池混合污水经市政管道排放至满都拉图镇污水处理厂进行处理。化粪池COD</w:t>
      </w:r>
      <w:r>
        <w:rPr>
          <w:rFonts w:hint="eastAsia" w:ascii="仿宋_GB2312" w:hAnsi="仿宋_GB2312" w:eastAsia="仿宋_GB2312" w:cs="仿宋_GB2312"/>
          <w:b w:val="0"/>
          <w:bCs w:val="0"/>
          <w:color w:val="auto"/>
          <w:kern w:val="2"/>
          <w:sz w:val="32"/>
          <w:szCs w:val="32"/>
          <w:highlight w:val="none"/>
          <w:vertAlign w:val="subscript"/>
          <w:lang w:val="en-US" w:eastAsia="zh-CN" w:bidi="ar-SA"/>
        </w:rPr>
        <w:t>Cr</w:t>
      </w:r>
      <w:r>
        <w:rPr>
          <w:rFonts w:hint="eastAsia" w:ascii="仿宋_GB2312" w:hAnsi="仿宋_GB2312" w:eastAsia="仿宋_GB2312" w:cs="仿宋_GB2312"/>
          <w:b w:val="0"/>
          <w:bCs w:val="0"/>
          <w:color w:val="auto"/>
          <w:kern w:val="2"/>
          <w:sz w:val="32"/>
          <w:szCs w:val="32"/>
          <w:highlight w:val="none"/>
          <w:lang w:val="en-US" w:eastAsia="zh-CN" w:bidi="ar-SA"/>
        </w:rPr>
        <w:t>的应至少满足15%去除率、10%的BOD</w:t>
      </w:r>
      <w:r>
        <w:rPr>
          <w:rFonts w:hint="eastAsia" w:ascii="仿宋_GB2312" w:hAnsi="仿宋_GB2312" w:eastAsia="仿宋_GB2312" w:cs="仿宋_GB2312"/>
          <w:b w:val="0"/>
          <w:bCs w:val="0"/>
          <w:color w:val="auto"/>
          <w:kern w:val="2"/>
          <w:sz w:val="32"/>
          <w:szCs w:val="32"/>
          <w:highlight w:val="none"/>
          <w:vertAlign w:val="subscript"/>
          <w:lang w:val="en-US" w:eastAsia="zh-CN" w:bidi="ar-SA"/>
        </w:rPr>
        <w:t>5</w:t>
      </w:r>
      <w:r>
        <w:rPr>
          <w:rFonts w:hint="eastAsia" w:ascii="仿宋_GB2312" w:hAnsi="仿宋_GB2312" w:eastAsia="仿宋_GB2312" w:cs="仿宋_GB2312"/>
          <w:b w:val="0"/>
          <w:bCs w:val="0"/>
          <w:color w:val="auto"/>
          <w:kern w:val="2"/>
          <w:sz w:val="32"/>
          <w:szCs w:val="32"/>
          <w:highlight w:val="none"/>
          <w:lang w:val="en-US" w:eastAsia="zh-CN" w:bidi="ar-SA"/>
        </w:rPr>
        <w:t xml:space="preserve">去除率、30%的SS去除率，3%的氨氮去除率和5%的动植物油去除率，需满足《污水综合排放标准》（GB8978-1996）中三级标准。 </w:t>
      </w:r>
    </w:p>
    <w:p w14:paraId="61A2826B">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 xml:space="preserve">（三）噪声污染防治措施 </w:t>
      </w:r>
    </w:p>
    <w:p w14:paraId="209BF98A">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本项目的噪声主要来自各机械设备运行噪声，噪声声级在60dB（A）左右，项目尽量选用低噪声设备，高噪声设备设置隔振基础或减振垫；合理布置产噪设备，高噪声设备尽可能避免靠门窗处设置；加强对设备的维护保养，防止因设备故障而形成的非正常噪声。采取合理的降噪措施后，要求综合降噪效果不低于20dB（A），厂界昼间、夜间噪声贡献值满足《工业企业厂界环境噪声排放标准》（GB12348-2008）3类标准的要求。</w:t>
      </w:r>
    </w:p>
    <w:p w14:paraId="7CECC265">
      <w:pPr>
        <w:pStyle w:val="13"/>
        <w:keepNext w:val="0"/>
        <w:keepLines w:val="0"/>
        <w:pageBreakBefore w:val="0"/>
        <w:widowControl w:val="0"/>
        <w:tabs>
          <w:tab w:val="left" w:pos="0"/>
        </w:tabs>
        <w:kinsoku/>
        <w:wordWrap/>
        <w:overflowPunct/>
        <w:topLinePunct w:val="0"/>
        <w:bidi w:val="0"/>
        <w:adjustRightInd/>
        <w:snapToGrid/>
        <w:spacing w:beforeAutospacing="0" w:afterAutospacing="0" w:line="480" w:lineRule="exact"/>
        <w:ind w:firstLine="624" w:firstLineChars="195"/>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 xml:space="preserve">（四）固体废物处置措施 </w:t>
      </w:r>
    </w:p>
    <w:p w14:paraId="0870A862">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本项目运营期产生的一般固废包括生活垃圾、废包装材料。</w:t>
      </w:r>
    </w:p>
    <w:p w14:paraId="10B60FD8">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生活垃圾产生量约1.65t/a，集中收集后交由环卫部门处理。废包装材料主要为塑料包装和纸质包装废弃物，年产生量约1t/a，集中收集后外售给废旧物品回收单位。 </w:t>
      </w:r>
    </w:p>
    <w:p w14:paraId="242313A4">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三、项目建设必须严格执行环境保护设施与主体工程同时设计、同时施工、同时投产使用的环境保护“三同时”制度。</w:t>
      </w:r>
    </w:p>
    <w:p w14:paraId="23A967F4">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（一）要将环境保护措施纳入初步设计报告并落实环保设施投资概算。</w:t>
      </w:r>
    </w:p>
    <w:p w14:paraId="279BDE47">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（二）要将环境保护设施建设纳入施工合同，保证环境保护设施建设进度和资金。</w:t>
      </w:r>
    </w:p>
    <w:p w14:paraId="101CB3F1">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（三）项目竣工后须按规定程序实施竣工环境保护验收，验收合格后方可正式投运。</w:t>
      </w:r>
    </w:p>
    <w:p w14:paraId="5EAA49D5">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四、苏尼特左旗生态环境综合行政执法大队对该项目建设期间各项生态环境保护措施落实情况进行监督检查和管理。</w:t>
      </w:r>
    </w:p>
    <w:p w14:paraId="78A45FCF">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p>
    <w:p w14:paraId="12D3A811">
      <w:pPr>
        <w:pStyle w:val="13"/>
        <w:keepNext w:val="0"/>
        <w:keepLines w:val="0"/>
        <w:pageBreakBefore w:val="0"/>
        <w:widowControl w:val="0"/>
        <w:tabs>
          <w:tab w:val="left" w:pos="0"/>
        </w:tabs>
        <w:kinsoku/>
        <w:wordWrap/>
        <w:overflowPunct/>
        <w:topLinePunct w:val="0"/>
        <w:autoSpaceDE/>
        <w:autoSpaceDN/>
        <w:bidi w:val="0"/>
        <w:adjustRightInd/>
        <w:snapToGrid/>
        <w:spacing w:beforeAutospacing="0" w:afterAutospacing="0" w:line="48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p>
    <w:p w14:paraId="7CF8B7F5">
      <w:pPr>
        <w:pStyle w:val="13"/>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48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锡林郭勒盟生态环境局</w:t>
      </w:r>
    </w:p>
    <w:p w14:paraId="3F9CE372">
      <w:pPr>
        <w:pStyle w:val="13"/>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48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2024年11月29日</w:t>
      </w:r>
    </w:p>
    <w:p w14:paraId="37508910">
      <w:pPr>
        <w:pStyle w:val="13"/>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54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p>
    <w:p w14:paraId="5271E3F1">
      <w:pPr>
        <w:pStyle w:val="13"/>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54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p>
    <w:p w14:paraId="1D79CB8F">
      <w:pPr>
        <w:pStyle w:val="13"/>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54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p>
    <w:p w14:paraId="05CB89D3">
      <w:pPr>
        <w:pStyle w:val="13"/>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54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p>
    <w:p w14:paraId="2571C015">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r>
        <w:rPr>
          <w:rFonts w:hint="eastAsia" w:ascii="仿宋_GB2312" w:hAnsi="仿宋_GB2312" w:eastAsia="仿宋_GB2312" w:cs="仿宋_GB2312"/>
          <w:sz w:val="28"/>
          <w:szCs w:val="28"/>
          <w:u w:val="none"/>
        </w:rPr>
        <w:t>抄送：盟生态环境综合行政执法支队、</w:t>
      </w:r>
      <w:r>
        <w:rPr>
          <w:rFonts w:hint="eastAsia" w:ascii="仿宋_GB2312" w:hAnsi="仿宋_GB2312" w:eastAsia="仿宋_GB2312" w:cs="仿宋_GB2312"/>
          <w:sz w:val="28"/>
          <w:szCs w:val="28"/>
          <w:u w:val="none"/>
        </w:rPr>
        <mc:AlternateContent>
          <mc:Choice Requires="wps">
            <w:drawing>
              <wp:anchor distT="0" distB="0" distL="114300" distR="114300" simplePos="0" relativeHeight="251660288" behindDoc="0" locked="0" layoutInCell="1" allowOverlap="1">
                <wp:simplePos x="0" y="0"/>
                <wp:positionH relativeFrom="column">
                  <wp:posOffset>12700</wp:posOffset>
                </wp:positionH>
                <wp:positionV relativeFrom="paragraph">
                  <wp:posOffset>26670</wp:posOffset>
                </wp:positionV>
                <wp:extent cx="5363845" cy="635"/>
                <wp:effectExtent l="0" t="0" r="0" b="0"/>
                <wp:wrapNone/>
                <wp:docPr id="4" name="直接箭头连接符 4"/>
                <wp:cNvGraphicFramePr/>
                <a:graphic xmlns:a="http://schemas.openxmlformats.org/drawingml/2006/main">
                  <a:graphicData uri="http://schemas.microsoft.com/office/word/2010/wordprocessingShape">
                    <wps:wsp>
                      <wps:cNvCnPr/>
                      <wps:spPr>
                        <a:xfrm flipV="1">
                          <a:off x="0" y="0"/>
                          <a:ext cx="5363845" cy="63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1pt;height:0.05pt;width:422.35pt;z-index:251660288;mso-width-relative:page;mso-height-relative:page;" filled="f" stroked="t" coordsize="21600,21600" o:gfxdata="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DQJ+71AAAAAUBAAAPAAAAAAAAAAEAIAAAACIAAABk&#10;cnMvZG93bnJldi54bWxQSwECFAAUAAAACACHTuJAoy5OFQoCAAACBAAADgAAAAAAAAABACAAAAAj&#10;AQAAZHJzL2Uyb0RvYy54bWxQSwUGAAAAAAYABgBZAQAAnwU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u w:val="none"/>
        </w:rPr>
        <w:t>盟生态环境局</w:t>
      </w:r>
      <w:r>
        <w:rPr>
          <w:rFonts w:hint="eastAsia" w:ascii="仿宋_GB2312" w:hAnsi="仿宋_GB2312" w:eastAsia="仿宋_GB2312" w:cs="仿宋_GB2312"/>
          <w:sz w:val="28"/>
          <w:szCs w:val="28"/>
          <w:u w:val="none"/>
          <w:lang w:val="en-US" w:eastAsia="zh-CN"/>
        </w:rPr>
        <w:t>苏尼特左旗</w:t>
      </w:r>
      <w:r>
        <w:rPr>
          <w:rFonts w:hint="eastAsia" w:ascii="仿宋_GB2312" w:hAnsi="仿宋_GB2312" w:eastAsia="仿宋_GB2312" w:cs="仿宋_GB2312"/>
          <w:sz w:val="28"/>
          <w:szCs w:val="28"/>
          <w:u w:val="none"/>
        </w:rPr>
        <w:t>分局</w:t>
      </w:r>
    </w:p>
    <w:p w14:paraId="781CBC53">
      <w:pPr>
        <w:pStyle w:val="8"/>
        <w:keepNext w:val="0"/>
        <w:keepLines w:val="0"/>
        <w:pageBreakBefore w:val="0"/>
        <w:pBdr>
          <w:top w:val="single" w:color="auto" w:sz="4" w:space="0"/>
          <w:bottom w:val="single" w:color="auto" w:sz="4" w:space="0"/>
        </w:pBdr>
        <w:kinsoku/>
        <w:wordWrap/>
        <w:overflowPunct/>
        <w:topLinePunct w:val="0"/>
        <w:autoSpaceDE/>
        <w:autoSpaceDN/>
        <w:bidi w:val="0"/>
        <w:spacing w:before="62" w:beforeLines="20" w:line="560" w:lineRule="exact"/>
        <w:ind w:left="0" w:leftChars="0" w:firstLine="0" w:firstLineChars="0"/>
        <w:jc w:val="both"/>
        <w:textAlignment w:val="auto"/>
        <w:rPr>
          <w:rFonts w:hint="default"/>
          <w:lang w:val="en-US" w:eastAsia="zh-CN"/>
        </w:rPr>
      </w:pPr>
      <w:r>
        <w:rPr>
          <w:rFonts w:hint="eastAsia" w:ascii="仿宋_GB2312" w:hAnsi="仿宋_GB2312" w:eastAsia="仿宋_GB2312" w:cs="仿宋_GB2312"/>
          <w:sz w:val="28"/>
          <w:szCs w:val="28"/>
          <w:u w:val="none"/>
        </w:rPr>
        <w:t xml:space="preserve">锡林郭勒盟生态环境局办公室    </w:t>
      </w:r>
      <w:r>
        <w:rPr>
          <w:rFonts w:hint="eastAsia" w:ascii="仿宋_GB2312" w:hAnsi="仿宋_GB2312" w:eastAsia="仿宋_GB2312" w:cs="仿宋_GB2312"/>
          <w:sz w:val="28"/>
          <w:szCs w:val="28"/>
          <w:u w:val="none"/>
          <w:lang w:val="en-US" w:eastAsia="zh-CN"/>
        </w:rPr>
        <w:t xml:space="preserve">   </w:t>
      </w:r>
      <w:r>
        <w:rPr>
          <w:rFonts w:hint="eastAsia" w:ascii="仿宋_GB2312" w:hAnsi="仿宋_GB2312" w:eastAsia="仿宋_GB2312" w:cs="仿宋_GB2312"/>
          <w:sz w:val="28"/>
          <w:szCs w:val="28"/>
          <w:u w:val="none"/>
        </w:rPr>
        <w:t xml:space="preserve">     </w:t>
      </w:r>
      <w:r>
        <w:rPr>
          <w:rFonts w:hint="eastAsia" w:ascii="仿宋_GB2312" w:hAnsi="仿宋_GB2312" w:eastAsia="仿宋_GB2312" w:cs="仿宋_GB2312"/>
          <w:sz w:val="28"/>
          <w:szCs w:val="28"/>
          <w:u w:val="none"/>
          <w:lang w:val="en-US" w:eastAsia="zh-CN"/>
        </w:rPr>
        <w:t xml:space="preserve"> </w:t>
      </w:r>
      <w:r>
        <w:rPr>
          <w:rFonts w:hint="eastAsia" w:ascii="仿宋_GB2312" w:hAnsi="仿宋_GB2312" w:eastAsia="仿宋_GB2312" w:cs="仿宋_GB2312"/>
          <w:sz w:val="28"/>
          <w:szCs w:val="28"/>
          <w:u w:val="none"/>
        </w:rPr>
        <w:t xml:space="preserve"> 202</w:t>
      </w:r>
      <w:r>
        <w:rPr>
          <w:rFonts w:hint="eastAsia" w:ascii="仿宋_GB2312" w:hAnsi="仿宋_GB2312" w:eastAsia="仿宋_GB2312" w:cs="仿宋_GB2312"/>
          <w:sz w:val="28"/>
          <w:szCs w:val="28"/>
          <w:u w:val="none"/>
          <w:lang w:val="en-US" w:eastAsia="zh-CN"/>
        </w:rPr>
        <w:t>4</w:t>
      </w:r>
      <w:r>
        <w:rPr>
          <w:rFonts w:hint="eastAsia" w:ascii="仿宋_GB2312" w:hAnsi="仿宋_GB2312" w:eastAsia="仿宋_GB2312" w:cs="仿宋_GB2312"/>
          <w:sz w:val="28"/>
          <w:szCs w:val="28"/>
          <w:u w:val="none"/>
        </w:rPr>
        <w:t>年</w:t>
      </w:r>
      <w:r>
        <w:rPr>
          <w:rFonts w:hint="eastAsia" w:ascii="仿宋_GB2312" w:hAnsi="仿宋_GB2312" w:eastAsia="仿宋_GB2312" w:cs="仿宋_GB2312"/>
          <w:sz w:val="28"/>
          <w:szCs w:val="28"/>
          <w:u w:val="none"/>
          <w:lang w:val="en-US" w:eastAsia="zh-CN"/>
        </w:rPr>
        <w:t>11</w:t>
      </w:r>
      <w:r>
        <w:rPr>
          <w:rFonts w:hint="eastAsia" w:ascii="仿宋_GB2312" w:hAnsi="仿宋_GB2312" w:eastAsia="仿宋_GB2312" w:cs="仿宋_GB2312"/>
          <w:sz w:val="28"/>
          <w:szCs w:val="28"/>
          <w:u w:val="none"/>
        </w:rPr>
        <w:t>月</w:t>
      </w:r>
      <w:r>
        <w:rPr>
          <w:rFonts w:hint="eastAsia" w:ascii="仿宋_GB2312" w:hAnsi="仿宋_GB2312" w:eastAsia="仿宋_GB2312" w:cs="仿宋_GB2312"/>
          <w:sz w:val="28"/>
          <w:szCs w:val="28"/>
          <w:u w:val="none"/>
          <w:lang w:val="en-US" w:eastAsia="zh-CN"/>
        </w:rPr>
        <w:t>29</w:t>
      </w:r>
      <w:bookmarkStart w:id="0" w:name="_GoBack"/>
      <w:bookmarkEnd w:id="0"/>
      <w:r>
        <w:rPr>
          <w:rFonts w:hint="eastAsia" w:ascii="仿宋_GB2312" w:hAnsi="仿宋_GB2312" w:eastAsia="仿宋_GB2312" w:cs="仿宋_GB2312"/>
          <w:sz w:val="28"/>
          <w:szCs w:val="28"/>
          <w:u w:val="none"/>
        </w:rPr>
        <w:t>日印发</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3F" w:usb3="00000000" w:csb0="003F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5419B">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682A38">
                          <w:pPr>
                            <w:pStyle w:val="8"/>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E682A38">
                    <w:pPr>
                      <w:pStyle w:val="8"/>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zg5NjU1ZjM1M2M4MWFiODQwMzVlOWM4Mzk5Y2QifQ=="/>
  </w:docVars>
  <w:rsids>
    <w:rsidRoot w:val="2B1B5EE9"/>
    <w:rsid w:val="01244F19"/>
    <w:rsid w:val="02B82FD4"/>
    <w:rsid w:val="067155FB"/>
    <w:rsid w:val="0B6673AF"/>
    <w:rsid w:val="14215995"/>
    <w:rsid w:val="14792ECD"/>
    <w:rsid w:val="17B4441E"/>
    <w:rsid w:val="1CD91E20"/>
    <w:rsid w:val="1E391DFB"/>
    <w:rsid w:val="1FAD1396"/>
    <w:rsid w:val="213801DF"/>
    <w:rsid w:val="24983AB5"/>
    <w:rsid w:val="267E11C9"/>
    <w:rsid w:val="2B1B5EE9"/>
    <w:rsid w:val="32074BC0"/>
    <w:rsid w:val="366F46A2"/>
    <w:rsid w:val="366F678F"/>
    <w:rsid w:val="38B04AF7"/>
    <w:rsid w:val="39C80E81"/>
    <w:rsid w:val="3CB11420"/>
    <w:rsid w:val="3FAB6F42"/>
    <w:rsid w:val="40415869"/>
    <w:rsid w:val="44C27D7C"/>
    <w:rsid w:val="4772691E"/>
    <w:rsid w:val="49684719"/>
    <w:rsid w:val="4C0C25D8"/>
    <w:rsid w:val="5857376F"/>
    <w:rsid w:val="5A763C60"/>
    <w:rsid w:val="5B7213B9"/>
    <w:rsid w:val="5CB5752E"/>
    <w:rsid w:val="62732264"/>
    <w:rsid w:val="646E5840"/>
    <w:rsid w:val="65240459"/>
    <w:rsid w:val="687D19A4"/>
    <w:rsid w:val="69820AD8"/>
    <w:rsid w:val="6F7B5CBB"/>
    <w:rsid w:val="723338D8"/>
    <w:rsid w:val="73E363D7"/>
    <w:rsid w:val="79634769"/>
    <w:rsid w:val="79787ABF"/>
    <w:rsid w:val="7BEB0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6">
    <w:name w:val="heading 2"/>
    <w:basedOn w:val="1"/>
    <w:next w:val="1"/>
    <w:autoRedefine/>
    <w:qFormat/>
    <w:uiPriority w:val="1"/>
    <w:pPr>
      <w:spacing w:line="360" w:lineRule="auto"/>
      <w:jc w:val="center"/>
      <w:outlineLvl w:val="1"/>
    </w:pPr>
    <w:rPr>
      <w:szCs w:val="21"/>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4"/>
    <w:autoRedefine/>
    <w:unhideWhenUsed/>
    <w:qFormat/>
    <w:uiPriority w:val="0"/>
    <w:pPr>
      <w:ind w:leftChars="200" w:firstLine="420" w:firstLineChars="200"/>
    </w:pPr>
  </w:style>
  <w:style w:type="paragraph" w:styleId="3">
    <w:name w:val="Body Text Indent"/>
    <w:basedOn w:val="1"/>
    <w:next w:val="1"/>
    <w:semiHidden/>
    <w:qFormat/>
    <w:uiPriority w:val="0"/>
    <w:pPr>
      <w:spacing w:after="120"/>
      <w:ind w:left="420" w:leftChars="200"/>
    </w:pPr>
  </w:style>
  <w:style w:type="paragraph" w:styleId="4">
    <w:name w:val="Body Text First Indent"/>
    <w:basedOn w:val="5"/>
    <w:next w:val="1"/>
    <w:autoRedefine/>
    <w:unhideWhenUsed/>
    <w:qFormat/>
    <w:uiPriority w:val="99"/>
    <w:pPr>
      <w:ind w:firstLine="420" w:firstLineChars="100"/>
    </w:pPr>
    <w:rPr>
      <w:spacing w:val="6"/>
    </w:rPr>
  </w:style>
  <w:style w:type="paragraph" w:styleId="5">
    <w:name w:val="Body Text"/>
    <w:basedOn w:val="1"/>
    <w:next w:val="1"/>
    <w:autoRedefine/>
    <w:qFormat/>
    <w:uiPriority w:val="0"/>
    <w:pPr>
      <w:widowControl/>
      <w:snapToGrid w:val="0"/>
      <w:spacing w:before="60" w:after="160" w:line="259" w:lineRule="auto"/>
      <w:ind w:right="113"/>
    </w:pPr>
    <w:rPr>
      <w:kern w:val="0"/>
      <w:sz w:val="18"/>
      <w:szCs w:val="18"/>
    </w:rPr>
  </w:style>
  <w:style w:type="paragraph" w:styleId="7">
    <w:name w:val="Normal Indent"/>
    <w:basedOn w:val="1"/>
    <w:next w:val="2"/>
    <w:autoRedefine/>
    <w:qFormat/>
    <w:uiPriority w:val="0"/>
    <w:pPr>
      <w:ind w:firstLine="420"/>
    </w:pPr>
    <w:rPr>
      <w:sz w:val="24"/>
      <w:szCs w:val="20"/>
    </w:rPr>
  </w:style>
  <w:style w:type="paragraph" w:styleId="8">
    <w:name w:val="footer"/>
    <w:basedOn w:val="1"/>
    <w:next w:val="1"/>
    <w:autoRedefine/>
    <w:qFormat/>
    <w:uiPriority w:val="99"/>
    <w:pPr>
      <w:tabs>
        <w:tab w:val="center" w:pos="4153"/>
        <w:tab w:val="right" w:pos="8306"/>
      </w:tabs>
      <w:snapToGrid w:val="0"/>
      <w:ind w:right="360" w:firstLine="360"/>
      <w:jc w:val="center"/>
    </w:pPr>
    <w:rPr>
      <w:kern w:val="0"/>
      <w:sz w:val="18"/>
      <w:szCs w:val="20"/>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2">
    <w:name w:val="xl27"/>
    <w:basedOn w:val="1"/>
    <w:autoRedefine/>
    <w:qFormat/>
    <w:uiPriority w:val="0"/>
    <w:pPr>
      <w:spacing w:before="100" w:beforeAutospacing="1" w:after="100" w:afterAutospacing="1"/>
      <w:jc w:val="center"/>
      <w:textAlignment w:val="center"/>
    </w:pPr>
    <w:rPr>
      <w:rFonts w:ascii="Arial Unicode MS" w:hAnsi="Arial Unicode MS" w:eastAsia="Arial Unicode MS"/>
      <w:bCs/>
      <w:sz w:val="20"/>
      <w:szCs w:val="32"/>
    </w:rPr>
  </w:style>
  <w:style w:type="paragraph" w:customStyle="1" w:styleId="13">
    <w:name w:val="样式 正文缩进正文缩进2正文缩进 Char Char正文缩进 Char Char Char Char正文缩进 Char ..."/>
    <w:basedOn w:val="7"/>
    <w:autoRedefine/>
    <w:qFormat/>
    <w:uiPriority w:val="0"/>
    <w:pPr>
      <w:spacing w:line="360" w:lineRule="auto"/>
      <w:ind w:firstLine="200"/>
    </w:pPr>
    <w:rPr>
      <w:rFonts w:cs="宋体"/>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1848</Words>
  <Characters>1985</Characters>
  <Lines>0</Lines>
  <Paragraphs>0</Paragraphs>
  <TotalTime>6</TotalTime>
  <ScaleCrop>false</ScaleCrop>
  <LinksUpToDate>false</LinksUpToDate>
  <CharactersWithSpaces>2010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2022-02-16T02:46:00Z</dcterms:created>
  <dc:creator>Cqdn</dc:creator>
  <cp:lastModifiedBy>sn</cp:lastModifiedBy>
  <cp:lastPrinted>2024-11-07T02:52:00Z</cp:lastPrinted>
  <dcterms:modified xsi:type="dcterms:W3CDTF">2024-12-12T07:22:03Z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4B3B06E769EA4A09964C466E69A78DC1_13</vt:lpwstr>
  </property>
</Properties>
</file>