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left"/>
        <w:rPr>
          <w:rFonts w:hint="eastAsia" w:ascii="仿宋" w:hAnsi="仿宋" w:eastAsia="仿宋" w:cs="仿宋"/>
          <w:color w:val="000000"/>
          <w:sz w:val="32"/>
          <w:szCs w:val="32"/>
        </w:rPr>
      </w:pP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b/>
          <w:bCs/>
          <w:color w:val="000000"/>
          <w:sz w:val="32"/>
          <w:szCs w:val="32"/>
        </w:rPr>
      </w:pPr>
      <w:r>
        <w:rPr>
          <w:rFonts w:hint="eastAsia" w:ascii="仿宋" w:hAnsi="仿宋" w:eastAsia="仿宋" w:cs="仿宋"/>
          <w:b/>
          <w:bCs/>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r>
        <w:rPr>
          <w:rFonts w:hint="eastAsia" w:ascii="仿宋" w:hAnsi="仿宋" w:eastAsia="仿宋" w:cs="仿宋"/>
          <w:color w:val="000000"/>
          <w:sz w:val="32"/>
          <w:szCs w:val="32"/>
        </w:rPr>
        <w:t>锡署环审书[201</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3</w:t>
      </w:r>
      <w:r>
        <w:rPr>
          <w:rFonts w:hint="eastAsia" w:ascii="仿宋" w:hAnsi="仿宋" w:eastAsia="仿宋" w:cs="仿宋"/>
          <w:color w:val="000000"/>
          <w:sz w:val="32"/>
          <w:szCs w:val="32"/>
        </w:rPr>
        <w:t>号</w:t>
      </w: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锡林郭勒盟环境保护局</w:t>
      </w:r>
    </w:p>
    <w:p>
      <w:pPr>
        <w:spacing w:line="500" w:lineRule="exact"/>
        <w:jc w:val="center"/>
        <w:rPr>
          <w:rFonts w:hint="eastAsia" w:ascii="黑体" w:hAnsi="黑体" w:eastAsia="黑体" w:cs="黑体"/>
          <w:b/>
          <w:bCs/>
          <w:color w:val="000000"/>
          <w:sz w:val="36"/>
          <w:szCs w:val="36"/>
        </w:rPr>
      </w:pPr>
      <w:bookmarkStart w:id="0" w:name="_GoBack"/>
      <w:r>
        <w:rPr>
          <w:rFonts w:hint="eastAsia" w:ascii="黑体" w:hAnsi="黑体" w:eastAsia="黑体" w:cs="黑体"/>
          <w:b/>
          <w:bCs/>
          <w:color w:val="000000"/>
          <w:sz w:val="36"/>
          <w:szCs w:val="36"/>
        </w:rPr>
        <w:t>关于华能内蒙古阿巴嘎旗别力古台一期200MW风电</w:t>
      </w: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项目环境影响报告书的批复</w:t>
      </w:r>
    </w:p>
    <w:bookmarkEnd w:id="0"/>
    <w:p>
      <w:pPr>
        <w:spacing w:line="5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rPr>
        <w:t xml:space="preserve"> </w:t>
      </w:r>
    </w:p>
    <w:p>
      <w:pPr>
        <w:spacing w:line="580" w:lineRule="exact"/>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华能阿巴嘎旗新能源发电有限公司：</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你公司上报的《</w:t>
      </w:r>
      <w:r>
        <w:rPr>
          <w:rFonts w:hint="eastAsia" w:ascii="仿宋" w:hAnsi="仿宋" w:eastAsia="仿宋" w:cs="Tahoma"/>
          <w:color w:val="000000"/>
          <w:kern w:val="0"/>
          <w:sz w:val="32"/>
          <w:szCs w:val="32"/>
          <w:lang w:eastAsia="zh-CN"/>
        </w:rPr>
        <w:t>关于报送</w:t>
      </w:r>
      <w:r>
        <w:rPr>
          <w:rFonts w:hint="eastAsia" w:ascii="仿宋" w:hAnsi="仿宋" w:eastAsia="仿宋" w:cs="Tahoma"/>
          <w:color w:val="000000"/>
          <w:kern w:val="0"/>
          <w:sz w:val="32"/>
          <w:szCs w:val="32"/>
          <w:lang w:val="en-US" w:eastAsia="zh-CN"/>
        </w:rPr>
        <w:t>&lt;</w:t>
      </w:r>
      <w:r>
        <w:rPr>
          <w:rFonts w:hint="eastAsia" w:ascii="仿宋" w:hAnsi="仿宋" w:eastAsia="仿宋" w:cs="Tahoma"/>
          <w:color w:val="000000"/>
          <w:kern w:val="0"/>
          <w:sz w:val="32"/>
          <w:szCs w:val="32"/>
        </w:rPr>
        <w:t>华能内蒙古阿巴嘎旗别力古台一期200MW风电项目环境影响报告书</w:t>
      </w:r>
      <w:r>
        <w:rPr>
          <w:rFonts w:hint="eastAsia" w:ascii="仿宋" w:hAnsi="仿宋" w:eastAsia="仿宋" w:cs="Tahoma"/>
          <w:color w:val="000000"/>
          <w:kern w:val="0"/>
          <w:sz w:val="32"/>
          <w:szCs w:val="32"/>
          <w:lang w:val="en-US" w:eastAsia="zh-CN"/>
        </w:rPr>
        <w:t>&gt;审查请示的函</w:t>
      </w:r>
      <w:r>
        <w:rPr>
          <w:rFonts w:hint="eastAsia" w:ascii="仿宋" w:hAnsi="仿宋" w:eastAsia="仿宋" w:cs="Tahoma"/>
          <w:color w:val="000000"/>
          <w:kern w:val="0"/>
          <w:sz w:val="32"/>
          <w:szCs w:val="32"/>
        </w:rPr>
        <w:t>》</w:t>
      </w:r>
      <w:r>
        <w:rPr>
          <w:rFonts w:hint="eastAsia" w:ascii="仿宋" w:hAnsi="仿宋" w:eastAsia="仿宋" w:cs="Tahoma"/>
          <w:color w:val="000000"/>
          <w:kern w:val="0"/>
          <w:sz w:val="32"/>
          <w:szCs w:val="32"/>
          <w:lang w:eastAsia="zh-CN"/>
        </w:rPr>
        <w:t>及由</w:t>
      </w:r>
      <w:r>
        <w:rPr>
          <w:rFonts w:hint="eastAsia" w:ascii="仿宋" w:hAnsi="仿宋" w:eastAsia="仿宋" w:cs="Tahoma"/>
          <w:color w:val="000000"/>
          <w:kern w:val="0"/>
          <w:sz w:val="32"/>
          <w:szCs w:val="32"/>
        </w:rPr>
        <w:t>内蒙古蒙水环境技术咨询有限公司</w:t>
      </w:r>
      <w:r>
        <w:rPr>
          <w:rFonts w:hint="eastAsia" w:ascii="仿宋" w:hAnsi="仿宋" w:eastAsia="仿宋" w:cs="Tahoma"/>
          <w:color w:val="000000"/>
          <w:kern w:val="0"/>
          <w:sz w:val="32"/>
          <w:szCs w:val="32"/>
          <w:lang w:eastAsia="zh-CN"/>
        </w:rPr>
        <w:t>编制的</w:t>
      </w:r>
      <w:r>
        <w:rPr>
          <w:rFonts w:hint="eastAsia" w:ascii="仿宋" w:hAnsi="仿宋" w:eastAsia="仿宋" w:cs="Tahoma"/>
          <w:color w:val="000000"/>
          <w:kern w:val="0"/>
          <w:sz w:val="32"/>
          <w:szCs w:val="32"/>
        </w:rPr>
        <w:t>《华能内蒙古阿巴嘎旗别力古台一期200MW风电项目环境影响报告书》（以下简称《报告书》）收悉。</w:t>
      </w:r>
      <w:r>
        <w:rPr>
          <w:rFonts w:hint="eastAsia" w:ascii="仿宋" w:hAnsi="仿宋" w:eastAsia="仿宋" w:cs="Tahoma"/>
          <w:color w:val="000000"/>
          <w:kern w:val="0"/>
          <w:sz w:val="32"/>
          <w:szCs w:val="32"/>
          <w:lang w:eastAsia="zh-CN"/>
        </w:rPr>
        <w:t>锡林郭勒盟生态保护委员会《关于</w:t>
      </w:r>
      <w:r>
        <w:rPr>
          <w:rFonts w:hint="eastAsia" w:ascii="仿宋" w:hAnsi="仿宋" w:eastAsia="仿宋" w:cs="Tahoma"/>
          <w:color w:val="000000"/>
          <w:kern w:val="0"/>
          <w:sz w:val="32"/>
          <w:szCs w:val="32"/>
        </w:rPr>
        <w:t>华能内蒙古阿巴嘎旗别力古台一期200MW风电项目</w:t>
      </w:r>
      <w:r>
        <w:rPr>
          <w:rFonts w:hint="eastAsia" w:ascii="仿宋" w:hAnsi="仿宋" w:eastAsia="仿宋" w:cs="Tahoma"/>
          <w:color w:val="000000"/>
          <w:kern w:val="0"/>
          <w:sz w:val="32"/>
          <w:szCs w:val="32"/>
          <w:lang w:eastAsia="zh-CN"/>
        </w:rPr>
        <w:t>的审查意见》（锡生态审[201</w:t>
      </w:r>
      <w:r>
        <w:rPr>
          <w:rFonts w:hint="eastAsia" w:ascii="仿宋" w:hAnsi="仿宋" w:eastAsia="仿宋" w:cs="Tahoma"/>
          <w:color w:val="000000"/>
          <w:kern w:val="0"/>
          <w:sz w:val="32"/>
          <w:szCs w:val="32"/>
          <w:lang w:val="en-US" w:eastAsia="zh-CN"/>
        </w:rPr>
        <w:t>7</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lang w:val="en-US" w:eastAsia="zh-CN"/>
        </w:rPr>
        <w:t>173</w:t>
      </w:r>
      <w:r>
        <w:rPr>
          <w:rFonts w:hint="eastAsia" w:ascii="仿宋" w:hAnsi="仿宋" w:eastAsia="仿宋" w:cs="Tahoma"/>
          <w:color w:val="000000"/>
          <w:kern w:val="0"/>
          <w:sz w:val="32"/>
          <w:szCs w:val="32"/>
          <w:lang w:eastAsia="zh-CN"/>
        </w:rPr>
        <w:t>号），同意该项目开展前期工作。结合阿巴嘎旗环境保护局《关于</w:t>
      </w:r>
      <w:r>
        <w:rPr>
          <w:rFonts w:hint="eastAsia" w:ascii="仿宋" w:hAnsi="仿宋" w:eastAsia="仿宋" w:cs="Tahoma"/>
          <w:color w:val="000000"/>
          <w:kern w:val="0"/>
          <w:sz w:val="32"/>
          <w:szCs w:val="32"/>
        </w:rPr>
        <w:t>华能内蒙古阿巴嘎旗别力古台一期200MW风电项目环境影响报告书</w:t>
      </w:r>
      <w:r>
        <w:rPr>
          <w:rFonts w:hint="eastAsia" w:ascii="仿宋" w:hAnsi="仿宋" w:eastAsia="仿宋" w:cs="Tahoma"/>
          <w:color w:val="000000"/>
          <w:kern w:val="0"/>
          <w:sz w:val="32"/>
          <w:szCs w:val="32"/>
          <w:lang w:eastAsia="zh-CN"/>
        </w:rPr>
        <w:t>的初审意见》（阿环发</w:t>
      </w:r>
      <w:r>
        <w:rPr>
          <w:rFonts w:hint="eastAsia" w:ascii="仿宋" w:hAnsi="仿宋" w:eastAsia="仿宋" w:cs="Tahoma"/>
          <w:color w:val="000000"/>
          <w:kern w:val="0"/>
          <w:sz w:val="32"/>
          <w:szCs w:val="32"/>
          <w:lang w:val="en-US" w:eastAsia="zh-CN"/>
        </w:rPr>
        <w:t>[2018]5号</w:t>
      </w:r>
      <w:r>
        <w:rPr>
          <w:rFonts w:hint="eastAsia" w:ascii="仿宋" w:hAnsi="仿宋" w:eastAsia="仿宋" w:cs="Tahoma"/>
          <w:color w:val="000000"/>
          <w:kern w:val="0"/>
          <w:sz w:val="32"/>
          <w:szCs w:val="32"/>
          <w:lang w:eastAsia="zh-CN"/>
        </w:rPr>
        <w:t>），我</w:t>
      </w:r>
      <w:r>
        <w:rPr>
          <w:rFonts w:hint="eastAsia" w:ascii="仿宋" w:hAnsi="仿宋" w:eastAsia="仿宋" w:cs="Tahoma"/>
          <w:color w:val="000000"/>
          <w:kern w:val="0"/>
          <w:sz w:val="32"/>
          <w:szCs w:val="32"/>
        </w:rPr>
        <w:t>局委托盟环境工程评估中心进行了技术评估。经研究</w:t>
      </w:r>
      <w:r>
        <w:rPr>
          <w:rFonts w:hint="eastAsia" w:ascii="仿宋" w:hAnsi="仿宋" w:eastAsia="仿宋" w:cs="Tahoma"/>
          <w:color w:val="000000"/>
          <w:kern w:val="0"/>
          <w:sz w:val="32"/>
          <w:szCs w:val="32"/>
          <w:lang w:val="en-US" w:eastAsia="zh-CN"/>
        </w:rPr>
        <w:t>,</w:t>
      </w:r>
      <w:r>
        <w:rPr>
          <w:rFonts w:hint="eastAsia" w:ascii="仿宋" w:hAnsi="仿宋" w:eastAsia="仿宋" w:cs="Tahoma"/>
          <w:color w:val="000000"/>
          <w:kern w:val="0"/>
          <w:sz w:val="32"/>
          <w:szCs w:val="32"/>
        </w:rPr>
        <w:t>批复如下。</w:t>
      </w:r>
    </w:p>
    <w:p>
      <w:pPr>
        <w:spacing w:line="580" w:lineRule="exact"/>
        <w:ind w:firstLine="700" w:firstLineChars="218"/>
        <w:rPr>
          <w:rFonts w:hint="eastAsia" w:ascii="仿宋" w:hAnsi="仿宋" w:eastAsia="仿宋" w:cs="Tahoma"/>
          <w:b/>
          <w:bCs/>
          <w:color w:val="000000"/>
          <w:kern w:val="0"/>
          <w:sz w:val="32"/>
          <w:szCs w:val="32"/>
          <w:lang w:val="en-US" w:eastAsia="zh-CN"/>
        </w:rPr>
      </w:pPr>
      <w:r>
        <w:rPr>
          <w:rFonts w:hint="eastAsia" w:ascii="仿宋" w:hAnsi="仿宋" w:eastAsia="仿宋" w:cs="Tahoma"/>
          <w:b/>
          <w:bCs/>
          <w:color w:val="000000"/>
          <w:kern w:val="0"/>
          <w:sz w:val="32"/>
          <w:szCs w:val="32"/>
        </w:rPr>
        <w:t>一、项目概况</w:t>
      </w:r>
    </w:p>
    <w:p>
      <w:pPr>
        <w:spacing w:line="580" w:lineRule="exact"/>
        <w:ind w:firstLine="697" w:firstLineChars="218"/>
        <w:rPr>
          <w:rFonts w:hint="eastAsia" w:ascii="仿宋" w:hAnsi="仿宋" w:eastAsia="仿宋" w:cs="仿宋"/>
          <w:color w:val="000000"/>
          <w:sz w:val="32"/>
          <w:szCs w:val="32"/>
        </w:rPr>
      </w:pPr>
      <w:r>
        <w:rPr>
          <w:rFonts w:hint="eastAsia" w:ascii="仿宋" w:hAnsi="仿宋" w:eastAsia="仿宋" w:cs="Tahoma"/>
          <w:color w:val="000000"/>
          <w:kern w:val="0"/>
          <w:sz w:val="32"/>
          <w:szCs w:val="32"/>
        </w:rPr>
        <w:t>华能内蒙古阿巴嘎旗别力古台一期200MW风电项目为分布式风力发电项目，场址位于阿巴嘎旗别力古台镇境内，风电场西北距阿巴嘎旗政府别力古台距离约50km，工程占地面积为73.16hm</w:t>
      </w:r>
      <w:r>
        <w:rPr>
          <w:rFonts w:hint="eastAsia" w:ascii="仿宋" w:hAnsi="仿宋" w:eastAsia="仿宋" w:cs="Tahoma"/>
          <w:color w:val="000000"/>
          <w:kern w:val="0"/>
          <w:sz w:val="32"/>
          <w:szCs w:val="32"/>
          <w:vertAlign w:val="superscript"/>
        </w:rPr>
        <w:t>2</w:t>
      </w:r>
      <w:r>
        <w:rPr>
          <w:rFonts w:hint="eastAsia" w:ascii="仿宋" w:hAnsi="仿宋" w:eastAsia="仿宋" w:cs="Tahoma"/>
          <w:color w:val="000000"/>
          <w:kern w:val="0"/>
          <w:sz w:val="32"/>
          <w:szCs w:val="32"/>
        </w:rPr>
        <w:t>。工程选用67台单机容量3000kW的风力发电机组，每台机组配套建设1台箱式变压器；新建1座220kV的升压站，占地面积为1.30hm</w:t>
      </w:r>
      <w:r>
        <w:rPr>
          <w:rFonts w:hint="eastAsia" w:ascii="仿宋" w:hAnsi="仿宋" w:eastAsia="仿宋" w:cs="Tahoma"/>
          <w:color w:val="000000"/>
          <w:kern w:val="0"/>
          <w:sz w:val="32"/>
          <w:szCs w:val="32"/>
          <w:vertAlign w:val="superscript"/>
        </w:rPr>
        <w:t>2</w:t>
      </w:r>
      <w:r>
        <w:rPr>
          <w:rFonts w:hint="eastAsia" w:ascii="仿宋" w:hAnsi="仿宋" w:eastAsia="仿宋" w:cs="Tahoma"/>
          <w:color w:val="000000"/>
          <w:kern w:val="0"/>
          <w:sz w:val="32"/>
          <w:szCs w:val="32"/>
        </w:rPr>
        <w:t>，工程集电线路设计为地埋电缆方案，风电场升压站以单回220kV线路接入阿巴嘎500kV汇集站，线路长度约20km</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rPr>
        <w:t>项目总投资161495.77万元，其</w:t>
      </w:r>
      <w:r>
        <w:rPr>
          <w:rFonts w:hint="eastAsia" w:ascii="仿宋" w:hAnsi="仿宋" w:eastAsia="仿宋" w:cs="仿宋"/>
          <w:color w:val="000000"/>
          <w:sz w:val="32"/>
          <w:szCs w:val="32"/>
        </w:rPr>
        <w:t>中环保投资491.8万元，占总投资的0.30%。</w:t>
      </w:r>
    </w:p>
    <w:p>
      <w:pPr>
        <w:spacing w:line="580" w:lineRule="exact"/>
        <w:ind w:firstLine="697" w:firstLineChars="218"/>
        <w:rPr>
          <w:rFonts w:hint="eastAsia" w:ascii="仿宋" w:hAnsi="仿宋" w:eastAsia="仿宋" w:cs="仿宋"/>
          <w:color w:val="000000"/>
          <w:sz w:val="32"/>
          <w:szCs w:val="32"/>
        </w:rPr>
      </w:pPr>
      <w:r>
        <w:rPr>
          <w:rFonts w:hint="eastAsia" w:ascii="仿宋" w:hAnsi="仿宋" w:eastAsia="仿宋" w:cs="仿宋"/>
          <w:color w:val="000000"/>
          <w:sz w:val="32"/>
          <w:szCs w:val="32"/>
        </w:rPr>
        <w:t>本项目</w:t>
      </w:r>
      <w:r>
        <w:rPr>
          <w:rFonts w:hint="eastAsia" w:ascii="仿宋" w:hAnsi="仿宋" w:eastAsia="仿宋" w:cs="仿宋"/>
          <w:color w:val="000000"/>
          <w:sz w:val="32"/>
          <w:szCs w:val="32"/>
          <w:lang w:eastAsia="zh-CN"/>
        </w:rPr>
        <w:t>属于</w:t>
      </w:r>
      <w:r>
        <w:rPr>
          <w:rFonts w:hint="eastAsia" w:ascii="仿宋" w:hAnsi="仿宋" w:eastAsia="仿宋" w:cs="仿宋"/>
          <w:color w:val="000000"/>
          <w:sz w:val="32"/>
          <w:szCs w:val="32"/>
        </w:rPr>
        <w:t>《产业结构调整指导目录（2011年本）（2013年修正本）》中允许类，符合国家产业政策的要求。2017年8月29日锡林郭勒盟国土资源局以锡国土预审字[2017]18号文批复了本项目用地选址的申请</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建设单位在全面落实《报告书》和本批复规定的各项生态破坏和环境污染措施后，对环境影响能够得到有效缓解和控制。我局同意《报告书》所列建设项目的性质、规模、地点、环境保护对策措施。</w:t>
      </w:r>
    </w:p>
    <w:p>
      <w:pPr>
        <w:spacing w:line="580" w:lineRule="exact"/>
        <w:ind w:firstLine="700" w:firstLineChars="218"/>
        <w:rPr>
          <w:rFonts w:hint="eastAsia" w:ascii="仿宋" w:hAnsi="仿宋" w:eastAsia="仿宋" w:cs="Tahoma"/>
          <w:b/>
          <w:bCs/>
          <w:color w:val="000000"/>
          <w:kern w:val="0"/>
          <w:sz w:val="32"/>
          <w:szCs w:val="32"/>
        </w:rPr>
      </w:pPr>
      <w:r>
        <w:rPr>
          <w:rFonts w:hint="eastAsia" w:ascii="仿宋" w:hAnsi="仿宋" w:eastAsia="仿宋" w:cs="Tahoma"/>
          <w:b/>
          <w:bCs/>
          <w:color w:val="000000"/>
          <w:kern w:val="0"/>
          <w:sz w:val="32"/>
          <w:szCs w:val="32"/>
        </w:rPr>
        <w:t>二、项目在建设和运营过程中应重点做好以下工作：</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（一）建设期：</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1、要严格按照《报告</w:t>
      </w:r>
      <w:r>
        <w:rPr>
          <w:rFonts w:hint="eastAsia" w:ascii="仿宋" w:hAnsi="仿宋" w:eastAsia="仿宋" w:cs="Tahoma"/>
          <w:color w:val="000000"/>
          <w:kern w:val="0"/>
          <w:sz w:val="32"/>
          <w:szCs w:val="32"/>
          <w:lang w:eastAsia="zh-CN"/>
        </w:rPr>
        <w:t>书</w:t>
      </w:r>
      <w:r>
        <w:rPr>
          <w:rFonts w:hint="eastAsia" w:ascii="仿宋" w:hAnsi="仿宋" w:eastAsia="仿宋" w:cs="Tahoma"/>
          <w:color w:val="000000"/>
          <w:kern w:val="0"/>
          <w:sz w:val="32"/>
          <w:szCs w:val="32"/>
        </w:rPr>
        <w:t>》和设计文件的要求组织施工。加强施工期的环境保护工作，严格落实建筑施工期的环保措施，施工车辆须按规定线路行驶，对施工场地、施工便道采取洒水降尘等措施，减少施工扬尘污染。</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2、合理布局，采取低噪声设备和防噪措施，做到建筑施工场界噪声限值达标。要合理安排施工时段，避免施工噪声扰民。施工结束后及时进行植被恢复。施工时产生的弃土、弃石要填充低洼地带，不得破坏原地貌及景观。植被覆盖率</w:t>
      </w:r>
      <w:r>
        <w:rPr>
          <w:rFonts w:hint="eastAsia" w:ascii="仿宋" w:hAnsi="仿宋" w:eastAsia="仿宋" w:cs="Tahoma"/>
          <w:color w:val="000000"/>
          <w:kern w:val="0"/>
          <w:sz w:val="32"/>
          <w:szCs w:val="32"/>
          <w:lang w:eastAsia="zh-CN"/>
        </w:rPr>
        <w:t>要</w:t>
      </w:r>
      <w:r>
        <w:rPr>
          <w:rFonts w:hint="eastAsia" w:ascii="仿宋" w:hAnsi="仿宋" w:eastAsia="仿宋" w:cs="Tahoma"/>
          <w:color w:val="000000"/>
          <w:kern w:val="0"/>
          <w:sz w:val="32"/>
          <w:szCs w:val="32"/>
        </w:rPr>
        <w:t>达到设计要求。</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3、工程弃渣及建筑垃圾统一管理和处置，不得随意堆放。施工人员生活垃圾要定点收贮、及时清运，防止飞扬、逸散。</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4、</w:t>
      </w:r>
      <w:r>
        <w:rPr>
          <w:rFonts w:hint="eastAsia" w:ascii="仿宋" w:hAnsi="仿宋" w:eastAsia="仿宋" w:cs="Tahoma"/>
          <w:color w:val="000000"/>
          <w:kern w:val="0"/>
          <w:sz w:val="32"/>
          <w:szCs w:val="32"/>
          <w:lang w:eastAsia="zh-CN"/>
        </w:rPr>
        <w:t>严格按照《报告书》中要求，采取地埋式电缆铺设。</w:t>
      </w:r>
      <w:r>
        <w:rPr>
          <w:rFonts w:hint="eastAsia" w:ascii="仿宋" w:hAnsi="仿宋" w:eastAsia="仿宋" w:cs="Tahoma"/>
          <w:color w:val="000000"/>
          <w:kern w:val="0"/>
          <w:sz w:val="32"/>
          <w:szCs w:val="32"/>
        </w:rPr>
        <w:t>落实生态保护措施以及环境保护设施投资概算。并将环保设施建设纳入施工合同。</w:t>
      </w:r>
    </w:p>
    <w:p>
      <w:pPr>
        <w:spacing w:line="580" w:lineRule="exact"/>
        <w:ind w:firstLine="697" w:firstLineChars="218"/>
        <w:rPr>
          <w:rFonts w:hint="eastAsia" w:ascii="仿宋" w:hAnsi="仿宋" w:eastAsia="仿宋" w:cs="Tahoma"/>
          <w:color w:val="000000"/>
          <w:kern w:val="0"/>
          <w:sz w:val="32"/>
          <w:szCs w:val="32"/>
          <w:lang w:eastAsia="zh-CN"/>
        </w:rPr>
      </w:pPr>
      <w:r>
        <w:rPr>
          <w:rFonts w:hint="eastAsia" w:ascii="仿宋" w:hAnsi="仿宋" w:eastAsia="仿宋" w:cs="Tahoma"/>
          <w:color w:val="000000"/>
          <w:kern w:val="0"/>
          <w:sz w:val="32"/>
          <w:szCs w:val="32"/>
          <w:lang w:eastAsia="zh-CN"/>
        </w:rPr>
        <w:t>5、严格执行环境保护“三同时”制度，建设单位可根据自身技术力量自行或委托有资质的单位组织开展环境监理工作。项目竣工后，建设单位必须按规定的标准和程序实施环境保护验收，验收合格后方可正式投运。</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（二）营运期：</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1、噪声源应采取必要的减噪措施，厂界噪声必须满足《工业企业厂界环境噪声排放标准》（GB12348—2008）2类标准限值的要求。</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2、生活废水经处理后要达到《城市污水再生利用  城市杂用水水质》（GB/T18920-2002）标准，达标后首先考虑作为升压站绿化用水，不得外排。产生的含油污水委托有资质的单位集中处置，不得外排。</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3、设备检修产生的维修垃圾使用专门容器暂存，容器外按要求粘贴相应的危险警示的标志，暂存在危险废物暂存间，建立危险废物收集、贮存、运输等管理制度，危险废物暂存要满足《危险废物贮存污染控制标准》（GB18597-2001）中要求，委托有危废处理资质的单位处置。</w:t>
      </w:r>
    </w:p>
    <w:p>
      <w:pPr>
        <w:spacing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我局委托</w:t>
      </w:r>
      <w:r>
        <w:rPr>
          <w:rFonts w:hint="eastAsia" w:ascii="仿宋" w:hAnsi="仿宋" w:eastAsia="仿宋" w:cs="仿宋"/>
          <w:color w:val="000000"/>
          <w:sz w:val="32"/>
          <w:szCs w:val="32"/>
          <w:lang w:eastAsia="zh-CN"/>
        </w:rPr>
        <w:t>阿巴嘎旗环境保护局</w:t>
      </w:r>
      <w:r>
        <w:rPr>
          <w:rFonts w:hint="eastAsia" w:ascii="仿宋" w:hAnsi="仿宋" w:eastAsia="仿宋" w:cs="仿宋"/>
          <w:color w:val="000000"/>
          <w:sz w:val="32"/>
          <w:szCs w:val="32"/>
        </w:rPr>
        <w:t>负责该项目施工期和运营期日常监管。请建设单位将该项目《报告书》和本批复送</w:t>
      </w:r>
      <w:r>
        <w:rPr>
          <w:rFonts w:hint="eastAsia" w:ascii="仿宋" w:hAnsi="仿宋" w:eastAsia="仿宋" w:cs="仿宋"/>
          <w:color w:val="000000"/>
          <w:sz w:val="32"/>
          <w:szCs w:val="32"/>
          <w:lang w:eastAsia="zh-CN"/>
        </w:rPr>
        <w:t>阿巴嘎旗环境保护局</w:t>
      </w:r>
      <w:r>
        <w:rPr>
          <w:rFonts w:hint="eastAsia" w:ascii="仿宋" w:hAnsi="仿宋" w:eastAsia="仿宋" w:cs="仿宋"/>
          <w:color w:val="000000"/>
          <w:sz w:val="32"/>
          <w:szCs w:val="32"/>
        </w:rPr>
        <w:t>一份。</w:t>
      </w:r>
    </w:p>
    <w:p>
      <w:pPr>
        <w:spacing w:line="580" w:lineRule="exact"/>
        <w:ind w:firstLine="9280" w:firstLineChars="2900"/>
        <w:rPr>
          <w:rFonts w:hint="eastAsia" w:ascii="仿宋" w:hAnsi="仿宋" w:eastAsia="仿宋"/>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r>
        <w:rPr>
          <w:rFonts w:hint="eastAsia" w:ascii="仿宋" w:hAnsi="仿宋" w:eastAsia="仿宋" w:cs="仿宋"/>
          <w:color w:val="000000"/>
          <w:sz w:val="32"/>
          <w:szCs w:val="32"/>
        </w:rPr>
        <w:t>201</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eastAsia="zh-CN"/>
        </w:rPr>
        <w:t>3</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eastAsia="zh-CN"/>
        </w:rPr>
        <w:t>19</w:t>
      </w:r>
      <w:r>
        <w:rPr>
          <w:rFonts w:hint="eastAsia" w:ascii="仿宋" w:hAnsi="仿宋" w:eastAsia="仿宋" w:cs="仿宋"/>
          <w:color w:val="000000"/>
          <w:sz w:val="32"/>
          <w:szCs w:val="32"/>
        </w:rPr>
        <w:t>日</w:t>
      </w:r>
    </w:p>
    <w:p>
      <w:pPr>
        <w:spacing w:line="580" w:lineRule="exact"/>
        <w:rPr>
          <w:rFonts w:hint="eastAsia" w:ascii="仿宋" w:hAnsi="仿宋" w:eastAsia="仿宋" w:cs="仿宋"/>
          <w:color w:val="000000"/>
          <w:sz w:val="32"/>
          <w:szCs w:val="32"/>
        </w:rPr>
      </w:pPr>
    </w:p>
    <w:p>
      <w:pPr>
        <w:spacing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抄送：</w:t>
      </w:r>
      <w:r>
        <w:rPr>
          <w:rFonts w:hint="eastAsia" w:ascii="仿宋" w:hAnsi="仿宋" w:eastAsia="仿宋" w:cs="仿宋"/>
          <w:color w:val="000000"/>
          <w:sz w:val="32"/>
          <w:szCs w:val="32"/>
          <w:lang w:eastAsia="zh-CN"/>
        </w:rPr>
        <w:t>阿巴嘎旗环境保护局</w:t>
      </w:r>
      <w:r>
        <w:rPr>
          <w:rFonts w:hint="eastAsia" w:ascii="仿宋" w:hAnsi="仿宋" w:eastAsia="仿宋" w:cs="仿宋"/>
          <w:color w:val="000000"/>
          <w:sz w:val="32"/>
          <w:szCs w:val="32"/>
        </w:rPr>
        <w:t>、盟环境工程评估中心。</w:t>
      </w:r>
    </w:p>
    <w:p>
      <w:pPr>
        <w:spacing w:line="580" w:lineRule="exac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A0204"/>
    <w:charset w:val="00"/>
    <w:family w:val="roman"/>
    <w:pitch w:val="default"/>
    <w:sig w:usb0="E00002FF" w:usb1="4000045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ˎ̥">
    <w:altName w:val="Times New Roman"/>
    <w:panose1 w:val="00000000000000000000"/>
    <w:charset w:val="00"/>
    <w:family w:val="roman"/>
    <w:pitch w:val="default"/>
    <w:sig w:usb0="00000000" w:usb1="00000000" w:usb2="00000000" w:usb3="00000000" w:csb0="00000000" w:csb1="00000000"/>
  </w:font>
  <w:font w:name="Arial Unicode MS">
    <w:altName w:val="宋体"/>
    <w:panose1 w:val="020B0604020202020204"/>
    <w:charset w:val="86"/>
    <w:family w:val="swiss"/>
    <w:pitch w:val="default"/>
    <w:sig w:usb0="00000000" w:usb1="00000000" w:usb2="0000003F" w:usb3="00000000" w:csb0="003F01FF" w:csb1="00000000"/>
  </w:font>
  <w:font w:name="楷体_GB2312">
    <w:altName w:val="楷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00"/>
    <w:family w:val="auto"/>
    <w:pitch w:val="default"/>
    <w:sig w:usb0="00000000" w:usb1="00000000" w:usb2="00000000" w:usb3="00000000" w:csb0="00000000" w:csb1="00000000"/>
  </w:font>
  <w:font w:name="汉鼎简书宋">
    <w:altName w:val="宋体"/>
    <w:panose1 w:val="00000000000000000000"/>
    <w:charset w:val="86"/>
    <w:family w:val="modern"/>
    <w:pitch w:val="default"/>
    <w:sig w:usb0="00000000" w:usb1="00000000" w:usb2="00000010" w:usb3="00000000" w:csb0="00040000" w:csb1="00000000"/>
  </w:font>
  <w:font w:name="MS Mincho">
    <w:panose1 w:val="02020609040205080304"/>
    <w:charset w:val="80"/>
    <w:family w:val="roman"/>
    <w:pitch w:val="default"/>
    <w:sig w:usb0="E00002FF" w:usb1="6AC7FDFB" w:usb2="00000012" w:usb3="00000000" w:csb0="4002009F" w:csb1="DFD70000"/>
  </w:font>
  <w:font w:name="Arial Unicode MS">
    <w:altName w:val="Arial"/>
    <w:panose1 w:val="020B0604020202020204"/>
    <w:charset w:val="00"/>
    <w:family w:val="roman"/>
    <w:pitch w:val="default"/>
    <w:sig w:usb0="00000000" w:usb1="00000000" w:usb2="00000000" w:usb3="00000000" w:csb0="00000001" w:csb1="00000000"/>
  </w:font>
  <w:font w:name="_x000B__x000C_">
    <w:altName w:val="Times New Roman"/>
    <w:panose1 w:val="00000000000000000000"/>
    <w:charset w:val="00"/>
    <w:family w:val="roman"/>
    <w:pitch w:val="default"/>
    <w:sig w:usb0="00000000" w:usb1="00000000" w:usb2="00000000" w:usb3="00000000" w:csb0="00000001" w:csb1="00000000"/>
  </w:font>
  <w:font w:name="ˎ̥">
    <w:altName w:val="Times New Roman"/>
    <w:panose1 w:val="00000000000000000000"/>
    <w:charset w:val="01"/>
    <w:family w:val="roman"/>
    <w:pitch w:val="default"/>
    <w:sig w:usb0="00000000" w:usb1="00000000" w:usb2="00000000" w:usb3="00000000" w:csb0="00040001" w:csb1="00000000"/>
  </w:font>
  <w:font w:name="Verdana">
    <w:panose1 w:val="020B0604030504040204"/>
    <w:charset w:val="00"/>
    <w:family w:val="swiss"/>
    <w:pitch w:val="default"/>
    <w:sig w:usb0="A10006FF" w:usb1="4000205B" w:usb2="00000010" w:usb3="00000000" w:csb0="2000019F" w:csb1="00000000"/>
  </w:font>
  <w:font w:name="Helv">
    <w:altName w:val="Segoe Print"/>
    <w:panose1 w:val="020B0604020202030204"/>
    <w:charset w:val="00"/>
    <w:family w:val="swiss"/>
    <w:pitch w:val="default"/>
    <w:sig w:usb0="00000000" w:usb1="00000000" w:usb2="00000000" w:usb3="00000000" w:csb0="00000001" w:csb1="00000000"/>
  </w:font>
  <w:font w:name="新宋体">
    <w:panose1 w:val="02010609030101010101"/>
    <w:charset w:val="86"/>
    <w:family w:val="modern"/>
    <w:pitch w:val="default"/>
    <w:sig w:usb0="00000003" w:usb1="288F0000" w:usb2="00000006" w:usb3="00000000" w:csb0="00040001" w:csb1="00000000"/>
  </w:font>
  <w:font w:name="Arial Narrow">
    <w:altName w:val="Arial"/>
    <w:panose1 w:val="020B0606020202030204"/>
    <w:charset w:val="00"/>
    <w:family w:val="swiss"/>
    <w:pitch w:val="default"/>
    <w:sig w:usb0="00000000" w:usb1="00000000" w:usb2="00000000" w:usb3="00000000" w:csb0="0000009F" w:csb1="00000000"/>
  </w:font>
  <w:font w:name="Times">
    <w:altName w:val="Times New Roman"/>
    <w:panose1 w:val="02020603050405020304"/>
    <w:charset w:val="00"/>
    <w:family w:val="roman"/>
    <w:pitch w:val="default"/>
    <w:sig w:usb0="00000000" w:usb1="00000000" w:usb2="00000009" w:usb3="00000000" w:csb0="000001FF" w:csb1="00000000"/>
  </w:font>
  <w:font w:name="隶书">
    <w:altName w:val="微软雅黑"/>
    <w:panose1 w:val="02010509060101010101"/>
    <w:charset w:val="86"/>
    <w:family w:val="modern"/>
    <w:pitch w:val="default"/>
    <w:sig w:usb0="00000000" w:usb1="00000000" w:usb2="00000010" w:usb3="00000000" w:csb0="0004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MS Gothic">
    <w:panose1 w:val="020B0609070205080204"/>
    <w:charset w:val="80"/>
    <w:family w:val="modern"/>
    <w:pitch w:val="default"/>
    <w:sig w:usb0="E00002FF" w:usb1="6AC7FDFB" w:usb2="00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2418D"/>
    <w:rsid w:val="002814AD"/>
    <w:rsid w:val="003A047C"/>
    <w:rsid w:val="00942CCB"/>
    <w:rsid w:val="00964F9E"/>
    <w:rsid w:val="00AC7395"/>
    <w:rsid w:val="00C2418D"/>
    <w:rsid w:val="00F51145"/>
    <w:rsid w:val="090A77EB"/>
    <w:rsid w:val="0CBD65AA"/>
    <w:rsid w:val="196125E8"/>
    <w:rsid w:val="20903BF9"/>
    <w:rsid w:val="2C235754"/>
    <w:rsid w:val="2C900FD2"/>
    <w:rsid w:val="2D704553"/>
    <w:rsid w:val="366F1B27"/>
    <w:rsid w:val="389C4D1F"/>
    <w:rsid w:val="3D446D11"/>
    <w:rsid w:val="46DB38F3"/>
    <w:rsid w:val="50CF7877"/>
    <w:rsid w:val="5D5D6594"/>
    <w:rsid w:val="600007E4"/>
    <w:rsid w:val="62575EF9"/>
    <w:rsid w:val="71660173"/>
    <w:rsid w:val="719464B1"/>
    <w:rsid w:val="738D70CD"/>
    <w:rsid w:val="7872005E"/>
    <w:rsid w:val="7A9558A1"/>
    <w:rsid w:val="7C296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4"/>
    <w:link w:val="3"/>
    <w:semiHidden/>
    <w:qFormat/>
    <w:uiPriority w:val="99"/>
    <w:rPr>
      <w:sz w:val="18"/>
      <w:szCs w:val="18"/>
    </w:rPr>
  </w:style>
  <w:style w:type="character" w:customStyle="1" w:styleId="8">
    <w:name w:val="页脚 Char"/>
    <w:basedOn w:val="4"/>
    <w:link w:val="2"/>
    <w:semiHidden/>
    <w:qFormat/>
    <w:uiPriority w:val="99"/>
    <w:rPr>
      <w:sz w:val="18"/>
      <w:szCs w:val="18"/>
    </w:rPr>
  </w:style>
  <w:style w:type="paragraph" w:customStyle="1" w:styleId="9">
    <w:name w:val="表文"/>
    <w:basedOn w:val="1"/>
    <w:qFormat/>
    <w:uiPriority w:val="0"/>
    <w:pPr>
      <w:overflowPunct w:val="0"/>
      <w:jc w:val="center"/>
    </w:pPr>
    <w:rPr>
      <w:rFonts w:ascii="Calibri" w:hAnsi="Calibri" w:cs="Times New Roman"/>
    </w:rPr>
  </w:style>
  <w:style w:type="paragraph" w:customStyle="1" w:styleId="10">
    <w:name w:val="样式 (符号) 宋体 小四 行距: 1.5 倍行距"/>
    <w:basedOn w:val="1"/>
    <w:qFormat/>
    <w:uiPriority w:val="0"/>
    <w:pPr>
      <w:spacing w:line="360" w:lineRule="auto"/>
      <w:ind w:firstLine="200" w:firstLineChars="200"/>
    </w:pPr>
    <w:rPr>
      <w:rFonts w:cs="宋体"/>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219</Words>
  <Characters>1251</Characters>
  <Lines>10</Lines>
  <Paragraphs>2</Paragraphs>
  <ScaleCrop>false</ScaleCrop>
  <LinksUpToDate>false</LinksUpToDate>
  <CharactersWithSpaces>1468</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2017-12-13T07:03:00Z</dcterms:created>
  <dc:creator>lenovo</dc:creator>
  <cp:lastModifiedBy>Administrator</cp:lastModifiedBy>
  <cp:lastPrinted>2018-02-24T01:41:00Z</cp:lastPrinted>
  <dcterms:modified xsi:type="dcterms:W3CDTF">2018-03-19T02:18:41Z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