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left"/>
        <w:rPr>
          <w:rFonts w:hint="eastAsia" w:ascii="仿宋" w:hAnsi="仿宋" w:eastAsia="仿宋" w:cs="仿宋"/>
          <w:color w:val="000000"/>
          <w:sz w:val="32"/>
          <w:szCs w:val="32"/>
        </w:rPr>
      </w:pP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b/>
          <w:bCs/>
          <w:color w:val="000000"/>
          <w:sz w:val="32"/>
          <w:szCs w:val="32"/>
        </w:rPr>
      </w:pPr>
      <w:r>
        <w:rPr>
          <w:rFonts w:hint="eastAsia" w:ascii="仿宋" w:hAnsi="仿宋" w:eastAsia="仿宋" w:cs="仿宋"/>
          <w:b/>
          <w:bCs/>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r>
        <w:rPr>
          <w:rFonts w:hint="eastAsia" w:ascii="仿宋" w:hAnsi="仿宋" w:eastAsia="仿宋" w:cs="仿宋"/>
          <w:color w:val="000000"/>
          <w:sz w:val="32"/>
          <w:szCs w:val="32"/>
        </w:rPr>
        <w:t>锡署环审书[201</w:t>
      </w:r>
      <w:r>
        <w:rPr>
          <w:rFonts w:hint="eastAsia" w:ascii="仿宋" w:hAnsi="仿宋" w:eastAsia="仿宋" w:cs="仿宋"/>
          <w:color w:val="000000"/>
          <w:sz w:val="32"/>
          <w:szCs w:val="32"/>
          <w:lang w:val="en-US" w:eastAsia="zh-CN"/>
        </w:rPr>
        <w:t>8</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2</w:t>
      </w:r>
      <w:r>
        <w:rPr>
          <w:rFonts w:hint="eastAsia" w:ascii="仿宋" w:hAnsi="仿宋" w:eastAsia="仿宋" w:cs="仿宋"/>
          <w:color w:val="000000"/>
          <w:sz w:val="32"/>
          <w:szCs w:val="32"/>
        </w:rPr>
        <w:t>号</w:t>
      </w: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黑体" w:hAnsi="黑体" w:eastAsia="黑体" w:cs="黑体"/>
          <w:b/>
          <w:bCs/>
          <w:color w:val="000000"/>
          <w:sz w:val="36"/>
          <w:szCs w:val="36"/>
        </w:rPr>
      </w:pPr>
      <w:r>
        <w:rPr>
          <w:rFonts w:hint="eastAsia" w:ascii="黑体" w:hAnsi="黑体" w:eastAsia="黑体" w:cs="黑体"/>
          <w:b/>
          <w:bCs/>
          <w:color w:val="000000"/>
          <w:sz w:val="36"/>
          <w:szCs w:val="36"/>
        </w:rPr>
        <w:t>锡林郭勒盟环境保护局</w:t>
      </w:r>
    </w:p>
    <w:p>
      <w:pPr>
        <w:spacing w:line="500" w:lineRule="exact"/>
        <w:jc w:val="center"/>
        <w:rPr>
          <w:rFonts w:hint="eastAsia" w:ascii="黑体" w:hAnsi="黑体" w:eastAsia="黑体" w:cs="黑体"/>
          <w:b/>
          <w:bCs/>
          <w:color w:val="000000"/>
          <w:sz w:val="36"/>
          <w:szCs w:val="36"/>
        </w:rPr>
      </w:pPr>
      <w:r>
        <w:rPr>
          <w:rFonts w:hint="eastAsia" w:ascii="黑体" w:hAnsi="黑体" w:eastAsia="黑体" w:cs="黑体"/>
          <w:b/>
          <w:bCs/>
          <w:color w:val="000000"/>
          <w:sz w:val="36"/>
          <w:szCs w:val="36"/>
        </w:rPr>
        <w:t>关于深能太仆寺旗40万千瓦风力发电项目环境</w:t>
      </w:r>
    </w:p>
    <w:p>
      <w:pPr>
        <w:spacing w:line="500" w:lineRule="exact"/>
        <w:jc w:val="center"/>
        <w:rPr>
          <w:rFonts w:hint="eastAsia" w:ascii="黑体" w:hAnsi="黑体" w:eastAsia="黑体" w:cs="黑体"/>
          <w:b/>
          <w:bCs/>
          <w:color w:val="000000"/>
          <w:sz w:val="36"/>
          <w:szCs w:val="36"/>
        </w:rPr>
      </w:pPr>
      <w:r>
        <w:rPr>
          <w:rFonts w:hint="eastAsia" w:ascii="黑体" w:hAnsi="黑体" w:eastAsia="黑体" w:cs="黑体"/>
          <w:b/>
          <w:bCs/>
          <w:color w:val="000000"/>
          <w:sz w:val="36"/>
          <w:szCs w:val="36"/>
        </w:rPr>
        <w:t>影响报告书的批复</w:t>
      </w:r>
    </w:p>
    <w:p>
      <w:pPr>
        <w:spacing w:line="500" w:lineRule="exact"/>
        <w:rPr>
          <w:rFonts w:hint="eastAsia" w:ascii="仿宋" w:hAnsi="仿宋" w:eastAsia="仿宋" w:cs="仿宋"/>
          <w:b/>
          <w:bCs/>
          <w:color w:val="000000"/>
          <w:sz w:val="32"/>
          <w:szCs w:val="32"/>
        </w:rPr>
      </w:pPr>
      <w:r>
        <w:rPr>
          <w:rFonts w:hint="eastAsia" w:ascii="仿宋" w:hAnsi="仿宋" w:eastAsia="仿宋" w:cs="仿宋"/>
          <w:b/>
          <w:bCs/>
          <w:color w:val="000000"/>
          <w:sz w:val="32"/>
          <w:szCs w:val="32"/>
        </w:rPr>
        <w:t xml:space="preserve"> </w:t>
      </w:r>
    </w:p>
    <w:p>
      <w:pPr>
        <w:spacing w:line="420" w:lineRule="exact"/>
        <w:rPr>
          <w:rFonts w:hint="eastAsia" w:ascii="仿宋" w:hAnsi="仿宋" w:eastAsia="仿宋" w:cs="仿宋"/>
          <w:sz w:val="32"/>
          <w:szCs w:val="32"/>
        </w:rPr>
      </w:pPr>
      <w:r>
        <w:rPr>
          <w:rFonts w:hint="eastAsia" w:ascii="仿宋" w:hAnsi="仿宋" w:eastAsia="仿宋" w:cs="仿宋"/>
          <w:sz w:val="32"/>
          <w:szCs w:val="32"/>
        </w:rPr>
        <w:t>深能北方能源控股有限公司：</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你公司上报的</w:t>
      </w:r>
      <w:r>
        <w:rPr>
          <w:rFonts w:hint="eastAsia" w:ascii="仿宋" w:hAnsi="仿宋" w:eastAsia="仿宋" w:cs="Tahoma"/>
          <w:color w:val="000000"/>
          <w:kern w:val="0"/>
          <w:sz w:val="32"/>
          <w:szCs w:val="32"/>
          <w:lang w:eastAsia="zh-CN"/>
        </w:rPr>
        <w:t>由</w:t>
      </w:r>
      <w:r>
        <w:rPr>
          <w:rFonts w:hint="eastAsia" w:ascii="仿宋" w:hAnsi="仿宋" w:eastAsia="仿宋" w:cs="Tahoma"/>
          <w:color w:val="000000"/>
          <w:kern w:val="0"/>
          <w:sz w:val="32"/>
          <w:szCs w:val="32"/>
        </w:rPr>
        <w:t>内蒙古蒙水环境技术咨询有限公司</w:t>
      </w:r>
      <w:r>
        <w:rPr>
          <w:rFonts w:hint="eastAsia" w:ascii="仿宋" w:hAnsi="仿宋" w:eastAsia="仿宋" w:cs="Tahoma"/>
          <w:color w:val="000000"/>
          <w:kern w:val="0"/>
          <w:sz w:val="32"/>
          <w:szCs w:val="32"/>
          <w:lang w:eastAsia="zh-CN"/>
        </w:rPr>
        <w:t>编制的</w:t>
      </w:r>
      <w:r>
        <w:rPr>
          <w:rFonts w:hint="eastAsia" w:ascii="仿宋" w:hAnsi="仿宋" w:eastAsia="仿宋" w:cs="Tahoma"/>
          <w:color w:val="000000"/>
          <w:kern w:val="0"/>
          <w:sz w:val="32"/>
          <w:szCs w:val="32"/>
        </w:rPr>
        <w:t>《深能太仆寺旗40万千瓦风力发电项目环境影响报告书项目环境影响报告书》（以下简称《报告书》）收悉。</w:t>
      </w:r>
      <w:r>
        <w:rPr>
          <w:rFonts w:hint="eastAsia" w:ascii="仿宋" w:hAnsi="仿宋" w:eastAsia="仿宋" w:cs="Tahoma"/>
          <w:color w:val="000000"/>
          <w:kern w:val="0"/>
          <w:sz w:val="32"/>
          <w:szCs w:val="32"/>
          <w:lang w:eastAsia="zh-CN"/>
        </w:rPr>
        <w:t>锡林郭勒盟生态保护委员会《关于</w:t>
      </w:r>
      <w:r>
        <w:rPr>
          <w:rFonts w:hint="eastAsia" w:ascii="仿宋" w:hAnsi="仿宋" w:eastAsia="仿宋" w:cs="Tahoma"/>
          <w:color w:val="000000"/>
          <w:kern w:val="0"/>
          <w:sz w:val="32"/>
          <w:szCs w:val="32"/>
        </w:rPr>
        <w:t>深能太仆寺旗40万千瓦风力发电项目</w:t>
      </w:r>
      <w:r>
        <w:rPr>
          <w:rFonts w:hint="eastAsia" w:ascii="仿宋" w:hAnsi="仿宋" w:eastAsia="仿宋" w:cs="Tahoma"/>
          <w:color w:val="000000"/>
          <w:kern w:val="0"/>
          <w:sz w:val="32"/>
          <w:szCs w:val="32"/>
          <w:lang w:eastAsia="zh-CN"/>
        </w:rPr>
        <w:t>的审查意见》（锡生态审[201</w:t>
      </w:r>
      <w:r>
        <w:rPr>
          <w:rFonts w:hint="eastAsia" w:ascii="仿宋" w:hAnsi="仿宋" w:eastAsia="仿宋" w:cs="Tahoma"/>
          <w:color w:val="000000"/>
          <w:kern w:val="0"/>
          <w:sz w:val="32"/>
          <w:szCs w:val="32"/>
          <w:lang w:val="en-US" w:eastAsia="zh-CN"/>
        </w:rPr>
        <w:t>7</w:t>
      </w:r>
      <w:r>
        <w:rPr>
          <w:rFonts w:hint="eastAsia" w:ascii="仿宋" w:hAnsi="仿宋" w:eastAsia="仿宋" w:cs="Tahoma"/>
          <w:color w:val="000000"/>
          <w:kern w:val="0"/>
          <w:sz w:val="32"/>
          <w:szCs w:val="32"/>
          <w:lang w:eastAsia="zh-CN"/>
        </w:rPr>
        <w:t>]</w:t>
      </w:r>
      <w:r>
        <w:rPr>
          <w:rFonts w:hint="eastAsia" w:ascii="仿宋" w:hAnsi="仿宋" w:eastAsia="仿宋" w:cs="Tahoma"/>
          <w:color w:val="000000"/>
          <w:kern w:val="0"/>
          <w:sz w:val="32"/>
          <w:szCs w:val="32"/>
          <w:lang w:val="en-US" w:eastAsia="zh-CN"/>
        </w:rPr>
        <w:t>335</w:t>
      </w:r>
      <w:r>
        <w:rPr>
          <w:rFonts w:hint="eastAsia" w:ascii="仿宋" w:hAnsi="仿宋" w:eastAsia="仿宋" w:cs="Tahoma"/>
          <w:color w:val="000000"/>
          <w:kern w:val="0"/>
          <w:sz w:val="32"/>
          <w:szCs w:val="32"/>
          <w:lang w:eastAsia="zh-CN"/>
        </w:rPr>
        <w:t>号），同意该项目开展前期工作。结合太仆寺旗环境保护局《关于</w:t>
      </w:r>
      <w:r>
        <w:rPr>
          <w:rFonts w:hint="eastAsia" w:ascii="仿宋" w:hAnsi="仿宋" w:eastAsia="仿宋" w:cs="Tahoma"/>
          <w:color w:val="000000"/>
          <w:kern w:val="0"/>
          <w:sz w:val="32"/>
          <w:szCs w:val="32"/>
        </w:rPr>
        <w:t>深能太仆寺旗40万千瓦风力发电项目环境影响报告书</w:t>
      </w:r>
      <w:r>
        <w:rPr>
          <w:rFonts w:hint="eastAsia" w:ascii="仿宋" w:hAnsi="仿宋" w:eastAsia="仿宋" w:cs="Tahoma"/>
          <w:color w:val="000000"/>
          <w:kern w:val="0"/>
          <w:sz w:val="32"/>
          <w:szCs w:val="32"/>
          <w:lang w:eastAsia="zh-CN"/>
        </w:rPr>
        <w:t>的初审意见》（太环初审字</w:t>
      </w:r>
      <w:r>
        <w:rPr>
          <w:rFonts w:hint="eastAsia" w:ascii="仿宋" w:hAnsi="仿宋" w:eastAsia="仿宋" w:cs="Tahoma"/>
          <w:color w:val="000000"/>
          <w:kern w:val="0"/>
          <w:sz w:val="32"/>
          <w:szCs w:val="32"/>
          <w:lang w:val="en-US" w:eastAsia="zh-CN"/>
        </w:rPr>
        <w:t>[2018]1号</w:t>
      </w:r>
      <w:r>
        <w:rPr>
          <w:rFonts w:hint="eastAsia" w:ascii="仿宋" w:hAnsi="仿宋" w:eastAsia="仿宋" w:cs="Tahoma"/>
          <w:color w:val="000000"/>
          <w:kern w:val="0"/>
          <w:sz w:val="32"/>
          <w:szCs w:val="32"/>
          <w:lang w:eastAsia="zh-CN"/>
        </w:rPr>
        <w:t>），我</w:t>
      </w:r>
      <w:r>
        <w:rPr>
          <w:rFonts w:hint="eastAsia" w:ascii="仿宋" w:hAnsi="仿宋" w:eastAsia="仿宋" w:cs="Tahoma"/>
          <w:color w:val="000000"/>
          <w:kern w:val="0"/>
          <w:sz w:val="32"/>
          <w:szCs w:val="32"/>
        </w:rPr>
        <w:t>局委托盟环境工程评估中心进行了技术评估。经研究</w:t>
      </w:r>
      <w:r>
        <w:rPr>
          <w:rFonts w:hint="eastAsia" w:ascii="仿宋" w:hAnsi="仿宋" w:eastAsia="仿宋" w:cs="Tahoma"/>
          <w:color w:val="000000"/>
          <w:kern w:val="0"/>
          <w:sz w:val="32"/>
          <w:szCs w:val="32"/>
          <w:lang w:val="en-US" w:eastAsia="zh-CN"/>
        </w:rPr>
        <w:t>,</w:t>
      </w:r>
      <w:r>
        <w:rPr>
          <w:rFonts w:hint="eastAsia" w:ascii="仿宋" w:hAnsi="仿宋" w:eastAsia="仿宋" w:cs="Tahoma"/>
          <w:color w:val="000000"/>
          <w:kern w:val="0"/>
          <w:sz w:val="32"/>
          <w:szCs w:val="32"/>
        </w:rPr>
        <w:t>批复如下。</w:t>
      </w:r>
    </w:p>
    <w:p>
      <w:pPr>
        <w:spacing w:line="580" w:lineRule="exact"/>
        <w:ind w:firstLine="700" w:firstLineChars="218"/>
        <w:rPr>
          <w:rFonts w:hint="eastAsia" w:ascii="仿宋" w:hAnsi="仿宋" w:eastAsia="仿宋" w:cs="Tahoma"/>
          <w:b/>
          <w:bCs/>
          <w:color w:val="000000"/>
          <w:kern w:val="0"/>
          <w:sz w:val="32"/>
          <w:szCs w:val="32"/>
          <w:lang w:val="en-US" w:eastAsia="zh-CN"/>
        </w:rPr>
      </w:pPr>
      <w:r>
        <w:rPr>
          <w:rFonts w:hint="eastAsia" w:ascii="仿宋" w:hAnsi="仿宋" w:eastAsia="仿宋" w:cs="Tahoma"/>
          <w:b/>
          <w:bCs/>
          <w:color w:val="000000"/>
          <w:kern w:val="0"/>
          <w:sz w:val="32"/>
          <w:szCs w:val="32"/>
        </w:rPr>
        <w:t>一、项目概况</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深能太仆寺旗40万千瓦风力发电项目位于锡林郭勒盟太仆寺旗千斤沟镇</w:t>
      </w:r>
      <w:r>
        <w:rPr>
          <w:rFonts w:hint="eastAsia" w:ascii="仿宋" w:hAnsi="仿宋" w:eastAsia="仿宋" w:cs="Tahoma"/>
          <w:color w:val="000000"/>
          <w:kern w:val="0"/>
          <w:sz w:val="32"/>
          <w:szCs w:val="32"/>
          <w:lang w:eastAsia="zh-CN"/>
        </w:rPr>
        <w:t>和</w:t>
      </w:r>
      <w:r>
        <w:rPr>
          <w:rFonts w:hint="eastAsia" w:ascii="仿宋" w:hAnsi="仿宋" w:eastAsia="仿宋" w:cs="Tahoma"/>
          <w:color w:val="000000"/>
          <w:kern w:val="0"/>
          <w:sz w:val="32"/>
          <w:szCs w:val="32"/>
        </w:rPr>
        <w:t>骆驼</w:t>
      </w:r>
      <w:r>
        <w:rPr>
          <w:rFonts w:hint="eastAsia" w:ascii="仿宋" w:hAnsi="仿宋" w:eastAsia="仿宋" w:cs="Tahoma"/>
          <w:color w:val="000000"/>
          <w:kern w:val="0"/>
          <w:sz w:val="32"/>
          <w:szCs w:val="32"/>
          <w:lang w:eastAsia="zh-CN"/>
        </w:rPr>
        <w:t>山</w:t>
      </w:r>
      <w:r>
        <w:rPr>
          <w:rFonts w:hint="eastAsia" w:ascii="仿宋" w:hAnsi="仿宋" w:eastAsia="仿宋" w:cs="Tahoma"/>
          <w:color w:val="000000"/>
          <w:kern w:val="0"/>
          <w:sz w:val="32"/>
          <w:szCs w:val="32"/>
        </w:rPr>
        <w:t>镇境内</w:t>
      </w:r>
      <w:r>
        <w:rPr>
          <w:rFonts w:hint="eastAsia" w:ascii="仿宋" w:hAnsi="仿宋" w:eastAsia="仿宋" w:cs="Tahoma"/>
          <w:color w:val="000000"/>
          <w:kern w:val="0"/>
          <w:sz w:val="32"/>
          <w:szCs w:val="32"/>
          <w:lang w:eastAsia="zh-CN"/>
        </w:rPr>
        <w:t>，</w:t>
      </w:r>
      <w:r>
        <w:rPr>
          <w:rFonts w:hint="eastAsia" w:ascii="仿宋" w:hAnsi="仿宋" w:eastAsia="仿宋" w:cs="Tahoma"/>
          <w:color w:val="000000"/>
          <w:kern w:val="0"/>
          <w:sz w:val="32"/>
          <w:szCs w:val="32"/>
        </w:rPr>
        <w:t>总占地面积为192.225hm</w:t>
      </w:r>
      <w:r>
        <w:rPr>
          <w:rFonts w:hint="eastAsia" w:ascii="仿宋" w:hAnsi="仿宋" w:eastAsia="仿宋" w:cs="Tahoma"/>
          <w:color w:val="000000"/>
          <w:kern w:val="0"/>
          <w:sz w:val="32"/>
          <w:szCs w:val="32"/>
          <w:vertAlign w:val="superscript"/>
        </w:rPr>
        <w:t>2</w:t>
      </w:r>
      <w:r>
        <w:rPr>
          <w:rFonts w:hint="eastAsia" w:ascii="仿宋" w:hAnsi="仿宋" w:eastAsia="仿宋" w:cs="Tahoma"/>
          <w:color w:val="000000"/>
          <w:kern w:val="0"/>
          <w:sz w:val="32"/>
          <w:szCs w:val="32"/>
        </w:rPr>
        <w:t>。</w:t>
      </w:r>
      <w:r>
        <w:rPr>
          <w:rFonts w:hint="eastAsia" w:ascii="仿宋" w:hAnsi="仿宋" w:eastAsia="仿宋" w:cs="Tahoma"/>
          <w:color w:val="000000"/>
          <w:kern w:val="0"/>
          <w:sz w:val="32"/>
          <w:szCs w:val="32"/>
          <w:lang w:eastAsia="zh-CN"/>
        </w:rPr>
        <w:t>其中</w:t>
      </w:r>
      <w:r>
        <w:rPr>
          <w:rFonts w:hint="eastAsia" w:ascii="仿宋" w:hAnsi="仿宋" w:eastAsia="仿宋" w:cs="Tahoma"/>
          <w:color w:val="000000"/>
          <w:kern w:val="0"/>
          <w:sz w:val="32"/>
          <w:szCs w:val="32"/>
        </w:rPr>
        <w:t>永久性占地面积为8.325hm</w:t>
      </w:r>
      <w:r>
        <w:rPr>
          <w:rFonts w:hint="eastAsia" w:ascii="仿宋" w:hAnsi="仿宋" w:eastAsia="仿宋" w:cs="Tahoma"/>
          <w:color w:val="000000"/>
          <w:kern w:val="0"/>
          <w:sz w:val="32"/>
          <w:szCs w:val="32"/>
          <w:vertAlign w:val="superscript"/>
        </w:rPr>
        <w:t>2</w:t>
      </w:r>
      <w:r>
        <w:rPr>
          <w:rFonts w:hint="eastAsia" w:ascii="仿宋" w:hAnsi="仿宋" w:eastAsia="仿宋" w:cs="Tahoma"/>
          <w:color w:val="000000"/>
          <w:kern w:val="0"/>
          <w:sz w:val="32"/>
          <w:szCs w:val="32"/>
          <w:lang w:eastAsia="zh-CN"/>
        </w:rPr>
        <w:t>，</w:t>
      </w:r>
      <w:r>
        <w:rPr>
          <w:rFonts w:hint="eastAsia" w:ascii="仿宋" w:hAnsi="仿宋" w:eastAsia="仿宋" w:cs="Tahoma"/>
          <w:color w:val="000000"/>
          <w:kern w:val="0"/>
          <w:sz w:val="32"/>
          <w:szCs w:val="32"/>
        </w:rPr>
        <w:t>临时性占地地面积为183.9hm</w:t>
      </w:r>
      <w:r>
        <w:rPr>
          <w:rFonts w:hint="eastAsia" w:ascii="仿宋" w:hAnsi="仿宋" w:eastAsia="仿宋" w:cs="Tahoma"/>
          <w:color w:val="000000"/>
          <w:kern w:val="0"/>
          <w:sz w:val="32"/>
          <w:szCs w:val="32"/>
          <w:vertAlign w:val="superscript"/>
        </w:rPr>
        <w:t>2</w:t>
      </w:r>
      <w:r>
        <w:rPr>
          <w:rFonts w:hint="eastAsia" w:ascii="仿宋" w:hAnsi="仿宋" w:eastAsia="仿宋" w:cs="Tahoma"/>
          <w:color w:val="000000"/>
          <w:kern w:val="0"/>
          <w:sz w:val="32"/>
          <w:szCs w:val="32"/>
        </w:rPr>
        <w:t>。</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风电场总规模</w:t>
      </w:r>
      <w:r>
        <w:rPr>
          <w:rFonts w:hint="eastAsia" w:ascii="仿宋" w:hAnsi="仿宋" w:eastAsia="仿宋" w:cs="Tahoma"/>
          <w:color w:val="000000"/>
          <w:kern w:val="0"/>
          <w:sz w:val="32"/>
          <w:szCs w:val="32"/>
          <w:lang w:eastAsia="zh-CN"/>
        </w:rPr>
        <w:t>为</w:t>
      </w:r>
      <w:r>
        <w:rPr>
          <w:rFonts w:hint="eastAsia" w:ascii="仿宋" w:hAnsi="仿宋" w:eastAsia="仿宋" w:cs="Tahoma"/>
          <w:color w:val="000000"/>
          <w:kern w:val="0"/>
          <w:sz w:val="32"/>
          <w:szCs w:val="32"/>
        </w:rPr>
        <w:t>400MW，建设220kV升压站一座，</w:t>
      </w:r>
      <w:r>
        <w:rPr>
          <w:rFonts w:hint="eastAsia" w:ascii="仿宋" w:hAnsi="仿宋" w:eastAsia="仿宋" w:cs="Tahoma"/>
          <w:color w:val="000000"/>
          <w:kern w:val="0"/>
          <w:sz w:val="32"/>
          <w:szCs w:val="32"/>
          <w:lang w:eastAsia="zh-CN"/>
        </w:rPr>
        <w:t>共安装</w:t>
      </w:r>
      <w:r>
        <w:rPr>
          <w:rFonts w:hint="eastAsia" w:ascii="仿宋" w:hAnsi="仿宋" w:eastAsia="仿宋" w:cs="Tahoma"/>
          <w:color w:val="000000"/>
          <w:kern w:val="0"/>
          <w:sz w:val="32"/>
          <w:szCs w:val="32"/>
          <w:lang w:val="en-US" w:eastAsia="zh-CN"/>
        </w:rPr>
        <w:t>160台2.5MW风电机组，新建3台变压器，</w:t>
      </w:r>
      <w:r>
        <w:rPr>
          <w:rFonts w:hint="eastAsia" w:ascii="仿宋" w:hAnsi="仿宋" w:eastAsia="仿宋" w:cs="Tahoma"/>
          <w:color w:val="000000"/>
          <w:kern w:val="0"/>
          <w:sz w:val="32"/>
          <w:szCs w:val="32"/>
        </w:rPr>
        <w:t>工程总投资305558.14万元，环保投资为518.5万元，占总投资的0.</w:t>
      </w:r>
      <w:r>
        <w:rPr>
          <w:rFonts w:hint="eastAsia" w:ascii="仿宋" w:hAnsi="仿宋" w:eastAsia="仿宋" w:cs="Tahoma"/>
          <w:color w:val="000000"/>
          <w:kern w:val="0"/>
          <w:sz w:val="32"/>
          <w:szCs w:val="32"/>
          <w:lang w:val="en-US" w:eastAsia="zh-CN"/>
        </w:rPr>
        <w:t>17</w:t>
      </w:r>
      <w:r>
        <w:rPr>
          <w:rFonts w:hint="eastAsia" w:ascii="仿宋" w:hAnsi="仿宋" w:eastAsia="仿宋" w:cs="Tahoma"/>
          <w:color w:val="000000"/>
          <w:kern w:val="0"/>
          <w:sz w:val="32"/>
          <w:szCs w:val="32"/>
        </w:rPr>
        <w:t>%。</w:t>
      </w:r>
    </w:p>
    <w:p>
      <w:pPr>
        <w:spacing w:line="580" w:lineRule="exact"/>
        <w:ind w:firstLine="697" w:firstLineChars="218"/>
        <w:rPr>
          <w:rFonts w:hint="eastAsia" w:ascii="仿宋" w:hAnsi="仿宋" w:eastAsia="仿宋" w:cs="仿宋"/>
          <w:color w:val="000000"/>
          <w:sz w:val="32"/>
          <w:szCs w:val="32"/>
        </w:rPr>
      </w:pPr>
      <w:r>
        <w:rPr>
          <w:rFonts w:hint="eastAsia" w:ascii="仿宋" w:hAnsi="仿宋" w:eastAsia="仿宋" w:cs="Tahoma"/>
          <w:color w:val="000000"/>
          <w:kern w:val="0"/>
          <w:sz w:val="32"/>
          <w:szCs w:val="32"/>
          <w:lang w:val="en-US" w:eastAsia="zh-CN"/>
        </w:rPr>
        <w:t>该项目属于《产业结构调整指导目录（2011年本）（2013年修正）》中允许类项目。</w:t>
      </w:r>
      <w:r>
        <w:rPr>
          <w:rFonts w:hint="eastAsia" w:ascii="仿宋" w:hAnsi="仿宋" w:eastAsia="仿宋" w:cs="Tahoma"/>
          <w:color w:val="000000"/>
          <w:kern w:val="0"/>
          <w:sz w:val="32"/>
          <w:szCs w:val="32"/>
          <w:lang w:eastAsia="zh-CN"/>
        </w:rPr>
        <w:t>项目已取得</w:t>
      </w:r>
      <w:r>
        <w:rPr>
          <w:rFonts w:hint="eastAsia" w:ascii="仿宋" w:hAnsi="仿宋" w:eastAsia="仿宋" w:cs="Tahoma"/>
          <w:color w:val="000000"/>
          <w:kern w:val="0"/>
          <w:sz w:val="32"/>
          <w:szCs w:val="32"/>
        </w:rPr>
        <w:t>锡林郭勒盟发改委</w:t>
      </w:r>
      <w:r>
        <w:rPr>
          <w:rFonts w:hint="eastAsia" w:ascii="仿宋" w:hAnsi="仿宋" w:eastAsia="仿宋" w:cs="Tahoma"/>
          <w:color w:val="000000"/>
          <w:kern w:val="0"/>
          <w:sz w:val="32"/>
          <w:szCs w:val="32"/>
          <w:lang w:eastAsia="zh-CN"/>
        </w:rPr>
        <w:t>（锡发改发字</w:t>
      </w:r>
      <w:r>
        <w:rPr>
          <w:rFonts w:hint="eastAsia" w:ascii="仿宋" w:hAnsi="仿宋" w:eastAsia="仿宋" w:cs="Tahoma"/>
          <w:color w:val="000000"/>
          <w:kern w:val="0"/>
          <w:sz w:val="32"/>
          <w:szCs w:val="32"/>
        </w:rPr>
        <w:t>〔</w:t>
      </w:r>
      <w:r>
        <w:rPr>
          <w:rFonts w:hint="eastAsia" w:ascii="仿宋" w:hAnsi="仿宋" w:eastAsia="仿宋" w:cs="Tahoma"/>
          <w:color w:val="000000"/>
          <w:kern w:val="0"/>
          <w:sz w:val="32"/>
          <w:szCs w:val="32"/>
          <w:lang w:val="en-US" w:eastAsia="zh-CN"/>
        </w:rPr>
        <w:t>2017</w:t>
      </w:r>
      <w:r>
        <w:rPr>
          <w:rFonts w:hint="eastAsia" w:ascii="仿宋" w:hAnsi="仿宋" w:eastAsia="仿宋" w:cs="Tahoma"/>
          <w:color w:val="000000"/>
          <w:kern w:val="0"/>
          <w:sz w:val="32"/>
          <w:szCs w:val="32"/>
        </w:rPr>
        <w:t>〕</w:t>
      </w:r>
      <w:r>
        <w:rPr>
          <w:rFonts w:hint="eastAsia" w:ascii="仿宋" w:hAnsi="仿宋" w:eastAsia="仿宋" w:cs="Tahoma"/>
          <w:color w:val="000000"/>
          <w:kern w:val="0"/>
          <w:sz w:val="32"/>
          <w:szCs w:val="32"/>
          <w:lang w:val="en-US" w:eastAsia="zh-CN"/>
        </w:rPr>
        <w:t>111号</w:t>
      </w:r>
      <w:r>
        <w:rPr>
          <w:rFonts w:hint="eastAsia" w:ascii="仿宋" w:hAnsi="仿宋" w:eastAsia="仿宋" w:cs="Tahoma"/>
          <w:color w:val="000000"/>
          <w:kern w:val="0"/>
          <w:sz w:val="32"/>
          <w:szCs w:val="32"/>
          <w:lang w:eastAsia="zh-CN"/>
        </w:rPr>
        <w:t>）</w:t>
      </w:r>
      <w:r>
        <w:rPr>
          <w:rFonts w:hint="eastAsia" w:ascii="仿宋" w:hAnsi="仿宋" w:eastAsia="仿宋" w:cs="Tahoma"/>
          <w:color w:val="000000"/>
          <w:kern w:val="0"/>
          <w:sz w:val="32"/>
          <w:szCs w:val="32"/>
        </w:rPr>
        <w:t>关于深能太仆寺旗40万千瓦风力发电项目</w:t>
      </w:r>
      <w:r>
        <w:rPr>
          <w:rFonts w:hint="eastAsia" w:ascii="仿宋" w:hAnsi="仿宋" w:eastAsia="仿宋" w:cs="Tahoma"/>
          <w:color w:val="000000"/>
          <w:kern w:val="0"/>
          <w:sz w:val="32"/>
          <w:szCs w:val="32"/>
          <w:lang w:eastAsia="zh-CN"/>
        </w:rPr>
        <w:t>核准的批复文件。</w:t>
      </w:r>
      <w:r>
        <w:rPr>
          <w:rFonts w:hint="eastAsia" w:ascii="仿宋" w:hAnsi="仿宋" w:eastAsia="仿宋" w:cs="Tahoma"/>
          <w:color w:val="000000"/>
          <w:kern w:val="0"/>
          <w:sz w:val="32"/>
          <w:szCs w:val="32"/>
        </w:rPr>
        <w:t>项目建设符合国家产业政策。</w:t>
      </w:r>
      <w:r>
        <w:rPr>
          <w:rFonts w:hint="eastAsia" w:ascii="仿宋" w:hAnsi="仿宋" w:eastAsia="仿宋" w:cs="仿宋"/>
          <w:color w:val="000000"/>
          <w:sz w:val="32"/>
          <w:szCs w:val="32"/>
        </w:rPr>
        <w:t>建设单位在全面落实《报告书》和本批复规定的各项生态破坏和环境污染措施后，对环境影响能够得到有效缓解和控制。我局同意《报告书》所列建设项目的性质、规模、地点、环境保护对策措施。</w:t>
      </w:r>
    </w:p>
    <w:p>
      <w:pPr>
        <w:spacing w:line="580" w:lineRule="exact"/>
        <w:ind w:firstLine="700" w:firstLineChars="218"/>
        <w:rPr>
          <w:rFonts w:hint="eastAsia" w:ascii="仿宋" w:hAnsi="仿宋" w:eastAsia="仿宋" w:cs="Tahoma"/>
          <w:b/>
          <w:bCs/>
          <w:color w:val="000000"/>
          <w:kern w:val="0"/>
          <w:sz w:val="32"/>
          <w:szCs w:val="32"/>
        </w:rPr>
      </w:pPr>
      <w:r>
        <w:rPr>
          <w:rFonts w:hint="eastAsia" w:ascii="仿宋" w:hAnsi="仿宋" w:eastAsia="仿宋" w:cs="Tahoma"/>
          <w:b/>
          <w:bCs/>
          <w:color w:val="000000"/>
          <w:kern w:val="0"/>
          <w:sz w:val="32"/>
          <w:szCs w:val="32"/>
        </w:rPr>
        <w:t>二、项目在建设和运营过程中应重点做好以下工作：</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（一）建设期：</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1、要严格按照《报告</w:t>
      </w:r>
      <w:r>
        <w:rPr>
          <w:rFonts w:hint="eastAsia" w:ascii="仿宋" w:hAnsi="仿宋" w:eastAsia="仿宋" w:cs="Tahoma"/>
          <w:color w:val="000000"/>
          <w:kern w:val="0"/>
          <w:sz w:val="32"/>
          <w:szCs w:val="32"/>
          <w:lang w:eastAsia="zh-CN"/>
        </w:rPr>
        <w:t>书</w:t>
      </w:r>
      <w:r>
        <w:rPr>
          <w:rFonts w:hint="eastAsia" w:ascii="仿宋" w:hAnsi="仿宋" w:eastAsia="仿宋" w:cs="Tahoma"/>
          <w:color w:val="000000"/>
          <w:kern w:val="0"/>
          <w:sz w:val="32"/>
          <w:szCs w:val="32"/>
        </w:rPr>
        <w:t>》和设计文件的要求组织施工。加强施工期的环境保护工作，严格落实建筑施工期的环保措施，施工车辆须按规定线路行驶，对施工场地、施工便道采取洒水降尘等措施，减少施工扬尘污染。</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2、合理布局，采取低噪声设备和防噪措施，做到建筑施工场界噪声限值达标。要合理安排施工时段，避免施工噪声扰民。施工结束后及时进行植被恢复。施工时产生的弃土、弃石要填充低洼地带，不得破坏原地貌及景观。植被覆盖率</w:t>
      </w:r>
      <w:r>
        <w:rPr>
          <w:rFonts w:hint="eastAsia" w:ascii="仿宋" w:hAnsi="仿宋" w:eastAsia="仿宋" w:cs="Tahoma"/>
          <w:color w:val="000000"/>
          <w:kern w:val="0"/>
          <w:sz w:val="32"/>
          <w:szCs w:val="32"/>
          <w:lang w:eastAsia="zh-CN"/>
        </w:rPr>
        <w:t>要</w:t>
      </w:r>
      <w:r>
        <w:rPr>
          <w:rFonts w:hint="eastAsia" w:ascii="仿宋" w:hAnsi="仿宋" w:eastAsia="仿宋" w:cs="Tahoma"/>
          <w:color w:val="000000"/>
          <w:kern w:val="0"/>
          <w:sz w:val="32"/>
          <w:szCs w:val="32"/>
        </w:rPr>
        <w:t>达到设计要求。</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3、工程弃渣及建筑垃圾统一管理和处置，不得随意堆放。施工人员生活垃圾要定点收贮、及时清运，防止飞扬、逸散。</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4、</w:t>
      </w:r>
      <w:r>
        <w:rPr>
          <w:rFonts w:hint="eastAsia" w:ascii="仿宋" w:hAnsi="仿宋" w:eastAsia="仿宋" w:cs="Tahoma"/>
          <w:color w:val="000000"/>
          <w:kern w:val="0"/>
          <w:sz w:val="32"/>
          <w:szCs w:val="32"/>
          <w:lang w:eastAsia="zh-CN"/>
        </w:rPr>
        <w:t>严格按照《报告书》中要求，采取地埋式电缆铺设。</w:t>
      </w:r>
      <w:r>
        <w:rPr>
          <w:rFonts w:hint="eastAsia" w:ascii="仿宋" w:hAnsi="仿宋" w:eastAsia="仿宋" w:cs="Tahoma"/>
          <w:color w:val="000000"/>
          <w:kern w:val="0"/>
          <w:sz w:val="32"/>
          <w:szCs w:val="32"/>
        </w:rPr>
        <w:t>落实生态保护措施以及环境保护设施投资概算。并将环保设施建设纳入施工合同。</w:t>
      </w:r>
    </w:p>
    <w:p>
      <w:pPr>
        <w:spacing w:line="580" w:lineRule="exact"/>
        <w:ind w:firstLine="697" w:firstLineChars="218"/>
        <w:rPr>
          <w:rFonts w:hint="eastAsia" w:ascii="仿宋" w:hAnsi="仿宋" w:eastAsia="仿宋" w:cs="Tahoma"/>
          <w:color w:val="000000"/>
          <w:kern w:val="0"/>
          <w:sz w:val="32"/>
          <w:szCs w:val="32"/>
          <w:lang w:eastAsia="zh-CN"/>
        </w:rPr>
      </w:pPr>
      <w:r>
        <w:rPr>
          <w:rFonts w:hint="eastAsia" w:ascii="仿宋" w:hAnsi="仿宋" w:eastAsia="仿宋" w:cs="Tahoma"/>
          <w:color w:val="000000"/>
          <w:kern w:val="0"/>
          <w:sz w:val="32"/>
          <w:szCs w:val="32"/>
          <w:lang w:eastAsia="zh-CN"/>
        </w:rPr>
        <w:t>5、严格执行环境保护“三同时”制度，建设单位可根据自身技术力量自行或委托有资质的单位组织开展环境监理工作。项目竣工后，建设单位必须按规定的标准和程序实施环境保护验收，验收合格后方可正式投运。</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（二）营运期：</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1、噪声源应采取必要的减噪措施，厂界噪声必须满足《工业企业厂界环境噪声排放标准》（GB12348—2008）2类标准限值的要求。</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2、生活废水经处理后要达到《城市污水再生利用  城市杂用水水质》（GB/T18920-2002）标准，达标后首先考虑作为升压站绿化用水，不得外排。产生的含油污水委托有资质的单位集中处置，不得外排。</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3、设备检修产生的维修垃圾使用专门容器暂存，容器外按要求粘贴相应的危险警示的标志，暂存在危险废物暂存间，建立危险废物收集、贮存、运输等管理制度，危险废物暂存要满足《危险废物贮存污染控制标准》（GB18597-2001）中要求，委托有危废处理资质的单位处置。</w:t>
      </w:r>
    </w:p>
    <w:p>
      <w:pPr>
        <w:spacing w:line="58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我局委托</w:t>
      </w:r>
      <w:r>
        <w:rPr>
          <w:rFonts w:hint="eastAsia" w:ascii="仿宋" w:hAnsi="仿宋" w:eastAsia="仿宋" w:cs="仿宋"/>
          <w:color w:val="000000"/>
          <w:sz w:val="32"/>
          <w:szCs w:val="32"/>
          <w:lang w:eastAsia="zh-CN"/>
        </w:rPr>
        <w:t>太仆寺旗环境保护局</w:t>
      </w:r>
      <w:r>
        <w:rPr>
          <w:rFonts w:hint="eastAsia" w:ascii="仿宋" w:hAnsi="仿宋" w:eastAsia="仿宋" w:cs="仿宋"/>
          <w:color w:val="000000"/>
          <w:sz w:val="32"/>
          <w:szCs w:val="32"/>
        </w:rPr>
        <w:t>负责该项目施工期和运营期日常监管。请建设单位将该项目《报告书》和本批复送</w:t>
      </w:r>
      <w:r>
        <w:rPr>
          <w:rFonts w:hint="eastAsia" w:ascii="仿宋" w:hAnsi="仿宋" w:eastAsia="仿宋" w:cs="仿宋"/>
          <w:color w:val="000000"/>
          <w:sz w:val="32"/>
          <w:szCs w:val="32"/>
          <w:lang w:eastAsia="zh-CN"/>
        </w:rPr>
        <w:t>太仆寺旗环境保护局</w:t>
      </w:r>
      <w:r>
        <w:rPr>
          <w:rFonts w:hint="eastAsia" w:ascii="仿宋" w:hAnsi="仿宋" w:eastAsia="仿宋" w:cs="仿宋"/>
          <w:color w:val="000000"/>
          <w:sz w:val="32"/>
          <w:szCs w:val="32"/>
        </w:rPr>
        <w:t>一份。</w:t>
      </w:r>
    </w:p>
    <w:p>
      <w:pPr>
        <w:spacing w:line="580" w:lineRule="exact"/>
        <w:ind w:firstLine="9280" w:firstLineChars="2900"/>
        <w:rPr>
          <w:rFonts w:hint="eastAsia" w:ascii="仿宋" w:hAnsi="仿宋" w:eastAsia="仿宋"/>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r>
        <w:rPr>
          <w:rFonts w:hint="eastAsia" w:ascii="仿宋" w:hAnsi="仿宋" w:eastAsia="仿宋" w:cs="仿宋"/>
          <w:color w:val="000000"/>
          <w:sz w:val="32"/>
          <w:szCs w:val="32"/>
        </w:rPr>
        <w:t>201</w:t>
      </w:r>
      <w:r>
        <w:rPr>
          <w:rFonts w:hint="eastAsia" w:ascii="仿宋" w:hAnsi="仿宋" w:eastAsia="仿宋" w:cs="仿宋"/>
          <w:color w:val="000000"/>
          <w:sz w:val="32"/>
          <w:szCs w:val="32"/>
          <w:lang w:val="en-US" w:eastAsia="zh-CN"/>
        </w:rPr>
        <w:t>8</w:t>
      </w:r>
      <w:r>
        <w:rPr>
          <w:rFonts w:hint="eastAsia" w:ascii="仿宋" w:hAnsi="仿宋" w:eastAsia="仿宋" w:cs="仿宋"/>
          <w:color w:val="000000"/>
          <w:sz w:val="32"/>
          <w:szCs w:val="32"/>
        </w:rPr>
        <w:t>年</w:t>
      </w:r>
      <w:r>
        <w:rPr>
          <w:rFonts w:hint="eastAsia" w:ascii="仿宋" w:hAnsi="仿宋" w:eastAsia="仿宋" w:cs="仿宋"/>
          <w:color w:val="000000"/>
          <w:sz w:val="32"/>
          <w:szCs w:val="32"/>
          <w:lang w:val="en-US" w:eastAsia="zh-CN"/>
        </w:rPr>
        <w:t>2</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eastAsia="zh-CN"/>
        </w:rPr>
        <w:t>24</w:t>
      </w:r>
      <w:bookmarkStart w:id="0" w:name="_GoBack"/>
      <w:bookmarkEnd w:id="0"/>
      <w:r>
        <w:rPr>
          <w:rFonts w:hint="eastAsia" w:ascii="仿宋" w:hAnsi="仿宋" w:eastAsia="仿宋" w:cs="仿宋"/>
          <w:color w:val="000000"/>
          <w:sz w:val="32"/>
          <w:szCs w:val="32"/>
        </w:rPr>
        <w:t>日</w:t>
      </w:r>
    </w:p>
    <w:p>
      <w:pPr>
        <w:spacing w:line="580" w:lineRule="exact"/>
        <w:rPr>
          <w:rFonts w:hint="eastAsia" w:ascii="仿宋" w:hAnsi="仿宋" w:eastAsia="仿宋" w:cs="仿宋"/>
          <w:color w:val="000000"/>
          <w:sz w:val="32"/>
          <w:szCs w:val="32"/>
        </w:rPr>
      </w:pPr>
    </w:p>
    <w:p>
      <w:pPr>
        <w:spacing w:line="58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抄送：</w:t>
      </w:r>
      <w:r>
        <w:rPr>
          <w:rFonts w:hint="eastAsia" w:ascii="仿宋" w:hAnsi="仿宋" w:eastAsia="仿宋" w:cs="仿宋"/>
          <w:color w:val="000000"/>
          <w:sz w:val="32"/>
          <w:szCs w:val="32"/>
          <w:lang w:eastAsia="zh-CN"/>
        </w:rPr>
        <w:t>太仆寺旗环境保护局</w:t>
      </w:r>
      <w:r>
        <w:rPr>
          <w:rFonts w:hint="eastAsia" w:ascii="仿宋" w:hAnsi="仿宋" w:eastAsia="仿宋" w:cs="仿宋"/>
          <w:color w:val="000000"/>
          <w:sz w:val="32"/>
          <w:szCs w:val="32"/>
        </w:rPr>
        <w:t>、盟环境工程评估中心。</w:t>
      </w:r>
    </w:p>
    <w:p>
      <w:pPr>
        <w:spacing w:line="580" w:lineRule="exact"/>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A0204"/>
    <w:charset w:val="00"/>
    <w:family w:val="roman"/>
    <w:pitch w:val="default"/>
    <w:sig w:usb0="E00002FF" w:usb1="4000045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ˎ̥">
    <w:altName w:val="Times New Roman"/>
    <w:panose1 w:val="00000000000000000000"/>
    <w:charset w:val="00"/>
    <w:family w:val="roman"/>
    <w:pitch w:val="default"/>
    <w:sig w:usb0="00000000" w:usb1="00000000" w:usb2="00000000" w:usb3="00000000" w:csb0="00000000" w:csb1="00000000"/>
  </w:font>
  <w:font w:name="Arial Unicode MS">
    <w:altName w:val="宋体"/>
    <w:panose1 w:val="020B0604020202020204"/>
    <w:charset w:val="86"/>
    <w:family w:val="swiss"/>
    <w:pitch w:val="default"/>
    <w:sig w:usb0="00000000" w:usb1="00000000" w:usb2="0000003F" w:usb3="00000000" w:csb0="003F01FF" w:csb1="00000000"/>
  </w:font>
  <w:font w:name="楷体_GB2312">
    <w:altName w:val="楷体"/>
    <w:panose1 w:val="00000000000000000000"/>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仿宋_GB2312">
    <w:altName w:val="仿宋"/>
    <w:panose1 w:val="00000000000000000000"/>
    <w:charset w:val="00"/>
    <w:family w:val="auto"/>
    <w:pitch w:val="default"/>
    <w:sig w:usb0="00000000" w:usb1="00000000" w:usb2="00000000" w:usb3="00000000" w:csb0="00000000" w:csb1="00000000"/>
  </w:font>
  <w:font w:name="汉鼎简书宋">
    <w:altName w:val="宋体"/>
    <w:panose1 w:val="00000000000000000000"/>
    <w:charset w:val="86"/>
    <w:family w:val="modern"/>
    <w:pitch w:val="default"/>
    <w:sig w:usb0="00000000" w:usb1="00000000" w:usb2="00000010" w:usb3="00000000" w:csb0="00040000" w:csb1="00000000"/>
  </w:font>
  <w:font w:name="MS Mincho">
    <w:panose1 w:val="02020609040205080304"/>
    <w:charset w:val="80"/>
    <w:family w:val="roman"/>
    <w:pitch w:val="default"/>
    <w:sig w:usb0="E00002FF" w:usb1="6AC7FDFB" w:usb2="00000012" w:usb3="00000000" w:csb0="4002009F" w:csb1="DFD70000"/>
  </w:font>
  <w:font w:name="Arial Unicode MS">
    <w:altName w:val="Arial"/>
    <w:panose1 w:val="020B0604020202020204"/>
    <w:charset w:val="00"/>
    <w:family w:val="roman"/>
    <w:pitch w:val="default"/>
    <w:sig w:usb0="00000000" w:usb1="00000000" w:usb2="00000000" w:usb3="00000000" w:csb0="00000001" w:csb1="00000000"/>
  </w:font>
  <w:font w:name="_x000B__x000C_">
    <w:altName w:val="Times New Roman"/>
    <w:panose1 w:val="00000000000000000000"/>
    <w:charset w:val="00"/>
    <w:family w:val="roman"/>
    <w:pitch w:val="default"/>
    <w:sig w:usb0="00000000" w:usb1="00000000" w:usb2="00000000" w:usb3="00000000" w:csb0="00000001" w:csb1="00000000"/>
  </w:font>
  <w:font w:name="ˎ̥">
    <w:altName w:val="Times New Roman"/>
    <w:panose1 w:val="00000000000000000000"/>
    <w:charset w:val="01"/>
    <w:family w:val="roman"/>
    <w:pitch w:val="default"/>
    <w:sig w:usb0="00000000" w:usb1="00000000" w:usb2="00000000" w:usb3="00000000" w:csb0="00040001" w:csb1="00000000"/>
  </w:font>
  <w:font w:name="Verdana">
    <w:panose1 w:val="020B0604030504040204"/>
    <w:charset w:val="00"/>
    <w:family w:val="swiss"/>
    <w:pitch w:val="default"/>
    <w:sig w:usb0="A10006FF" w:usb1="4000205B" w:usb2="00000010" w:usb3="00000000" w:csb0="2000019F" w:csb1="00000000"/>
  </w:font>
  <w:font w:name="Helv">
    <w:altName w:val="Segoe Print"/>
    <w:panose1 w:val="020B0604020202030204"/>
    <w:charset w:val="00"/>
    <w:family w:val="swiss"/>
    <w:pitch w:val="default"/>
    <w:sig w:usb0="00000000" w:usb1="00000000" w:usb2="00000000" w:usb3="00000000" w:csb0="00000001" w:csb1="00000000"/>
  </w:font>
  <w:font w:name="新宋体">
    <w:panose1 w:val="02010609030101010101"/>
    <w:charset w:val="86"/>
    <w:family w:val="modern"/>
    <w:pitch w:val="default"/>
    <w:sig w:usb0="00000003" w:usb1="288F0000" w:usb2="00000006" w:usb3="00000000" w:csb0="00040001" w:csb1="00000000"/>
  </w:font>
  <w:font w:name="Arial Narrow">
    <w:altName w:val="Arial"/>
    <w:panose1 w:val="020B0606020202030204"/>
    <w:charset w:val="00"/>
    <w:family w:val="swiss"/>
    <w:pitch w:val="default"/>
    <w:sig w:usb0="00000000" w:usb1="00000000" w:usb2="00000000" w:usb3="00000000" w:csb0="0000009F" w:csb1="00000000"/>
  </w:font>
  <w:font w:name="Times">
    <w:altName w:val="Times New Roman"/>
    <w:panose1 w:val="02020603050405020304"/>
    <w:charset w:val="00"/>
    <w:family w:val="roman"/>
    <w:pitch w:val="default"/>
    <w:sig w:usb0="00000000" w:usb1="00000000" w:usb2="00000009" w:usb3="00000000" w:csb0="000001FF" w:csb1="00000000"/>
  </w:font>
  <w:font w:name="隶书">
    <w:altName w:val="微软雅黑"/>
    <w:panose1 w:val="02010509060101010101"/>
    <w:charset w:val="86"/>
    <w:family w:val="modern"/>
    <w:pitch w:val="default"/>
    <w:sig w:usb0="00000000" w:usb1="00000000" w:usb2="00000010" w:usb3="00000000" w:csb0="0004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2418D"/>
    <w:rsid w:val="002814AD"/>
    <w:rsid w:val="003A047C"/>
    <w:rsid w:val="00942CCB"/>
    <w:rsid w:val="00964F9E"/>
    <w:rsid w:val="00AC7395"/>
    <w:rsid w:val="00C2418D"/>
    <w:rsid w:val="00F51145"/>
    <w:rsid w:val="0CBD65AA"/>
    <w:rsid w:val="196125E8"/>
    <w:rsid w:val="20903BF9"/>
    <w:rsid w:val="2C235754"/>
    <w:rsid w:val="2C900FD2"/>
    <w:rsid w:val="2D704553"/>
    <w:rsid w:val="389C4D1F"/>
    <w:rsid w:val="3D446D11"/>
    <w:rsid w:val="46DB38F3"/>
    <w:rsid w:val="50CF7877"/>
    <w:rsid w:val="5D5D6594"/>
    <w:rsid w:val="719464B1"/>
    <w:rsid w:val="7872005E"/>
    <w:rsid w:val="7A9558A1"/>
    <w:rsid w:val="7C2960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4"/>
    <w:link w:val="3"/>
    <w:semiHidden/>
    <w:qFormat/>
    <w:uiPriority w:val="99"/>
    <w:rPr>
      <w:sz w:val="18"/>
      <w:szCs w:val="18"/>
    </w:rPr>
  </w:style>
  <w:style w:type="character" w:customStyle="1" w:styleId="8">
    <w:name w:val="页脚 Char"/>
    <w:basedOn w:val="4"/>
    <w:link w:val="2"/>
    <w:semiHidden/>
    <w:qFormat/>
    <w:uiPriority w:val="99"/>
    <w:rPr>
      <w:sz w:val="18"/>
      <w:szCs w:val="18"/>
    </w:rPr>
  </w:style>
  <w:style w:type="paragraph" w:customStyle="1" w:styleId="9">
    <w:name w:val="表文"/>
    <w:basedOn w:val="1"/>
    <w:qFormat/>
    <w:uiPriority w:val="0"/>
    <w:pPr>
      <w:overflowPunct w:val="0"/>
      <w:jc w:val="center"/>
    </w:pPr>
    <w:rPr>
      <w:rFonts w:ascii="Calibri" w:hAnsi="Calibri" w:cs="Times New Roman"/>
    </w:rPr>
  </w:style>
  <w:style w:type="paragraph" w:customStyle="1" w:styleId="10">
    <w:name w:val="样式 (符号) 宋体 小四 行距: 1.5 倍行距"/>
    <w:basedOn w:val="1"/>
    <w:qFormat/>
    <w:uiPriority w:val="0"/>
    <w:pPr>
      <w:spacing w:line="360" w:lineRule="auto"/>
      <w:ind w:firstLine="200" w:firstLineChars="200"/>
    </w:pPr>
    <w:rPr>
      <w:rFonts w:cs="宋体"/>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219</Words>
  <Characters>1251</Characters>
  <Lines>10</Lines>
  <Paragraphs>2</Paragraphs>
  <ScaleCrop>false</ScaleCrop>
  <LinksUpToDate>false</LinksUpToDate>
  <CharactersWithSpaces>1468</CharactersWithSpaces>
  <Application>WPS Office_10.1.0.7022_F1E327BC-269C-435d-A152-05C5408002CA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2017-12-13T07:03:00Z</dcterms:created>
  <dc:creator>lenovo</dc:creator>
  <cp:lastModifiedBy>Administrator</cp:lastModifiedBy>
  <cp:lastPrinted>2018-02-24T01:41:00Z</cp:lastPrinted>
  <dcterms:modified xsi:type="dcterms:W3CDTF">2018-02-24T02:19:23Z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2052-10.1.0.7022</vt:lpwstr>
  </property>
</Properties>
</file>