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418D" w:rsidRDefault="00C2418D" w:rsidP="00C2418D">
      <w:pPr>
        <w:spacing w:line="500" w:lineRule="exact"/>
        <w:jc w:val="left"/>
        <w:rPr>
          <w:rFonts w:ascii="仿宋" w:eastAsia="仿宋" w:hAnsi="仿宋" w:cs="仿宋" w:hint="eastAsia"/>
          <w:color w:val="000000"/>
          <w:sz w:val="32"/>
          <w:szCs w:val="32"/>
        </w:rPr>
      </w:pP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left"/>
        <w:rPr>
          <w:rFonts w:ascii="仿宋" w:eastAsia="仿宋" w:hAnsi="仿宋" w:cs="仿宋" w:hint="eastAsia"/>
          <w:b/>
          <w:bCs/>
          <w:color w:val="000000"/>
          <w:sz w:val="32"/>
          <w:szCs w:val="32"/>
        </w:rPr>
      </w:pPr>
      <w:r>
        <w:rPr>
          <w:rFonts w:ascii="仿宋" w:eastAsia="仿宋" w:hAnsi="仿宋" w:cs="仿宋" w:hint="eastAsia"/>
          <w:b/>
          <w:bCs/>
          <w:color w:val="000000"/>
          <w:sz w:val="32"/>
          <w:szCs w:val="32"/>
        </w:rPr>
        <w:t xml:space="preserve"> </w:t>
      </w: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lef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w:t>
      </w:r>
    </w:p>
    <w:p w:rsidR="00C2418D" w:rsidRDefault="00C2418D"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仿宋" w:eastAsia="仿宋" w:hAnsi="仿宋" w:cs="仿宋" w:hint="eastAsia"/>
          <w:color w:val="000000"/>
          <w:sz w:val="32"/>
          <w:szCs w:val="32"/>
        </w:rPr>
      </w:pPr>
    </w:p>
    <w:p w:rsidR="00964F9E" w:rsidRDefault="00964F9E" w:rsidP="00C2418D">
      <w:pPr>
        <w:spacing w:line="500" w:lineRule="exact"/>
        <w:jc w:val="center"/>
        <w:rPr>
          <w:rFonts w:ascii="仿宋" w:eastAsia="仿宋" w:hAnsi="仿宋" w:cs="仿宋" w:hint="eastAsia"/>
          <w:color w:val="000000"/>
          <w:sz w:val="32"/>
          <w:szCs w:val="32"/>
        </w:rPr>
      </w:pPr>
    </w:p>
    <w:p w:rsidR="00964F9E" w:rsidRDefault="00964F9E"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仿宋" w:eastAsia="仿宋" w:hAnsi="仿宋" w:cs="仿宋" w:hint="eastAsia"/>
          <w:color w:val="000000"/>
          <w:sz w:val="32"/>
          <w:szCs w:val="32"/>
        </w:rPr>
      </w:pPr>
      <w:r>
        <w:rPr>
          <w:rFonts w:ascii="仿宋" w:eastAsia="仿宋" w:hAnsi="仿宋" w:cs="仿宋" w:hint="eastAsia"/>
          <w:color w:val="000000"/>
          <w:sz w:val="32"/>
          <w:szCs w:val="32"/>
        </w:rPr>
        <w:t>锡署环审书[2017]18号</w:t>
      </w:r>
    </w:p>
    <w:p w:rsidR="00C2418D" w:rsidRDefault="00C2418D" w:rsidP="00C2418D">
      <w:pPr>
        <w:spacing w:line="500" w:lineRule="exact"/>
        <w:jc w:val="center"/>
        <w:rPr>
          <w:rFonts w:ascii="仿宋" w:eastAsia="仿宋" w:hAnsi="仿宋" w:cs="仿宋" w:hint="eastAsia"/>
          <w:color w:val="000000"/>
          <w:sz w:val="32"/>
          <w:szCs w:val="32"/>
        </w:rPr>
      </w:pPr>
    </w:p>
    <w:p w:rsidR="00C2418D" w:rsidRDefault="00C2418D" w:rsidP="00C2418D">
      <w:pPr>
        <w:spacing w:line="500" w:lineRule="exact"/>
        <w:jc w:val="center"/>
        <w:rPr>
          <w:rFonts w:ascii="黑体" w:eastAsia="黑体" w:hAnsi="黑体" w:cs="黑体" w:hint="eastAsia"/>
          <w:b/>
          <w:bCs/>
          <w:color w:val="000000"/>
          <w:sz w:val="36"/>
          <w:szCs w:val="36"/>
        </w:rPr>
      </w:pPr>
      <w:r>
        <w:rPr>
          <w:rFonts w:ascii="黑体" w:eastAsia="黑体" w:hAnsi="黑体" w:cs="黑体" w:hint="eastAsia"/>
          <w:b/>
          <w:bCs/>
          <w:color w:val="000000"/>
          <w:sz w:val="36"/>
          <w:szCs w:val="36"/>
        </w:rPr>
        <w:t>锡林郭勒盟环境保护局</w:t>
      </w:r>
    </w:p>
    <w:p w:rsidR="00C2418D" w:rsidRDefault="00C2418D" w:rsidP="00C2418D">
      <w:pPr>
        <w:spacing w:line="500" w:lineRule="exact"/>
        <w:jc w:val="center"/>
        <w:rPr>
          <w:rFonts w:ascii="黑体" w:eastAsia="黑体" w:hAnsi="黑体" w:cs="黑体" w:hint="eastAsia"/>
          <w:b/>
          <w:bCs/>
          <w:color w:val="000000"/>
          <w:sz w:val="36"/>
          <w:szCs w:val="36"/>
        </w:rPr>
      </w:pPr>
      <w:r>
        <w:rPr>
          <w:rFonts w:ascii="黑体" w:eastAsia="黑体" w:hAnsi="黑体" w:cs="黑体" w:hint="eastAsia"/>
          <w:b/>
          <w:bCs/>
          <w:color w:val="000000"/>
          <w:sz w:val="36"/>
          <w:szCs w:val="36"/>
        </w:rPr>
        <w:t>关于镶黄旗盛世鑫源风力发电有限责任公司125MW</w:t>
      </w:r>
    </w:p>
    <w:p w:rsidR="00C2418D" w:rsidRDefault="00C2418D" w:rsidP="00C2418D">
      <w:pPr>
        <w:spacing w:line="500" w:lineRule="exact"/>
        <w:jc w:val="center"/>
        <w:rPr>
          <w:rFonts w:ascii="黑体" w:eastAsia="黑体" w:hAnsi="黑体" w:cs="黑体" w:hint="eastAsia"/>
          <w:b/>
          <w:bCs/>
          <w:color w:val="000000"/>
          <w:sz w:val="36"/>
          <w:szCs w:val="36"/>
        </w:rPr>
      </w:pPr>
      <w:r>
        <w:rPr>
          <w:rFonts w:ascii="黑体" w:eastAsia="黑体" w:hAnsi="黑体" w:cs="黑体" w:hint="eastAsia"/>
          <w:b/>
          <w:bCs/>
          <w:color w:val="000000"/>
          <w:sz w:val="36"/>
          <w:szCs w:val="36"/>
        </w:rPr>
        <w:t>特高压风电项目环境影响报告书的批复</w:t>
      </w:r>
    </w:p>
    <w:p w:rsidR="00C2418D" w:rsidRDefault="00C2418D" w:rsidP="00C2418D">
      <w:pPr>
        <w:spacing w:line="500" w:lineRule="exact"/>
        <w:rPr>
          <w:rFonts w:ascii="仿宋" w:eastAsia="仿宋" w:hAnsi="仿宋" w:cs="仿宋" w:hint="eastAsia"/>
          <w:b/>
          <w:bCs/>
          <w:color w:val="000000"/>
          <w:sz w:val="32"/>
          <w:szCs w:val="32"/>
        </w:rPr>
      </w:pPr>
      <w:r>
        <w:rPr>
          <w:rFonts w:ascii="仿宋" w:eastAsia="仿宋" w:hAnsi="仿宋" w:cs="仿宋" w:hint="eastAsia"/>
          <w:b/>
          <w:bCs/>
          <w:color w:val="000000"/>
          <w:sz w:val="32"/>
          <w:szCs w:val="32"/>
        </w:rPr>
        <w:t xml:space="preserve"> </w:t>
      </w:r>
    </w:p>
    <w:p w:rsidR="00C2418D" w:rsidRPr="002814AD" w:rsidRDefault="00C2418D" w:rsidP="00AC7395">
      <w:pPr>
        <w:spacing w:line="580" w:lineRule="exact"/>
        <w:rPr>
          <w:rFonts w:ascii="仿宋" w:eastAsia="仿宋" w:hAnsi="仿宋" w:cs="仿宋" w:hint="eastAsia"/>
          <w:color w:val="000000"/>
          <w:sz w:val="32"/>
          <w:szCs w:val="32"/>
        </w:rPr>
      </w:pPr>
      <w:r w:rsidRPr="002814AD">
        <w:rPr>
          <w:rFonts w:ascii="仿宋" w:eastAsia="仿宋" w:hAnsi="仿宋" w:cs="仿宋" w:hint="eastAsia"/>
          <w:color w:val="000000"/>
          <w:sz w:val="32"/>
          <w:szCs w:val="32"/>
        </w:rPr>
        <w:t>镶黄旗盛世鑫源风力发电有限责任公司：</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仿宋" w:hint="eastAsia"/>
          <w:color w:val="000000"/>
          <w:sz w:val="32"/>
          <w:szCs w:val="32"/>
        </w:rPr>
        <w:t>你公司上报的《</w:t>
      </w:r>
      <w:r w:rsidRPr="002814AD">
        <w:rPr>
          <w:rFonts w:ascii="仿宋" w:eastAsia="仿宋" w:hAnsi="仿宋" w:cs="黑体" w:hint="eastAsia"/>
          <w:bCs/>
          <w:color w:val="000000"/>
          <w:sz w:val="32"/>
          <w:szCs w:val="32"/>
        </w:rPr>
        <w:t>镶黄旗盛世鑫源风力发电有限责任公司125MW特高压风电项目环境影响报告书</w:t>
      </w:r>
      <w:r w:rsidRPr="002814AD">
        <w:rPr>
          <w:rFonts w:ascii="仿宋" w:eastAsia="仿宋" w:hAnsi="仿宋" w:cs="仿宋" w:hint="eastAsia"/>
          <w:color w:val="000000"/>
          <w:sz w:val="32"/>
          <w:szCs w:val="32"/>
        </w:rPr>
        <w:t>项目环境影响报告书》（以下简称《报告书》）收悉。我局委托盟环境工程评估中心进行了技术评估。结合镶黄旗生态环境保护监督管理局初</w:t>
      </w:r>
      <w:r w:rsidRPr="002814AD">
        <w:rPr>
          <w:rFonts w:ascii="仿宋" w:eastAsia="仿宋" w:hAnsi="仿宋" w:cs="仿宋" w:hint="eastAsia"/>
          <w:color w:val="000000"/>
          <w:sz w:val="32"/>
          <w:szCs w:val="32"/>
        </w:rPr>
        <w:lastRenderedPageBreak/>
        <w:t>审意见，经研究批复如下。</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一、项目概况</w:t>
      </w:r>
    </w:p>
    <w:p w:rsidR="00964F9E" w:rsidRDefault="00C2418D" w:rsidP="00AC7395">
      <w:pPr>
        <w:spacing w:line="580" w:lineRule="exact"/>
        <w:ind w:firstLineChars="200" w:firstLine="640"/>
        <w:rPr>
          <w:rFonts w:ascii="仿宋" w:eastAsia="仿宋" w:hAnsi="仿宋" w:cs="仿宋" w:hint="eastAsia"/>
          <w:color w:val="000000"/>
          <w:sz w:val="32"/>
          <w:szCs w:val="32"/>
        </w:rPr>
      </w:pPr>
      <w:r w:rsidRPr="002814AD">
        <w:rPr>
          <w:rFonts w:ascii="仿宋" w:eastAsia="仿宋" w:hAnsi="仿宋" w:cs="Tahoma" w:hint="eastAsia"/>
          <w:color w:val="000000"/>
          <w:kern w:val="0"/>
          <w:sz w:val="32"/>
          <w:szCs w:val="32"/>
        </w:rPr>
        <w:t>项目位于</w:t>
      </w:r>
      <w:r w:rsidR="002814AD">
        <w:rPr>
          <w:rFonts w:ascii="仿宋" w:eastAsia="仿宋" w:hAnsi="仿宋" w:cs="Tahoma" w:hint="eastAsia"/>
          <w:color w:val="000000"/>
          <w:kern w:val="0"/>
          <w:sz w:val="32"/>
          <w:szCs w:val="32"/>
        </w:rPr>
        <w:t>镶黄旗翁贡乌拉苏木伊和乌拉嘎查和巴音塔拉镇查布嘎查</w:t>
      </w:r>
      <w:r w:rsidRPr="002814AD">
        <w:rPr>
          <w:rFonts w:ascii="仿宋" w:eastAsia="仿宋" w:hAnsi="仿宋" w:cs="Tahoma" w:hint="eastAsia"/>
          <w:color w:val="000000"/>
          <w:kern w:val="0"/>
          <w:sz w:val="32"/>
          <w:szCs w:val="32"/>
        </w:rPr>
        <w:t>,</w:t>
      </w:r>
      <w:r w:rsidR="003A047C">
        <w:rPr>
          <w:rFonts w:ascii="仿宋" w:eastAsia="仿宋" w:hAnsi="仿宋" w:cs="Tahoma" w:hint="eastAsia"/>
          <w:color w:val="000000"/>
          <w:kern w:val="0"/>
          <w:sz w:val="32"/>
          <w:szCs w:val="32"/>
        </w:rPr>
        <w:t>风场范围约</w:t>
      </w:r>
      <w:r w:rsidRPr="002814AD">
        <w:rPr>
          <w:rFonts w:ascii="仿宋" w:eastAsia="仿宋" w:hAnsi="仿宋" w:cs="Tahoma" w:hint="eastAsia"/>
          <w:color w:val="000000"/>
          <w:kern w:val="0"/>
          <w:sz w:val="32"/>
          <w:szCs w:val="32"/>
        </w:rPr>
        <w:t>为</w:t>
      </w:r>
      <w:r w:rsidR="002814AD">
        <w:rPr>
          <w:rFonts w:ascii="仿宋" w:eastAsia="仿宋" w:hAnsi="仿宋" w:cs="Tahoma" w:hint="eastAsia"/>
          <w:color w:val="000000"/>
          <w:kern w:val="0"/>
          <w:sz w:val="32"/>
          <w:szCs w:val="32"/>
        </w:rPr>
        <w:t>50</w:t>
      </w:r>
      <w:r w:rsidR="003A047C">
        <w:rPr>
          <w:rFonts w:ascii="仿宋" w:eastAsia="仿宋" w:hAnsi="仿宋" w:cs="Tahoma" w:hint="eastAsia"/>
          <w:color w:val="000000"/>
          <w:kern w:val="0"/>
          <w:sz w:val="32"/>
          <w:szCs w:val="32"/>
        </w:rPr>
        <w:t>平方公里</w:t>
      </w:r>
      <w:r w:rsidR="00942CCB">
        <w:rPr>
          <w:rFonts w:ascii="仿宋" w:eastAsia="仿宋" w:hAnsi="仿宋" w:cs="Tahoma" w:hint="eastAsia"/>
          <w:color w:val="000000"/>
          <w:kern w:val="0"/>
          <w:sz w:val="32"/>
          <w:szCs w:val="32"/>
        </w:rPr>
        <w:t>，其中永久占地2.085</w:t>
      </w:r>
      <w:r w:rsidR="003A047C">
        <w:rPr>
          <w:rFonts w:ascii="仿宋" w:eastAsia="仿宋" w:hAnsi="仿宋" w:cs="Tahoma" w:hint="eastAsia"/>
          <w:color w:val="000000"/>
          <w:kern w:val="0"/>
          <w:sz w:val="32"/>
          <w:szCs w:val="32"/>
        </w:rPr>
        <w:t>1</w:t>
      </w:r>
      <w:r w:rsidR="00942CCB">
        <w:rPr>
          <w:rFonts w:ascii="仿宋" w:eastAsia="仿宋" w:hAnsi="仿宋" w:cs="Tahoma" w:hint="eastAsia"/>
          <w:color w:val="000000"/>
          <w:kern w:val="0"/>
          <w:sz w:val="32"/>
          <w:szCs w:val="32"/>
        </w:rPr>
        <w:t>公顷，临时占地48.37</w:t>
      </w:r>
      <w:r w:rsidR="003A047C">
        <w:rPr>
          <w:rFonts w:ascii="仿宋" w:eastAsia="仿宋" w:hAnsi="仿宋" w:cs="Tahoma" w:hint="eastAsia"/>
          <w:color w:val="000000"/>
          <w:kern w:val="0"/>
          <w:sz w:val="32"/>
          <w:szCs w:val="32"/>
        </w:rPr>
        <w:t>1公顷。</w:t>
      </w:r>
      <w:r w:rsidRPr="002814AD">
        <w:rPr>
          <w:rFonts w:ascii="仿宋" w:eastAsia="仿宋" w:hAnsi="仿宋" w:cs="Tahoma" w:hint="eastAsia"/>
          <w:color w:val="000000"/>
          <w:kern w:val="0"/>
          <w:sz w:val="32"/>
          <w:szCs w:val="32"/>
        </w:rPr>
        <w:t>项目规划容量为</w:t>
      </w:r>
      <w:r w:rsidR="003A047C">
        <w:rPr>
          <w:rFonts w:ascii="仿宋" w:eastAsia="仿宋" w:hAnsi="仿宋" w:cs="Tahoma" w:hint="eastAsia"/>
          <w:color w:val="000000"/>
          <w:kern w:val="0"/>
          <w:sz w:val="32"/>
          <w:szCs w:val="32"/>
        </w:rPr>
        <w:t>125</w:t>
      </w:r>
      <w:r w:rsidRPr="002814AD">
        <w:rPr>
          <w:rFonts w:ascii="仿宋" w:eastAsia="仿宋" w:hAnsi="仿宋" w:cs="Tahoma" w:hint="eastAsia"/>
          <w:color w:val="000000"/>
          <w:kern w:val="0"/>
          <w:sz w:val="32"/>
          <w:szCs w:val="32"/>
        </w:rPr>
        <w:t>MW，</w:t>
      </w:r>
      <w:r w:rsidR="003A047C">
        <w:rPr>
          <w:rFonts w:ascii="仿宋" w:eastAsia="仿宋" w:hAnsi="仿宋" w:cs="Tahoma" w:hint="eastAsia"/>
          <w:color w:val="000000"/>
          <w:kern w:val="0"/>
          <w:sz w:val="32"/>
          <w:szCs w:val="32"/>
        </w:rPr>
        <w:t>设计</w:t>
      </w:r>
      <w:r w:rsidRPr="002814AD">
        <w:rPr>
          <w:rFonts w:ascii="仿宋" w:eastAsia="仿宋" w:hAnsi="仿宋" w:cs="Tahoma" w:hint="eastAsia"/>
          <w:color w:val="000000"/>
          <w:kern w:val="0"/>
          <w:sz w:val="32"/>
          <w:szCs w:val="32"/>
        </w:rPr>
        <w:t>安装</w:t>
      </w:r>
      <w:r w:rsidR="00964F9E">
        <w:rPr>
          <w:rFonts w:ascii="仿宋" w:eastAsia="仿宋" w:hAnsi="仿宋" w:cs="Tahoma" w:hint="eastAsia"/>
          <w:color w:val="000000"/>
          <w:kern w:val="0"/>
          <w:sz w:val="32"/>
          <w:szCs w:val="32"/>
        </w:rPr>
        <w:t>2000千瓦风力发电机组37台，安装3000千瓦风力发电机组17</w:t>
      </w:r>
      <w:r w:rsidRPr="002814AD">
        <w:rPr>
          <w:rFonts w:ascii="仿宋" w:eastAsia="仿宋" w:hAnsi="仿宋" w:cs="Tahoma" w:hint="eastAsia"/>
          <w:color w:val="000000"/>
          <w:kern w:val="0"/>
          <w:sz w:val="32"/>
          <w:szCs w:val="32"/>
        </w:rPr>
        <w:t>台</w:t>
      </w:r>
      <w:r w:rsidR="00964F9E">
        <w:rPr>
          <w:rFonts w:ascii="仿宋" w:eastAsia="仿宋" w:hAnsi="仿宋" w:cs="Tahoma" w:hint="eastAsia"/>
          <w:color w:val="000000"/>
          <w:kern w:val="0"/>
          <w:sz w:val="32"/>
          <w:szCs w:val="32"/>
        </w:rPr>
        <w:t>。项目劳动定员30人。</w:t>
      </w:r>
      <w:r w:rsidRPr="002814AD">
        <w:rPr>
          <w:rFonts w:ascii="仿宋" w:eastAsia="仿宋" w:hAnsi="仿宋" w:cs="Tahoma" w:hint="eastAsia"/>
          <w:color w:val="000000"/>
          <w:kern w:val="0"/>
          <w:sz w:val="32"/>
          <w:szCs w:val="32"/>
        </w:rPr>
        <w:t>总投资</w:t>
      </w:r>
      <w:r w:rsidR="00964F9E">
        <w:rPr>
          <w:rFonts w:ascii="仿宋" w:eastAsia="仿宋" w:hAnsi="仿宋" w:cs="Tahoma" w:hint="eastAsia"/>
          <w:color w:val="000000"/>
          <w:kern w:val="0"/>
          <w:sz w:val="32"/>
          <w:szCs w:val="32"/>
        </w:rPr>
        <w:t>106230.69</w:t>
      </w:r>
      <w:r w:rsidRPr="002814AD">
        <w:rPr>
          <w:rFonts w:ascii="仿宋" w:eastAsia="仿宋" w:hAnsi="仿宋" w:cs="Tahoma" w:hint="eastAsia"/>
          <w:color w:val="000000"/>
          <w:kern w:val="0"/>
          <w:sz w:val="32"/>
          <w:szCs w:val="32"/>
        </w:rPr>
        <w:t>万元，环保投资</w:t>
      </w:r>
      <w:r w:rsidR="00964F9E">
        <w:rPr>
          <w:rFonts w:ascii="仿宋" w:eastAsia="仿宋" w:hAnsi="仿宋" w:cs="Tahoma" w:hint="eastAsia"/>
          <w:color w:val="000000"/>
          <w:kern w:val="0"/>
          <w:sz w:val="32"/>
          <w:szCs w:val="32"/>
        </w:rPr>
        <w:t>705</w:t>
      </w:r>
      <w:r w:rsidRPr="002814AD">
        <w:rPr>
          <w:rFonts w:ascii="仿宋" w:eastAsia="仿宋" w:hAnsi="仿宋" w:cs="Tahoma" w:hint="eastAsia"/>
          <w:color w:val="000000"/>
          <w:kern w:val="0"/>
          <w:sz w:val="32"/>
          <w:szCs w:val="32"/>
        </w:rPr>
        <w:t>万元，占项目总投资的</w:t>
      </w:r>
      <w:r w:rsidR="00964F9E">
        <w:rPr>
          <w:rFonts w:ascii="仿宋" w:eastAsia="仿宋" w:hAnsi="仿宋" w:cs="Tahoma" w:hint="eastAsia"/>
          <w:color w:val="000000"/>
          <w:kern w:val="0"/>
          <w:sz w:val="32"/>
          <w:szCs w:val="32"/>
        </w:rPr>
        <w:t>0.66</w:t>
      </w:r>
      <w:r w:rsidRPr="002814AD">
        <w:rPr>
          <w:rFonts w:ascii="仿宋" w:eastAsia="仿宋" w:hAnsi="仿宋" w:cs="Tahoma" w:hint="eastAsia"/>
          <w:color w:val="000000"/>
          <w:kern w:val="0"/>
          <w:sz w:val="32"/>
          <w:szCs w:val="32"/>
        </w:rPr>
        <w:t>%。本项目属于《产业结构调整指导目录（2011年本）（2013年修正）》中允许类项目，该项目的建成投产，</w:t>
      </w:r>
      <w:r w:rsidR="00964F9E">
        <w:rPr>
          <w:rFonts w:ascii="仿宋" w:eastAsia="仿宋" w:hAnsi="仿宋" w:cs="Tahoma" w:hint="eastAsia"/>
          <w:color w:val="000000"/>
          <w:kern w:val="0"/>
          <w:sz w:val="32"/>
          <w:szCs w:val="32"/>
        </w:rPr>
        <w:t>有利于促进地区经济发展，是电力能源消耗的有益补充。</w:t>
      </w:r>
      <w:r w:rsidR="00964F9E">
        <w:rPr>
          <w:rFonts w:ascii="仿宋" w:eastAsia="仿宋" w:hAnsi="仿宋" w:cs="仿宋" w:hint="eastAsia"/>
          <w:color w:val="000000"/>
          <w:sz w:val="32"/>
          <w:szCs w:val="32"/>
        </w:rPr>
        <w:t>建设单位在全面落实《报告书》和本批复规定的各项生态破坏和环境污染措施后，对环境影响能够得到有效缓解和控制。我局同意你公司按照《报告书》所列建设项目的性质、规模、地点、环境保护对策措施及下述要求进行建设。</w:t>
      </w:r>
    </w:p>
    <w:p w:rsidR="00C2418D" w:rsidRPr="002814AD" w:rsidRDefault="002814AD" w:rsidP="00AC7395">
      <w:pPr>
        <w:spacing w:line="580" w:lineRule="exact"/>
        <w:ind w:firstLineChars="218" w:firstLine="700"/>
        <w:rPr>
          <w:rFonts w:ascii="仿宋" w:eastAsia="仿宋" w:hAnsi="仿宋" w:cs="Tahoma" w:hint="eastAsia"/>
          <w:b/>
          <w:bCs/>
          <w:color w:val="000000"/>
          <w:kern w:val="0"/>
          <w:sz w:val="32"/>
          <w:szCs w:val="32"/>
        </w:rPr>
      </w:pPr>
      <w:r w:rsidRPr="002814AD">
        <w:rPr>
          <w:rFonts w:ascii="仿宋" w:eastAsia="仿宋" w:hAnsi="仿宋" w:cs="Tahoma" w:hint="eastAsia"/>
          <w:b/>
          <w:bCs/>
          <w:color w:val="000000"/>
          <w:kern w:val="0"/>
          <w:sz w:val="32"/>
          <w:szCs w:val="32"/>
        </w:rPr>
        <w:t>二、</w:t>
      </w:r>
      <w:r w:rsidR="00C2418D" w:rsidRPr="002814AD">
        <w:rPr>
          <w:rFonts w:ascii="仿宋" w:eastAsia="仿宋" w:hAnsi="仿宋" w:cs="Tahoma" w:hint="eastAsia"/>
          <w:b/>
          <w:bCs/>
          <w:color w:val="000000"/>
          <w:kern w:val="0"/>
          <w:sz w:val="32"/>
          <w:szCs w:val="32"/>
        </w:rPr>
        <w:t>项目在建设和运营过程中应重点做好以下工作：</w:t>
      </w:r>
    </w:p>
    <w:p w:rsidR="00C2418D" w:rsidRPr="002814AD" w:rsidRDefault="002814A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（一）</w:t>
      </w:r>
      <w:r w:rsidR="00C2418D" w:rsidRPr="002814AD">
        <w:rPr>
          <w:rFonts w:ascii="仿宋" w:eastAsia="仿宋" w:hAnsi="仿宋" w:cs="Tahoma" w:hint="eastAsia"/>
          <w:color w:val="000000"/>
          <w:kern w:val="0"/>
          <w:sz w:val="32"/>
          <w:szCs w:val="32"/>
        </w:rPr>
        <w:t>建设期：</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1、要严格按照《报告表》和设计文件的要求组织施工。加强施工期的环境保护工作，严格落实建筑施工期的环保措施，施工车辆须按规定线路行驶，对施工场地、施工便道采取洒水降尘等措施，减少施工扬尘污染。</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2、合理布局，采取低噪声设备和防噪措施，做到建筑施工场界噪声限值达标。要合理安排施工时段，避免施工噪声扰民。施工结束后及时进行植被恢复。施工时产生的弃土、</w:t>
      </w:r>
      <w:r w:rsidRPr="002814AD">
        <w:rPr>
          <w:rFonts w:ascii="仿宋" w:eastAsia="仿宋" w:hAnsi="仿宋" w:cs="Tahoma" w:hint="eastAsia"/>
          <w:color w:val="000000"/>
          <w:kern w:val="0"/>
          <w:sz w:val="32"/>
          <w:szCs w:val="32"/>
        </w:rPr>
        <w:lastRenderedPageBreak/>
        <w:t>弃石要填充低洼地带，不得破坏原地貌及景观。使植被覆盖率达到设计要求。</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3、工程弃渣及建筑垃圾统一管理和处置，不得随意堆放。施工人员生活垃圾要定点收贮、及时清运，防止飞扬、逸散。</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4、落实生态保护措施以及环境保护设施投资概算。并将环保设施建设纳入施工合同。</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5、项目建设期建设单位根据自身技术力量自行或委托有资质的单位组织开展环境监理工作，确保污染防治设施及生态治理工程与主体工程“三同时”。</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6、项目竣工后，建设单位按规定的标准和程序自行组织验收，验收合格后方可正式投运。</w:t>
      </w:r>
    </w:p>
    <w:p w:rsidR="00C2418D" w:rsidRPr="002814AD" w:rsidRDefault="002814A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（二）</w:t>
      </w:r>
      <w:r w:rsidR="00C2418D" w:rsidRPr="002814AD">
        <w:rPr>
          <w:rFonts w:ascii="仿宋" w:eastAsia="仿宋" w:hAnsi="仿宋" w:cs="Tahoma" w:hint="eastAsia"/>
          <w:color w:val="000000"/>
          <w:kern w:val="0"/>
          <w:sz w:val="32"/>
          <w:szCs w:val="32"/>
        </w:rPr>
        <w:t>营运期：</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1、噪声源应采取必要的减噪措施，厂界噪声必须满足《工业企业厂界环境噪声排放标准》（GB12348—2008）2类标准限值的要求。</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2、生活废水经处理后要达到《城市污水再生利用  城市杂用水水质》（GB/T18920-2002）标准，达标后首先考虑作为升压站绿化用水，不得外排。产生的含油污水委托有资质的单位集中处置，不得外排。</w:t>
      </w:r>
    </w:p>
    <w:p w:rsidR="00C2418D" w:rsidRPr="002814AD" w:rsidRDefault="00C2418D" w:rsidP="00AC7395">
      <w:pPr>
        <w:spacing w:line="580" w:lineRule="exact"/>
        <w:ind w:firstLineChars="218" w:firstLine="698"/>
        <w:rPr>
          <w:rFonts w:ascii="仿宋" w:eastAsia="仿宋" w:hAnsi="仿宋" w:cs="Tahoma" w:hint="eastAsia"/>
          <w:color w:val="000000"/>
          <w:kern w:val="0"/>
          <w:sz w:val="32"/>
          <w:szCs w:val="32"/>
        </w:rPr>
      </w:pPr>
      <w:r w:rsidRPr="002814AD">
        <w:rPr>
          <w:rFonts w:ascii="仿宋" w:eastAsia="仿宋" w:hAnsi="仿宋" w:cs="Tahoma" w:hint="eastAsia"/>
          <w:color w:val="000000"/>
          <w:kern w:val="0"/>
          <w:sz w:val="32"/>
          <w:szCs w:val="32"/>
        </w:rPr>
        <w:t>3、设备检修产生的维修垃圾使用专门容器暂存，容器外按要求粘贴相应的危险警示的标志，暂存在危险废物暂存间，建立危险废物收集、贮存、运输等管理制度，危险废物暂存需要满足《危险废物贮存污染控制标准》（GB18597-2001）</w:t>
      </w:r>
      <w:r w:rsidRPr="002814AD">
        <w:rPr>
          <w:rFonts w:ascii="仿宋" w:eastAsia="仿宋" w:hAnsi="仿宋" w:cs="Tahoma" w:hint="eastAsia"/>
          <w:color w:val="000000"/>
          <w:kern w:val="0"/>
          <w:sz w:val="32"/>
          <w:szCs w:val="32"/>
        </w:rPr>
        <w:lastRenderedPageBreak/>
        <w:t>中要求，委托有危废处理资质的单位处置。</w:t>
      </w:r>
    </w:p>
    <w:p w:rsidR="002814AD" w:rsidRPr="002814AD" w:rsidRDefault="002814AD" w:rsidP="00AC7395">
      <w:pPr>
        <w:spacing w:line="580" w:lineRule="exact"/>
        <w:ind w:firstLineChars="200" w:firstLine="640"/>
        <w:rPr>
          <w:rFonts w:ascii="仿宋" w:eastAsia="仿宋" w:hAnsi="仿宋" w:cs="仿宋" w:hint="eastAsia"/>
          <w:color w:val="000000"/>
          <w:sz w:val="32"/>
          <w:szCs w:val="32"/>
        </w:rPr>
      </w:pPr>
      <w:r w:rsidRPr="002814AD">
        <w:rPr>
          <w:rFonts w:ascii="仿宋" w:eastAsia="仿宋" w:hAnsi="仿宋" w:cs="仿宋" w:hint="eastAsia"/>
          <w:color w:val="000000"/>
          <w:sz w:val="32"/>
          <w:szCs w:val="32"/>
        </w:rPr>
        <w:t>我局委托镶黄旗生态环境保护监督管理局和盟环境监察支队负责该项目施工期和运营期日常监管。请建设单位将该项目《报告书》和本批复送以上两个监管单位各一份。</w:t>
      </w:r>
    </w:p>
    <w:p w:rsidR="00C2418D" w:rsidRPr="002814AD" w:rsidRDefault="00C2418D" w:rsidP="00AC7395">
      <w:pPr>
        <w:spacing w:line="580" w:lineRule="exact"/>
        <w:ind w:firstLineChars="2900" w:firstLine="9280"/>
        <w:rPr>
          <w:rFonts w:ascii="仿宋" w:eastAsia="仿宋" w:hAnsi="仿宋" w:hint="eastAsia"/>
          <w:sz w:val="32"/>
          <w:szCs w:val="32"/>
        </w:rPr>
      </w:pPr>
    </w:p>
    <w:p w:rsidR="00AC7395" w:rsidRDefault="00AC7395" w:rsidP="00AC7395">
      <w:pPr>
        <w:spacing w:line="580" w:lineRule="exact"/>
        <w:ind w:firstLineChars="1600" w:firstLine="5120"/>
        <w:rPr>
          <w:rFonts w:ascii="仿宋" w:eastAsia="仿宋" w:hAnsi="仿宋" w:cs="仿宋" w:hint="eastAsia"/>
          <w:color w:val="000000"/>
          <w:sz w:val="32"/>
          <w:szCs w:val="32"/>
        </w:rPr>
      </w:pPr>
    </w:p>
    <w:p w:rsidR="00AC7395" w:rsidRDefault="00AC7395" w:rsidP="00AC7395">
      <w:pPr>
        <w:spacing w:line="580" w:lineRule="exact"/>
        <w:ind w:firstLineChars="1600" w:firstLine="5120"/>
        <w:rPr>
          <w:rFonts w:ascii="仿宋" w:eastAsia="仿宋" w:hAnsi="仿宋" w:cs="仿宋" w:hint="eastAsia"/>
          <w:color w:val="000000"/>
          <w:sz w:val="32"/>
          <w:szCs w:val="32"/>
        </w:rPr>
      </w:pPr>
    </w:p>
    <w:p w:rsidR="00AC7395" w:rsidRDefault="00AC7395" w:rsidP="00AC7395">
      <w:pPr>
        <w:spacing w:line="580" w:lineRule="exact"/>
        <w:ind w:firstLineChars="1600" w:firstLine="5120"/>
        <w:rPr>
          <w:rFonts w:ascii="仿宋" w:eastAsia="仿宋" w:hAnsi="仿宋" w:cs="仿宋" w:hint="eastAsia"/>
          <w:color w:val="000000"/>
          <w:sz w:val="32"/>
          <w:szCs w:val="32"/>
        </w:rPr>
      </w:pPr>
    </w:p>
    <w:p w:rsidR="00AC7395" w:rsidRDefault="00AC7395" w:rsidP="00AC7395">
      <w:pPr>
        <w:spacing w:line="580" w:lineRule="exact"/>
        <w:ind w:firstLineChars="1600" w:firstLine="5120"/>
        <w:rPr>
          <w:rFonts w:ascii="仿宋" w:eastAsia="仿宋" w:hAnsi="仿宋" w:cs="仿宋" w:hint="eastAsia"/>
          <w:color w:val="000000"/>
          <w:sz w:val="32"/>
          <w:szCs w:val="32"/>
        </w:rPr>
      </w:pPr>
    </w:p>
    <w:p w:rsidR="00964F9E" w:rsidRDefault="00964F9E" w:rsidP="00AC7395">
      <w:pPr>
        <w:spacing w:line="580" w:lineRule="exact"/>
        <w:ind w:firstLineChars="1600" w:firstLine="5120"/>
        <w:rPr>
          <w:rFonts w:ascii="仿宋" w:eastAsia="仿宋" w:hAnsi="仿宋" w:cs="仿宋" w:hint="eastAsia"/>
          <w:color w:val="000000"/>
          <w:sz w:val="32"/>
          <w:szCs w:val="32"/>
        </w:rPr>
      </w:pPr>
      <w:r>
        <w:rPr>
          <w:rFonts w:ascii="仿宋" w:eastAsia="仿宋" w:hAnsi="仿宋" w:cs="仿宋" w:hint="eastAsia"/>
          <w:color w:val="000000"/>
          <w:sz w:val="32"/>
          <w:szCs w:val="32"/>
        </w:rPr>
        <w:t>2017年</w:t>
      </w:r>
      <w:r w:rsidR="00AC7395">
        <w:rPr>
          <w:rFonts w:ascii="仿宋" w:eastAsia="仿宋" w:hAnsi="仿宋" w:cs="仿宋" w:hint="eastAsia"/>
          <w:color w:val="000000"/>
          <w:sz w:val="32"/>
          <w:szCs w:val="32"/>
        </w:rPr>
        <w:t>12</w:t>
      </w:r>
      <w:r>
        <w:rPr>
          <w:rFonts w:ascii="仿宋" w:eastAsia="仿宋" w:hAnsi="仿宋" w:cs="仿宋" w:hint="eastAsia"/>
          <w:color w:val="000000"/>
          <w:sz w:val="32"/>
          <w:szCs w:val="32"/>
        </w:rPr>
        <w:t>月</w:t>
      </w:r>
      <w:r w:rsidR="00AC7395">
        <w:rPr>
          <w:rFonts w:ascii="仿宋" w:eastAsia="仿宋" w:hAnsi="仿宋" w:cs="仿宋" w:hint="eastAsia"/>
          <w:color w:val="000000"/>
          <w:sz w:val="32"/>
          <w:szCs w:val="32"/>
        </w:rPr>
        <w:t>20</w:t>
      </w:r>
      <w:r>
        <w:rPr>
          <w:rFonts w:ascii="仿宋" w:eastAsia="仿宋" w:hAnsi="仿宋" w:cs="仿宋" w:hint="eastAsia"/>
          <w:color w:val="000000"/>
          <w:sz w:val="32"/>
          <w:szCs w:val="32"/>
        </w:rPr>
        <w:t>日</w:t>
      </w: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AC7395" w:rsidRDefault="00AC7395" w:rsidP="00AC7395">
      <w:pPr>
        <w:spacing w:line="580" w:lineRule="exact"/>
        <w:ind w:firstLineChars="200" w:firstLine="640"/>
        <w:rPr>
          <w:rFonts w:ascii="仿宋" w:eastAsia="仿宋" w:hAnsi="仿宋" w:cs="仿宋" w:hint="eastAsia"/>
          <w:color w:val="000000"/>
          <w:sz w:val="32"/>
          <w:szCs w:val="32"/>
        </w:rPr>
      </w:pPr>
    </w:p>
    <w:p w:rsidR="00964F9E" w:rsidRDefault="00964F9E" w:rsidP="00AC7395">
      <w:pPr>
        <w:spacing w:line="58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抄送：</w:t>
      </w:r>
      <w:r w:rsidR="00AC7395" w:rsidRPr="002814AD">
        <w:rPr>
          <w:rFonts w:ascii="仿宋" w:eastAsia="仿宋" w:hAnsi="仿宋" w:cs="仿宋" w:hint="eastAsia"/>
          <w:color w:val="000000"/>
          <w:sz w:val="32"/>
          <w:szCs w:val="32"/>
        </w:rPr>
        <w:t>镶黄旗生态环境保护监督管理局</w:t>
      </w:r>
      <w:r>
        <w:rPr>
          <w:rFonts w:ascii="仿宋" w:eastAsia="仿宋" w:hAnsi="仿宋" w:cs="仿宋" w:hint="eastAsia"/>
          <w:color w:val="000000"/>
          <w:sz w:val="32"/>
          <w:szCs w:val="32"/>
        </w:rPr>
        <w:t>、盟环境监察支队、盟环境工程评估中心。</w:t>
      </w:r>
    </w:p>
    <w:p w:rsidR="00F51145" w:rsidRPr="00AC7395" w:rsidRDefault="00F51145" w:rsidP="00AC7395">
      <w:pPr>
        <w:spacing w:line="580" w:lineRule="exact"/>
        <w:rPr>
          <w:rFonts w:ascii="仿宋" w:eastAsia="仿宋" w:hAnsi="仿宋"/>
          <w:sz w:val="32"/>
          <w:szCs w:val="32"/>
        </w:rPr>
      </w:pPr>
    </w:p>
    <w:sectPr w:rsidR="00F51145" w:rsidRPr="00AC739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1145" w:rsidRDefault="00F51145" w:rsidP="00C2418D">
      <w:r>
        <w:separator/>
      </w:r>
    </w:p>
  </w:endnote>
  <w:endnote w:type="continuationSeparator" w:id="1">
    <w:p w:rsidR="00F51145" w:rsidRDefault="00F51145" w:rsidP="00C2418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1145" w:rsidRDefault="00F51145" w:rsidP="00C2418D">
      <w:r>
        <w:separator/>
      </w:r>
    </w:p>
  </w:footnote>
  <w:footnote w:type="continuationSeparator" w:id="1">
    <w:p w:rsidR="00F51145" w:rsidRDefault="00F51145" w:rsidP="00C241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2418D"/>
    <w:rsid w:val="002814AD"/>
    <w:rsid w:val="003A047C"/>
    <w:rsid w:val="00942CCB"/>
    <w:rsid w:val="00964F9E"/>
    <w:rsid w:val="00AC7395"/>
    <w:rsid w:val="00C2418D"/>
    <w:rsid w:val="00F5114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18D"/>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2418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C2418D"/>
    <w:rPr>
      <w:sz w:val="18"/>
      <w:szCs w:val="18"/>
    </w:rPr>
  </w:style>
  <w:style w:type="paragraph" w:styleId="a4">
    <w:name w:val="footer"/>
    <w:basedOn w:val="a"/>
    <w:link w:val="Char0"/>
    <w:uiPriority w:val="99"/>
    <w:semiHidden/>
    <w:unhideWhenUsed/>
    <w:rsid w:val="00C2418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C2418D"/>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4</Pages>
  <Words>219</Words>
  <Characters>1251</Characters>
  <Application>Microsoft Office Word</Application>
  <DocSecurity>0</DocSecurity>
  <Lines>10</Lines>
  <Paragraphs>2</Paragraphs>
  <ScaleCrop>false</ScaleCrop>
  <Company/>
  <LinksUpToDate>false</LinksUpToDate>
  <CharactersWithSpaces>1468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2017-12-13T07:03:00Z</dcterms:created>
  <dcterms:modified xsi:type="dcterms:W3CDTF">2017-12-13T08:10:00Z</dcterms:modified>
</cp:coreProperties>
</file>