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00" w:lineRule="exact"/>
        <w:jc w:val="left"/>
        <w:rPr>
          <w:rFonts w:hint="eastAsia" w:ascii="仿宋" w:hAnsi="仿宋" w:eastAsia="仿宋" w:cs="仿宋"/>
          <w:color w:val="000000"/>
          <w:sz w:val="32"/>
          <w:szCs w:val="32"/>
        </w:rPr>
      </w:pPr>
    </w:p>
    <w:p>
      <w:pPr>
        <w:spacing w:line="500" w:lineRule="exact"/>
        <w:jc w:val="left"/>
        <w:rPr>
          <w:rFonts w:hint="eastAsia" w:ascii="仿宋" w:hAnsi="仿宋" w:eastAsia="仿宋" w:cs="仿宋"/>
          <w:color w:val="000000"/>
          <w:sz w:val="32"/>
          <w:szCs w:val="32"/>
        </w:rPr>
      </w:pPr>
      <w:r>
        <w:rPr>
          <w:rFonts w:hint="eastAsia" w:ascii="仿宋" w:hAnsi="仿宋" w:eastAsia="仿宋" w:cs="仿宋"/>
          <w:color w:val="000000"/>
          <w:sz w:val="32"/>
          <w:szCs w:val="32"/>
        </w:rPr>
        <w:t xml:space="preserve"> </w:t>
      </w:r>
    </w:p>
    <w:p>
      <w:pPr>
        <w:spacing w:line="500" w:lineRule="exact"/>
        <w:jc w:val="left"/>
        <w:rPr>
          <w:rFonts w:hint="eastAsia" w:ascii="仿宋" w:hAnsi="仿宋" w:eastAsia="仿宋" w:cs="仿宋"/>
          <w:color w:val="000000"/>
          <w:sz w:val="32"/>
          <w:szCs w:val="32"/>
        </w:rPr>
      </w:pPr>
      <w:r>
        <w:rPr>
          <w:rFonts w:hint="eastAsia" w:ascii="仿宋" w:hAnsi="仿宋" w:eastAsia="仿宋" w:cs="仿宋"/>
          <w:color w:val="000000"/>
          <w:sz w:val="32"/>
          <w:szCs w:val="32"/>
        </w:rPr>
        <w:t xml:space="preserve"> </w:t>
      </w:r>
    </w:p>
    <w:p>
      <w:pPr>
        <w:spacing w:line="500" w:lineRule="exact"/>
        <w:jc w:val="left"/>
        <w:rPr>
          <w:rFonts w:hint="eastAsia" w:ascii="仿宋" w:hAnsi="仿宋" w:eastAsia="仿宋" w:cs="仿宋"/>
          <w:b/>
          <w:bCs/>
          <w:color w:val="000000"/>
          <w:sz w:val="32"/>
          <w:szCs w:val="32"/>
        </w:rPr>
      </w:pPr>
      <w:r>
        <w:rPr>
          <w:rFonts w:hint="eastAsia" w:ascii="仿宋" w:hAnsi="仿宋" w:eastAsia="仿宋" w:cs="仿宋"/>
          <w:b/>
          <w:bCs/>
          <w:color w:val="000000"/>
          <w:sz w:val="32"/>
          <w:szCs w:val="32"/>
        </w:rPr>
        <w:t xml:space="preserve"> </w:t>
      </w:r>
    </w:p>
    <w:p>
      <w:pPr>
        <w:spacing w:line="500" w:lineRule="exact"/>
        <w:jc w:val="left"/>
        <w:rPr>
          <w:rFonts w:hint="eastAsia" w:ascii="仿宋" w:hAnsi="仿宋" w:eastAsia="仿宋" w:cs="仿宋"/>
          <w:color w:val="000000"/>
          <w:sz w:val="32"/>
          <w:szCs w:val="32"/>
        </w:rPr>
      </w:pPr>
      <w:r>
        <w:rPr>
          <w:rFonts w:hint="eastAsia" w:ascii="仿宋" w:hAnsi="仿宋" w:eastAsia="仿宋" w:cs="仿宋"/>
          <w:color w:val="000000"/>
          <w:sz w:val="32"/>
          <w:szCs w:val="32"/>
        </w:rPr>
        <w:t xml:space="preserve"> </w:t>
      </w:r>
    </w:p>
    <w:p>
      <w:pPr>
        <w:spacing w:line="500" w:lineRule="exact"/>
        <w:jc w:val="left"/>
        <w:rPr>
          <w:rFonts w:hint="eastAsia" w:ascii="仿宋" w:hAnsi="仿宋" w:eastAsia="仿宋" w:cs="仿宋"/>
          <w:color w:val="000000"/>
          <w:sz w:val="32"/>
          <w:szCs w:val="32"/>
        </w:rPr>
      </w:pPr>
      <w:r>
        <w:rPr>
          <w:rFonts w:hint="eastAsia" w:ascii="仿宋" w:hAnsi="仿宋" w:eastAsia="仿宋" w:cs="仿宋"/>
          <w:color w:val="000000"/>
          <w:sz w:val="32"/>
          <w:szCs w:val="32"/>
        </w:rPr>
        <w:t xml:space="preserve"> </w:t>
      </w:r>
    </w:p>
    <w:p>
      <w:pPr>
        <w:spacing w:line="500" w:lineRule="exact"/>
        <w:jc w:val="left"/>
        <w:rPr>
          <w:rFonts w:hint="eastAsia" w:ascii="仿宋" w:hAnsi="仿宋" w:eastAsia="仿宋" w:cs="仿宋"/>
          <w:color w:val="000000"/>
          <w:sz w:val="32"/>
          <w:szCs w:val="32"/>
        </w:rPr>
      </w:pPr>
      <w:r>
        <w:rPr>
          <w:rFonts w:hint="eastAsia" w:ascii="仿宋" w:hAnsi="仿宋" w:eastAsia="仿宋" w:cs="仿宋"/>
          <w:color w:val="000000"/>
          <w:sz w:val="32"/>
          <w:szCs w:val="32"/>
        </w:rPr>
        <w:t xml:space="preserve"> </w:t>
      </w:r>
    </w:p>
    <w:p>
      <w:pPr>
        <w:spacing w:line="500" w:lineRule="exact"/>
        <w:jc w:val="left"/>
        <w:rPr>
          <w:rFonts w:hint="eastAsia" w:ascii="仿宋" w:hAnsi="仿宋" w:eastAsia="仿宋" w:cs="仿宋"/>
          <w:color w:val="000000"/>
          <w:sz w:val="32"/>
          <w:szCs w:val="32"/>
        </w:rPr>
      </w:pPr>
      <w:r>
        <w:rPr>
          <w:rFonts w:hint="eastAsia" w:ascii="仿宋" w:hAnsi="仿宋" w:eastAsia="仿宋" w:cs="仿宋"/>
          <w:color w:val="000000"/>
          <w:sz w:val="32"/>
          <w:szCs w:val="32"/>
        </w:rPr>
        <w:t xml:space="preserve"> </w:t>
      </w:r>
    </w:p>
    <w:p>
      <w:pPr>
        <w:spacing w:line="500" w:lineRule="exact"/>
        <w:jc w:val="center"/>
        <w:rPr>
          <w:rFonts w:hint="eastAsia" w:ascii="仿宋" w:hAnsi="仿宋" w:eastAsia="仿宋" w:cs="仿宋"/>
          <w:color w:val="000000"/>
          <w:sz w:val="32"/>
          <w:szCs w:val="32"/>
        </w:rPr>
      </w:pPr>
    </w:p>
    <w:p>
      <w:pPr>
        <w:spacing w:line="500" w:lineRule="exact"/>
        <w:jc w:val="center"/>
        <w:rPr>
          <w:rFonts w:hint="eastAsia" w:ascii="仿宋" w:hAnsi="仿宋" w:eastAsia="仿宋" w:cs="仿宋"/>
          <w:color w:val="000000"/>
          <w:sz w:val="32"/>
          <w:szCs w:val="32"/>
        </w:rPr>
      </w:pPr>
    </w:p>
    <w:p>
      <w:pPr>
        <w:spacing w:line="500" w:lineRule="exact"/>
        <w:jc w:val="center"/>
        <w:rPr>
          <w:rFonts w:hint="eastAsia" w:ascii="仿宋" w:hAnsi="仿宋" w:eastAsia="仿宋" w:cs="仿宋"/>
          <w:color w:val="000000"/>
          <w:sz w:val="32"/>
          <w:szCs w:val="32"/>
        </w:rPr>
      </w:pPr>
    </w:p>
    <w:p>
      <w:pPr>
        <w:spacing w:line="500" w:lineRule="exact"/>
        <w:jc w:val="center"/>
        <w:rPr>
          <w:rFonts w:hint="eastAsia" w:ascii="仿宋" w:hAnsi="仿宋" w:eastAsia="仿宋" w:cs="仿宋"/>
          <w:color w:val="000000"/>
          <w:sz w:val="32"/>
          <w:szCs w:val="32"/>
        </w:rPr>
      </w:pPr>
    </w:p>
    <w:p>
      <w:pPr>
        <w:spacing w:line="500" w:lineRule="exact"/>
        <w:jc w:val="center"/>
        <w:rPr>
          <w:rFonts w:hint="eastAsia" w:ascii="仿宋" w:hAnsi="仿宋" w:eastAsia="仿宋" w:cs="仿宋"/>
          <w:color w:val="000000"/>
          <w:sz w:val="32"/>
          <w:szCs w:val="32"/>
        </w:rPr>
      </w:pPr>
    </w:p>
    <w:p>
      <w:pPr>
        <w:spacing w:line="500" w:lineRule="exact"/>
        <w:jc w:val="center"/>
        <w:rPr>
          <w:rFonts w:hint="eastAsia" w:ascii="仿宋" w:hAnsi="仿宋" w:eastAsia="仿宋" w:cs="仿宋"/>
          <w:color w:val="000000"/>
          <w:sz w:val="32"/>
          <w:szCs w:val="32"/>
        </w:rPr>
      </w:pPr>
    </w:p>
    <w:p>
      <w:pPr>
        <w:spacing w:line="500" w:lineRule="exact"/>
        <w:jc w:val="center"/>
        <w:rPr>
          <w:rFonts w:hint="eastAsia" w:ascii="仿宋" w:hAnsi="仿宋" w:eastAsia="仿宋" w:cs="仿宋"/>
          <w:color w:val="000000"/>
          <w:sz w:val="32"/>
          <w:szCs w:val="32"/>
        </w:rPr>
      </w:pPr>
    </w:p>
    <w:p>
      <w:pPr>
        <w:spacing w:line="500" w:lineRule="exact"/>
        <w:jc w:val="center"/>
        <w:rPr>
          <w:rFonts w:hint="eastAsia" w:ascii="仿宋" w:hAnsi="仿宋" w:eastAsia="仿宋" w:cs="仿宋"/>
          <w:color w:val="000000"/>
          <w:sz w:val="32"/>
          <w:szCs w:val="32"/>
        </w:rPr>
      </w:pPr>
      <w:r>
        <w:rPr>
          <w:rFonts w:hint="eastAsia" w:ascii="仿宋" w:hAnsi="仿宋" w:eastAsia="仿宋" w:cs="仿宋"/>
          <w:color w:val="000000"/>
          <w:sz w:val="32"/>
          <w:szCs w:val="32"/>
        </w:rPr>
        <w:t>锡署环审书[2017]1</w:t>
      </w:r>
      <w:r>
        <w:rPr>
          <w:rFonts w:hint="eastAsia" w:ascii="仿宋" w:hAnsi="仿宋" w:eastAsia="仿宋" w:cs="仿宋"/>
          <w:color w:val="000000"/>
          <w:sz w:val="32"/>
          <w:szCs w:val="32"/>
          <w:lang w:val="en-US" w:eastAsia="zh-CN"/>
        </w:rPr>
        <w:t>9</w:t>
      </w:r>
      <w:r>
        <w:rPr>
          <w:rFonts w:hint="eastAsia" w:ascii="仿宋" w:hAnsi="仿宋" w:eastAsia="仿宋" w:cs="仿宋"/>
          <w:color w:val="000000"/>
          <w:sz w:val="32"/>
          <w:szCs w:val="32"/>
        </w:rPr>
        <w:t>号</w:t>
      </w:r>
    </w:p>
    <w:p>
      <w:pPr>
        <w:spacing w:line="500" w:lineRule="exact"/>
        <w:jc w:val="center"/>
        <w:rPr>
          <w:rFonts w:hint="eastAsia" w:ascii="仿宋" w:hAnsi="仿宋" w:eastAsia="仿宋" w:cs="仿宋"/>
          <w:color w:val="000000"/>
          <w:sz w:val="32"/>
          <w:szCs w:val="32"/>
        </w:rPr>
      </w:pPr>
    </w:p>
    <w:p>
      <w:pPr>
        <w:spacing w:line="500" w:lineRule="exact"/>
        <w:jc w:val="center"/>
        <w:rPr>
          <w:rFonts w:hint="eastAsia" w:ascii="黑体" w:hAnsi="黑体" w:eastAsia="黑体" w:cs="黑体"/>
          <w:b/>
          <w:bCs/>
          <w:color w:val="000000"/>
          <w:sz w:val="36"/>
          <w:szCs w:val="36"/>
        </w:rPr>
      </w:pPr>
      <w:r>
        <w:rPr>
          <w:rFonts w:hint="eastAsia" w:ascii="黑体" w:hAnsi="黑体" w:eastAsia="黑体" w:cs="黑体"/>
          <w:b/>
          <w:bCs/>
          <w:color w:val="000000"/>
          <w:sz w:val="36"/>
          <w:szCs w:val="36"/>
        </w:rPr>
        <w:t>锡林郭勒盟环境保护局</w:t>
      </w:r>
    </w:p>
    <w:p>
      <w:pPr>
        <w:spacing w:line="500" w:lineRule="exact"/>
        <w:jc w:val="center"/>
        <w:rPr>
          <w:rFonts w:hint="eastAsia" w:ascii="黑体" w:hAnsi="黑体" w:eastAsia="黑体" w:cs="黑体"/>
          <w:b/>
          <w:bCs/>
          <w:color w:val="000000"/>
          <w:sz w:val="36"/>
          <w:szCs w:val="36"/>
        </w:rPr>
      </w:pPr>
      <w:r>
        <w:rPr>
          <w:rFonts w:hint="eastAsia" w:ascii="黑体" w:hAnsi="黑体" w:eastAsia="黑体" w:cs="黑体"/>
          <w:b/>
          <w:bCs/>
          <w:color w:val="000000"/>
          <w:sz w:val="36"/>
          <w:szCs w:val="36"/>
        </w:rPr>
        <w:t>关于中国能源建设集团锡林郭勒盟阿旗225MW风电项目环境影响报告书的批复</w:t>
      </w:r>
    </w:p>
    <w:p>
      <w:pPr>
        <w:spacing w:line="500" w:lineRule="exact"/>
        <w:rPr>
          <w:rFonts w:hint="eastAsia" w:ascii="仿宋" w:hAnsi="仿宋" w:eastAsia="仿宋" w:cs="仿宋"/>
          <w:b/>
          <w:bCs/>
          <w:color w:val="000000"/>
          <w:sz w:val="32"/>
          <w:szCs w:val="32"/>
        </w:rPr>
      </w:pPr>
      <w:r>
        <w:rPr>
          <w:rFonts w:hint="eastAsia" w:ascii="仿宋" w:hAnsi="仿宋" w:eastAsia="仿宋" w:cs="仿宋"/>
          <w:b/>
          <w:bCs/>
          <w:color w:val="000000"/>
          <w:sz w:val="32"/>
          <w:szCs w:val="32"/>
        </w:rPr>
        <w:t xml:space="preserve"> </w:t>
      </w:r>
    </w:p>
    <w:p>
      <w:pPr>
        <w:spacing w:line="500" w:lineRule="exact"/>
        <w:rPr>
          <w:rFonts w:hint="eastAsia" w:ascii="仿宋" w:hAnsi="仿宋" w:eastAsia="仿宋" w:cs="仿宋"/>
          <w:color w:val="000000"/>
          <w:sz w:val="32"/>
          <w:szCs w:val="32"/>
        </w:rPr>
      </w:pPr>
      <w:r>
        <w:rPr>
          <w:rFonts w:hint="eastAsia" w:ascii="仿宋" w:hAnsi="仿宋" w:eastAsia="仿宋" w:cs="仿宋"/>
          <w:color w:val="000000"/>
          <w:sz w:val="32"/>
          <w:szCs w:val="32"/>
          <w:lang w:eastAsia="zh-CN"/>
        </w:rPr>
        <w:t>中国能源建设集团</w:t>
      </w:r>
      <w:r>
        <w:rPr>
          <w:rFonts w:hint="eastAsia" w:ascii="仿宋" w:hAnsi="仿宋" w:eastAsia="仿宋" w:cs="仿宋"/>
          <w:color w:val="000000"/>
          <w:sz w:val="32"/>
          <w:szCs w:val="32"/>
        </w:rPr>
        <w:t>：</w:t>
      </w:r>
    </w:p>
    <w:p>
      <w:pPr>
        <w:spacing w:line="580" w:lineRule="exact"/>
        <w:ind w:firstLine="697" w:firstLineChars="218"/>
        <w:rPr>
          <w:rFonts w:hint="eastAsia" w:ascii="仿宋" w:hAnsi="仿宋" w:eastAsia="仿宋" w:cs="Tahoma"/>
          <w:color w:val="000000"/>
          <w:kern w:val="0"/>
          <w:sz w:val="32"/>
          <w:szCs w:val="32"/>
        </w:rPr>
      </w:pPr>
      <w:r>
        <w:rPr>
          <w:rFonts w:hint="eastAsia" w:ascii="仿宋" w:hAnsi="仿宋" w:eastAsia="仿宋" w:cs="Tahoma"/>
          <w:color w:val="000000"/>
          <w:kern w:val="0"/>
          <w:sz w:val="32"/>
          <w:szCs w:val="32"/>
        </w:rPr>
        <w:t>你公司上报的</w:t>
      </w:r>
      <w:r>
        <w:rPr>
          <w:rFonts w:hint="eastAsia" w:ascii="仿宋" w:hAnsi="仿宋" w:eastAsia="仿宋" w:cs="Tahoma"/>
          <w:color w:val="000000"/>
          <w:kern w:val="0"/>
          <w:sz w:val="32"/>
          <w:szCs w:val="32"/>
          <w:lang w:eastAsia="zh-CN"/>
        </w:rPr>
        <w:t>由陕西中圣环境科技发展有限公司编制的</w:t>
      </w:r>
      <w:r>
        <w:rPr>
          <w:rFonts w:hint="eastAsia" w:ascii="仿宋" w:hAnsi="仿宋" w:eastAsia="仿宋" w:cs="Tahoma"/>
          <w:color w:val="000000"/>
          <w:kern w:val="0"/>
          <w:sz w:val="32"/>
          <w:szCs w:val="32"/>
        </w:rPr>
        <w:t>《中国能源建设集团锡林郭勒盟阿旗225MW风电项目环境影响报告书项目环境影响报告书》（以下简称《报告书》）收悉。</w:t>
      </w:r>
      <w:r>
        <w:rPr>
          <w:rFonts w:hint="eastAsia" w:ascii="仿宋" w:hAnsi="仿宋" w:eastAsia="仿宋" w:cs="Tahoma"/>
          <w:color w:val="000000"/>
          <w:kern w:val="0"/>
          <w:sz w:val="32"/>
          <w:szCs w:val="32"/>
          <w:lang w:eastAsia="zh-CN"/>
        </w:rPr>
        <w:t>锡林郭勒盟生态保护委员会《关于</w:t>
      </w:r>
      <w:r>
        <w:rPr>
          <w:rFonts w:hint="eastAsia" w:ascii="仿宋" w:hAnsi="仿宋" w:eastAsia="仿宋" w:cs="Tahoma"/>
          <w:color w:val="000000"/>
          <w:kern w:val="0"/>
          <w:sz w:val="32"/>
          <w:szCs w:val="32"/>
        </w:rPr>
        <w:t>中国能源建设集团锡林郭勒盟阿旗225MW风电项目</w:t>
      </w:r>
      <w:r>
        <w:rPr>
          <w:rFonts w:hint="eastAsia" w:ascii="仿宋" w:hAnsi="仿宋" w:eastAsia="仿宋" w:cs="Tahoma"/>
          <w:color w:val="000000"/>
          <w:kern w:val="0"/>
          <w:sz w:val="32"/>
          <w:szCs w:val="32"/>
          <w:lang w:eastAsia="zh-CN"/>
        </w:rPr>
        <w:t>的审查意见》（锡生态审[201</w:t>
      </w:r>
      <w:r>
        <w:rPr>
          <w:rFonts w:hint="eastAsia" w:ascii="仿宋" w:hAnsi="仿宋" w:eastAsia="仿宋" w:cs="Tahoma"/>
          <w:color w:val="000000"/>
          <w:kern w:val="0"/>
          <w:sz w:val="32"/>
          <w:szCs w:val="32"/>
          <w:lang w:val="en-US" w:eastAsia="zh-CN"/>
        </w:rPr>
        <w:t>6</w:t>
      </w:r>
      <w:r>
        <w:rPr>
          <w:rFonts w:hint="eastAsia" w:ascii="仿宋" w:hAnsi="仿宋" w:eastAsia="仿宋" w:cs="Tahoma"/>
          <w:color w:val="000000"/>
          <w:kern w:val="0"/>
          <w:sz w:val="32"/>
          <w:szCs w:val="32"/>
          <w:lang w:eastAsia="zh-CN"/>
        </w:rPr>
        <w:t>]</w:t>
      </w:r>
      <w:r>
        <w:rPr>
          <w:rFonts w:hint="eastAsia" w:ascii="仿宋" w:hAnsi="仿宋" w:eastAsia="仿宋" w:cs="Tahoma"/>
          <w:color w:val="000000"/>
          <w:kern w:val="0"/>
          <w:sz w:val="32"/>
          <w:szCs w:val="32"/>
          <w:lang w:val="en-US" w:eastAsia="zh-CN"/>
        </w:rPr>
        <w:t>210</w:t>
      </w:r>
      <w:r>
        <w:rPr>
          <w:rFonts w:hint="eastAsia" w:ascii="仿宋" w:hAnsi="仿宋" w:eastAsia="仿宋" w:cs="Tahoma"/>
          <w:color w:val="000000"/>
          <w:kern w:val="0"/>
          <w:sz w:val="32"/>
          <w:szCs w:val="32"/>
          <w:lang w:eastAsia="zh-CN"/>
        </w:rPr>
        <w:t>号）明确，同意该项目开展前期工作。结合阿巴嘎旗环境保护局《关于</w:t>
      </w:r>
      <w:r>
        <w:rPr>
          <w:rFonts w:hint="eastAsia" w:ascii="仿宋" w:hAnsi="仿宋" w:eastAsia="仿宋" w:cs="Tahoma"/>
          <w:color w:val="000000"/>
          <w:kern w:val="0"/>
          <w:sz w:val="32"/>
          <w:szCs w:val="32"/>
        </w:rPr>
        <w:t>中国能源建设集团锡林郭勒盟阿旗225MW风电项目环境影响报告书</w:t>
      </w:r>
      <w:r>
        <w:rPr>
          <w:rFonts w:hint="eastAsia" w:ascii="仿宋" w:hAnsi="仿宋" w:eastAsia="仿宋" w:cs="Tahoma"/>
          <w:color w:val="000000"/>
          <w:kern w:val="0"/>
          <w:sz w:val="32"/>
          <w:szCs w:val="32"/>
          <w:lang w:eastAsia="zh-CN"/>
        </w:rPr>
        <w:t>的初审意</w:t>
      </w:r>
      <w:r>
        <w:rPr>
          <w:rFonts w:hint="eastAsia" w:ascii="仿宋_GB2312" w:eastAsia="仿宋_GB2312"/>
          <w:color w:val="000000"/>
          <w:sz w:val="32"/>
          <w:szCs w:val="32"/>
          <w:lang w:eastAsia="zh-CN"/>
        </w:rPr>
        <w:t>见》（阿环发</w:t>
      </w:r>
      <w:r>
        <w:rPr>
          <w:rFonts w:hint="eastAsia" w:ascii="仿宋_GB2312" w:eastAsia="仿宋_GB2312"/>
          <w:color w:val="000000"/>
          <w:sz w:val="32"/>
          <w:szCs w:val="32"/>
          <w:lang w:val="en-US" w:eastAsia="zh-CN"/>
        </w:rPr>
        <w:t>[</w:t>
      </w:r>
      <w:r>
        <w:rPr>
          <w:rFonts w:hint="eastAsia" w:ascii="仿宋" w:hAnsi="仿宋" w:eastAsia="仿宋" w:cs="Tahoma"/>
          <w:color w:val="000000"/>
          <w:kern w:val="0"/>
          <w:sz w:val="32"/>
          <w:szCs w:val="32"/>
          <w:lang w:val="en-US" w:eastAsia="zh-CN"/>
        </w:rPr>
        <w:t>2017]104号</w:t>
      </w:r>
      <w:r>
        <w:rPr>
          <w:rFonts w:hint="eastAsia" w:ascii="仿宋" w:hAnsi="仿宋" w:eastAsia="仿宋" w:cs="Tahoma"/>
          <w:color w:val="000000"/>
          <w:kern w:val="0"/>
          <w:sz w:val="32"/>
          <w:szCs w:val="32"/>
          <w:lang w:eastAsia="zh-CN"/>
        </w:rPr>
        <w:t>），我</w:t>
      </w:r>
      <w:r>
        <w:rPr>
          <w:rFonts w:hint="eastAsia" w:ascii="仿宋" w:hAnsi="仿宋" w:eastAsia="仿宋" w:cs="Tahoma"/>
          <w:color w:val="000000"/>
          <w:kern w:val="0"/>
          <w:sz w:val="32"/>
          <w:szCs w:val="32"/>
        </w:rPr>
        <w:t>局委托盟环境工程评估中心进行了技术评</w:t>
      </w:r>
      <w:r>
        <w:rPr>
          <w:rFonts w:hint="eastAsia" w:ascii="仿宋" w:hAnsi="仿宋" w:eastAsia="仿宋" w:cs="仿宋"/>
          <w:color w:val="000000"/>
          <w:sz w:val="32"/>
          <w:szCs w:val="32"/>
        </w:rPr>
        <w:t>估。经研究批复如下。</w:t>
      </w:r>
    </w:p>
    <w:p>
      <w:pPr>
        <w:spacing w:line="580" w:lineRule="exact"/>
        <w:ind w:firstLine="697" w:firstLineChars="218"/>
        <w:rPr>
          <w:rFonts w:hint="eastAsia" w:ascii="仿宋" w:hAnsi="仿宋" w:eastAsia="仿宋" w:cs="Tahoma"/>
          <w:color w:val="000000"/>
          <w:kern w:val="0"/>
          <w:sz w:val="32"/>
          <w:szCs w:val="32"/>
        </w:rPr>
      </w:pPr>
      <w:r>
        <w:rPr>
          <w:rFonts w:hint="eastAsia" w:ascii="仿宋" w:hAnsi="仿宋" w:eastAsia="仿宋" w:cs="Tahoma"/>
          <w:color w:val="000000"/>
          <w:kern w:val="0"/>
          <w:sz w:val="32"/>
          <w:szCs w:val="32"/>
        </w:rPr>
        <w:t>一、项目概况</w:t>
      </w:r>
    </w:p>
    <w:p>
      <w:pPr>
        <w:spacing w:line="580" w:lineRule="exact"/>
        <w:ind w:firstLine="697" w:firstLineChars="218"/>
        <w:rPr>
          <w:rFonts w:hint="eastAsia" w:ascii="仿宋" w:hAnsi="仿宋" w:eastAsia="仿宋" w:cs="Tahoma"/>
          <w:color w:val="000000"/>
          <w:kern w:val="0"/>
          <w:sz w:val="32"/>
          <w:szCs w:val="32"/>
        </w:rPr>
      </w:pPr>
      <w:r>
        <w:rPr>
          <w:rFonts w:hint="eastAsia" w:ascii="仿宋" w:hAnsi="仿宋" w:eastAsia="仿宋" w:cs="Tahoma"/>
          <w:color w:val="000000"/>
          <w:kern w:val="0"/>
          <w:sz w:val="32"/>
          <w:szCs w:val="32"/>
        </w:rPr>
        <w:t>中国能源建设集团锡林郭勒盟阿旗225MW风电项目位于阿巴嘎旗别力古台镇南侧，</w:t>
      </w:r>
      <w:r>
        <w:rPr>
          <w:rFonts w:hint="eastAsia" w:ascii="仿宋" w:hAnsi="仿宋" w:eastAsia="仿宋" w:cs="Tahoma"/>
          <w:color w:val="000000"/>
          <w:kern w:val="0"/>
          <w:sz w:val="32"/>
          <w:szCs w:val="32"/>
          <w:lang w:val="en-US" w:eastAsia="zh-CN"/>
        </w:rPr>
        <w:t>距别力古台镇</w:t>
      </w:r>
      <w:r>
        <w:rPr>
          <w:rFonts w:hint="eastAsia" w:ascii="仿宋" w:hAnsi="仿宋" w:eastAsia="仿宋" w:cs="Tahoma"/>
          <w:color w:val="000000"/>
          <w:kern w:val="0"/>
          <w:sz w:val="32"/>
          <w:szCs w:val="32"/>
        </w:rPr>
        <w:t>直线距离18km，地处东经114º49´00"</w:t>
      </w:r>
      <w:r>
        <w:rPr>
          <w:rFonts w:hint="eastAsia" w:ascii="仿宋" w:hAnsi="仿宋" w:eastAsia="仿宋" w:cs="Tahoma"/>
          <w:color w:val="000000"/>
          <w:kern w:val="0"/>
          <w:sz w:val="32"/>
          <w:szCs w:val="32"/>
          <w:lang w:val="en-US" w:eastAsia="zh-CN"/>
        </w:rPr>
        <w:t>-</w:t>
      </w:r>
      <w:r>
        <w:rPr>
          <w:rFonts w:hint="eastAsia" w:ascii="仿宋" w:hAnsi="仿宋" w:eastAsia="仿宋" w:cs="Tahoma"/>
          <w:color w:val="000000"/>
          <w:kern w:val="0"/>
          <w:sz w:val="32"/>
          <w:szCs w:val="32"/>
        </w:rPr>
        <w:t>115º03´22"，北纬43º45´47"</w:t>
      </w:r>
      <w:r>
        <w:rPr>
          <w:rFonts w:hint="eastAsia" w:ascii="仿宋" w:hAnsi="仿宋" w:eastAsia="仿宋" w:cs="Tahoma"/>
          <w:color w:val="000000"/>
          <w:kern w:val="0"/>
          <w:sz w:val="32"/>
          <w:szCs w:val="32"/>
          <w:lang w:val="en-US" w:eastAsia="zh-CN"/>
        </w:rPr>
        <w:t>-</w:t>
      </w:r>
      <w:r>
        <w:rPr>
          <w:rFonts w:hint="eastAsia" w:ascii="仿宋" w:hAnsi="仿宋" w:eastAsia="仿宋" w:cs="Tahoma"/>
          <w:color w:val="000000"/>
          <w:kern w:val="0"/>
          <w:sz w:val="32"/>
          <w:szCs w:val="32"/>
        </w:rPr>
        <w:t>43º58´31"之间</w:t>
      </w:r>
      <w:r>
        <w:rPr>
          <w:rFonts w:hint="eastAsia" w:ascii="仿宋" w:hAnsi="仿宋" w:eastAsia="仿宋" w:cs="Tahoma"/>
          <w:color w:val="000000"/>
          <w:kern w:val="0"/>
          <w:sz w:val="32"/>
          <w:szCs w:val="32"/>
          <w:lang w:eastAsia="zh-CN"/>
        </w:rPr>
        <w:t>。风电场面积6713.84hm</w:t>
      </w:r>
      <w:r>
        <w:rPr>
          <w:rFonts w:hint="eastAsia" w:ascii="仿宋" w:hAnsi="仿宋" w:eastAsia="仿宋" w:cs="Tahoma"/>
          <w:color w:val="000000"/>
          <w:kern w:val="0"/>
          <w:sz w:val="32"/>
          <w:szCs w:val="32"/>
          <w:vertAlign w:val="superscript"/>
          <w:lang w:eastAsia="zh-CN"/>
        </w:rPr>
        <w:t>2</w:t>
      </w:r>
      <w:r>
        <w:rPr>
          <w:rFonts w:hint="eastAsia" w:ascii="仿宋" w:hAnsi="仿宋" w:eastAsia="仿宋" w:cs="Tahoma"/>
          <w:color w:val="000000"/>
          <w:kern w:val="0"/>
          <w:sz w:val="32"/>
          <w:szCs w:val="32"/>
          <w:lang w:eastAsia="zh-CN"/>
        </w:rPr>
        <w:t>，其中，临时占地74.21hm</w:t>
      </w:r>
      <w:r>
        <w:rPr>
          <w:rFonts w:hint="eastAsia" w:ascii="仿宋" w:hAnsi="仿宋" w:eastAsia="仿宋" w:cs="Tahoma"/>
          <w:color w:val="000000"/>
          <w:kern w:val="0"/>
          <w:sz w:val="32"/>
          <w:szCs w:val="32"/>
          <w:vertAlign w:val="superscript"/>
          <w:lang w:eastAsia="zh-CN"/>
        </w:rPr>
        <w:t>2</w:t>
      </w:r>
      <w:r>
        <w:rPr>
          <w:rFonts w:hint="eastAsia" w:ascii="仿宋" w:hAnsi="仿宋" w:eastAsia="仿宋" w:cs="Tahoma"/>
          <w:color w:val="000000"/>
          <w:kern w:val="0"/>
          <w:sz w:val="32"/>
          <w:szCs w:val="32"/>
          <w:lang w:eastAsia="zh-CN"/>
        </w:rPr>
        <w:t>，永久占地为5.12hm</w:t>
      </w:r>
      <w:r>
        <w:rPr>
          <w:rFonts w:hint="eastAsia" w:ascii="仿宋" w:hAnsi="仿宋" w:eastAsia="仿宋" w:cs="Tahoma"/>
          <w:color w:val="000000"/>
          <w:kern w:val="0"/>
          <w:sz w:val="32"/>
          <w:szCs w:val="32"/>
          <w:vertAlign w:val="superscript"/>
          <w:lang w:eastAsia="zh-CN"/>
        </w:rPr>
        <w:t>2</w:t>
      </w:r>
      <w:r>
        <w:rPr>
          <w:rFonts w:hint="eastAsia" w:ascii="仿宋" w:hAnsi="仿宋" w:eastAsia="仿宋" w:cs="Tahoma"/>
          <w:color w:val="000000"/>
          <w:kern w:val="0"/>
          <w:sz w:val="32"/>
          <w:szCs w:val="32"/>
          <w:lang w:eastAsia="zh-CN"/>
        </w:rPr>
        <w:t>。风电场项目</w:t>
      </w:r>
      <w:r>
        <w:rPr>
          <w:rFonts w:hint="eastAsia" w:ascii="仿宋" w:hAnsi="仿宋" w:eastAsia="仿宋" w:cs="Tahoma"/>
          <w:color w:val="000000"/>
          <w:kern w:val="0"/>
          <w:sz w:val="32"/>
          <w:szCs w:val="32"/>
          <w:lang w:val="en-US" w:eastAsia="zh-CN"/>
        </w:rPr>
        <w:t>总</w:t>
      </w:r>
      <w:r>
        <w:rPr>
          <w:rFonts w:hint="eastAsia" w:ascii="仿宋" w:hAnsi="仿宋" w:eastAsia="仿宋" w:cs="Tahoma"/>
          <w:color w:val="000000"/>
          <w:kern w:val="0"/>
          <w:sz w:val="32"/>
          <w:szCs w:val="32"/>
          <w:lang w:eastAsia="zh-CN"/>
        </w:rPr>
        <w:t>规划容量450MW，本期为一期工程，容量为225MW，拟安装99台风电机组。本项目总投资</w:t>
      </w:r>
      <w:r>
        <w:rPr>
          <w:rFonts w:hint="eastAsia" w:ascii="仿宋" w:hAnsi="仿宋" w:eastAsia="仿宋" w:cs="Tahoma"/>
          <w:color w:val="000000"/>
          <w:kern w:val="0"/>
          <w:sz w:val="32"/>
          <w:szCs w:val="32"/>
          <w:lang w:val="en-US" w:eastAsia="zh-CN"/>
        </w:rPr>
        <w:t>184201.89</w:t>
      </w:r>
      <w:r>
        <w:rPr>
          <w:rFonts w:hint="eastAsia" w:ascii="仿宋" w:hAnsi="仿宋" w:eastAsia="仿宋" w:cs="Tahoma"/>
          <w:color w:val="000000"/>
          <w:kern w:val="0"/>
          <w:sz w:val="32"/>
          <w:szCs w:val="32"/>
          <w:lang w:eastAsia="zh-CN"/>
        </w:rPr>
        <w:t>万元，环保投资</w:t>
      </w:r>
      <w:r>
        <w:rPr>
          <w:rFonts w:hint="eastAsia" w:ascii="仿宋" w:hAnsi="仿宋" w:eastAsia="仿宋" w:cs="Tahoma"/>
          <w:color w:val="000000"/>
          <w:kern w:val="0"/>
          <w:sz w:val="32"/>
          <w:szCs w:val="32"/>
          <w:lang w:val="en-US" w:eastAsia="zh-CN"/>
        </w:rPr>
        <w:t>355.8</w:t>
      </w:r>
      <w:r>
        <w:rPr>
          <w:rFonts w:hint="eastAsia" w:ascii="仿宋" w:hAnsi="仿宋" w:eastAsia="仿宋" w:cs="Tahoma"/>
          <w:color w:val="000000"/>
          <w:kern w:val="0"/>
          <w:sz w:val="32"/>
          <w:szCs w:val="32"/>
          <w:lang w:eastAsia="zh-CN"/>
        </w:rPr>
        <w:t>万元，占项目总投资的</w:t>
      </w:r>
      <w:r>
        <w:rPr>
          <w:rFonts w:hint="eastAsia" w:ascii="仿宋" w:hAnsi="仿宋" w:eastAsia="仿宋" w:cs="Tahoma"/>
          <w:color w:val="000000"/>
          <w:kern w:val="0"/>
          <w:sz w:val="32"/>
          <w:szCs w:val="32"/>
          <w:lang w:val="en-US" w:eastAsia="zh-CN"/>
        </w:rPr>
        <w:t>0.19</w:t>
      </w:r>
      <w:r>
        <w:rPr>
          <w:rFonts w:hint="eastAsia" w:ascii="仿宋" w:hAnsi="仿宋" w:eastAsia="仿宋" w:cs="Tahoma"/>
          <w:color w:val="000000"/>
          <w:kern w:val="0"/>
          <w:sz w:val="32"/>
          <w:szCs w:val="32"/>
          <w:lang w:eastAsia="zh-CN"/>
        </w:rPr>
        <w:t>%。</w:t>
      </w:r>
    </w:p>
    <w:p>
      <w:pPr>
        <w:spacing w:line="580" w:lineRule="exact"/>
        <w:ind w:firstLine="697" w:firstLineChars="218"/>
        <w:rPr>
          <w:rFonts w:hint="eastAsia" w:ascii="仿宋" w:hAnsi="仿宋" w:eastAsia="仿宋" w:cs="仿宋"/>
          <w:color w:val="000000"/>
          <w:sz w:val="32"/>
          <w:szCs w:val="32"/>
        </w:rPr>
      </w:pPr>
      <w:r>
        <w:rPr>
          <w:rFonts w:hint="eastAsia" w:ascii="仿宋" w:hAnsi="仿宋" w:eastAsia="仿宋" w:cs="Tahoma"/>
          <w:color w:val="000000"/>
          <w:kern w:val="0"/>
          <w:sz w:val="32"/>
          <w:szCs w:val="32"/>
        </w:rPr>
        <w:t>本项目不属于《产业结构调整指导目录（2013年修订）》中限制类和淘汰类项目</w:t>
      </w:r>
      <w:r>
        <w:rPr>
          <w:rFonts w:hint="eastAsia" w:ascii="仿宋" w:hAnsi="仿宋" w:eastAsia="仿宋" w:cs="Tahoma"/>
          <w:color w:val="000000"/>
          <w:kern w:val="0"/>
          <w:sz w:val="32"/>
          <w:szCs w:val="32"/>
          <w:lang w:eastAsia="zh-CN"/>
        </w:rPr>
        <w:t>；</w:t>
      </w:r>
      <w:r>
        <w:rPr>
          <w:rFonts w:hint="eastAsia" w:ascii="仿宋" w:hAnsi="仿宋" w:eastAsia="仿宋" w:cs="Tahoma"/>
          <w:color w:val="000000"/>
          <w:kern w:val="0"/>
          <w:sz w:val="32"/>
          <w:szCs w:val="32"/>
        </w:rPr>
        <w:t>《可再生能源产业发展指导目录》中明确支持鼓励项目“并网型风力发电”。</w:t>
      </w:r>
      <w:r>
        <w:rPr>
          <w:rFonts w:hint="eastAsia" w:ascii="仿宋" w:hAnsi="仿宋" w:eastAsia="仿宋" w:cs="Tahoma"/>
          <w:color w:val="000000"/>
          <w:kern w:val="0"/>
          <w:sz w:val="32"/>
          <w:szCs w:val="32"/>
          <w:lang w:eastAsia="zh-CN"/>
        </w:rPr>
        <w:t>项目已取得</w:t>
      </w:r>
      <w:r>
        <w:rPr>
          <w:rFonts w:hint="eastAsia" w:ascii="仿宋" w:hAnsi="仿宋" w:eastAsia="仿宋" w:cs="Tahoma"/>
          <w:color w:val="000000"/>
          <w:kern w:val="0"/>
          <w:sz w:val="32"/>
          <w:szCs w:val="32"/>
        </w:rPr>
        <w:t>锡林郭勒盟发改委</w:t>
      </w:r>
      <w:r>
        <w:rPr>
          <w:rFonts w:hint="eastAsia" w:ascii="仿宋" w:hAnsi="仿宋" w:eastAsia="仿宋" w:cs="Tahoma"/>
          <w:color w:val="000000"/>
          <w:kern w:val="0"/>
          <w:sz w:val="32"/>
          <w:szCs w:val="32"/>
          <w:lang w:eastAsia="zh-CN"/>
        </w:rPr>
        <w:t>（锡发改发字</w:t>
      </w:r>
      <w:r>
        <w:rPr>
          <w:rFonts w:hint="eastAsia" w:ascii="仿宋" w:hAnsi="仿宋" w:eastAsia="仿宋" w:cs="Tahoma"/>
          <w:color w:val="000000"/>
          <w:kern w:val="0"/>
          <w:sz w:val="32"/>
          <w:szCs w:val="32"/>
        </w:rPr>
        <w:t>〔</w:t>
      </w:r>
      <w:r>
        <w:rPr>
          <w:rFonts w:hint="eastAsia" w:ascii="仿宋" w:hAnsi="仿宋" w:eastAsia="仿宋" w:cs="Tahoma"/>
          <w:color w:val="000000"/>
          <w:kern w:val="0"/>
          <w:sz w:val="32"/>
          <w:szCs w:val="32"/>
          <w:lang w:val="en-US" w:eastAsia="zh-CN"/>
        </w:rPr>
        <w:t>2017</w:t>
      </w:r>
      <w:r>
        <w:rPr>
          <w:rFonts w:hint="eastAsia" w:ascii="仿宋" w:hAnsi="仿宋" w:eastAsia="仿宋" w:cs="Tahoma"/>
          <w:color w:val="000000"/>
          <w:kern w:val="0"/>
          <w:sz w:val="32"/>
          <w:szCs w:val="32"/>
        </w:rPr>
        <w:t>〕</w:t>
      </w:r>
      <w:r>
        <w:rPr>
          <w:rFonts w:hint="eastAsia" w:ascii="仿宋" w:hAnsi="仿宋" w:eastAsia="仿宋" w:cs="Tahoma"/>
          <w:color w:val="000000"/>
          <w:kern w:val="0"/>
          <w:sz w:val="32"/>
          <w:szCs w:val="32"/>
          <w:lang w:val="en-US" w:eastAsia="zh-CN"/>
        </w:rPr>
        <w:t>68号</w:t>
      </w:r>
      <w:r>
        <w:rPr>
          <w:rFonts w:hint="eastAsia" w:ascii="仿宋" w:hAnsi="仿宋" w:eastAsia="仿宋" w:cs="Tahoma"/>
          <w:color w:val="000000"/>
          <w:kern w:val="0"/>
          <w:sz w:val="32"/>
          <w:szCs w:val="32"/>
          <w:lang w:eastAsia="zh-CN"/>
        </w:rPr>
        <w:t>）</w:t>
      </w:r>
      <w:r>
        <w:rPr>
          <w:rFonts w:hint="eastAsia" w:ascii="仿宋" w:hAnsi="仿宋" w:eastAsia="仿宋" w:cs="Tahoma"/>
          <w:color w:val="000000"/>
          <w:kern w:val="0"/>
          <w:sz w:val="32"/>
          <w:szCs w:val="32"/>
        </w:rPr>
        <w:t>关于中国能源建设集团锡林郭勒盟阿旗225MW风电项目</w:t>
      </w:r>
      <w:r>
        <w:rPr>
          <w:rFonts w:hint="eastAsia" w:ascii="仿宋" w:hAnsi="仿宋" w:eastAsia="仿宋" w:cs="Tahoma"/>
          <w:color w:val="000000"/>
          <w:kern w:val="0"/>
          <w:sz w:val="32"/>
          <w:szCs w:val="32"/>
          <w:lang w:eastAsia="zh-CN"/>
        </w:rPr>
        <w:t>核准的批复文件。</w:t>
      </w:r>
      <w:r>
        <w:rPr>
          <w:rFonts w:hint="eastAsia" w:ascii="仿宋" w:hAnsi="仿宋" w:eastAsia="仿宋" w:cs="Tahoma"/>
          <w:color w:val="000000"/>
          <w:kern w:val="0"/>
          <w:sz w:val="32"/>
          <w:szCs w:val="32"/>
        </w:rPr>
        <w:t>因此，本项目的建设符合国家产业政策。</w:t>
      </w:r>
      <w:r>
        <w:rPr>
          <w:rFonts w:hint="eastAsia" w:ascii="仿宋" w:hAnsi="仿宋" w:eastAsia="仿宋" w:cs="仿宋"/>
          <w:color w:val="000000"/>
          <w:sz w:val="32"/>
          <w:szCs w:val="32"/>
        </w:rPr>
        <w:t>建设单位在全面落实《报告书》和本批复规定的各项生态破坏和环境污染措施后，对环境影响能够得到有效缓解和控制。我局同意你公司按照《报告书》所列建设项目的性质、规模、地点、环境保护对策措施及下述要求进行建设。</w:t>
      </w:r>
    </w:p>
    <w:p>
      <w:pPr>
        <w:spacing w:line="580" w:lineRule="exact"/>
        <w:ind w:firstLine="700" w:firstLineChars="218"/>
        <w:rPr>
          <w:rFonts w:hint="eastAsia" w:ascii="仿宋" w:hAnsi="仿宋" w:eastAsia="仿宋" w:cs="Tahoma"/>
          <w:b/>
          <w:bCs/>
          <w:color w:val="000000"/>
          <w:kern w:val="0"/>
          <w:sz w:val="32"/>
          <w:szCs w:val="32"/>
        </w:rPr>
      </w:pPr>
      <w:r>
        <w:rPr>
          <w:rFonts w:hint="eastAsia" w:ascii="仿宋" w:hAnsi="仿宋" w:eastAsia="仿宋" w:cs="Tahoma"/>
          <w:b/>
          <w:bCs/>
          <w:color w:val="000000"/>
          <w:kern w:val="0"/>
          <w:sz w:val="32"/>
          <w:szCs w:val="32"/>
        </w:rPr>
        <w:t>二、项目在建设和运营过程中应重点做好以下工作：</w:t>
      </w:r>
    </w:p>
    <w:p>
      <w:pPr>
        <w:spacing w:line="580" w:lineRule="exact"/>
        <w:ind w:firstLine="697" w:firstLineChars="218"/>
        <w:rPr>
          <w:rFonts w:hint="eastAsia" w:ascii="仿宋" w:hAnsi="仿宋" w:eastAsia="仿宋" w:cs="Tahoma"/>
          <w:color w:val="000000"/>
          <w:kern w:val="0"/>
          <w:sz w:val="32"/>
          <w:szCs w:val="32"/>
        </w:rPr>
      </w:pPr>
      <w:r>
        <w:rPr>
          <w:rFonts w:hint="eastAsia" w:ascii="仿宋" w:hAnsi="仿宋" w:eastAsia="仿宋" w:cs="Tahoma"/>
          <w:color w:val="000000"/>
          <w:kern w:val="0"/>
          <w:sz w:val="32"/>
          <w:szCs w:val="32"/>
        </w:rPr>
        <w:t>（一）建设期：</w:t>
      </w:r>
    </w:p>
    <w:p>
      <w:pPr>
        <w:spacing w:line="580" w:lineRule="exact"/>
        <w:ind w:firstLine="697" w:firstLineChars="218"/>
        <w:rPr>
          <w:rFonts w:hint="eastAsia" w:ascii="仿宋" w:hAnsi="仿宋" w:eastAsia="仿宋" w:cs="Tahoma"/>
          <w:color w:val="000000"/>
          <w:kern w:val="0"/>
          <w:sz w:val="32"/>
          <w:szCs w:val="32"/>
        </w:rPr>
      </w:pPr>
      <w:r>
        <w:rPr>
          <w:rFonts w:hint="eastAsia" w:ascii="仿宋" w:hAnsi="仿宋" w:eastAsia="仿宋" w:cs="Tahoma"/>
          <w:color w:val="000000"/>
          <w:kern w:val="0"/>
          <w:sz w:val="32"/>
          <w:szCs w:val="32"/>
        </w:rPr>
        <w:t>1、要严格按照《报告表》和设计文件的要求组织施工。加强施工期的环境保护工作，严格落实建筑施工期的环保措施，施工车辆须按规定线路行驶，对施工场地、施工便道采取洒水降尘等措施，减少施工扬尘污染。</w:t>
      </w:r>
    </w:p>
    <w:p>
      <w:pPr>
        <w:spacing w:line="580" w:lineRule="exact"/>
        <w:ind w:firstLine="697" w:firstLineChars="218"/>
        <w:rPr>
          <w:rFonts w:hint="eastAsia" w:ascii="仿宋" w:hAnsi="仿宋" w:eastAsia="仿宋" w:cs="Tahoma"/>
          <w:color w:val="000000"/>
          <w:kern w:val="0"/>
          <w:sz w:val="32"/>
          <w:szCs w:val="32"/>
        </w:rPr>
      </w:pPr>
      <w:r>
        <w:rPr>
          <w:rFonts w:hint="eastAsia" w:ascii="仿宋" w:hAnsi="仿宋" w:eastAsia="仿宋" w:cs="Tahoma"/>
          <w:color w:val="000000"/>
          <w:kern w:val="0"/>
          <w:sz w:val="32"/>
          <w:szCs w:val="32"/>
        </w:rPr>
        <w:t>2、合理布局，采取低噪声设备和防噪措施，做到建筑施工场界噪声限值达标。要合理安排施工时段，避免施工噪声扰民。施工结束后及时进行植被恢复。施工时产生的弃土、弃石要填充低洼地带，不得破坏原地貌及景观。使植被覆盖率达到设计要求。</w:t>
      </w:r>
    </w:p>
    <w:p>
      <w:pPr>
        <w:spacing w:line="580" w:lineRule="exact"/>
        <w:ind w:firstLine="697" w:firstLineChars="218"/>
        <w:rPr>
          <w:rFonts w:hint="eastAsia" w:ascii="仿宋" w:hAnsi="仿宋" w:eastAsia="仿宋" w:cs="Tahoma"/>
          <w:color w:val="000000"/>
          <w:kern w:val="0"/>
          <w:sz w:val="32"/>
          <w:szCs w:val="32"/>
        </w:rPr>
      </w:pPr>
      <w:r>
        <w:rPr>
          <w:rFonts w:hint="eastAsia" w:ascii="仿宋" w:hAnsi="仿宋" w:eastAsia="仿宋" w:cs="Tahoma"/>
          <w:color w:val="000000"/>
          <w:kern w:val="0"/>
          <w:sz w:val="32"/>
          <w:szCs w:val="32"/>
        </w:rPr>
        <w:t>3、工程弃渣及建筑垃圾统一管理和处置，不得随意堆放。施工人员生活垃圾要定点收贮、及时清运，防止飞扬、逸散。</w:t>
      </w:r>
    </w:p>
    <w:p>
      <w:pPr>
        <w:spacing w:line="580" w:lineRule="exact"/>
        <w:ind w:firstLine="697" w:firstLineChars="218"/>
        <w:rPr>
          <w:rFonts w:hint="eastAsia" w:ascii="仿宋" w:hAnsi="仿宋" w:eastAsia="仿宋" w:cs="Tahoma"/>
          <w:color w:val="000000"/>
          <w:kern w:val="0"/>
          <w:sz w:val="32"/>
          <w:szCs w:val="32"/>
        </w:rPr>
      </w:pPr>
      <w:r>
        <w:rPr>
          <w:rFonts w:hint="eastAsia" w:ascii="仿宋" w:hAnsi="仿宋" w:eastAsia="仿宋" w:cs="Tahoma"/>
          <w:color w:val="000000"/>
          <w:kern w:val="0"/>
          <w:sz w:val="32"/>
          <w:szCs w:val="32"/>
        </w:rPr>
        <w:t>4、落实生态保护措施以及环境保护设施投资概算。并将环保设施建设纳入施工合同。</w:t>
      </w:r>
    </w:p>
    <w:p>
      <w:pPr>
        <w:spacing w:line="580" w:lineRule="exact"/>
        <w:ind w:firstLine="697" w:firstLineChars="218"/>
        <w:rPr>
          <w:rFonts w:hint="eastAsia" w:ascii="仿宋" w:hAnsi="仿宋" w:eastAsia="仿宋" w:cs="Tahoma"/>
          <w:color w:val="000000"/>
          <w:kern w:val="0"/>
          <w:sz w:val="32"/>
          <w:szCs w:val="32"/>
        </w:rPr>
      </w:pPr>
      <w:r>
        <w:rPr>
          <w:rFonts w:hint="eastAsia" w:ascii="仿宋" w:hAnsi="仿宋" w:eastAsia="仿宋" w:cs="Tahoma"/>
          <w:color w:val="000000"/>
          <w:kern w:val="0"/>
          <w:sz w:val="32"/>
          <w:szCs w:val="32"/>
        </w:rPr>
        <w:t>5、项目建设期建设单位根据自身技术力量自行或委托有资质的单位组织开展环境监理工作，确保污染防治设施及生态治理工程与主体工程“三同时”。</w:t>
      </w:r>
    </w:p>
    <w:p>
      <w:pPr>
        <w:spacing w:line="580" w:lineRule="exact"/>
        <w:ind w:firstLine="697" w:firstLineChars="218"/>
        <w:rPr>
          <w:rFonts w:hint="eastAsia" w:ascii="仿宋" w:hAnsi="仿宋" w:eastAsia="仿宋" w:cs="Tahoma"/>
          <w:color w:val="000000"/>
          <w:kern w:val="0"/>
          <w:sz w:val="32"/>
          <w:szCs w:val="32"/>
        </w:rPr>
      </w:pPr>
      <w:r>
        <w:rPr>
          <w:rFonts w:hint="eastAsia" w:ascii="仿宋" w:hAnsi="仿宋" w:eastAsia="仿宋" w:cs="Tahoma"/>
          <w:color w:val="000000"/>
          <w:kern w:val="0"/>
          <w:sz w:val="32"/>
          <w:szCs w:val="32"/>
        </w:rPr>
        <w:t>6、项目竣工后，建设单位按规定的标准和程序</w:t>
      </w:r>
      <w:bookmarkStart w:id="0" w:name="_GoBack"/>
      <w:bookmarkEnd w:id="0"/>
      <w:r>
        <w:rPr>
          <w:rFonts w:hint="eastAsia" w:ascii="仿宋" w:hAnsi="仿宋" w:eastAsia="仿宋" w:cs="Tahoma"/>
          <w:color w:val="000000"/>
          <w:kern w:val="0"/>
          <w:sz w:val="32"/>
          <w:szCs w:val="32"/>
        </w:rPr>
        <w:t>组织验收，验收合格后方可正式投运。</w:t>
      </w:r>
    </w:p>
    <w:p>
      <w:pPr>
        <w:spacing w:line="580" w:lineRule="exact"/>
        <w:ind w:firstLine="697" w:firstLineChars="218"/>
        <w:rPr>
          <w:rFonts w:hint="eastAsia" w:ascii="仿宋" w:hAnsi="仿宋" w:eastAsia="仿宋" w:cs="Tahoma"/>
          <w:color w:val="000000"/>
          <w:kern w:val="0"/>
          <w:sz w:val="32"/>
          <w:szCs w:val="32"/>
        </w:rPr>
      </w:pPr>
      <w:r>
        <w:rPr>
          <w:rFonts w:hint="eastAsia" w:ascii="仿宋" w:hAnsi="仿宋" w:eastAsia="仿宋" w:cs="Tahoma"/>
          <w:color w:val="000000"/>
          <w:kern w:val="0"/>
          <w:sz w:val="32"/>
          <w:szCs w:val="32"/>
        </w:rPr>
        <w:t>（二）营运期：</w:t>
      </w:r>
    </w:p>
    <w:p>
      <w:pPr>
        <w:spacing w:line="580" w:lineRule="exact"/>
        <w:ind w:firstLine="697" w:firstLineChars="218"/>
        <w:rPr>
          <w:rFonts w:hint="eastAsia" w:ascii="仿宋" w:hAnsi="仿宋" w:eastAsia="仿宋" w:cs="Tahoma"/>
          <w:color w:val="000000"/>
          <w:kern w:val="0"/>
          <w:sz w:val="32"/>
          <w:szCs w:val="32"/>
        </w:rPr>
      </w:pPr>
      <w:r>
        <w:rPr>
          <w:rFonts w:hint="eastAsia" w:ascii="仿宋" w:hAnsi="仿宋" w:eastAsia="仿宋" w:cs="Tahoma"/>
          <w:color w:val="000000"/>
          <w:kern w:val="0"/>
          <w:sz w:val="32"/>
          <w:szCs w:val="32"/>
        </w:rPr>
        <w:t>1、噪声源应采取必要的减噪措施，厂界噪声必须满足《工业企业厂界环境噪声排放标准》（GB12348—2008）2类标准限值的要求。</w:t>
      </w:r>
    </w:p>
    <w:p>
      <w:pPr>
        <w:spacing w:line="580" w:lineRule="exact"/>
        <w:ind w:firstLine="697" w:firstLineChars="218"/>
        <w:rPr>
          <w:rFonts w:hint="eastAsia" w:ascii="仿宋" w:hAnsi="仿宋" w:eastAsia="仿宋" w:cs="Tahoma"/>
          <w:color w:val="000000"/>
          <w:kern w:val="0"/>
          <w:sz w:val="32"/>
          <w:szCs w:val="32"/>
        </w:rPr>
      </w:pPr>
      <w:r>
        <w:rPr>
          <w:rFonts w:hint="eastAsia" w:ascii="仿宋" w:hAnsi="仿宋" w:eastAsia="仿宋" w:cs="Tahoma"/>
          <w:color w:val="000000"/>
          <w:kern w:val="0"/>
          <w:sz w:val="32"/>
          <w:szCs w:val="32"/>
        </w:rPr>
        <w:t>2、生活废水经处理后要达到《城市污水再生利用  城市杂用水水质》（GB/T18920-2002）标准，达标后首先考虑作为升压站绿化用水，不得外排。产生的含油污水委托有资质的单位集中处置，不得外排。</w:t>
      </w:r>
    </w:p>
    <w:p>
      <w:pPr>
        <w:spacing w:line="580" w:lineRule="exact"/>
        <w:ind w:firstLine="697" w:firstLineChars="218"/>
        <w:rPr>
          <w:rFonts w:hint="eastAsia" w:ascii="仿宋" w:hAnsi="仿宋" w:eastAsia="仿宋" w:cs="Tahoma"/>
          <w:color w:val="000000"/>
          <w:kern w:val="0"/>
          <w:sz w:val="32"/>
          <w:szCs w:val="32"/>
        </w:rPr>
      </w:pPr>
      <w:r>
        <w:rPr>
          <w:rFonts w:hint="eastAsia" w:ascii="仿宋" w:hAnsi="仿宋" w:eastAsia="仿宋" w:cs="Tahoma"/>
          <w:color w:val="000000"/>
          <w:kern w:val="0"/>
          <w:sz w:val="32"/>
          <w:szCs w:val="32"/>
        </w:rPr>
        <w:t>3、设备检修产生的维修垃圾使用专门容器暂存，容器外按要求粘贴相应的危险警示的标志，暂存在危险废物暂存间，建立危险废物收集、贮存、运输等管理制度，危险废物暂存需要满足《危险废物贮存污染控制标准》（GB18597-2001）中要求，委托有危废处理资质的单位处置。</w:t>
      </w:r>
    </w:p>
    <w:p>
      <w:pPr>
        <w:spacing w:line="580" w:lineRule="exact"/>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rPr>
        <w:t>我局委托</w:t>
      </w:r>
      <w:r>
        <w:rPr>
          <w:rFonts w:hint="eastAsia" w:ascii="仿宋" w:hAnsi="仿宋" w:eastAsia="仿宋" w:cs="仿宋"/>
          <w:color w:val="000000"/>
          <w:sz w:val="32"/>
          <w:szCs w:val="32"/>
          <w:lang w:eastAsia="zh-CN"/>
        </w:rPr>
        <w:t>阿巴嘎旗环境保护局</w:t>
      </w:r>
      <w:r>
        <w:rPr>
          <w:rFonts w:hint="eastAsia" w:ascii="仿宋" w:hAnsi="仿宋" w:eastAsia="仿宋" w:cs="仿宋"/>
          <w:color w:val="000000"/>
          <w:sz w:val="32"/>
          <w:szCs w:val="32"/>
        </w:rPr>
        <w:t>和盟环境监察支队负责该项目施工期和运营期日常监管。请建设单位将该项目《报告书》和本批复送以上两个监管单位各一份。</w:t>
      </w:r>
    </w:p>
    <w:p>
      <w:pPr>
        <w:spacing w:line="580" w:lineRule="exact"/>
        <w:ind w:firstLine="9280" w:firstLineChars="2900"/>
        <w:rPr>
          <w:rFonts w:hint="eastAsia" w:ascii="仿宋" w:hAnsi="仿宋" w:eastAsia="仿宋"/>
          <w:sz w:val="32"/>
          <w:szCs w:val="32"/>
        </w:rPr>
      </w:pPr>
    </w:p>
    <w:p>
      <w:pPr>
        <w:spacing w:line="580" w:lineRule="exact"/>
        <w:ind w:firstLine="5120" w:firstLineChars="1600"/>
        <w:rPr>
          <w:rFonts w:hint="eastAsia" w:ascii="仿宋" w:hAnsi="仿宋" w:eastAsia="仿宋" w:cs="仿宋"/>
          <w:color w:val="000000"/>
          <w:sz w:val="32"/>
          <w:szCs w:val="32"/>
        </w:rPr>
      </w:pPr>
    </w:p>
    <w:p>
      <w:pPr>
        <w:spacing w:line="580" w:lineRule="exact"/>
        <w:ind w:firstLine="5120" w:firstLineChars="1600"/>
        <w:rPr>
          <w:rFonts w:hint="eastAsia" w:ascii="仿宋" w:hAnsi="仿宋" w:eastAsia="仿宋" w:cs="仿宋"/>
          <w:color w:val="000000"/>
          <w:sz w:val="32"/>
          <w:szCs w:val="32"/>
        </w:rPr>
      </w:pPr>
    </w:p>
    <w:p>
      <w:pPr>
        <w:spacing w:line="580" w:lineRule="exact"/>
        <w:ind w:firstLine="5120" w:firstLineChars="1600"/>
        <w:rPr>
          <w:rFonts w:hint="eastAsia" w:ascii="仿宋" w:hAnsi="仿宋" w:eastAsia="仿宋" w:cs="仿宋"/>
          <w:color w:val="000000"/>
          <w:sz w:val="32"/>
          <w:szCs w:val="32"/>
        </w:rPr>
      </w:pPr>
    </w:p>
    <w:p>
      <w:pPr>
        <w:spacing w:line="580" w:lineRule="exact"/>
        <w:ind w:firstLine="5120" w:firstLineChars="1600"/>
        <w:rPr>
          <w:rFonts w:hint="eastAsia" w:ascii="仿宋" w:hAnsi="仿宋" w:eastAsia="仿宋" w:cs="仿宋"/>
          <w:color w:val="000000"/>
          <w:sz w:val="32"/>
          <w:szCs w:val="32"/>
        </w:rPr>
      </w:pPr>
    </w:p>
    <w:p>
      <w:pPr>
        <w:spacing w:line="580" w:lineRule="exact"/>
        <w:ind w:firstLine="5120" w:firstLineChars="1600"/>
        <w:rPr>
          <w:rFonts w:hint="eastAsia" w:ascii="仿宋" w:hAnsi="仿宋" w:eastAsia="仿宋" w:cs="仿宋"/>
          <w:color w:val="000000"/>
          <w:sz w:val="32"/>
          <w:szCs w:val="32"/>
        </w:rPr>
      </w:pPr>
      <w:r>
        <w:rPr>
          <w:rFonts w:hint="eastAsia" w:ascii="仿宋" w:hAnsi="仿宋" w:eastAsia="仿宋" w:cs="仿宋"/>
          <w:color w:val="000000"/>
          <w:sz w:val="32"/>
          <w:szCs w:val="32"/>
        </w:rPr>
        <w:t>2017年12月20日</w:t>
      </w:r>
    </w:p>
    <w:p>
      <w:pPr>
        <w:spacing w:line="580" w:lineRule="exact"/>
        <w:rPr>
          <w:rFonts w:hint="eastAsia" w:ascii="仿宋" w:hAnsi="仿宋" w:eastAsia="仿宋" w:cs="仿宋"/>
          <w:color w:val="000000"/>
          <w:sz w:val="32"/>
          <w:szCs w:val="32"/>
        </w:rPr>
      </w:pPr>
    </w:p>
    <w:p>
      <w:pPr>
        <w:spacing w:line="580" w:lineRule="exact"/>
        <w:ind w:firstLine="640" w:firstLineChars="200"/>
        <w:rPr>
          <w:rFonts w:hint="eastAsia" w:ascii="仿宋" w:hAnsi="仿宋" w:eastAsia="仿宋" w:cs="仿宋"/>
          <w:color w:val="000000"/>
          <w:sz w:val="32"/>
          <w:szCs w:val="32"/>
        </w:rPr>
      </w:pPr>
      <w:r>
        <w:rPr>
          <w:rFonts w:hint="eastAsia" w:ascii="仿宋" w:hAnsi="仿宋" w:eastAsia="仿宋" w:cs="仿宋"/>
          <w:color w:val="000000"/>
          <w:sz w:val="32"/>
          <w:szCs w:val="32"/>
        </w:rPr>
        <w:t>抄送：</w:t>
      </w:r>
      <w:r>
        <w:rPr>
          <w:rFonts w:hint="eastAsia" w:ascii="仿宋" w:hAnsi="仿宋" w:eastAsia="仿宋" w:cs="仿宋"/>
          <w:color w:val="000000"/>
          <w:sz w:val="32"/>
          <w:szCs w:val="32"/>
          <w:lang w:eastAsia="zh-CN"/>
        </w:rPr>
        <w:t>阿巴嘎旗环境保护局</w:t>
      </w:r>
      <w:r>
        <w:rPr>
          <w:rFonts w:hint="eastAsia" w:ascii="仿宋" w:hAnsi="仿宋" w:eastAsia="仿宋" w:cs="仿宋"/>
          <w:color w:val="000000"/>
          <w:sz w:val="32"/>
          <w:szCs w:val="32"/>
        </w:rPr>
        <w:t>、盟环境监察支队、盟环境工程评估中心。</w:t>
      </w:r>
    </w:p>
    <w:p>
      <w:pPr>
        <w:spacing w:line="580" w:lineRule="exact"/>
        <w:rPr>
          <w:rFonts w:ascii="仿宋" w:hAnsi="仿宋" w:eastAsia="仿宋"/>
          <w:sz w:val="32"/>
          <w:szCs w:val="3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A0204"/>
    <w:charset w:val="00"/>
    <w:family w:val="roman"/>
    <w:pitch w:val="default"/>
    <w:sig w:usb0="E00002FF" w:usb1="4000045F" w:usb2="00000000" w:usb3="00000000" w:csb0="2000019F" w:csb1="00000000"/>
  </w:font>
  <w:font w:name="Calibri">
    <w:panose1 w:val="020F0502020204030204"/>
    <w:charset w:val="00"/>
    <w:family w:val="swiss"/>
    <w:pitch w:val="default"/>
    <w:sig w:usb0="E10002FF" w:usb1="4000ACFF" w:usb2="00000009" w:usb3="00000000" w:csb0="2000019F" w:csb1="00000000"/>
  </w:font>
  <w:font w:name="仿宋">
    <w:panose1 w:val="02010609060101010101"/>
    <w:charset w:val="86"/>
    <w:family w:val="modern"/>
    <w:pitch w:val="default"/>
    <w:sig w:usb0="800002BF" w:usb1="38CF7CFA" w:usb2="00000016" w:usb3="00000000" w:csb0="00040001" w:csb1="00000000"/>
  </w:font>
  <w:font w:name="Tahoma">
    <w:panose1 w:val="020B0604030504040204"/>
    <w:charset w:val="00"/>
    <w:family w:val="swiss"/>
    <w:pitch w:val="default"/>
    <w:sig w:usb0="E1002EFF" w:usb1="C000605B" w:usb2="00000029" w:usb3="00000000" w:csb0="200101FF" w:csb1="20280000"/>
  </w:font>
  <w:font w:name="仿宋_GB2312">
    <w:altName w:val="仿宋"/>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Arial">
    <w:panose1 w:val="020B0604020202020204"/>
    <w:charset w:val="00"/>
    <w:family w:val="auto"/>
    <w:pitch w:val="default"/>
    <w:sig w:usb0="E0002AFF" w:usb1="C0007843" w:usb2="00000009" w:usb3="00000000" w:csb0="400001FF" w:csb1="FFFF0000"/>
  </w:font>
  <w:font w:name="Courier New">
    <w:panose1 w:val="02070309020205020404"/>
    <w:charset w:val="00"/>
    <w:family w:val="modern"/>
    <w:pitch w:val="default"/>
    <w:sig w:usb0="E0002AFF" w:usb1="C0007843" w:usb2="00000009" w:usb3="00000000" w:csb0="400001FF" w:csb1="FFFF0000"/>
  </w:font>
  <w:font w:name="ˎ̥">
    <w:altName w:val="Times New Roman"/>
    <w:panose1 w:val="00000000000000000000"/>
    <w:charset w:val="00"/>
    <w:family w:val="roman"/>
    <w:pitch w:val="default"/>
    <w:sig w:usb0="00000000" w:usb1="00000000" w:usb2="00000000" w:usb3="00000000" w:csb0="00000000" w:csb1="00000000"/>
  </w:font>
  <w:font w:name="Arial Unicode MS">
    <w:altName w:val="宋体"/>
    <w:panose1 w:val="020B0604020202020204"/>
    <w:charset w:val="86"/>
    <w:family w:val="swiss"/>
    <w:pitch w:val="default"/>
    <w:sig w:usb0="00000000" w:usb1="00000000" w:usb2="0000003F" w:usb3="00000000" w:csb0="003F01FF" w:csb1="00000000"/>
  </w:font>
  <w:font w:name="楷体_GB2312">
    <w:altName w:val="楷体"/>
    <w:panose1 w:val="00000000000000000000"/>
    <w:charset w:val="86"/>
    <w:family w:val="modern"/>
    <w:pitch w:val="default"/>
    <w:sig w:usb0="00000000" w:usb1="00000000" w:usb2="00000010" w:usb3="00000000" w:csb0="00040000" w:csb1="00000000"/>
  </w:font>
  <w:font w:name="华文中宋">
    <w:altName w:val="宋体"/>
    <w:panose1 w:val="02010600040101010101"/>
    <w:charset w:val="86"/>
    <w:family w:val="auto"/>
    <w:pitch w:val="default"/>
    <w:sig w:usb0="00000000" w:usb1="00000000" w:usb2="00000010" w:usb3="00000000" w:csb0="0004009F" w:csb1="00000000"/>
  </w:font>
  <w:font w:name="仿宋_GB2312">
    <w:altName w:val="仿宋"/>
    <w:panose1 w:val="00000000000000000000"/>
    <w:charset w:val="00"/>
    <w:family w:val="auto"/>
    <w:pitch w:val="default"/>
    <w:sig w:usb0="00000000" w:usb1="00000000" w:usb2="00000000" w:usb3="00000000" w:csb0="00000000" w:csb1="00000000"/>
  </w:font>
  <w:font w:name="汉鼎简书宋">
    <w:altName w:val="宋体"/>
    <w:panose1 w:val="00000000000000000000"/>
    <w:charset w:val="86"/>
    <w:family w:val="modern"/>
    <w:pitch w:val="default"/>
    <w:sig w:usb0="00000000" w:usb1="00000000" w:usb2="00000010" w:usb3="00000000" w:csb0="00040000" w:csb1="00000000"/>
  </w:font>
  <w:font w:name="MS Mincho">
    <w:panose1 w:val="02020609040205080304"/>
    <w:charset w:val="80"/>
    <w:family w:val="roman"/>
    <w:pitch w:val="default"/>
    <w:sig w:usb0="E00002FF" w:usb1="6AC7FDFB" w:usb2="00000012" w:usb3="00000000" w:csb0="4002009F" w:csb1="DFD70000"/>
  </w:font>
  <w:font w:name="Arial Unicode MS">
    <w:altName w:val="Arial"/>
    <w:panose1 w:val="020B0604020202020204"/>
    <w:charset w:val="00"/>
    <w:family w:val="roman"/>
    <w:pitch w:val="default"/>
    <w:sig w:usb0="00000000" w:usb1="00000000" w:usb2="00000000" w:usb3="00000000" w:csb0="00000001" w:csb1="00000000"/>
  </w:font>
  <w:font w:name="_x000B__x000C_">
    <w:altName w:val="Times New Roman"/>
    <w:panose1 w:val="00000000000000000000"/>
    <w:charset w:val="00"/>
    <w:family w:val="roman"/>
    <w:pitch w:val="default"/>
    <w:sig w:usb0="00000000" w:usb1="00000000" w:usb2="00000000" w:usb3="00000000" w:csb0="00000001" w:csb1="00000000"/>
  </w:font>
  <w:font w:name="ˎ̥">
    <w:altName w:val="Times New Roman"/>
    <w:panose1 w:val="00000000000000000000"/>
    <w:charset w:val="01"/>
    <w:family w:val="roman"/>
    <w:pitch w:val="default"/>
    <w:sig w:usb0="00000000" w:usb1="00000000" w:usb2="00000000"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C2418D"/>
    <w:rsid w:val="002814AD"/>
    <w:rsid w:val="003A047C"/>
    <w:rsid w:val="00942CCB"/>
    <w:rsid w:val="00964F9E"/>
    <w:rsid w:val="00AC7395"/>
    <w:rsid w:val="00C2418D"/>
    <w:rsid w:val="00F51145"/>
    <w:rsid w:val="2C900FD2"/>
    <w:rsid w:val="5D5D6594"/>
    <w:rsid w:val="7C2960A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1"/>
      <w:lang w:val="en-US" w:eastAsia="zh-CN" w:bidi="ar-SA"/>
    </w:rPr>
  </w:style>
  <w:style w:type="character" w:default="1" w:styleId="4">
    <w:name w:val="Default Paragraph Font"/>
    <w:unhideWhenUsed/>
    <w:uiPriority w:val="1"/>
  </w:style>
  <w:style w:type="table" w:default="1" w:styleId="5">
    <w:name w:val="Normal Table"/>
    <w:unhideWhenUsed/>
    <w:qFormat/>
    <w:uiPriority w:val="99"/>
    <w:tblPr>
      <w:tblLayout w:type="fixed"/>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3">
    <w:name w:val="header"/>
    <w:basedOn w:val="1"/>
    <w:link w:val="6"/>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character" w:customStyle="1" w:styleId="6">
    <w:name w:val="页眉 Char"/>
    <w:basedOn w:val="4"/>
    <w:link w:val="3"/>
    <w:semiHidden/>
    <w:qFormat/>
    <w:uiPriority w:val="99"/>
    <w:rPr>
      <w:sz w:val="18"/>
      <w:szCs w:val="18"/>
    </w:rPr>
  </w:style>
  <w:style w:type="character" w:customStyle="1" w:styleId="7">
    <w:name w:val="页脚 Char"/>
    <w:basedOn w:val="4"/>
    <w:link w:val="2"/>
    <w:semiHidden/>
    <w:uiPriority w:val="99"/>
    <w:rPr>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219</Words>
  <Characters>1251</Characters>
  <Lines>10</Lines>
  <Paragraphs>2</Paragraphs>
  <ScaleCrop>false</ScaleCrop>
  <LinksUpToDate>false</LinksUpToDate>
  <CharactersWithSpaces>1468</CharactersWithSpaces>
  <Application>WPS Office_10.1.0.7022_F1E327BC-269C-435d-A152-05C5408002CA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2017-12-13T07:03:00Z</dcterms:created>
  <dc:creator>lenovo</dc:creator>
  <cp:lastModifiedBy>Administrator</cp:lastModifiedBy>
  <dcterms:modified xsi:type="dcterms:W3CDTF">2017-12-20T09:04:21Z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2052-10.1.0.7022</vt:lpwstr>
  </property>
</Properties>
</file>