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sz w:val="32"/>
          <w:szCs w:val="32"/>
          <w:highlight w:val="none"/>
        </w:rPr>
      </w:pPr>
    </w:p>
    <w:p>
      <w:pPr>
        <w:rPr>
          <w:sz w:val="32"/>
          <w:szCs w:val="32"/>
          <w:highlight w:val="none"/>
        </w:rPr>
      </w:pPr>
    </w:p>
    <w:p>
      <w:pPr>
        <w:rPr>
          <w:sz w:val="32"/>
          <w:szCs w:val="32"/>
          <w:highlight w:val="none"/>
        </w:rPr>
      </w:pPr>
    </w:p>
    <w:p>
      <w:pPr>
        <w:rPr>
          <w:sz w:val="32"/>
          <w:szCs w:val="32"/>
          <w:highlight w:val="none"/>
        </w:rPr>
      </w:pPr>
    </w:p>
    <w:p>
      <w:pPr>
        <w:rPr>
          <w:sz w:val="32"/>
          <w:szCs w:val="32"/>
          <w:highlight w:val="none"/>
        </w:rPr>
      </w:pPr>
    </w:p>
    <w:p>
      <w:pPr>
        <w:rPr>
          <w:sz w:val="32"/>
          <w:szCs w:val="32"/>
          <w:highlight w:val="none"/>
        </w:rPr>
      </w:pPr>
    </w:p>
    <w:p>
      <w:pPr>
        <w:rPr>
          <w:sz w:val="32"/>
          <w:szCs w:val="32"/>
          <w:highlight w:val="none"/>
        </w:rPr>
      </w:pPr>
    </w:p>
    <w:p>
      <w:pPr>
        <w:rPr>
          <w:sz w:val="32"/>
          <w:szCs w:val="32"/>
          <w:highlight w:val="none"/>
        </w:rPr>
      </w:pPr>
    </w:p>
    <w:p>
      <w:pPr>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jc w:val="center"/>
        <w:textAlignment w:val="auto"/>
        <w:rPr>
          <w:rFonts w:hAnsi="仿宋" w:eastAsia="仿宋"/>
          <w:color w:val="auto"/>
          <w:sz w:val="30"/>
          <w:szCs w:val="30"/>
          <w:highlight w:val="none"/>
        </w:rPr>
      </w:pPr>
      <w:r>
        <w:rPr>
          <w:rFonts w:hint="eastAsia" w:ascii="仿宋_GB2312" w:hAnsi="仿宋_GB2312" w:eastAsia="仿宋_GB2312" w:cs="仿宋_GB2312"/>
          <w:color w:val="auto"/>
          <w:sz w:val="30"/>
          <w:szCs w:val="30"/>
          <w:highlight w:val="none"/>
        </w:rPr>
        <w:t>锡市环</w:t>
      </w:r>
      <w:r>
        <w:rPr>
          <w:rFonts w:hint="eastAsia" w:ascii="仿宋_GB2312" w:hAnsi="仿宋_GB2312" w:eastAsia="仿宋_GB2312" w:cs="仿宋_GB2312"/>
          <w:color w:val="auto"/>
          <w:sz w:val="30"/>
          <w:szCs w:val="30"/>
          <w:highlight w:val="none"/>
          <w:lang w:eastAsia="zh-CN"/>
        </w:rPr>
        <w:t>表</w:t>
      </w:r>
      <w:r>
        <w:rPr>
          <w:rFonts w:hint="eastAsia" w:ascii="仿宋_GB2312" w:hAnsi="仿宋_GB2312" w:eastAsia="仿宋_GB2312" w:cs="仿宋_GB2312"/>
          <w:color w:val="auto"/>
          <w:sz w:val="30"/>
          <w:szCs w:val="30"/>
          <w:highlight w:val="none"/>
        </w:rPr>
        <w:t>[20</w:t>
      </w:r>
      <w:r>
        <w:rPr>
          <w:rFonts w:hint="eastAsia" w:ascii="仿宋_GB2312" w:hAnsi="仿宋_GB2312" w:eastAsia="仿宋_GB2312" w:cs="仿宋_GB2312"/>
          <w:color w:val="auto"/>
          <w:sz w:val="30"/>
          <w:szCs w:val="30"/>
          <w:highlight w:val="none"/>
          <w:lang w:val="en-US" w:eastAsia="zh-CN"/>
        </w:rPr>
        <w:t>22</w:t>
      </w:r>
      <w:r>
        <w:rPr>
          <w:rFonts w:hint="eastAsia" w:ascii="仿宋_GB2312" w:hAnsi="仿宋_GB2312" w:eastAsia="仿宋_GB2312" w:cs="仿宋_GB2312"/>
          <w:color w:val="auto"/>
          <w:sz w:val="30"/>
          <w:szCs w:val="30"/>
          <w:highlight w:val="none"/>
        </w:rPr>
        <w:t>]第</w:t>
      </w:r>
      <w:r>
        <w:rPr>
          <w:rFonts w:hint="eastAsia" w:ascii="仿宋_GB2312" w:hAnsi="仿宋_GB2312" w:eastAsia="仿宋_GB2312" w:cs="仿宋_GB2312"/>
          <w:color w:val="auto"/>
          <w:sz w:val="30"/>
          <w:szCs w:val="30"/>
          <w:highlight w:val="none"/>
          <w:lang w:val="en-US" w:eastAsia="zh-CN"/>
        </w:rPr>
        <w:t>37</w:t>
      </w:r>
      <w:r>
        <w:rPr>
          <w:rFonts w:hint="eastAsia" w:ascii="仿宋_GB2312" w:hAnsi="仿宋_GB2312" w:eastAsia="仿宋_GB2312" w:cs="仿宋_GB2312"/>
          <w:color w:val="auto"/>
          <w:sz w:val="30"/>
          <w:szCs w:val="30"/>
          <w:highlight w:val="none"/>
        </w:rPr>
        <w:t>号</w:t>
      </w:r>
    </w:p>
    <w:p>
      <w:pPr>
        <w:adjustRightInd w:val="0"/>
        <w:snapToGrid w:val="0"/>
        <w:spacing w:line="240" w:lineRule="auto"/>
        <w:jc w:val="center"/>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于包郎-五间房道路工程</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ind w:firstLine="880" w:firstLineChars="200"/>
        <w:rPr>
          <w:rFonts w:ascii="Times New Roman" w:cs="Times New Roman"/>
          <w:color w:val="auto"/>
          <w:sz w:val="44"/>
          <w:szCs w:val="44"/>
          <w:highlight w:val="none"/>
        </w:rPr>
      </w:pPr>
    </w:p>
    <w:p>
      <w:pPr>
        <w:shd w:val="clear"/>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锡林浩特市交通运输局：</w:t>
      </w:r>
    </w:p>
    <w:p>
      <w:pPr>
        <w:shd w:val="clear"/>
        <w:ind w:firstLine="640" w:firstLineChars="200"/>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w:t>
      </w:r>
      <w:r>
        <w:rPr>
          <w:rFonts w:hint="eastAsia" w:ascii="仿宋_GB2312" w:hAnsi="仿宋_GB2312" w:eastAsia="仿宋_GB2312" w:cs="仿宋_GB2312"/>
          <w:color w:val="auto"/>
          <w:sz w:val="32"/>
          <w:szCs w:val="32"/>
          <w:highlight w:val="none"/>
          <w:lang w:val="en-GB"/>
        </w:rPr>
        <w:t>内蒙古筹信环保科技有限公司</w:t>
      </w:r>
      <w:r>
        <w:rPr>
          <w:rFonts w:hint="eastAsia" w:ascii="仿宋_GB2312" w:hAnsi="仿宋_GB2312" w:eastAsia="仿宋_GB2312" w:cs="仿宋_GB2312"/>
          <w:color w:val="auto"/>
          <w:sz w:val="32"/>
          <w:szCs w:val="32"/>
          <w:highlight w:val="none"/>
          <w:lang w:val="en-GB" w:eastAsia="zh-CN"/>
        </w:rPr>
        <w:t>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《包郎-五间房道路工程》报告表已收悉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20"/>
        <w:numPr>
          <w:ilvl w:val="0"/>
          <w:numId w:val="1"/>
        </w:numPr>
        <w:shd w:val="clear"/>
        <w:ind w:firstLineChars="0"/>
        <w:rPr>
          <w:rFonts w:hint="eastAsia" w:ascii="仿宋_GB2312" w:hAnsi="仿宋_GB2312" w:eastAsia="仿宋_GB2312" w:cs="仿宋_GB2312"/>
          <w:color w:val="auto"/>
          <w:sz w:val="32"/>
          <w:highlight w:val="none"/>
        </w:rPr>
      </w:pPr>
      <w:r>
        <w:rPr>
          <w:rFonts w:hint="eastAsia" w:ascii="仿宋_GB2312" w:hAnsi="仿宋_GB2312" w:eastAsia="仿宋_GB2312" w:cs="仿宋_GB2312"/>
          <w:color w:val="auto"/>
          <w:sz w:val="32"/>
          <w:szCs w:val="32"/>
          <w:highlight w:val="none"/>
          <w:lang w:val="en-GB"/>
        </w:rPr>
        <w:t>项目概况</w:t>
      </w:r>
    </w:p>
    <w:p>
      <w:pPr>
        <w:pStyle w:val="1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firstLine="640" w:firstLineChars="200"/>
        <w:textAlignment w:val="auto"/>
        <w:outlineLvl w:val="9"/>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本项目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东北侧洪格尔嘎查，本项目起点桩号为K0+000，起点坐标为：东经116°22′40"，北纬44°47′58"。终点桩号K16+637.190，终点坐标为：东经116°30′50"，北纬44°43′10"。路线长16.637km，按四级公路技术标准设计，设计速度20km/h，全线采用路基宽7.5米，路面宽4.5米，土路肩2×15米，路面结构采用18厘米厚水泥混凝土路面+20厘米天然碎石土功能层。</w:t>
      </w:r>
      <w:r>
        <w:rPr>
          <w:rFonts w:hint="default" w:ascii="仿宋_GB2312" w:hAnsi="仿宋_GB2312" w:eastAsia="仿宋_GB2312" w:cs="仿宋_GB2312"/>
          <w:color w:val="auto"/>
          <w:kern w:val="2"/>
          <w:sz w:val="32"/>
          <w:szCs w:val="32"/>
          <w:highlight w:val="none"/>
          <w:lang w:val="en-US" w:eastAsia="zh-CN" w:bidi="ar-SA"/>
        </w:rPr>
        <w:t>本项目总投资1438.2574万元，环保投资项目环保投资估算为</w:t>
      </w:r>
      <w:r>
        <w:rPr>
          <w:rFonts w:hint="eastAsia" w:ascii="仿宋_GB2312" w:hAnsi="仿宋_GB2312" w:eastAsia="仿宋_GB2312" w:cs="仿宋_GB2312"/>
          <w:color w:val="auto"/>
          <w:kern w:val="2"/>
          <w:sz w:val="32"/>
          <w:szCs w:val="32"/>
          <w:highlight w:val="none"/>
          <w:lang w:val="en-US" w:eastAsia="zh-CN" w:bidi="ar-SA"/>
        </w:rPr>
        <w:t>33</w:t>
      </w:r>
      <w:r>
        <w:rPr>
          <w:rFonts w:hint="default" w:ascii="仿宋_GB2312" w:hAnsi="仿宋_GB2312" w:eastAsia="仿宋_GB2312" w:cs="仿宋_GB2312"/>
          <w:color w:val="auto"/>
          <w:kern w:val="2"/>
          <w:sz w:val="32"/>
          <w:szCs w:val="32"/>
          <w:highlight w:val="none"/>
          <w:lang w:val="en-US" w:eastAsia="zh-CN" w:bidi="ar-SA"/>
        </w:rPr>
        <w:t>万元，占总投资金额的</w:t>
      </w:r>
      <w:r>
        <w:rPr>
          <w:rFonts w:hint="eastAsia" w:ascii="仿宋_GB2312" w:hAnsi="仿宋_GB2312" w:eastAsia="仿宋_GB2312" w:cs="仿宋_GB2312"/>
          <w:color w:val="auto"/>
          <w:kern w:val="2"/>
          <w:sz w:val="32"/>
          <w:szCs w:val="32"/>
          <w:highlight w:val="none"/>
          <w:lang w:val="en-US" w:eastAsia="zh-CN" w:bidi="ar-SA"/>
        </w:rPr>
        <w:t>2.29</w:t>
      </w:r>
      <w:r>
        <w:rPr>
          <w:rFonts w:hint="default" w:ascii="仿宋_GB2312" w:hAnsi="仿宋_GB2312" w:eastAsia="仿宋_GB2312" w:cs="仿宋_GB2312"/>
          <w:color w:val="auto"/>
          <w:kern w:val="2"/>
          <w:sz w:val="32"/>
          <w:szCs w:val="32"/>
          <w:highlight w:val="none"/>
          <w:lang w:val="en-US" w:eastAsia="zh-CN" w:bidi="ar-SA"/>
        </w:rPr>
        <w:t>%。</w:t>
      </w:r>
      <w:r>
        <w:rPr>
          <w:rFonts w:hint="eastAsia" w:ascii="仿宋_GB2312" w:hAnsi="仿宋_GB2312" w:eastAsia="仿宋_GB2312" w:cs="仿宋_GB2312"/>
          <w:color w:val="auto"/>
          <w:sz w:val="32"/>
          <w:szCs w:val="32"/>
          <w:highlight w:val="none"/>
          <w:lang w:val="en-US" w:eastAsia="zh-CN"/>
        </w:rPr>
        <w:t>。项目属于《产业结构调整指导目录（2019年本）》鼓励类。经审查符合锡林浩</w:t>
      </w:r>
      <w:r>
        <w:rPr>
          <w:rFonts w:hint="eastAsia" w:ascii="仿宋_GB2312" w:hAnsi="仿宋_GB2312" w:eastAsia="仿宋_GB2312" w:cs="仿宋_GB2312"/>
          <w:color w:val="auto"/>
          <w:kern w:val="2"/>
          <w:sz w:val="32"/>
          <w:szCs w:val="32"/>
          <w:highlight w:val="none"/>
          <w:lang w:val="en-US" w:eastAsia="zh-CN" w:bidi="ar-SA"/>
        </w:rPr>
        <w:t>特市总体规划，符合“三线一单”要求。</w:t>
      </w:r>
    </w:p>
    <w:p>
      <w:pPr>
        <w:pStyle w:val="20"/>
        <w:numPr>
          <w:ilvl w:val="0"/>
          <w:numId w:val="1"/>
        </w:numPr>
        <w:ind w:firstLineChars="0"/>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项目在设计、建设和运营期过程中应做好以下工</w:t>
      </w:r>
    </w:p>
    <w:p>
      <w:pPr>
        <w:pStyle w:val="20"/>
        <w:numPr>
          <w:ilvl w:val="0"/>
          <w:numId w:val="0"/>
        </w:numPr>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作：</w:t>
      </w:r>
    </w:p>
    <w:p>
      <w:pPr>
        <w:pStyle w:val="5"/>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kern w:val="2"/>
          <w:sz w:val="32"/>
          <w:szCs w:val="32"/>
          <w:highlight w:val="none"/>
          <w:lang w:val="en-US" w:eastAsia="zh-CN" w:bidi="ar-SA"/>
        </w:rPr>
        <w:t>一）项目施工期大气污染物主要为基础施工、土石方挖掘及弃土运输时产生的扬尘及建筑材料(商品混凝土、钢材及少量的沙、石、水泥等)运输进场装、卸及堆放过程产生的扬尘。施工单位应采取路面进行洒水降尘减少运输扬尘，对运输车辆进行篷布苫盖等措施减少扬尘排放。</w:t>
      </w:r>
    </w:p>
    <w:p>
      <w:pPr>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eastAsia="zh-CN"/>
        </w:rPr>
        <w:t>（二）通过尽量选用低噪声的机械和工艺、加强各类设备的维护和保养、距离衰减等措施使项目噪声达标排放。</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（三）</w:t>
      </w:r>
      <w:r>
        <w:rPr>
          <w:rFonts w:hint="eastAsia" w:ascii="仿宋_GB2312" w:hAnsi="仿宋_GB2312" w:eastAsia="仿宋_GB2312" w:cs="仿宋_GB2312"/>
          <w:color w:val="auto"/>
          <w:sz w:val="32"/>
          <w:szCs w:val="32"/>
          <w:highlight w:val="none"/>
          <w:lang w:eastAsia="zh-CN"/>
        </w:rPr>
        <w:t>本项目中施工过程中废水主要为施工人员产生的生活污水。施工期间，施工人员生活污水经移动式化粪池收集后，定期交由第三方拉运</w:t>
      </w:r>
      <w:r>
        <w:rPr>
          <w:rFonts w:hint="eastAsia" w:ascii="仿宋_GB2312" w:hAnsi="仿宋_GB2312" w:eastAsia="仿宋_GB2312" w:cs="仿宋_GB2312"/>
          <w:color w:val="auto"/>
          <w:kern w:val="2"/>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（四）本项目施工期产生固体废物主要为施工人员的生活垃圾。施工过程中将施工人员产生的生活垃圾集中收集于垃圾桶，定期运往锡林浩特市生活垃圾填埋场填埋处置</w:t>
      </w:r>
      <w:r>
        <w:rPr>
          <w:rFonts w:hint="eastAsia" w:ascii="仿宋_GB2312" w:hAnsi="仿宋_GB2312" w:eastAsia="仿宋_GB2312" w:cs="仿宋_GB2312"/>
          <w:sz w:val="32"/>
          <w:szCs w:val="32"/>
          <w:highlight w:val="none"/>
          <w:lang w:val="en-US" w:eastAsia="zh-CN"/>
        </w:rPr>
        <w:t>。</w:t>
      </w:r>
    </w:p>
    <w:p>
      <w:pPr>
        <w:pStyle w:val="2"/>
        <w:rPr>
          <w:rFonts w:hint="eastAsia"/>
          <w:lang w:val="en-US" w:eastAsia="zh-CN"/>
        </w:rPr>
      </w:pPr>
      <w:r>
        <w:rPr>
          <w:rFonts w:hint="eastAsia" w:ascii="仿宋_GB2312" w:hAnsi="仿宋_GB2312" w:eastAsia="仿宋_GB2312" w:cs="仿宋_GB2312"/>
          <w:sz w:val="32"/>
          <w:szCs w:val="32"/>
          <w:highlight w:val="none"/>
          <w:lang w:val="en-US" w:eastAsia="zh-CN"/>
        </w:rPr>
        <w:t>（五）</w:t>
      </w:r>
      <w:r>
        <w:rPr>
          <w:rFonts w:hint="eastAsia" w:ascii="仿宋_GB2312" w:hAnsi="仿宋_GB2312" w:eastAsia="仿宋_GB2312" w:cs="仿宋_GB2312"/>
          <w:kern w:val="2"/>
          <w:sz w:val="32"/>
          <w:szCs w:val="32"/>
          <w:highlight w:val="none"/>
          <w:lang w:val="en-US" w:eastAsia="zh-CN" w:bidi="ar-SA"/>
        </w:rPr>
        <w:t>按环评要求做好生态环境保护措施，减少生态扰动。</w:t>
      </w:r>
    </w:p>
    <w:p>
      <w:pPr>
        <w:pStyle w:val="20"/>
        <w:numPr>
          <w:ilvl w:val="0"/>
          <w:numId w:val="0"/>
        </w:numPr>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三、项目建设必须严格执行环境保护设施与主体工程同时设计、同时施工、同时投产使用的环境保护“三同时”制度。</w:t>
      </w:r>
    </w:p>
    <w:p>
      <w:pPr>
        <w:pStyle w:val="20"/>
        <w:numPr>
          <w:ilvl w:val="0"/>
          <w:numId w:val="0"/>
        </w:numPr>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20"/>
        <w:numPr>
          <w:ilvl w:val="0"/>
          <w:numId w:val="0"/>
        </w:numPr>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20"/>
        <w:numPr>
          <w:ilvl w:val="0"/>
          <w:numId w:val="0"/>
        </w:numPr>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20"/>
        <w:numPr>
          <w:ilvl w:val="0"/>
          <w:numId w:val="0"/>
        </w:numPr>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四、锡林郭勒盟生态环境综合行政执法支队对该项目建设期间各项生态环境保护措施落实情况进行监督检查和管理。      </w:t>
      </w:r>
    </w:p>
    <w:p>
      <w:pPr>
        <w:pStyle w:val="20"/>
        <w:numPr>
          <w:ilvl w:val="0"/>
          <w:numId w:val="0"/>
        </w:numPr>
        <w:ind w:firstLine="640" w:firstLineChars="200"/>
        <w:rPr>
          <w:rFonts w:hint="eastAsia" w:ascii="仿宋_GB2312" w:hAnsi="仿宋_GB2312" w:eastAsia="仿宋_GB2312" w:cs="仿宋_GB2312"/>
          <w:sz w:val="32"/>
          <w:szCs w:val="32"/>
          <w:highlight w:val="none"/>
          <w:lang w:val="en-US" w:eastAsia="zh-CN"/>
        </w:rPr>
      </w:pPr>
    </w:p>
    <w:p>
      <w:pPr>
        <w:pStyle w:val="20"/>
        <w:numPr>
          <w:ilvl w:val="0"/>
          <w:numId w:val="0"/>
        </w:numPr>
        <w:ind w:firstLine="640" w:firstLineChars="200"/>
        <w:rPr>
          <w:rFonts w:hint="eastAsia" w:ascii="仿宋_GB2312" w:hAnsi="仿宋_GB2312" w:eastAsia="仿宋_GB2312" w:cs="仿宋_GB2312"/>
          <w:sz w:val="32"/>
          <w:szCs w:val="32"/>
          <w:highlight w:val="none"/>
          <w:lang w:val="en-US" w:eastAsia="zh-CN"/>
        </w:rPr>
      </w:pPr>
    </w:p>
    <w:p>
      <w:pPr>
        <w:pStyle w:val="20"/>
        <w:numPr>
          <w:ilvl w:val="0"/>
          <w:numId w:val="0"/>
        </w:numPr>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      </w:t>
      </w:r>
    </w:p>
    <w:p>
      <w:pPr>
        <w:ind w:firstLine="2560" w:firstLineChars="8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锡林郭勒盟生态环境局锡林浩特市分局</w:t>
      </w:r>
    </w:p>
    <w:p>
      <w:pPr>
        <w:ind w:firstLine="640" w:firstLineChars="200"/>
        <w:rPr>
          <w:rFonts w:hint="eastAsia" w:ascii="仿宋_GB2312" w:hAnsi="仿宋_GB2312" w:eastAsia="仿宋_GB2312" w:cs="仿宋_GB2312"/>
          <w:sz w:val="32"/>
          <w:szCs w:val="32"/>
          <w:highlight w:val="yellow"/>
          <w:lang w:eastAsia="zh-CN"/>
        </w:rPr>
      </w:pPr>
      <w:r>
        <w:rPr>
          <w:rFonts w:hint="eastAsia" w:ascii="仿宋_GB2312" w:hAnsi="仿宋_GB2312" w:eastAsia="仿宋_GB2312" w:cs="仿宋_GB2312"/>
          <w:sz w:val="32"/>
          <w:szCs w:val="32"/>
          <w:highlight w:val="none"/>
          <w:lang w:val="en-US" w:eastAsia="zh-CN"/>
        </w:rPr>
        <w:t xml:space="preserve">                     2022年10月8日</w:t>
      </w:r>
    </w:p>
    <w:p>
      <w:pPr>
        <w:pStyle w:val="19"/>
        <w:ind w:left="0" w:leftChars="0" w:firstLine="0" w:firstLineChars="0"/>
        <w:rPr>
          <w:rFonts w:hint="eastAsia" w:ascii="仿宋_GB2312" w:hAnsi="仿宋_GB2312" w:eastAsia="仿宋_GB2312" w:cs="仿宋_GB2312"/>
          <w:sz w:val="32"/>
          <w:szCs w:val="32"/>
          <w:highlight w:val="none"/>
          <w:lang w:eastAsia="zh-CN"/>
        </w:rPr>
      </w:pPr>
    </w:p>
    <w:p>
      <w:pPr>
        <w:pStyle w:val="19"/>
        <w:ind w:left="0" w:leftChars="0" w:firstLine="0" w:firstLineChars="0"/>
        <w:rPr>
          <w:rFonts w:hint="eastAsia" w:ascii="仿宋_GB2312" w:hAnsi="仿宋_GB2312" w:eastAsia="仿宋_GB2312" w:cs="仿宋_GB2312"/>
          <w:sz w:val="32"/>
          <w:szCs w:val="32"/>
          <w:highlight w:val="none"/>
          <w:lang w:eastAsia="zh-CN"/>
        </w:rPr>
      </w:pPr>
      <w:bookmarkStart w:id="0" w:name="_GoBack"/>
      <w:bookmarkEnd w:id="0"/>
    </w:p>
    <w:p>
      <w:pPr>
        <w:pStyle w:val="19"/>
        <w:ind w:left="0" w:leftChars="0" w:firstLine="0" w:firstLineChars="0"/>
        <w:rPr>
          <w:rFonts w:hint="eastAsia" w:ascii="仿宋" w:hAnsi="仿宋" w:eastAsia="仿宋"/>
          <w:sz w:val="32"/>
          <w:szCs w:val="32"/>
          <w:highlight w:val="yellow"/>
        </w:rPr>
      </w:pPr>
      <w:r>
        <w:rPr>
          <w:rFonts w:hint="eastAsia" w:ascii="仿宋_GB2312" w:hAnsi="仿宋_GB2312" w:eastAsia="仿宋_GB2312" w:cs="仿宋_GB2312"/>
          <w:sz w:val="32"/>
          <w:szCs w:val="32"/>
          <w:highlight w:val="none"/>
          <w:lang w:eastAsia="zh-CN"/>
        </w:rPr>
        <w:t>抄送：锡林郭勒盟生态环境局、</w:t>
      </w:r>
      <w:r>
        <w:rPr>
          <w:rFonts w:hint="eastAsia" w:ascii="仿宋_GB2312" w:hAnsi="仿宋_GB2312" w:eastAsia="仿宋_GB2312" w:cs="仿宋_GB2312"/>
          <w:sz w:val="32"/>
          <w:szCs w:val="32"/>
          <w:highlight w:val="none"/>
          <w:lang w:val="en-US" w:eastAsia="zh-CN"/>
        </w:rPr>
        <w:t>锡林郭勒盟生态环境综合行政执法支队</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Unicode MS">
    <w:panose1 w:val="020B0604020202020204"/>
    <w:charset w:val="86"/>
    <w:family w:val="swiss"/>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90315"/>
      <w:docPartObj>
        <w:docPartGallery w:val="autotext"/>
      </w:docPartObj>
    </w:sdtPr>
    <w:sdtContent>
      <w:p>
        <w:pPr>
          <w:pStyle w:val="11"/>
          <w:jc w:val="center"/>
        </w:pPr>
        <w:r>
          <w:fldChar w:fldCharType="begin"/>
        </w:r>
        <w:r>
          <w:instrText xml:space="preserve"> PAGE   \* MERGEFORMAT </w:instrText>
        </w:r>
        <w:r>
          <w:fldChar w:fldCharType="separate"/>
        </w:r>
        <w:r>
          <w:rPr>
            <w:lang w:val="zh-CN"/>
          </w:rPr>
          <w:t>1</w:t>
        </w:r>
        <w:r>
          <w:rPr>
            <w:lang w:val="zh-CN"/>
          </w:rPr>
          <w:fldChar w:fldCharType="end"/>
        </w:r>
      </w:p>
    </w:sdtContent>
  </w:sdt>
  <w:p>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81E71C8"/>
    <w:multiLevelType w:val="multilevel"/>
    <w:tmpl w:val="781E71C8"/>
    <w:lvl w:ilvl="0" w:tentative="0">
      <w:start w:val="1"/>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WE1MmU3NDVmNTQ2MTZjOGNmODYyOTI4M2Q1YmU5OGIifQ=="/>
  </w:docVars>
  <w:rsids>
    <w:rsidRoot w:val="001E271C"/>
    <w:rsid w:val="001E271C"/>
    <w:rsid w:val="00B87117"/>
    <w:rsid w:val="00E83F57"/>
    <w:rsid w:val="01166DA6"/>
    <w:rsid w:val="01D027C7"/>
    <w:rsid w:val="07D679D6"/>
    <w:rsid w:val="0C9B2141"/>
    <w:rsid w:val="0D502605"/>
    <w:rsid w:val="0DC94DA4"/>
    <w:rsid w:val="10773E64"/>
    <w:rsid w:val="11815149"/>
    <w:rsid w:val="119E5AF7"/>
    <w:rsid w:val="1B4F5180"/>
    <w:rsid w:val="204C4C91"/>
    <w:rsid w:val="21041E6B"/>
    <w:rsid w:val="23BD04C6"/>
    <w:rsid w:val="272A677C"/>
    <w:rsid w:val="29CC3487"/>
    <w:rsid w:val="2AB067B8"/>
    <w:rsid w:val="2AF85194"/>
    <w:rsid w:val="2CC02721"/>
    <w:rsid w:val="2FB4465A"/>
    <w:rsid w:val="30EB2DA6"/>
    <w:rsid w:val="333A6BDB"/>
    <w:rsid w:val="37D943F6"/>
    <w:rsid w:val="39CE76C6"/>
    <w:rsid w:val="3BC60B27"/>
    <w:rsid w:val="3DDE2FC6"/>
    <w:rsid w:val="405F6E03"/>
    <w:rsid w:val="472B6FD6"/>
    <w:rsid w:val="4E2978F9"/>
    <w:rsid w:val="4FA672D9"/>
    <w:rsid w:val="532F7E23"/>
    <w:rsid w:val="58D316BE"/>
    <w:rsid w:val="5A294206"/>
    <w:rsid w:val="5D0775B6"/>
    <w:rsid w:val="5DE829AC"/>
    <w:rsid w:val="5EBE21AB"/>
    <w:rsid w:val="601B1FAB"/>
    <w:rsid w:val="60BF3BD0"/>
    <w:rsid w:val="61BF76EB"/>
    <w:rsid w:val="623E6920"/>
    <w:rsid w:val="66E83653"/>
    <w:rsid w:val="67B67782"/>
    <w:rsid w:val="68704CA1"/>
    <w:rsid w:val="6BEB1D6D"/>
    <w:rsid w:val="6CA80FF3"/>
    <w:rsid w:val="6CF81186"/>
    <w:rsid w:val="6E7E0DC8"/>
    <w:rsid w:val="6FD235D4"/>
    <w:rsid w:val="733379D0"/>
    <w:rsid w:val="749E0175"/>
    <w:rsid w:val="74A13F8F"/>
    <w:rsid w:val="75B535E3"/>
    <w:rsid w:val="75C311C4"/>
    <w:rsid w:val="7779709C"/>
    <w:rsid w:val="799A10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Normal Indent"/>
    <w:basedOn w:val="1"/>
    <w:next w:val="9"/>
    <w:qFormat/>
    <w:uiPriority w:val="0"/>
    <w:pPr>
      <w:ind w:firstLine="420" w:firstLineChars="200"/>
    </w:pPr>
    <w:rPr>
      <w:rFonts w:eastAsia="宋体"/>
      <w:kern w:val="2"/>
      <w:sz w:val="21"/>
      <w:szCs w:val="24"/>
      <w:lang w:val="en-US" w:eastAsia="zh-CN" w:bidi="ar-SA"/>
    </w:rPr>
  </w:style>
  <w:style w:type="paragraph" w:customStyle="1" w:styleId="9">
    <w:name w:val="正文首行缩进2个字 Char"/>
    <w:basedOn w:val="1"/>
    <w:qFormat/>
    <w:uiPriority w:val="0"/>
    <w:pPr>
      <w:ind w:firstLine="480" w:firstLineChars="200"/>
    </w:pPr>
    <w:rPr>
      <w:rFonts w:eastAsia="楷体"/>
      <w:sz w:val="24"/>
    </w:rPr>
  </w:style>
  <w:style w:type="paragraph" w:styleId="1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11">
    <w:name w:val="footer"/>
    <w:basedOn w:val="1"/>
    <w:link w:val="23"/>
    <w:qFormat/>
    <w:uiPriority w:val="99"/>
    <w:pPr>
      <w:tabs>
        <w:tab w:val="center" w:pos="4153"/>
        <w:tab w:val="right" w:pos="8306"/>
      </w:tabs>
      <w:snapToGrid w:val="0"/>
      <w:jc w:val="left"/>
    </w:pPr>
    <w:rPr>
      <w:sz w:val="18"/>
      <w:szCs w:val="18"/>
    </w:rPr>
  </w:style>
  <w:style w:type="paragraph" w:styleId="12">
    <w:name w:val="header"/>
    <w:basedOn w:val="1"/>
    <w:link w:val="22"/>
    <w:qFormat/>
    <w:uiPriority w:val="0"/>
    <w:pPr>
      <w:pBdr>
        <w:bottom w:val="single" w:color="auto" w:sz="6" w:space="1"/>
      </w:pBdr>
      <w:tabs>
        <w:tab w:val="center" w:pos="4153"/>
        <w:tab w:val="right" w:pos="8306"/>
      </w:tabs>
      <w:snapToGrid w:val="0"/>
      <w:jc w:val="center"/>
    </w:pPr>
    <w:rPr>
      <w:sz w:val="18"/>
      <w:szCs w:val="18"/>
    </w:rPr>
  </w:style>
  <w:style w:type="paragraph" w:styleId="13">
    <w:name w:val="toc 1"/>
    <w:basedOn w:val="1"/>
    <w:next w:val="1"/>
    <w:unhideWhenUsed/>
    <w:qFormat/>
    <w:uiPriority w:val="39"/>
  </w:style>
  <w:style w:type="paragraph" w:styleId="14">
    <w:name w:val="Body Text Indent 3"/>
    <w:basedOn w:val="1"/>
    <w:unhideWhenUsed/>
    <w:qFormat/>
    <w:uiPriority w:val="0"/>
    <w:pPr>
      <w:ind w:firstLine="570"/>
    </w:pPr>
    <w:rPr>
      <w:szCs w:val="20"/>
    </w:rPr>
  </w:style>
  <w:style w:type="paragraph" w:styleId="15">
    <w:name w:val="Normal (Web)"/>
    <w:basedOn w:val="1"/>
    <w:qFormat/>
    <w:uiPriority w:val="0"/>
    <w:pPr>
      <w:widowControl/>
      <w:spacing w:before="100" w:beforeAutospacing="1" w:after="100" w:afterAutospacing="1"/>
      <w:jc w:val="left"/>
    </w:pPr>
    <w:rPr>
      <w:rFonts w:ascii="宋体" w:hAnsi="宋体"/>
      <w:kern w:val="0"/>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9">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20">
    <w:name w:val="列出段落1"/>
    <w:basedOn w:val="1"/>
    <w:qFormat/>
    <w:uiPriority w:val="34"/>
    <w:pPr>
      <w:ind w:firstLine="420" w:firstLineChars="200"/>
    </w:pPr>
  </w:style>
  <w:style w:type="paragraph" w:customStyle="1" w:styleId="21">
    <w:name w:val="a正文"/>
    <w:basedOn w:val="1"/>
    <w:qFormat/>
    <w:uiPriority w:val="0"/>
    <w:pPr>
      <w:adjustRightInd w:val="0"/>
      <w:snapToGrid w:val="0"/>
      <w:spacing w:line="360" w:lineRule="auto"/>
      <w:ind w:firstLine="200" w:firstLineChars="200"/>
    </w:pPr>
    <w:rPr>
      <w:kern w:val="0"/>
      <w:sz w:val="24"/>
      <w:szCs w:val="20"/>
    </w:rPr>
  </w:style>
  <w:style w:type="character" w:customStyle="1" w:styleId="22">
    <w:name w:val="页眉 Char"/>
    <w:basedOn w:val="18"/>
    <w:link w:val="12"/>
    <w:qFormat/>
    <w:uiPriority w:val="0"/>
    <w:rPr>
      <w:kern w:val="2"/>
      <w:sz w:val="18"/>
      <w:szCs w:val="18"/>
    </w:rPr>
  </w:style>
  <w:style w:type="character" w:customStyle="1" w:styleId="23">
    <w:name w:val="页脚 Char"/>
    <w:basedOn w:val="18"/>
    <w:link w:val="11"/>
    <w:qFormat/>
    <w:uiPriority w:val="99"/>
    <w:rPr>
      <w:kern w:val="2"/>
      <w:sz w:val="18"/>
      <w:szCs w:val="18"/>
    </w:rPr>
  </w:style>
  <w:style w:type="paragraph" w:customStyle="1" w:styleId="24">
    <w:name w:val="表 正文"/>
    <w:basedOn w:val="1"/>
    <w:qFormat/>
    <w:uiPriority w:val="0"/>
    <w:pPr>
      <w:spacing w:line="360" w:lineRule="auto"/>
      <w:ind w:firstLine="480" w:firstLineChars="200"/>
    </w:pPr>
    <w:rPr>
      <w:sz w:val="24"/>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987</Words>
  <Characters>1066</Characters>
  <Lines>20</Lines>
  <Paragraphs>5</Paragraphs>
  <TotalTime>0</TotalTime>
  <ScaleCrop>false</ScaleCrop>
  <LinksUpToDate>false</LinksUpToDate>
  <CharactersWithSpaces>1100</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fox</cp:lastModifiedBy>
  <cp:lastPrinted>2022-02-28T06:47:00Z</cp:lastPrinted>
  <dcterms:modified xsi:type="dcterms:W3CDTF">2022-10-08T07:19:30Z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