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sz w:val="32"/>
          <w:szCs w:val="32"/>
          <w:highlight w:val="none"/>
        </w:rPr>
      </w:pPr>
    </w:p>
    <w:p>
      <w:pPr>
        <w:rPr>
          <w:sz w:val="32"/>
          <w:szCs w:val="32"/>
          <w:highlight w:val="none"/>
        </w:rPr>
      </w:pPr>
    </w:p>
    <w:p>
      <w:pPr>
        <w:rPr>
          <w:sz w:val="32"/>
          <w:szCs w:val="32"/>
          <w:highlight w:val="none"/>
        </w:rPr>
      </w:pPr>
    </w:p>
    <w:p>
      <w:pPr>
        <w:rPr>
          <w:sz w:val="32"/>
          <w:szCs w:val="32"/>
          <w:highlight w:val="none"/>
        </w:rPr>
      </w:pPr>
    </w:p>
    <w:p>
      <w:pPr>
        <w:rPr>
          <w:sz w:val="32"/>
          <w:szCs w:val="32"/>
          <w:highlight w:val="none"/>
        </w:rPr>
      </w:pPr>
    </w:p>
    <w:p>
      <w:pPr>
        <w:rPr>
          <w:sz w:val="32"/>
          <w:szCs w:val="32"/>
          <w:highlight w:val="none"/>
        </w:rPr>
      </w:pPr>
    </w:p>
    <w:p>
      <w:pPr>
        <w:rPr>
          <w:sz w:val="32"/>
          <w:szCs w:val="32"/>
          <w:highlight w:val="none"/>
        </w:rPr>
      </w:pPr>
    </w:p>
    <w:p>
      <w:pPr>
        <w:rPr>
          <w:sz w:val="32"/>
          <w:szCs w:val="32"/>
          <w:highlight w:val="none"/>
        </w:rPr>
      </w:pPr>
    </w:p>
    <w:p>
      <w:pPr>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jc w:val="center"/>
        <w:textAlignment w:val="auto"/>
        <w:rPr>
          <w:rFonts w:hAnsi="仿宋" w:eastAsia="仿宋"/>
          <w:color w:val="auto"/>
          <w:sz w:val="30"/>
          <w:szCs w:val="30"/>
          <w:highlight w:val="none"/>
        </w:rPr>
      </w:pPr>
      <w:r>
        <w:rPr>
          <w:rFonts w:hint="eastAsia" w:ascii="仿宋_GB2312" w:hAnsi="仿宋_GB2312" w:eastAsia="仿宋_GB2312" w:cs="仿宋_GB2312"/>
          <w:color w:val="auto"/>
          <w:sz w:val="30"/>
          <w:szCs w:val="30"/>
          <w:highlight w:val="none"/>
        </w:rPr>
        <w:t>锡市环</w:t>
      </w:r>
      <w:r>
        <w:rPr>
          <w:rFonts w:hint="eastAsia" w:ascii="仿宋_GB2312" w:hAnsi="仿宋_GB2312" w:eastAsia="仿宋_GB2312" w:cs="仿宋_GB2312"/>
          <w:color w:val="auto"/>
          <w:sz w:val="30"/>
          <w:szCs w:val="30"/>
          <w:highlight w:val="none"/>
          <w:lang w:eastAsia="zh-CN"/>
        </w:rPr>
        <w:t>表</w:t>
      </w:r>
      <w:r>
        <w:rPr>
          <w:rFonts w:hint="eastAsia" w:ascii="仿宋_GB2312" w:hAnsi="仿宋_GB2312" w:eastAsia="仿宋_GB2312" w:cs="仿宋_GB2312"/>
          <w:color w:val="auto"/>
          <w:sz w:val="30"/>
          <w:szCs w:val="30"/>
          <w:highlight w:val="none"/>
        </w:rPr>
        <w:t>[20</w:t>
      </w:r>
      <w:r>
        <w:rPr>
          <w:rFonts w:hint="eastAsia" w:ascii="仿宋_GB2312" w:hAnsi="仿宋_GB2312" w:eastAsia="仿宋_GB2312" w:cs="仿宋_GB2312"/>
          <w:color w:val="auto"/>
          <w:sz w:val="30"/>
          <w:szCs w:val="30"/>
          <w:highlight w:val="none"/>
          <w:lang w:val="en-US" w:eastAsia="zh-CN"/>
        </w:rPr>
        <w:t>22</w:t>
      </w:r>
      <w:r>
        <w:rPr>
          <w:rFonts w:hint="eastAsia" w:ascii="仿宋_GB2312" w:hAnsi="仿宋_GB2312" w:eastAsia="仿宋_GB2312" w:cs="仿宋_GB2312"/>
          <w:color w:val="auto"/>
          <w:sz w:val="30"/>
          <w:szCs w:val="30"/>
          <w:highlight w:val="none"/>
        </w:rPr>
        <w:t>]第</w:t>
      </w:r>
      <w:r>
        <w:rPr>
          <w:rFonts w:hint="eastAsia" w:ascii="仿宋_GB2312" w:hAnsi="仿宋_GB2312" w:eastAsia="仿宋_GB2312" w:cs="仿宋_GB2312"/>
          <w:color w:val="auto"/>
          <w:sz w:val="30"/>
          <w:szCs w:val="30"/>
          <w:highlight w:val="none"/>
          <w:lang w:val="en-US" w:eastAsia="zh-CN"/>
        </w:rPr>
        <w:t>39</w:t>
      </w:r>
      <w:r>
        <w:rPr>
          <w:rFonts w:hint="eastAsia" w:ascii="仿宋_GB2312" w:hAnsi="仿宋_GB2312" w:eastAsia="仿宋_GB2312" w:cs="仿宋_GB2312"/>
          <w:color w:val="auto"/>
          <w:sz w:val="30"/>
          <w:szCs w:val="30"/>
          <w:highlight w:val="none"/>
        </w:rPr>
        <w:t>号</w:t>
      </w:r>
    </w:p>
    <w:p>
      <w:pPr>
        <w:adjustRightInd w:val="0"/>
        <w:snapToGrid w:val="0"/>
        <w:spacing w:line="240" w:lineRule="auto"/>
        <w:jc w:val="center"/>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于锡林浩特市乌力吉德力格尔嘎查</w:t>
      </w:r>
    </w:p>
    <w:p>
      <w:pPr>
        <w:adjustRightInd w:val="0"/>
        <w:snapToGrid w:val="0"/>
        <w:spacing w:line="240" w:lineRule="auto"/>
        <w:jc w:val="center"/>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val="en-GB" w:eastAsia="zh-CN"/>
        </w:rPr>
        <w:t>建筑用石料矿砂料和危废暂存间建设项目</w:t>
      </w: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ind w:firstLine="880" w:firstLineChars="200"/>
        <w:rPr>
          <w:rFonts w:ascii="Times New Roman" w:cs="Times New Roman"/>
          <w:color w:val="auto"/>
          <w:sz w:val="44"/>
          <w:szCs w:val="44"/>
          <w:highlight w:val="none"/>
        </w:rPr>
      </w:pPr>
    </w:p>
    <w:p>
      <w:pPr>
        <w:shd w:val="clear"/>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锡林浩特市百锐工贸有限公司：</w:t>
      </w:r>
    </w:p>
    <w:p>
      <w:pPr>
        <w:shd w:val="clear"/>
        <w:ind w:firstLine="640" w:firstLineChars="200"/>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由内蒙古筹信环保科技有限公司编制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《锡林浩特市乌力吉德力格尔嘎查建筑用石料矿砂料和危废暂存间建设项目》报告表已收悉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20"/>
        <w:numPr>
          <w:ilvl w:val="0"/>
          <w:numId w:val="0"/>
        </w:numPr>
        <w:shd w:val="clear"/>
        <w:ind w:left="640" w:leftChars="0"/>
        <w:rPr>
          <w:rFonts w:hint="eastAsia" w:ascii="仿宋_GB2312" w:hAnsi="仿宋_GB2312" w:eastAsia="仿宋_GB2312" w:cs="仿宋_GB2312"/>
          <w:color w:val="auto"/>
          <w:sz w:val="32"/>
          <w:highlight w:val="none"/>
        </w:rPr>
      </w:pPr>
      <w:r>
        <w:rPr>
          <w:rFonts w:hint="eastAsia" w:ascii="仿宋_GB2312" w:hAnsi="仿宋_GB2312" w:eastAsia="仿宋_GB2312" w:cs="仿宋_GB2312"/>
          <w:color w:val="auto"/>
          <w:sz w:val="32"/>
          <w:szCs w:val="32"/>
          <w:highlight w:val="none"/>
          <w:lang w:val="en-GB" w:eastAsia="zh-CN"/>
        </w:rPr>
        <w:t>一、</w:t>
      </w:r>
      <w:r>
        <w:rPr>
          <w:rFonts w:hint="eastAsia" w:ascii="仿宋_GB2312" w:hAnsi="仿宋_GB2312" w:eastAsia="仿宋_GB2312" w:cs="仿宋_GB2312"/>
          <w:color w:val="auto"/>
          <w:sz w:val="32"/>
          <w:szCs w:val="32"/>
          <w:highlight w:val="none"/>
          <w:lang w:val="en-GB"/>
        </w:rPr>
        <w:t>项目概况</w:t>
      </w:r>
    </w:p>
    <w:p>
      <w:pPr>
        <w:pStyle w:val="13"/>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本项目</w:t>
      </w:r>
      <w:r>
        <w:rPr>
          <w:rFonts w:hint="eastAsia" w:ascii="仿宋_GB2312" w:hAnsi="仿宋_GB2312" w:eastAsia="仿宋_GB2312" w:cs="仿宋_GB2312"/>
          <w:color w:val="auto"/>
          <w:kern w:val="2"/>
          <w:sz w:val="32"/>
          <w:szCs w:val="32"/>
          <w:highlight w:val="none"/>
          <w:lang w:val="en-US" w:eastAsia="zh-CN" w:bidi="ar-SA"/>
        </w:rPr>
        <w:t>位于锡林浩特市乌力吉德力格尔嘎查建筑用石料矿工业场地内。本项目涉及石料加工和危废暂存间，其中石料加工占地面积共940㎡，年生产砂料12万吨，石粉3万吨；新建危废暂存间占地面积20㎡，用于暂存现有项目运行过程中产生的废矿物油，危废暂存间建成后年最大储存量为10t，储存周期1年，定期交由有资质的单位处理处置。总投资60万元，环保投资16万元，环保投资占比26.67%。项目属于《产业结构调整指导目录（2019年本）》允许类。经审查符合锡林浩特市总体规划，符合“三线一单”要求。</w:t>
      </w:r>
    </w:p>
    <w:p>
      <w:pPr>
        <w:pStyle w:val="20"/>
        <w:numPr>
          <w:ilvl w:val="0"/>
          <w:numId w:val="0"/>
        </w:numPr>
        <w:ind w:left="640" w:leftChars="0"/>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二、项目在设计、建设和运营期过程中应做好以下工</w:t>
      </w:r>
    </w:p>
    <w:p>
      <w:pPr>
        <w:pStyle w:val="20"/>
        <w:numPr>
          <w:ilvl w:val="0"/>
          <w:numId w:val="0"/>
        </w:numPr>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作：</w:t>
      </w:r>
    </w:p>
    <w:p>
      <w:pPr>
        <w:numPr>
          <w:numId w:val="0"/>
        </w:numPr>
        <w:ind w:firstLine="640" w:firstLineChars="200"/>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一)施工期废气主要为防渗内容的铺设及钻孔等少量粉尘以及运输车辆产生的尾气。通过采取合理安排施工机械、尽量减少使用次数、加快施工进度、缩短工期、减少影响时间，确保降低对周围环境的影响。营运期废气主要为砂石分离过程中产生的无组织废气、有组织废气以及成品库扬尘等。针对砂石分离过程中产生有组织废气，通过采取</w:t>
      </w:r>
      <w:r>
        <w:rPr>
          <w:rFonts w:hint="default" w:ascii="仿宋_GB2312" w:hAnsi="仿宋_GB2312" w:eastAsia="仿宋_GB2312" w:cs="仿宋_GB2312"/>
          <w:color w:val="auto"/>
          <w:kern w:val="2"/>
          <w:sz w:val="32"/>
          <w:szCs w:val="32"/>
          <w:highlight w:val="none"/>
          <w:lang w:val="en-US" w:eastAsia="zh-CN" w:bidi="ar-SA"/>
        </w:rPr>
        <w:t>在给料口上方设集气罩和脉冲袋式除尘器处理后通过15m高排气筒排放</w:t>
      </w:r>
      <w:r>
        <w:rPr>
          <w:rFonts w:hint="eastAsia" w:ascii="仿宋_GB2312" w:hAnsi="仿宋_GB2312" w:eastAsia="仿宋_GB2312" w:cs="仿宋_GB2312"/>
          <w:color w:val="auto"/>
          <w:kern w:val="2"/>
          <w:sz w:val="32"/>
          <w:szCs w:val="32"/>
          <w:highlight w:val="none"/>
          <w:lang w:val="en-US" w:eastAsia="zh-CN" w:bidi="ar-SA"/>
        </w:rPr>
        <w:t>；针对</w:t>
      </w:r>
      <w:r>
        <w:rPr>
          <w:rFonts w:hint="default" w:ascii="仿宋_GB2312" w:hAnsi="仿宋_GB2312" w:eastAsia="仿宋_GB2312" w:cs="仿宋_GB2312"/>
          <w:color w:val="auto"/>
          <w:kern w:val="2"/>
          <w:sz w:val="32"/>
          <w:szCs w:val="32"/>
          <w:highlight w:val="none"/>
          <w:lang w:val="en-US" w:eastAsia="zh-CN" w:bidi="ar-SA"/>
        </w:rPr>
        <w:t>车间无组织粉尘</w:t>
      </w:r>
      <w:r>
        <w:rPr>
          <w:rFonts w:hint="eastAsia" w:ascii="仿宋_GB2312" w:hAnsi="仿宋_GB2312" w:eastAsia="仿宋_GB2312" w:cs="仿宋_GB2312"/>
          <w:color w:val="auto"/>
          <w:kern w:val="2"/>
          <w:sz w:val="32"/>
          <w:szCs w:val="32"/>
          <w:highlight w:val="none"/>
          <w:lang w:val="en-US" w:eastAsia="zh-CN" w:bidi="ar-SA"/>
        </w:rPr>
        <w:t>，采取</w:t>
      </w:r>
      <w:r>
        <w:rPr>
          <w:rFonts w:hint="default" w:ascii="仿宋_GB2312" w:hAnsi="仿宋_GB2312" w:eastAsia="仿宋_GB2312" w:cs="仿宋_GB2312"/>
          <w:color w:val="auto"/>
          <w:kern w:val="2"/>
          <w:sz w:val="32"/>
          <w:szCs w:val="32"/>
          <w:highlight w:val="none"/>
          <w:lang w:val="en-US" w:eastAsia="zh-CN" w:bidi="ar-SA"/>
        </w:rPr>
        <w:t>有粉尘产生的设备进行湿法作业</w:t>
      </w:r>
      <w:r>
        <w:rPr>
          <w:rFonts w:hint="eastAsia" w:ascii="仿宋_GB2312" w:hAnsi="仿宋_GB2312" w:eastAsia="仿宋_GB2312" w:cs="仿宋_GB2312"/>
          <w:color w:val="auto"/>
          <w:kern w:val="2"/>
          <w:sz w:val="32"/>
          <w:szCs w:val="32"/>
          <w:highlight w:val="none"/>
          <w:lang w:val="en-US" w:eastAsia="zh-CN" w:bidi="ar-SA"/>
        </w:rPr>
        <w:t>、</w:t>
      </w:r>
      <w:r>
        <w:rPr>
          <w:rFonts w:hint="default" w:ascii="仿宋_GB2312" w:hAnsi="仿宋_GB2312" w:eastAsia="仿宋_GB2312" w:cs="仿宋_GB2312"/>
          <w:color w:val="auto"/>
          <w:kern w:val="2"/>
          <w:sz w:val="32"/>
          <w:szCs w:val="32"/>
          <w:highlight w:val="none"/>
          <w:lang w:val="en-US" w:eastAsia="zh-CN" w:bidi="ar-SA"/>
        </w:rPr>
        <w:t>加工车间</w:t>
      </w:r>
      <w:r>
        <w:rPr>
          <w:rFonts w:hint="eastAsia" w:ascii="仿宋_GB2312" w:hAnsi="仿宋_GB2312" w:eastAsia="仿宋_GB2312" w:cs="仿宋_GB2312"/>
          <w:color w:val="auto"/>
          <w:kern w:val="2"/>
          <w:sz w:val="32"/>
          <w:szCs w:val="32"/>
          <w:highlight w:val="none"/>
          <w:lang w:val="en-US" w:eastAsia="zh-CN" w:bidi="ar-SA"/>
        </w:rPr>
        <w:t>进行</w:t>
      </w:r>
      <w:r>
        <w:rPr>
          <w:rFonts w:hint="default" w:ascii="仿宋_GB2312" w:hAnsi="仿宋_GB2312" w:eastAsia="仿宋_GB2312" w:cs="仿宋_GB2312"/>
          <w:color w:val="auto"/>
          <w:kern w:val="2"/>
          <w:sz w:val="32"/>
          <w:szCs w:val="32"/>
          <w:highlight w:val="none"/>
          <w:lang w:val="en-US" w:eastAsia="zh-CN" w:bidi="ar-SA"/>
        </w:rPr>
        <w:t>全密闭</w:t>
      </w:r>
      <w:r>
        <w:rPr>
          <w:rFonts w:hint="eastAsia" w:ascii="仿宋_GB2312" w:hAnsi="仿宋_GB2312" w:eastAsia="仿宋_GB2312" w:cs="仿宋_GB2312"/>
          <w:color w:val="auto"/>
          <w:kern w:val="2"/>
          <w:sz w:val="32"/>
          <w:szCs w:val="32"/>
          <w:highlight w:val="none"/>
          <w:lang w:val="en-US" w:eastAsia="zh-CN" w:bidi="ar-SA"/>
        </w:rPr>
        <w:t>，</w:t>
      </w:r>
      <w:r>
        <w:rPr>
          <w:rFonts w:hint="default" w:ascii="仿宋_GB2312" w:hAnsi="仿宋_GB2312" w:eastAsia="仿宋_GB2312" w:cs="仿宋_GB2312"/>
          <w:color w:val="auto"/>
          <w:kern w:val="2"/>
          <w:sz w:val="32"/>
          <w:szCs w:val="32"/>
          <w:highlight w:val="none"/>
          <w:lang w:val="en-US" w:eastAsia="zh-CN" w:bidi="ar-SA"/>
        </w:rPr>
        <w:t>在厂房内设置喷淋装置</w:t>
      </w:r>
      <w:r>
        <w:rPr>
          <w:rFonts w:hint="eastAsia" w:ascii="仿宋_GB2312" w:hAnsi="仿宋_GB2312" w:eastAsia="仿宋_GB2312" w:cs="仿宋_GB2312"/>
          <w:color w:val="auto"/>
          <w:kern w:val="2"/>
          <w:sz w:val="32"/>
          <w:szCs w:val="32"/>
          <w:highlight w:val="none"/>
          <w:lang w:val="en-US" w:eastAsia="zh-CN" w:bidi="ar-SA"/>
        </w:rPr>
        <w:t>、</w:t>
      </w:r>
      <w:r>
        <w:rPr>
          <w:rFonts w:hint="default" w:ascii="仿宋_GB2312" w:hAnsi="仿宋_GB2312" w:eastAsia="仿宋_GB2312" w:cs="仿宋_GB2312"/>
          <w:color w:val="auto"/>
          <w:kern w:val="2"/>
          <w:sz w:val="32"/>
          <w:szCs w:val="32"/>
          <w:highlight w:val="none"/>
          <w:lang w:val="en-US" w:eastAsia="zh-CN" w:bidi="ar-SA"/>
        </w:rPr>
        <w:t>导气口</w:t>
      </w:r>
      <w:r>
        <w:rPr>
          <w:rFonts w:hint="eastAsia" w:ascii="仿宋_GB2312" w:hAnsi="仿宋_GB2312" w:eastAsia="仿宋_GB2312" w:cs="仿宋_GB2312"/>
          <w:color w:val="auto"/>
          <w:kern w:val="2"/>
          <w:sz w:val="32"/>
          <w:szCs w:val="32"/>
          <w:highlight w:val="none"/>
          <w:lang w:val="en-US" w:eastAsia="zh-CN" w:bidi="ar-SA"/>
        </w:rPr>
        <w:t>、配置</w:t>
      </w:r>
      <w:r>
        <w:rPr>
          <w:rFonts w:hint="default" w:ascii="仿宋_GB2312" w:hAnsi="仿宋_GB2312" w:eastAsia="仿宋_GB2312" w:cs="仿宋_GB2312"/>
          <w:color w:val="auto"/>
          <w:kern w:val="2"/>
          <w:sz w:val="32"/>
          <w:szCs w:val="32"/>
          <w:highlight w:val="none"/>
          <w:lang w:val="en-US" w:eastAsia="zh-CN" w:bidi="ar-SA"/>
        </w:rPr>
        <w:t>排风扇</w:t>
      </w:r>
      <w:r>
        <w:rPr>
          <w:rFonts w:hint="eastAsia" w:ascii="仿宋_GB2312" w:hAnsi="仿宋_GB2312" w:eastAsia="仿宋_GB2312" w:cs="仿宋_GB2312"/>
          <w:color w:val="auto"/>
          <w:kern w:val="2"/>
          <w:sz w:val="32"/>
          <w:szCs w:val="32"/>
          <w:highlight w:val="none"/>
          <w:lang w:val="en-US" w:eastAsia="zh-CN" w:bidi="ar-SA"/>
        </w:rPr>
        <w:t>；针对成品库扬尘采取</w:t>
      </w:r>
      <w:r>
        <w:rPr>
          <w:rFonts w:hint="default" w:ascii="仿宋_GB2312" w:hAnsi="仿宋_GB2312" w:eastAsia="仿宋_GB2312" w:cs="仿宋_GB2312"/>
          <w:color w:val="auto"/>
          <w:kern w:val="2"/>
          <w:sz w:val="32"/>
          <w:szCs w:val="32"/>
          <w:highlight w:val="none"/>
          <w:lang w:val="en-US" w:eastAsia="zh-CN" w:bidi="ar-SA"/>
        </w:rPr>
        <w:t>雾炮机进行洒水降尘</w:t>
      </w:r>
      <w:r>
        <w:rPr>
          <w:rFonts w:hint="eastAsia" w:ascii="仿宋_GB2312" w:hAnsi="仿宋_GB2312" w:eastAsia="仿宋_GB2312" w:cs="仿宋_GB2312"/>
          <w:color w:val="auto"/>
          <w:kern w:val="2"/>
          <w:sz w:val="32"/>
          <w:szCs w:val="32"/>
          <w:highlight w:val="none"/>
          <w:lang w:val="en-US" w:eastAsia="zh-CN" w:bidi="ar-SA"/>
        </w:rPr>
        <w:t>措施。通过采取以上措施确保满足《大气污染物综合排放标准》无组织（GB16297-1996）排放要求后达标排放。</w:t>
      </w:r>
    </w:p>
    <w:p>
      <w:pPr>
        <w:pStyle w:val="20"/>
        <w:numPr>
          <w:ilvl w:val="0"/>
          <w:numId w:val="0"/>
        </w:numPr>
        <w:ind w:firstLine="640" w:firstLineChars="200"/>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（二）</w:t>
      </w:r>
      <w:r>
        <w:rPr>
          <w:rFonts w:hint="eastAsia" w:ascii="仿宋_GB2312" w:hAnsi="仿宋_GB2312" w:eastAsia="仿宋_GB2312" w:cs="仿宋_GB2312"/>
          <w:color w:val="auto"/>
          <w:sz w:val="32"/>
          <w:szCs w:val="32"/>
          <w:highlight w:val="none"/>
          <w:lang w:val="en-US" w:eastAsia="zh-CN"/>
        </w:rPr>
        <w:t>项目</w:t>
      </w:r>
      <w:r>
        <w:rPr>
          <w:rFonts w:hint="eastAsia" w:ascii="仿宋_GB2312" w:hAnsi="仿宋_GB2312" w:eastAsia="仿宋_GB2312" w:cs="仿宋_GB2312"/>
          <w:color w:val="auto"/>
          <w:sz w:val="32"/>
          <w:szCs w:val="32"/>
          <w:highlight w:val="none"/>
          <w:lang w:eastAsia="zh-CN"/>
        </w:rPr>
        <w:t>营运期噪声主要来源于传送带、砂石分离机、风机等机械设备产生的机械噪声以及运输车辆行驶过程中产生的交通噪声。通过选择低噪声设备并对产生机械噪声的设备加装减振隔声装置，加强车辆管理，装卸时熄火作业，对项目区内机动车辆行驶禁止鸣笛、限制行驶速度等措施，使项目厂界噪声满足《工业企业厂界环境噪声排放标准》（GB12348-2008）2类标准的要求</w:t>
      </w:r>
      <w:r>
        <w:rPr>
          <w:rFonts w:hint="eastAsia" w:ascii="仿宋_GB2312" w:hAnsi="仿宋_GB2312" w:eastAsia="仿宋_GB2312" w:cs="仿宋_GB2312"/>
          <w:color w:val="auto"/>
          <w:sz w:val="32"/>
          <w:szCs w:val="32"/>
          <w:highlight w:val="none"/>
          <w:lang w:val="en-US" w:eastAsia="zh-CN"/>
        </w:rPr>
        <w:t>后达标排放</w:t>
      </w:r>
      <w:r>
        <w:rPr>
          <w:rFonts w:hint="eastAsia" w:ascii="仿宋_GB2312" w:hAnsi="仿宋_GB2312" w:eastAsia="仿宋_GB2312" w:cs="仿宋_GB2312"/>
          <w:color w:val="auto"/>
          <w:sz w:val="32"/>
          <w:szCs w:val="32"/>
          <w:highlight w:val="none"/>
          <w:lang w:eastAsia="zh-CN"/>
        </w:rPr>
        <w:t>。</w:t>
      </w:r>
    </w:p>
    <w:p>
      <w:pPr>
        <w:pStyle w:val="20"/>
        <w:numPr>
          <w:ilvl w:val="0"/>
          <w:numId w:val="0"/>
        </w:numPr>
        <w:ind w:firstLine="640" w:firstLineChars="200"/>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（三）本项目施工期废水来源主要为施工人员产生的生活污水。生活污水</w:t>
      </w:r>
      <w:r>
        <w:rPr>
          <w:rFonts w:hint="eastAsia" w:ascii="仿宋_GB2312" w:hAnsi="仿宋_GB2312" w:eastAsia="仿宋_GB2312" w:cs="仿宋_GB2312"/>
          <w:color w:val="auto"/>
          <w:sz w:val="32"/>
          <w:szCs w:val="32"/>
          <w:highlight w:val="none"/>
          <w:lang w:val="en-US" w:eastAsia="zh-CN"/>
        </w:rPr>
        <w:t>通过厂区化粪池处理后可定期拉运至城市污水处理厂进行处理</w:t>
      </w:r>
      <w:r>
        <w:rPr>
          <w:rFonts w:hint="eastAsia" w:ascii="仿宋_GB2312" w:hAnsi="仿宋_GB2312" w:eastAsia="仿宋_GB2312" w:cs="仿宋_GB2312"/>
          <w:color w:val="auto"/>
          <w:sz w:val="32"/>
          <w:szCs w:val="32"/>
          <w:highlight w:val="none"/>
          <w:lang w:eastAsia="zh-CN"/>
        </w:rPr>
        <w:t>。项目运营期无生产废水产生。</w:t>
      </w:r>
    </w:p>
    <w:p>
      <w:pPr>
        <w:pStyle w:val="20"/>
        <w:numPr>
          <w:ilvl w:val="0"/>
          <w:numId w:val="0"/>
        </w:numPr>
        <w:ind w:firstLine="640" w:firstLineChars="200"/>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（四）施工期固废主要为施工人员生活垃圾。施工人员生活垃圾与生活区垃圾统一收集后交由当地环卫</w:t>
      </w:r>
      <w:r>
        <w:rPr>
          <w:rFonts w:hint="eastAsia" w:ascii="仿宋_GB2312" w:hAnsi="仿宋_GB2312" w:eastAsia="仿宋_GB2312" w:cs="仿宋_GB2312"/>
          <w:color w:val="auto"/>
          <w:sz w:val="32"/>
          <w:szCs w:val="32"/>
          <w:highlight w:val="none"/>
          <w:lang w:val="en-US" w:eastAsia="zh-CN"/>
        </w:rPr>
        <w:t>部门</w:t>
      </w:r>
      <w:r>
        <w:rPr>
          <w:rFonts w:hint="eastAsia" w:ascii="仿宋_GB2312" w:hAnsi="仿宋_GB2312" w:eastAsia="仿宋_GB2312" w:cs="仿宋_GB2312"/>
          <w:color w:val="auto"/>
          <w:sz w:val="32"/>
          <w:szCs w:val="32"/>
          <w:highlight w:val="none"/>
          <w:lang w:eastAsia="zh-CN"/>
        </w:rPr>
        <w:t>处置。项目运营期固体废物主要为布袋收集尘、废矿物油。布袋收集尘通过集中收集后，作为项目产品石粉出售。废矿物油定期交由有资质的单位</w:t>
      </w:r>
      <w:r>
        <w:rPr>
          <w:rFonts w:hint="eastAsia" w:ascii="仿宋_GB2312" w:hAnsi="仿宋_GB2312" w:eastAsia="仿宋_GB2312" w:cs="仿宋_GB2312"/>
          <w:color w:val="auto"/>
          <w:sz w:val="32"/>
          <w:szCs w:val="32"/>
          <w:highlight w:val="none"/>
          <w:lang w:val="en-US" w:eastAsia="zh-CN"/>
        </w:rPr>
        <w:t>进行</w:t>
      </w:r>
      <w:r>
        <w:rPr>
          <w:rFonts w:hint="eastAsia" w:ascii="仿宋_GB2312" w:hAnsi="仿宋_GB2312" w:eastAsia="仿宋_GB2312" w:cs="仿宋_GB2312"/>
          <w:color w:val="auto"/>
          <w:sz w:val="32"/>
          <w:szCs w:val="32"/>
          <w:highlight w:val="none"/>
          <w:lang w:eastAsia="zh-CN"/>
        </w:rPr>
        <w:t>处理。</w:t>
      </w:r>
    </w:p>
    <w:p>
      <w:pPr>
        <w:pStyle w:val="20"/>
        <w:numPr>
          <w:ilvl w:val="0"/>
          <w:numId w:val="0"/>
        </w:numPr>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（五）按环评要求，做好各防渗区防渗工作。</w:t>
      </w:r>
    </w:p>
    <w:p>
      <w:pPr>
        <w:pStyle w:val="20"/>
        <w:numPr>
          <w:ilvl w:val="0"/>
          <w:numId w:val="0"/>
        </w:numPr>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（六）增加环保投入，提高后边绿化率。</w:t>
      </w:r>
    </w:p>
    <w:p>
      <w:pPr>
        <w:pStyle w:val="20"/>
        <w:numPr>
          <w:ilvl w:val="0"/>
          <w:numId w:val="0"/>
        </w:numPr>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三、项目建设必须严</w:t>
      </w:r>
      <w:bookmarkStart w:id="0" w:name="_GoBack"/>
      <w:bookmarkEnd w:id="0"/>
      <w:r>
        <w:rPr>
          <w:rFonts w:hint="eastAsia" w:ascii="仿宋_GB2312" w:hAnsi="仿宋_GB2312" w:eastAsia="仿宋_GB2312" w:cs="仿宋_GB2312"/>
          <w:sz w:val="32"/>
          <w:szCs w:val="32"/>
          <w:highlight w:val="none"/>
          <w:lang w:eastAsia="zh-CN"/>
        </w:rPr>
        <w:t>格执行环境保护设施与主体工程同时设计、同时施工、同时投产使用的环境保护“三同时”制度。</w:t>
      </w:r>
    </w:p>
    <w:p>
      <w:pPr>
        <w:pStyle w:val="20"/>
        <w:numPr>
          <w:ilvl w:val="0"/>
          <w:numId w:val="0"/>
        </w:numPr>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20"/>
        <w:numPr>
          <w:ilvl w:val="0"/>
          <w:numId w:val="0"/>
        </w:numPr>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20"/>
        <w:numPr>
          <w:ilvl w:val="0"/>
          <w:numId w:val="0"/>
        </w:numPr>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20"/>
        <w:numPr>
          <w:ilvl w:val="0"/>
          <w:numId w:val="0"/>
        </w:numPr>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四、锡林郭勒盟生态环境综合行政执法支队对该项目建设期间各项生态环境保护措施落实情况进行监督检查和管理。</w:t>
      </w:r>
    </w:p>
    <w:p>
      <w:pPr>
        <w:rPr>
          <w:rFonts w:hint="eastAsia" w:ascii="仿宋_GB2312" w:hAnsi="仿宋_GB2312" w:eastAsia="仿宋_GB2312" w:cs="仿宋_GB2312"/>
          <w:sz w:val="32"/>
          <w:szCs w:val="32"/>
          <w:highlight w:val="none"/>
          <w:lang w:eastAsia="zh-CN"/>
        </w:rPr>
      </w:pPr>
    </w:p>
    <w:p>
      <w:pPr>
        <w:ind w:firstLine="2560" w:firstLineChars="800"/>
        <w:rPr>
          <w:rFonts w:hint="eastAsia" w:ascii="仿宋_GB2312" w:hAnsi="仿宋_GB2312" w:eastAsia="仿宋_GB2312" w:cs="仿宋_GB2312"/>
          <w:sz w:val="32"/>
          <w:szCs w:val="32"/>
          <w:highlight w:val="none"/>
          <w:lang w:eastAsia="zh-CN"/>
        </w:rPr>
      </w:pPr>
    </w:p>
    <w:p>
      <w:pPr>
        <w:pStyle w:val="2"/>
        <w:rPr>
          <w:rFonts w:hint="eastAsia"/>
          <w:lang w:eastAsia="zh-CN"/>
        </w:rPr>
      </w:pPr>
    </w:p>
    <w:p>
      <w:pPr>
        <w:ind w:firstLine="2560" w:firstLineChars="8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锡林郭勒盟生态环境局锡林浩特市分局</w:t>
      </w:r>
    </w:p>
    <w:p>
      <w:pPr>
        <w:ind w:firstLine="4160" w:firstLineChars="13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2022年10月10日</w:t>
      </w:r>
    </w:p>
    <w:p>
      <w:pPr>
        <w:pStyle w:val="19"/>
        <w:ind w:left="0" w:leftChars="0" w:firstLine="0" w:firstLineChars="0"/>
        <w:rPr>
          <w:rFonts w:hint="eastAsia" w:ascii="仿宋_GB2312" w:hAnsi="仿宋_GB2312" w:eastAsia="仿宋_GB2312" w:cs="仿宋_GB2312"/>
          <w:sz w:val="32"/>
          <w:szCs w:val="32"/>
          <w:highlight w:val="yellow"/>
          <w:lang w:eastAsia="zh-CN"/>
        </w:rPr>
      </w:pPr>
    </w:p>
    <w:p>
      <w:pPr>
        <w:pStyle w:val="19"/>
        <w:ind w:left="0" w:leftChars="0" w:firstLine="0" w:firstLineChars="0"/>
        <w:rPr>
          <w:rFonts w:hint="eastAsia" w:ascii="仿宋_GB2312" w:hAnsi="仿宋_GB2312" w:eastAsia="仿宋_GB2312" w:cs="仿宋_GB2312"/>
          <w:sz w:val="32"/>
          <w:szCs w:val="32"/>
          <w:highlight w:val="yellow"/>
          <w:lang w:eastAsia="zh-CN"/>
        </w:rPr>
      </w:pPr>
    </w:p>
    <w:p>
      <w:pPr>
        <w:pStyle w:val="19"/>
        <w:ind w:left="0" w:leftChars="0" w:firstLine="0" w:firstLineChars="0"/>
        <w:rPr>
          <w:rFonts w:hint="eastAsia" w:ascii="仿宋_GB2312" w:hAnsi="仿宋_GB2312" w:eastAsia="仿宋_GB2312" w:cs="仿宋_GB2312"/>
          <w:sz w:val="32"/>
          <w:szCs w:val="32"/>
          <w:highlight w:val="yellow"/>
          <w:lang w:eastAsia="zh-CN"/>
        </w:rPr>
      </w:pPr>
    </w:p>
    <w:p>
      <w:pPr>
        <w:pStyle w:val="19"/>
        <w:ind w:left="0" w:leftChars="0" w:firstLine="0" w:firstLineChars="0"/>
        <w:rPr>
          <w:rFonts w:hint="eastAsia" w:ascii="仿宋_GB2312" w:hAnsi="仿宋_GB2312" w:eastAsia="仿宋_GB2312" w:cs="仿宋_GB2312"/>
          <w:sz w:val="32"/>
          <w:szCs w:val="32"/>
          <w:highlight w:val="yellow"/>
          <w:lang w:eastAsia="zh-CN"/>
        </w:rPr>
      </w:pPr>
    </w:p>
    <w:p>
      <w:pPr>
        <w:pStyle w:val="19"/>
        <w:ind w:left="0" w:leftChars="0" w:firstLine="0" w:firstLineChars="0"/>
        <w:rPr>
          <w:rFonts w:hint="eastAsia" w:ascii="仿宋_GB2312" w:hAnsi="仿宋_GB2312" w:eastAsia="仿宋_GB2312" w:cs="仿宋_GB2312"/>
          <w:sz w:val="32"/>
          <w:szCs w:val="32"/>
          <w:highlight w:val="yellow"/>
          <w:lang w:eastAsia="zh-CN"/>
        </w:rPr>
      </w:pPr>
    </w:p>
    <w:p>
      <w:pPr>
        <w:pStyle w:val="19"/>
        <w:ind w:left="0" w:leftChars="0" w:firstLine="0" w:firstLineChars="0"/>
        <w:rPr>
          <w:rFonts w:hint="eastAsia" w:ascii="仿宋_GB2312" w:hAnsi="仿宋_GB2312" w:eastAsia="仿宋_GB2312" w:cs="仿宋_GB2312"/>
          <w:sz w:val="32"/>
          <w:szCs w:val="32"/>
          <w:highlight w:val="yellow"/>
          <w:lang w:eastAsia="zh-CN"/>
        </w:rPr>
      </w:pPr>
    </w:p>
    <w:p>
      <w:pPr>
        <w:pStyle w:val="19"/>
        <w:ind w:left="0" w:leftChars="0" w:firstLine="0" w:firstLineChars="0"/>
        <w:rPr>
          <w:rFonts w:hint="eastAsia" w:ascii="仿宋_GB2312" w:hAnsi="仿宋_GB2312" w:eastAsia="仿宋_GB2312" w:cs="仿宋_GB2312"/>
          <w:sz w:val="32"/>
          <w:szCs w:val="32"/>
          <w:highlight w:val="yellow"/>
          <w:lang w:eastAsia="zh-CN"/>
        </w:rPr>
      </w:pPr>
    </w:p>
    <w:p>
      <w:pPr>
        <w:pStyle w:val="19"/>
        <w:ind w:left="0" w:leftChars="0" w:firstLine="0" w:firstLineChars="0"/>
        <w:rPr>
          <w:rFonts w:hint="eastAsia" w:ascii="仿宋_GB2312" w:hAnsi="仿宋_GB2312" w:eastAsia="仿宋_GB2312" w:cs="仿宋_GB2312"/>
          <w:sz w:val="32"/>
          <w:szCs w:val="32"/>
          <w:highlight w:val="yellow"/>
          <w:lang w:eastAsia="zh-CN"/>
        </w:rPr>
      </w:pPr>
    </w:p>
    <w:p>
      <w:pPr>
        <w:pStyle w:val="19"/>
        <w:ind w:left="0" w:leftChars="0" w:firstLine="0" w:firstLineChars="0"/>
        <w:rPr>
          <w:rFonts w:hint="eastAsia" w:ascii="仿宋_GB2312" w:hAnsi="仿宋_GB2312" w:eastAsia="仿宋_GB2312" w:cs="仿宋_GB2312"/>
          <w:sz w:val="32"/>
          <w:szCs w:val="32"/>
          <w:highlight w:val="yellow"/>
          <w:lang w:eastAsia="zh-CN"/>
        </w:rPr>
      </w:pPr>
    </w:p>
    <w:p>
      <w:pPr>
        <w:pStyle w:val="19"/>
        <w:ind w:left="0" w:leftChars="0" w:firstLine="0" w:firstLineChars="0"/>
        <w:rPr>
          <w:rFonts w:hint="eastAsia" w:ascii="仿宋_GB2312" w:hAnsi="仿宋_GB2312" w:eastAsia="仿宋_GB2312" w:cs="仿宋_GB2312"/>
          <w:sz w:val="32"/>
          <w:szCs w:val="32"/>
          <w:highlight w:val="yellow"/>
          <w:lang w:eastAsia="zh-CN"/>
        </w:rPr>
      </w:pPr>
    </w:p>
    <w:p>
      <w:pPr>
        <w:pStyle w:val="19"/>
        <w:ind w:left="0" w:leftChars="0" w:firstLine="0" w:firstLineChars="0"/>
        <w:rPr>
          <w:rFonts w:hint="eastAsia" w:ascii="仿宋_GB2312" w:hAnsi="仿宋_GB2312" w:eastAsia="仿宋_GB2312" w:cs="仿宋_GB2312"/>
          <w:sz w:val="32"/>
          <w:szCs w:val="32"/>
          <w:highlight w:val="yellow"/>
          <w:lang w:eastAsia="zh-CN"/>
        </w:rPr>
      </w:pPr>
    </w:p>
    <w:p>
      <w:pPr>
        <w:pStyle w:val="19"/>
        <w:ind w:left="0" w:leftChars="0" w:firstLine="0" w:firstLineChars="0"/>
        <w:rPr>
          <w:rFonts w:hint="eastAsia" w:ascii="仿宋_GB2312" w:hAnsi="仿宋_GB2312" w:eastAsia="仿宋_GB2312" w:cs="仿宋_GB2312"/>
          <w:sz w:val="32"/>
          <w:szCs w:val="32"/>
          <w:highlight w:val="yellow"/>
          <w:lang w:eastAsia="zh-CN"/>
        </w:rPr>
      </w:pPr>
    </w:p>
    <w:p>
      <w:pPr>
        <w:pStyle w:val="19"/>
        <w:ind w:left="0" w:leftChars="0" w:firstLine="0" w:firstLineChars="0"/>
        <w:rPr>
          <w:rFonts w:hint="eastAsia" w:ascii="仿宋_GB2312" w:hAnsi="仿宋_GB2312" w:eastAsia="仿宋_GB2312" w:cs="仿宋_GB2312"/>
          <w:sz w:val="32"/>
          <w:szCs w:val="32"/>
          <w:highlight w:val="yellow"/>
          <w:lang w:eastAsia="zh-CN"/>
        </w:rPr>
      </w:pPr>
    </w:p>
    <w:p>
      <w:pPr>
        <w:pStyle w:val="19"/>
        <w:ind w:left="0" w:leftChars="0" w:firstLine="0" w:firstLineChars="0"/>
        <w:rPr>
          <w:rFonts w:hint="eastAsia" w:ascii="仿宋" w:hAnsi="仿宋" w:eastAsia="仿宋"/>
          <w:sz w:val="32"/>
          <w:szCs w:val="32"/>
          <w:highlight w:val="yellow"/>
        </w:rPr>
      </w:pPr>
      <w:r>
        <w:rPr>
          <w:rFonts w:hint="eastAsia" w:ascii="仿宋_GB2312" w:hAnsi="仿宋_GB2312" w:eastAsia="仿宋_GB2312" w:cs="仿宋_GB2312"/>
          <w:sz w:val="32"/>
          <w:szCs w:val="32"/>
          <w:highlight w:val="none"/>
          <w:lang w:eastAsia="zh-CN"/>
        </w:rPr>
        <w:t>抄送：锡林郭勒盟生态环境局、</w:t>
      </w:r>
      <w:r>
        <w:rPr>
          <w:rFonts w:hint="eastAsia" w:ascii="仿宋_GB2312" w:hAnsi="仿宋_GB2312" w:eastAsia="仿宋_GB2312" w:cs="仿宋_GB2312"/>
          <w:sz w:val="32"/>
          <w:szCs w:val="32"/>
          <w:highlight w:val="none"/>
          <w:lang w:val="en-US" w:eastAsia="zh-CN"/>
        </w:rPr>
        <w:t>锡林郭勒盟生态环境综合行政执法支队</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8"/>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603F01FF" w:csb1="FFFF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90315"/>
      <w:docPartObj>
        <w:docPartGallery w:val="autotext"/>
      </w:docPartObj>
    </w:sdtPr>
    <w:sdtContent>
      <w:p>
        <w:pPr>
          <w:pStyle w:val="10"/>
          <w:jc w:val="center"/>
        </w:pPr>
        <w:r>
          <w:fldChar w:fldCharType="begin"/>
        </w:r>
        <w:r>
          <w:instrText xml:space="preserve"> PAGE   \* MERGEFORMAT </w:instrText>
        </w:r>
        <w:r>
          <w:fldChar w:fldCharType="separate"/>
        </w:r>
        <w:r>
          <w:rPr>
            <w:lang w:val="zh-CN"/>
          </w:rPr>
          <w:t>1</w:t>
        </w:r>
        <w:r>
          <w:rPr>
            <w:lang w:val="zh-CN"/>
          </w:rPr>
          <w:fldChar w:fldCharType="end"/>
        </w:r>
      </w:p>
    </w:sdtContent>
  </w:sdt>
  <w:p>
    <w:pPr>
      <w:pStyle w:val="1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s>
  <w:rsids>
    <w:rsidRoot w:val="001E271C"/>
    <w:rsid w:val="001E271C"/>
    <w:rsid w:val="00B87117"/>
    <w:rsid w:val="00E83F57"/>
    <w:rsid w:val="01166DA6"/>
    <w:rsid w:val="01D027C7"/>
    <w:rsid w:val="06C13B3D"/>
    <w:rsid w:val="07D679D6"/>
    <w:rsid w:val="0C9B2141"/>
    <w:rsid w:val="0D502605"/>
    <w:rsid w:val="0DC94DA4"/>
    <w:rsid w:val="0E146C48"/>
    <w:rsid w:val="10773E64"/>
    <w:rsid w:val="11815149"/>
    <w:rsid w:val="119E5AF7"/>
    <w:rsid w:val="18E453EE"/>
    <w:rsid w:val="1B4F5180"/>
    <w:rsid w:val="1BDE167F"/>
    <w:rsid w:val="204C4C91"/>
    <w:rsid w:val="21041E6B"/>
    <w:rsid w:val="23700BF9"/>
    <w:rsid w:val="23BD04C6"/>
    <w:rsid w:val="272A677C"/>
    <w:rsid w:val="29CC3487"/>
    <w:rsid w:val="2AB067B8"/>
    <w:rsid w:val="2AF85194"/>
    <w:rsid w:val="2C8114F5"/>
    <w:rsid w:val="2CC02721"/>
    <w:rsid w:val="2FB4465A"/>
    <w:rsid w:val="30EB2DA6"/>
    <w:rsid w:val="333A6BDB"/>
    <w:rsid w:val="3372163A"/>
    <w:rsid w:val="37D943F6"/>
    <w:rsid w:val="39CE76C6"/>
    <w:rsid w:val="3BC60B27"/>
    <w:rsid w:val="3DDE2FC6"/>
    <w:rsid w:val="405F6E03"/>
    <w:rsid w:val="459171B6"/>
    <w:rsid w:val="45DA1917"/>
    <w:rsid w:val="472B6FD6"/>
    <w:rsid w:val="4E2978F9"/>
    <w:rsid w:val="4EAA7967"/>
    <w:rsid w:val="4FA672D9"/>
    <w:rsid w:val="532F7E23"/>
    <w:rsid w:val="575E7CEE"/>
    <w:rsid w:val="58D316BE"/>
    <w:rsid w:val="5A294206"/>
    <w:rsid w:val="5C4001D5"/>
    <w:rsid w:val="5C635BEB"/>
    <w:rsid w:val="5D0775B6"/>
    <w:rsid w:val="5DE829AC"/>
    <w:rsid w:val="5E55710C"/>
    <w:rsid w:val="5EBE21AB"/>
    <w:rsid w:val="60BF3BD0"/>
    <w:rsid w:val="61BF76EB"/>
    <w:rsid w:val="623E6920"/>
    <w:rsid w:val="65312F5D"/>
    <w:rsid w:val="66E83653"/>
    <w:rsid w:val="67B67782"/>
    <w:rsid w:val="68704CA1"/>
    <w:rsid w:val="6BEB1D6D"/>
    <w:rsid w:val="6CA80FF3"/>
    <w:rsid w:val="6CF81186"/>
    <w:rsid w:val="6E7E0DC8"/>
    <w:rsid w:val="6FD235D4"/>
    <w:rsid w:val="733379D0"/>
    <w:rsid w:val="749E0175"/>
    <w:rsid w:val="75B535E3"/>
    <w:rsid w:val="75C311C4"/>
    <w:rsid w:val="7779709C"/>
    <w:rsid w:val="799A104A"/>
    <w:rsid w:val="7C5510E6"/>
    <w:rsid w:val="7FD539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5">
    <w:name w:val="Normal Indent"/>
    <w:basedOn w:val="1"/>
    <w:next w:val="6"/>
    <w:qFormat/>
    <w:uiPriority w:val="0"/>
    <w:pPr>
      <w:ind w:firstLine="420" w:firstLineChars="200"/>
    </w:pPr>
    <w:rPr>
      <w:rFonts w:eastAsia="宋体"/>
      <w:kern w:val="2"/>
      <w:sz w:val="21"/>
      <w:szCs w:val="24"/>
      <w:lang w:val="en-US" w:eastAsia="zh-CN" w:bidi="ar-SA"/>
    </w:rPr>
  </w:style>
  <w:style w:type="paragraph" w:customStyle="1" w:styleId="6">
    <w:name w:val="正文首行缩进2个字 Char"/>
    <w:basedOn w:val="1"/>
    <w:qFormat/>
    <w:uiPriority w:val="0"/>
    <w:pPr>
      <w:ind w:firstLine="480" w:firstLineChars="200"/>
    </w:pPr>
    <w:rPr>
      <w:rFonts w:eastAsia="楷体"/>
      <w:sz w:val="24"/>
    </w:rPr>
  </w:style>
  <w:style w:type="paragraph" w:styleId="7">
    <w:name w:val="Body Text"/>
    <w:basedOn w:val="1"/>
    <w:next w:val="8"/>
    <w:qFormat/>
    <w:uiPriority w:val="0"/>
    <w:pPr>
      <w:spacing w:line="360" w:lineRule="auto"/>
    </w:pPr>
    <w:rPr>
      <w:sz w:val="24"/>
      <w:szCs w:val="20"/>
    </w:rPr>
  </w:style>
  <w:style w:type="paragraph" w:customStyle="1" w:styleId="8">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9">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10">
    <w:name w:val="footer"/>
    <w:basedOn w:val="1"/>
    <w:link w:val="23"/>
    <w:qFormat/>
    <w:uiPriority w:val="99"/>
    <w:pPr>
      <w:tabs>
        <w:tab w:val="center" w:pos="4153"/>
        <w:tab w:val="right" w:pos="8306"/>
      </w:tabs>
      <w:snapToGrid w:val="0"/>
      <w:jc w:val="left"/>
    </w:pPr>
    <w:rPr>
      <w:sz w:val="18"/>
      <w:szCs w:val="18"/>
    </w:rPr>
  </w:style>
  <w:style w:type="paragraph" w:styleId="11">
    <w:name w:val="header"/>
    <w:basedOn w:val="1"/>
    <w:link w:val="22"/>
    <w:qFormat/>
    <w:uiPriority w:val="0"/>
    <w:pPr>
      <w:pBdr>
        <w:bottom w:val="single" w:color="auto" w:sz="6" w:space="1"/>
      </w:pBdr>
      <w:tabs>
        <w:tab w:val="center" w:pos="4153"/>
        <w:tab w:val="right" w:pos="8306"/>
      </w:tabs>
      <w:snapToGrid w:val="0"/>
      <w:jc w:val="center"/>
    </w:pPr>
    <w:rPr>
      <w:sz w:val="18"/>
      <w:szCs w:val="18"/>
    </w:rPr>
  </w:style>
  <w:style w:type="paragraph" w:styleId="12">
    <w:name w:val="toc 1"/>
    <w:basedOn w:val="1"/>
    <w:next w:val="1"/>
    <w:unhideWhenUsed/>
    <w:qFormat/>
    <w:uiPriority w:val="39"/>
  </w:style>
  <w:style w:type="paragraph" w:styleId="13">
    <w:name w:val="Body Text Indent 3"/>
    <w:basedOn w:val="1"/>
    <w:unhideWhenUsed/>
    <w:qFormat/>
    <w:uiPriority w:val="0"/>
    <w:pPr>
      <w:ind w:firstLine="570"/>
    </w:pPr>
    <w:rPr>
      <w:szCs w:val="20"/>
    </w:rPr>
  </w:style>
  <w:style w:type="paragraph" w:styleId="14">
    <w:name w:val="Normal (Web)"/>
    <w:basedOn w:val="1"/>
    <w:qFormat/>
    <w:uiPriority w:val="0"/>
    <w:pPr>
      <w:widowControl/>
      <w:spacing w:before="100" w:beforeAutospacing="1" w:after="100" w:afterAutospacing="1"/>
      <w:jc w:val="left"/>
    </w:pPr>
    <w:rPr>
      <w:rFonts w:ascii="宋体" w:hAnsi="宋体"/>
      <w:kern w:val="0"/>
    </w:rPr>
  </w:style>
  <w:style w:type="paragraph" w:styleId="15">
    <w:name w:val="Body Text First Indent"/>
    <w:basedOn w:val="7"/>
    <w:next w:val="1"/>
    <w:qFormat/>
    <w:uiPriority w:val="0"/>
    <w:pPr>
      <w:adjustRightInd/>
      <w:spacing w:line="240" w:lineRule="auto"/>
      <w:ind w:left="0" w:firstLine="420" w:firstLineChars="100"/>
      <w:textAlignment w:val="auto"/>
    </w:pPr>
    <w:rPr>
      <w:spacing w:val="0"/>
      <w:kern w:val="2"/>
      <w:sz w:val="21"/>
      <w:szCs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9">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20">
    <w:name w:val="列出段落1"/>
    <w:basedOn w:val="1"/>
    <w:qFormat/>
    <w:uiPriority w:val="34"/>
    <w:pPr>
      <w:ind w:firstLine="420" w:firstLineChars="200"/>
    </w:pPr>
  </w:style>
  <w:style w:type="paragraph" w:customStyle="1" w:styleId="21">
    <w:name w:val="a正文"/>
    <w:basedOn w:val="1"/>
    <w:qFormat/>
    <w:uiPriority w:val="0"/>
    <w:pPr>
      <w:adjustRightInd w:val="0"/>
      <w:snapToGrid w:val="0"/>
      <w:spacing w:line="360" w:lineRule="auto"/>
      <w:ind w:firstLine="200" w:firstLineChars="200"/>
    </w:pPr>
    <w:rPr>
      <w:kern w:val="0"/>
      <w:sz w:val="24"/>
      <w:szCs w:val="20"/>
    </w:rPr>
  </w:style>
  <w:style w:type="character" w:customStyle="1" w:styleId="22">
    <w:name w:val="页眉 Char"/>
    <w:basedOn w:val="18"/>
    <w:link w:val="11"/>
    <w:qFormat/>
    <w:uiPriority w:val="0"/>
    <w:rPr>
      <w:kern w:val="2"/>
      <w:sz w:val="18"/>
      <w:szCs w:val="18"/>
    </w:rPr>
  </w:style>
  <w:style w:type="character" w:customStyle="1" w:styleId="23">
    <w:name w:val="页脚 Char"/>
    <w:basedOn w:val="18"/>
    <w:link w:val="10"/>
    <w:qFormat/>
    <w:uiPriority w:val="99"/>
    <w:rPr>
      <w:kern w:val="2"/>
      <w:sz w:val="18"/>
      <w:szCs w:val="18"/>
    </w:rPr>
  </w:style>
  <w:style w:type="paragraph" w:customStyle="1" w:styleId="24">
    <w:name w:val="表 正文"/>
    <w:basedOn w:val="1"/>
    <w:qFormat/>
    <w:uiPriority w:val="0"/>
    <w:pPr>
      <w:spacing w:line="360" w:lineRule="auto"/>
      <w:ind w:firstLine="480" w:firstLineChars="200"/>
    </w:pPr>
    <w:rPr>
      <w:sz w:val="24"/>
      <w:szCs w:val="21"/>
    </w:rPr>
  </w:style>
  <w:style w:type="paragraph" w:customStyle="1" w:styleId="25">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1413</Words>
  <Characters>1465</Characters>
  <Lines>20</Lines>
  <Paragraphs>5</Paragraphs>
  <TotalTime>6</TotalTime>
  <ScaleCrop>false</ScaleCrop>
  <LinksUpToDate>false</LinksUpToDate>
  <CharactersWithSpaces>1465</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小左佐</cp:lastModifiedBy>
  <cp:lastPrinted>2022-02-28T06:47:00Z</cp:lastPrinted>
  <dcterms:modified xsi:type="dcterms:W3CDTF">2022-10-10T03:10:20Z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