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autoSpaceDE/>
        <w:autoSpaceDN/>
        <w:bidi w:val="0"/>
        <w:spacing w:line="578" w:lineRule="exact"/>
        <w:textAlignment w:val="auto"/>
        <w:rPr>
          <w:sz w:val="32"/>
          <w:szCs w:val="32"/>
          <w:highlight w:val="none"/>
        </w:rPr>
      </w:pPr>
    </w:p>
    <w:p>
      <w:pPr>
        <w:keepNext w:val="0"/>
        <w:keepLines w:val="0"/>
        <w:pageBreakBefore w:val="0"/>
        <w:widowControl w:val="0"/>
        <w:kinsoku/>
        <w:wordWrap/>
        <w:overflowPunct/>
        <w:autoSpaceDE/>
        <w:autoSpaceDN/>
        <w:bidi w:val="0"/>
        <w:spacing w:line="578" w:lineRule="exact"/>
        <w:textAlignment w:val="auto"/>
        <w:rPr>
          <w:sz w:val="32"/>
          <w:szCs w:val="32"/>
          <w:highlight w:val="none"/>
        </w:rPr>
      </w:pPr>
    </w:p>
    <w:p>
      <w:pPr>
        <w:keepNext w:val="0"/>
        <w:keepLines w:val="0"/>
        <w:pageBreakBefore w:val="0"/>
        <w:widowControl w:val="0"/>
        <w:kinsoku/>
        <w:wordWrap/>
        <w:overflowPunct/>
        <w:autoSpaceDE/>
        <w:autoSpaceDN/>
        <w:bidi w:val="0"/>
        <w:spacing w:line="578" w:lineRule="exact"/>
        <w:textAlignment w:val="auto"/>
        <w:rPr>
          <w:sz w:val="32"/>
          <w:szCs w:val="32"/>
          <w:highlight w:val="none"/>
        </w:rPr>
      </w:pPr>
    </w:p>
    <w:p>
      <w:pPr>
        <w:keepNext w:val="0"/>
        <w:keepLines w:val="0"/>
        <w:pageBreakBefore w:val="0"/>
        <w:widowControl w:val="0"/>
        <w:kinsoku/>
        <w:wordWrap/>
        <w:overflowPunct/>
        <w:autoSpaceDE/>
        <w:autoSpaceDN/>
        <w:bidi w:val="0"/>
        <w:spacing w:line="578" w:lineRule="exact"/>
        <w:textAlignment w:val="auto"/>
        <w:rPr>
          <w:sz w:val="32"/>
          <w:szCs w:val="32"/>
          <w:highlight w:val="none"/>
        </w:rPr>
      </w:pPr>
    </w:p>
    <w:p>
      <w:pPr>
        <w:keepNext w:val="0"/>
        <w:keepLines w:val="0"/>
        <w:pageBreakBefore w:val="0"/>
        <w:widowControl w:val="0"/>
        <w:kinsoku/>
        <w:wordWrap/>
        <w:overflowPunct/>
        <w:autoSpaceDE/>
        <w:autoSpaceDN/>
        <w:bidi w:val="0"/>
        <w:spacing w:line="578" w:lineRule="exact"/>
        <w:textAlignment w:val="auto"/>
        <w:rPr>
          <w:sz w:val="32"/>
          <w:szCs w:val="32"/>
          <w:highlight w:val="none"/>
        </w:rPr>
      </w:pPr>
    </w:p>
    <w:p>
      <w:pPr>
        <w:keepNext w:val="0"/>
        <w:keepLines w:val="0"/>
        <w:pageBreakBefore w:val="0"/>
        <w:widowControl w:val="0"/>
        <w:kinsoku/>
        <w:wordWrap/>
        <w:overflowPunct/>
        <w:autoSpaceDE/>
        <w:autoSpaceDN/>
        <w:bidi w:val="0"/>
        <w:spacing w:line="578" w:lineRule="exact"/>
        <w:textAlignment w:val="auto"/>
        <w:rPr>
          <w:sz w:val="32"/>
          <w:szCs w:val="32"/>
          <w:highlight w:val="none"/>
        </w:rPr>
      </w:pPr>
    </w:p>
    <w:p>
      <w:pPr>
        <w:keepNext w:val="0"/>
        <w:keepLines w:val="0"/>
        <w:pageBreakBefore w:val="0"/>
        <w:widowControl w:val="0"/>
        <w:kinsoku/>
        <w:wordWrap/>
        <w:overflowPunct/>
        <w:autoSpaceDE/>
        <w:autoSpaceDN/>
        <w:bidi w:val="0"/>
        <w:spacing w:line="578" w:lineRule="exact"/>
        <w:textAlignment w:val="auto"/>
        <w:rPr>
          <w:sz w:val="32"/>
          <w:szCs w:val="32"/>
          <w:highlight w:val="none"/>
        </w:rPr>
      </w:pPr>
    </w:p>
    <w:p>
      <w:pPr>
        <w:keepNext w:val="0"/>
        <w:keepLines w:val="0"/>
        <w:pageBreakBefore w:val="0"/>
        <w:widowControl w:val="0"/>
        <w:kinsoku/>
        <w:wordWrap/>
        <w:overflowPunct/>
        <w:autoSpaceDE/>
        <w:autoSpaceDN/>
        <w:bidi w:val="0"/>
        <w:spacing w:line="578" w:lineRule="exact"/>
        <w:textAlignment w:val="auto"/>
        <w:rPr>
          <w:sz w:val="32"/>
          <w:szCs w:val="32"/>
          <w:highlight w:val="none"/>
        </w:rPr>
      </w:pPr>
    </w:p>
    <w:p>
      <w:pPr>
        <w:keepNext w:val="0"/>
        <w:keepLines w:val="0"/>
        <w:pageBreakBefore w:val="0"/>
        <w:widowControl w:val="0"/>
        <w:kinsoku/>
        <w:wordWrap/>
        <w:overflowPunct/>
        <w:autoSpaceDE/>
        <w:autoSpaceDN/>
        <w:bidi w:val="0"/>
        <w:spacing w:line="578"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78" w:lineRule="exact"/>
        <w:jc w:val="center"/>
        <w:textAlignment w:val="auto"/>
        <w:rPr>
          <w:rFonts w:hAnsi="仿宋" w:eastAsia="仿宋"/>
          <w:color w:val="auto"/>
          <w:sz w:val="30"/>
          <w:szCs w:val="30"/>
          <w:highlight w:val="none"/>
        </w:rPr>
      </w:pPr>
      <w:r>
        <w:rPr>
          <w:rFonts w:hint="eastAsia" w:ascii="仿宋_GB2312" w:hAnsi="仿宋_GB2312" w:eastAsia="仿宋_GB2312" w:cs="仿宋_GB2312"/>
          <w:color w:val="auto"/>
          <w:sz w:val="30"/>
          <w:szCs w:val="30"/>
          <w:highlight w:val="none"/>
        </w:rPr>
        <w:t>锡市环</w:t>
      </w:r>
      <w:r>
        <w:rPr>
          <w:rFonts w:hint="eastAsia" w:ascii="仿宋_GB2312" w:hAnsi="仿宋_GB2312" w:eastAsia="仿宋_GB2312" w:cs="仿宋_GB2312"/>
          <w:color w:val="auto"/>
          <w:sz w:val="30"/>
          <w:szCs w:val="30"/>
          <w:highlight w:val="none"/>
          <w:lang w:eastAsia="zh-CN"/>
        </w:rPr>
        <w:t>表</w:t>
      </w:r>
      <w:r>
        <w:rPr>
          <w:rFonts w:hint="eastAsia" w:ascii="仿宋_GB2312" w:hAnsi="仿宋_GB2312" w:eastAsia="仿宋_GB2312" w:cs="仿宋_GB2312"/>
          <w:color w:val="auto"/>
          <w:sz w:val="30"/>
          <w:szCs w:val="30"/>
          <w:highlight w:val="none"/>
        </w:rPr>
        <w:t>[20</w:t>
      </w:r>
      <w:r>
        <w:rPr>
          <w:rFonts w:hint="eastAsia" w:ascii="仿宋_GB2312" w:hAnsi="仿宋_GB2312" w:eastAsia="仿宋_GB2312" w:cs="仿宋_GB2312"/>
          <w:color w:val="auto"/>
          <w:sz w:val="30"/>
          <w:szCs w:val="30"/>
          <w:highlight w:val="none"/>
          <w:lang w:val="en-US" w:eastAsia="zh-CN"/>
        </w:rPr>
        <w:t>22</w:t>
      </w:r>
      <w:r>
        <w:rPr>
          <w:rFonts w:hint="eastAsia" w:ascii="仿宋_GB2312" w:hAnsi="仿宋_GB2312" w:eastAsia="仿宋_GB2312" w:cs="仿宋_GB2312"/>
          <w:color w:val="auto"/>
          <w:sz w:val="30"/>
          <w:szCs w:val="30"/>
          <w:highlight w:val="none"/>
        </w:rPr>
        <w:t>]第</w:t>
      </w:r>
      <w:r>
        <w:rPr>
          <w:rFonts w:hint="eastAsia" w:ascii="仿宋_GB2312" w:hAnsi="仿宋_GB2312" w:eastAsia="仿宋_GB2312" w:cs="仿宋_GB2312"/>
          <w:color w:val="auto"/>
          <w:sz w:val="30"/>
          <w:szCs w:val="30"/>
          <w:highlight w:val="none"/>
          <w:lang w:val="en-US" w:eastAsia="zh-CN"/>
        </w:rPr>
        <w:t>41</w:t>
      </w:r>
      <w:r>
        <w:rPr>
          <w:rFonts w:hint="eastAsia" w:ascii="仿宋_GB2312" w:hAnsi="仿宋_GB2312" w:eastAsia="仿宋_GB2312" w:cs="仿宋_GB2312"/>
          <w:color w:val="auto"/>
          <w:sz w:val="30"/>
          <w:szCs w:val="30"/>
          <w:highlight w:val="none"/>
        </w:rPr>
        <w:t>号</w:t>
      </w:r>
    </w:p>
    <w:p>
      <w:pPr>
        <w:keepNext w:val="0"/>
        <w:keepLines w:val="0"/>
        <w:pageBreakBefore w:val="0"/>
        <w:widowControl w:val="0"/>
        <w:kinsoku/>
        <w:wordWrap/>
        <w:overflowPunct/>
        <w:autoSpaceDE/>
        <w:autoSpaceDN/>
        <w:bidi w:val="0"/>
        <w:adjustRightInd w:val="0"/>
        <w:snapToGrid w:val="0"/>
        <w:spacing w:line="578"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于内蒙古自治区锡林郭勒盟中心医院</w:t>
      </w:r>
    </w:p>
    <w:p>
      <w:pPr>
        <w:keepNext w:val="0"/>
        <w:keepLines w:val="0"/>
        <w:pageBreakBefore w:val="0"/>
        <w:widowControl w:val="0"/>
        <w:kinsoku/>
        <w:wordWrap/>
        <w:overflowPunct/>
        <w:autoSpaceDE/>
        <w:autoSpaceDN/>
        <w:bidi w:val="0"/>
        <w:adjustRightInd w:val="0"/>
        <w:snapToGrid w:val="0"/>
        <w:spacing w:line="578"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val="en-GB" w:eastAsia="zh-CN"/>
        </w:rPr>
        <w:t>高压氧楼建设项目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autoSpaceDE/>
        <w:autoSpaceDN/>
        <w:bidi w:val="0"/>
        <w:spacing w:line="578"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autoSpaceDE/>
        <w:autoSpaceDN/>
        <w:bidi w:val="0"/>
        <w:spacing w:line="578"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锡林郭勒盟中心医院：</w:t>
      </w:r>
    </w:p>
    <w:p>
      <w:pPr>
        <w:keepNext w:val="0"/>
        <w:keepLines w:val="0"/>
        <w:pageBreakBefore w:val="0"/>
        <w:widowControl w:val="0"/>
        <w:shd w:val="clea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由内蒙古致远方略工程咨询有限公司编制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《内蒙古自治区锡林郭勒盟中心医院高压氧楼建设项目》报告表已收悉</w:t>
      </w:r>
      <w:r>
        <w:rPr>
          <w:rFonts w:hint="eastAsia" w:ascii="仿宋_GB2312" w:hAnsi="仿宋_GB2312" w:eastAsia="仿宋_GB2312" w:cs="仿宋_GB2312"/>
          <w:color w:val="auto"/>
          <w:sz w:val="32"/>
          <w:szCs w:val="32"/>
          <w:highlight w:val="none"/>
          <w:lang w:val="en-GB"/>
        </w:rPr>
        <w:t>。</w:t>
      </w:r>
      <w:bookmarkStart w:id="0" w:name="_GoBack"/>
      <w:r>
        <w:rPr>
          <w:rFonts w:hint="eastAsia" w:ascii="仿宋_GB2312" w:hAnsi="仿宋_GB2312" w:eastAsia="仿宋_GB2312" w:cs="仿宋_GB2312"/>
          <w:sz w:val="32"/>
          <w:szCs w:val="32"/>
          <w:lang w:val="en-US" w:eastAsia="zh-CN"/>
        </w:rPr>
        <w:t>该项目已经通过评审会评审，</w:t>
      </w:r>
      <w:bookmarkEnd w:id="0"/>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21"/>
        <w:keepNext w:val="0"/>
        <w:keepLines w:val="0"/>
        <w:pageBreakBefore w:val="0"/>
        <w:widowControl w:val="0"/>
        <w:numPr>
          <w:ilvl w:val="0"/>
          <w:numId w:val="0"/>
        </w:numPr>
        <w:shd w:val="clear"/>
        <w:kinsoku/>
        <w:wordWrap/>
        <w:overflowPunct/>
        <w:autoSpaceDE/>
        <w:autoSpaceDN/>
        <w:bidi w:val="0"/>
        <w:spacing w:line="578" w:lineRule="exact"/>
        <w:ind w:left="640" w:leftChars="0"/>
        <w:textAlignment w:val="auto"/>
        <w:rPr>
          <w:rFonts w:hint="eastAsia" w:ascii="仿宋_GB2312" w:hAnsi="仿宋_GB2312" w:eastAsia="仿宋_GB2312" w:cs="仿宋_GB2312"/>
          <w:color w:val="auto"/>
          <w:sz w:val="32"/>
          <w:highlight w:val="none"/>
        </w:rPr>
      </w:pPr>
      <w:r>
        <w:rPr>
          <w:rFonts w:hint="eastAsia" w:ascii="仿宋_GB2312" w:hAnsi="仿宋_GB2312" w:eastAsia="仿宋_GB2312" w:cs="仿宋_GB2312"/>
          <w:color w:val="auto"/>
          <w:sz w:val="32"/>
          <w:szCs w:val="32"/>
          <w:highlight w:val="none"/>
          <w:lang w:val="en-GB" w:eastAsia="zh-CN"/>
        </w:rPr>
        <w:t>一、</w:t>
      </w:r>
      <w:r>
        <w:rPr>
          <w:rFonts w:hint="eastAsia" w:ascii="仿宋_GB2312" w:hAnsi="仿宋_GB2312" w:eastAsia="仿宋_GB2312" w:cs="仿宋_GB2312"/>
          <w:color w:val="auto"/>
          <w:sz w:val="32"/>
          <w:szCs w:val="32"/>
          <w:highlight w:val="none"/>
          <w:lang w:val="en-GB"/>
        </w:rPr>
        <w:t>项目概况</w:t>
      </w:r>
    </w:p>
    <w:p>
      <w:pPr>
        <w:pStyle w:val="21"/>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本项目</w:t>
      </w:r>
      <w:r>
        <w:rPr>
          <w:rFonts w:hint="eastAsia" w:ascii="仿宋_GB2312" w:hAnsi="仿宋_GB2312" w:eastAsia="仿宋_GB2312" w:cs="仿宋_GB2312"/>
          <w:color w:val="auto"/>
          <w:kern w:val="2"/>
          <w:sz w:val="32"/>
          <w:szCs w:val="32"/>
          <w:highlight w:val="none"/>
          <w:lang w:val="en-US" w:eastAsia="zh-CN" w:bidi="ar-SA"/>
        </w:rPr>
        <w:t>位于锡林浩特市那达慕大街体检中心南侧。新建锡林郭勒盟中心医院高压氧楼一座，总占地面积920平方米，总建筑面积4063.62平方米，为主体四层局部五层框架结构，建设配套给水、排水、供暖、供电、消防及净化工程。主要建设内容为一层：办公室、资料室、修养室、工具间、强电间、污物间、高压氧舱、储气罐间、机房、诊疗室、控制室、候诊大厅、值班室等相关房间。二层为生殖中心，包括：取卵手术室、移植手术室、人工授精手术室、培养室、精液处理、检测室等相应的洁净辅房。工程内容为装饰装修、基本设施、净化空调、自动控制、电气系统、给排水、医用气体、数字化系统等相关房间。三层为病理实验室中心，包括：病理实验室、血药实验室、蛋白质组学实验室、免疫实验室、神经组学实验室、中心实验室等辅助用房。工程内容为装修装饰、净化空调、自动控制、电气系统、给排水、医用气体等相关房间。四层为细胞实验室，包括:细胞实验室、细胞培养室、动物实验室、分析室、生物实验室、动物暂存间等辅助用房。工程内容为装修装饰、净化空调、自动控制、电气系统、给排水、医用气体等相关房间。五层为风机房、电梯机房。本项目总投资2700万元，环保投资项目环保投资估算为50万元，占总投资金额的1.85%。项目属于《产业结构调整指导目录（2019年本）》鼓励类。经审查符合锡林浩特市总体规划，符合“三线一单”要求。</w:t>
      </w:r>
    </w:p>
    <w:p>
      <w:pPr>
        <w:pStyle w:val="21"/>
        <w:keepNext w:val="0"/>
        <w:keepLines w:val="0"/>
        <w:pageBreakBefore w:val="0"/>
        <w:widowControl w:val="0"/>
        <w:numPr>
          <w:ilvl w:val="0"/>
          <w:numId w:val="0"/>
        </w:numPr>
        <w:kinsoku/>
        <w:wordWrap/>
        <w:overflowPunct/>
        <w:autoSpaceDE/>
        <w:autoSpaceDN/>
        <w:bidi w:val="0"/>
        <w:spacing w:line="578" w:lineRule="exact"/>
        <w:ind w:left="640" w:leftChars="0"/>
        <w:textAlignment w:val="auto"/>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二、项目在设计、建设和运营期过程中应做好以下工</w:t>
      </w:r>
    </w:p>
    <w:p>
      <w:pPr>
        <w:pStyle w:val="21"/>
        <w:keepNext w:val="0"/>
        <w:keepLines w:val="0"/>
        <w:pageBreakBefore w:val="0"/>
        <w:widowControl w:val="0"/>
        <w:numPr>
          <w:ilvl w:val="0"/>
          <w:numId w:val="0"/>
        </w:numPr>
        <w:kinsoku/>
        <w:wordWrap/>
        <w:overflowPunct/>
        <w:autoSpaceDE/>
        <w:autoSpaceDN/>
        <w:bidi w:val="0"/>
        <w:spacing w:line="578" w:lineRule="exact"/>
        <w:textAlignment w:val="auto"/>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作：</w:t>
      </w:r>
    </w:p>
    <w:p>
      <w:pPr>
        <w:pStyle w:val="21"/>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一）项目施工期大气污染物主要为施工过程中产生的扬尘。施工单位应采取设置固定的堆棚或加盖塑料布、表面洒水、大风天气不作业等方式，减少扬尘排放。项目运营期产生的废气主要为生物性气态污染物、化学性气态污染物及小动物散发的恶臭气体。针对生物性气态污染物，通过在生物安全柜进行试验，对排出气体采取杀灭和隔离措施，确保实验生物得到有效控制。针对化学性气态污染物，采取通过实验室排风系统高效过滤后无组织排放。针对化学性气态污染物及小动物散发的恶臭气体，通过负压隔离笼具的高效过滤后，经专用管道与实验室排风管道相通，最终通过实验室空调排风的高效过滤后排放。</w:t>
      </w:r>
      <w:r>
        <w:rPr>
          <w:rFonts w:hint="eastAsia" w:ascii="仿宋_GB2312" w:hAnsi="仿宋_GB2312" w:eastAsia="仿宋_GB2312" w:cs="仿宋_GB2312"/>
          <w:sz w:val="32"/>
          <w:szCs w:val="32"/>
          <w:highlight w:val="none"/>
          <w:lang w:val="en-US" w:eastAsia="zh-CN"/>
        </w:rPr>
        <w:t>通过采取以上措施，确保各项大气污染物达标排放。</w:t>
      </w:r>
    </w:p>
    <w:p>
      <w:pPr>
        <w:pStyle w:val="21"/>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二）施工期废水主要为施工人员产生的生活污水，通过锡林郭勒盟中心医院现有污水处理设施进行处理。运营期产生的废水主要为职工、病人及家属的生活污水和实验室废水。生活污水通过锡林郭勒盟中心医院现有污水处理站处理后达到《医疗机构水污染物排放标准》GB18466-2005表2中预处理排放标准后通过污水管网进入锡林浩特市污水处理厂进一步处理。实验室废水主要为生物培养液、清洗废水，通过装入废液收集装置，排入半污染区的双扉高压灭菌器进行(121C、0.21MPa、30min)灭菌，后由排水管道排到实验室的活毒废水处理系统；对已经消毒灭菌处理的实验室废水排入锡林浩特市中心医院污水处理站，进行集中处理达到《医疗机构水污染物排放标准》GB18466-2005表2中预处理排放标准后过污水管网进入锡林浩特市污水处理厂进一步处理。</w:t>
      </w:r>
    </w:p>
    <w:p>
      <w:pPr>
        <w:pStyle w:val="21"/>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针对施工期产生的噪声，通过选用硬质围挡、低噪声施工工艺、噪声较低的设备等方式，使施工噪声对项目周围敏感点的影响降到最低限度。加强一线操作人员的环境意识，夜间不得施工。运营期产生的噪声主要噪声源为实验室通风系统的空调外机、送风机、引风机、水泵等。由于项目自身要求安静，项目设备噪声经基础减振、隔音降噪以及距离衰减后，</w:t>
      </w:r>
      <w:r>
        <w:rPr>
          <w:rFonts w:hint="eastAsia" w:ascii="仿宋_GB2312" w:hAnsi="仿宋_GB2312" w:eastAsia="仿宋_GB2312" w:cs="仿宋_GB2312"/>
          <w:sz w:val="32"/>
          <w:szCs w:val="32"/>
          <w:highlight w:val="none"/>
          <w:lang w:val="en-US" w:eastAsia="zh-CN"/>
        </w:rPr>
        <w:t>必须</w:t>
      </w:r>
      <w:r>
        <w:rPr>
          <w:rFonts w:hint="eastAsia" w:ascii="仿宋_GB2312" w:hAnsi="仿宋_GB2312" w:eastAsia="仿宋_GB2312" w:cs="仿宋_GB2312"/>
          <w:sz w:val="32"/>
          <w:szCs w:val="32"/>
          <w:highlight w:val="none"/>
          <w:lang w:eastAsia="zh-CN"/>
        </w:rPr>
        <w:t>满足《工业企业厂界环境噪声排放标准》（GB12348-2008）1类标准</w:t>
      </w:r>
      <w:r>
        <w:rPr>
          <w:rFonts w:hint="eastAsia" w:ascii="仿宋_GB2312" w:hAnsi="仿宋_GB2312" w:eastAsia="仿宋_GB2312" w:cs="仿宋_GB2312"/>
          <w:sz w:val="32"/>
          <w:szCs w:val="32"/>
          <w:highlight w:val="none"/>
          <w:lang w:val="en-US" w:eastAsia="zh-CN"/>
        </w:rPr>
        <w:t>后</w:t>
      </w:r>
      <w:r>
        <w:rPr>
          <w:rFonts w:hint="eastAsia" w:ascii="仿宋_GB2312" w:hAnsi="仿宋_GB2312" w:eastAsia="仿宋_GB2312" w:cs="仿宋_GB2312"/>
          <w:sz w:val="32"/>
          <w:szCs w:val="32"/>
          <w:highlight w:val="none"/>
          <w:lang w:eastAsia="zh-CN"/>
        </w:rPr>
        <w:t>达标排放。</w:t>
      </w:r>
    </w:p>
    <w:p>
      <w:pPr>
        <w:pStyle w:val="21"/>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四）施工期固体废物主要为生活垃圾和建筑垃圾，其中以建筑垃圾为主，主要包括混凝土、碎砖、砂浆、包装材料等废弃施工材料。针对施工生产废料，进行分类回收，交废品收购站处理，建筑垃圾集中堆放，及时清运到市政指定的建筑垃圾处置场；对生活垃圾应加强管理，用垃圾桶收集，垃圾堆放点不得排放生活污水，不得倾倒建筑垃圾；针对完工清场的固体废物，工程完工后将施工中使用的临时建筑全部拆除，对所有施工作业面和施工活动区的施工废弃物彻底清理处置，运至当地环卫部门指定弃渣场、垃圾堆放点。运营期固体废物主要为医疗固废和生活固废。医疗废物主要来自于高压氧仓、生殖中心、病理实验中心和细胞实验室产生的医疗固废、动物尸体、废垫料和更换的废过滤材料。</w:t>
      </w:r>
      <w:r>
        <w:rPr>
          <w:rFonts w:hint="eastAsia" w:ascii="仿宋_GB2312" w:hAnsi="仿宋_GB2312" w:eastAsia="仿宋_GB2312" w:cs="仿宋_GB2312"/>
          <w:sz w:val="32"/>
          <w:szCs w:val="32"/>
          <w:highlight w:val="none"/>
          <w:lang w:val="en-US" w:eastAsia="zh-CN"/>
        </w:rPr>
        <w:t>针对</w:t>
      </w:r>
      <w:r>
        <w:rPr>
          <w:rFonts w:hint="eastAsia" w:ascii="仿宋_GB2312" w:hAnsi="仿宋_GB2312" w:eastAsia="仿宋_GB2312" w:cs="仿宋_GB2312"/>
          <w:sz w:val="32"/>
          <w:szCs w:val="32"/>
          <w:highlight w:val="none"/>
          <w:lang w:eastAsia="zh-CN"/>
        </w:rPr>
        <w:t>高压氧仓医疗垃圾、生殖中心医疗垃圾（针头、注射器、药品瓶等）</w:t>
      </w:r>
      <w:r>
        <w:rPr>
          <w:rFonts w:hint="eastAsia" w:ascii="仿宋_GB2312" w:hAnsi="仿宋_GB2312" w:eastAsia="仿宋_GB2312" w:cs="仿宋_GB2312"/>
          <w:sz w:val="32"/>
          <w:szCs w:val="32"/>
          <w:highlight w:val="none"/>
          <w:lang w:val="en-US" w:eastAsia="zh-CN"/>
        </w:rPr>
        <w:t>采取通过</w:t>
      </w:r>
      <w:r>
        <w:rPr>
          <w:rFonts w:hint="eastAsia" w:ascii="仿宋_GB2312" w:hAnsi="仿宋_GB2312" w:eastAsia="仿宋_GB2312" w:cs="仿宋_GB2312"/>
          <w:sz w:val="32"/>
          <w:szCs w:val="32"/>
          <w:highlight w:val="none"/>
          <w:lang w:eastAsia="zh-CN"/>
        </w:rPr>
        <w:t>密封包装暂存于锡林郭勒盟中心医院现有危险废物暂存间定期由有资质</w:t>
      </w:r>
      <w:r>
        <w:rPr>
          <w:rFonts w:hint="eastAsia" w:ascii="仿宋_GB2312" w:hAnsi="仿宋_GB2312" w:eastAsia="仿宋_GB2312" w:cs="仿宋_GB2312"/>
          <w:sz w:val="32"/>
          <w:szCs w:val="32"/>
          <w:highlight w:val="none"/>
          <w:lang w:val="en-US" w:eastAsia="zh-CN"/>
        </w:rPr>
        <w:t>的</w:t>
      </w:r>
      <w:r>
        <w:rPr>
          <w:rFonts w:hint="eastAsia" w:ascii="仿宋_GB2312" w:hAnsi="仿宋_GB2312" w:eastAsia="仿宋_GB2312" w:cs="仿宋_GB2312"/>
          <w:sz w:val="32"/>
          <w:szCs w:val="32"/>
          <w:highlight w:val="none"/>
          <w:lang w:eastAsia="zh-CN"/>
        </w:rPr>
        <w:t>单位进行收集及安全化处理；</w:t>
      </w:r>
      <w:r>
        <w:rPr>
          <w:rFonts w:hint="eastAsia" w:ascii="仿宋_GB2312" w:hAnsi="仿宋_GB2312" w:eastAsia="仿宋_GB2312" w:cs="仿宋_GB2312"/>
          <w:sz w:val="32"/>
          <w:szCs w:val="32"/>
          <w:highlight w:val="none"/>
          <w:lang w:val="en-US" w:eastAsia="zh-CN"/>
        </w:rPr>
        <w:t>针对</w:t>
      </w:r>
      <w:r>
        <w:rPr>
          <w:rFonts w:hint="eastAsia" w:ascii="仿宋_GB2312" w:hAnsi="仿宋_GB2312" w:eastAsia="仿宋_GB2312" w:cs="仿宋_GB2312"/>
          <w:sz w:val="32"/>
          <w:szCs w:val="32"/>
          <w:highlight w:val="none"/>
          <w:lang w:eastAsia="zh-CN"/>
        </w:rPr>
        <w:t>实验过程</w:t>
      </w:r>
      <w:r>
        <w:rPr>
          <w:rFonts w:hint="eastAsia" w:ascii="仿宋_GB2312" w:hAnsi="仿宋_GB2312" w:eastAsia="仿宋_GB2312" w:cs="仿宋_GB2312"/>
          <w:sz w:val="32"/>
          <w:szCs w:val="32"/>
          <w:highlight w:val="none"/>
          <w:lang w:val="en-US" w:eastAsia="zh-CN"/>
        </w:rPr>
        <w:t>中产生的动物尸体（小白鼠等小型动物）、废垫料及动物粪便、实验室废物以及定期更换的废过滤材料，采取密封包装后投入所产生废物的实验室内小型高压灭菌锅内，然后投入双扉高压灭菌柜进行二次消毒灭菌，最后运出实验室存入锡林郭勒盟中心医院危废暂存间，定期由有资质单位进行收集及安全化处理，做到日产日清。</w:t>
      </w:r>
      <w:r>
        <w:rPr>
          <w:rFonts w:hint="eastAsia" w:ascii="仿宋_GB2312" w:hAnsi="仿宋_GB2312" w:eastAsia="仿宋_GB2312" w:cs="仿宋_GB2312"/>
          <w:sz w:val="32"/>
          <w:szCs w:val="32"/>
          <w:highlight w:val="none"/>
          <w:lang w:eastAsia="zh-CN"/>
        </w:rPr>
        <w:t>生活固废主要为患者及家属生活过程中产生一定量的生活垃圾，统一收集后定期交由环卫部门处理。</w:t>
      </w:r>
    </w:p>
    <w:p>
      <w:pPr>
        <w:pStyle w:val="21"/>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21"/>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21"/>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21"/>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21"/>
        <w:keepNext w:val="0"/>
        <w:keepLines w:val="0"/>
        <w:pageBreakBefore w:val="0"/>
        <w:widowControl w:val="0"/>
        <w:numPr>
          <w:ilvl w:val="0"/>
          <w:numId w:val="0"/>
        </w:numPr>
        <w:kinsoku/>
        <w:wordWrap/>
        <w:overflowPunct/>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keepNext w:val="0"/>
        <w:keepLines w:val="0"/>
        <w:pageBreakBefore w:val="0"/>
        <w:widowControl w:val="0"/>
        <w:kinsoku/>
        <w:wordWrap/>
        <w:overflowPunct/>
        <w:autoSpaceDE/>
        <w:autoSpaceDN/>
        <w:bidi w:val="0"/>
        <w:spacing w:line="578" w:lineRule="exact"/>
        <w:ind w:firstLine="2560" w:firstLineChars="80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autoSpaceDE/>
        <w:autoSpaceDN/>
        <w:bidi w:val="0"/>
        <w:spacing w:line="578" w:lineRule="exact"/>
        <w:ind w:firstLine="2560" w:firstLineChars="8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锡林郭勒盟生态环境局锡林浩特市分局</w:t>
      </w:r>
    </w:p>
    <w:p>
      <w:pPr>
        <w:keepNext w:val="0"/>
        <w:keepLines w:val="0"/>
        <w:pageBreakBefore w:val="0"/>
        <w:widowControl w:val="0"/>
        <w:kinsoku/>
        <w:wordWrap/>
        <w:overflowPunct/>
        <w:autoSpaceDE/>
        <w:autoSpaceDN/>
        <w:bidi w:val="0"/>
        <w:spacing w:line="578" w:lineRule="exact"/>
        <w:ind w:firstLine="4160" w:firstLineChars="1300"/>
        <w:textAlignment w:val="auto"/>
        <w:rPr>
          <w:rFonts w:hint="eastAsia" w:ascii="仿宋_GB2312" w:hAnsi="仿宋_GB2312" w:eastAsia="仿宋_GB2312" w:cs="仿宋_GB2312"/>
          <w:sz w:val="32"/>
          <w:szCs w:val="32"/>
          <w:highlight w:val="yellow"/>
          <w:lang w:eastAsia="zh-CN"/>
        </w:rPr>
      </w:pPr>
      <w:r>
        <w:rPr>
          <w:rFonts w:hint="eastAsia" w:ascii="仿宋_GB2312" w:hAnsi="仿宋_GB2312" w:eastAsia="仿宋_GB2312" w:cs="仿宋_GB2312"/>
          <w:sz w:val="32"/>
          <w:szCs w:val="32"/>
          <w:highlight w:val="none"/>
          <w:lang w:val="en-US" w:eastAsia="zh-CN"/>
        </w:rPr>
        <w:t>2022年10月14日</w:t>
      </w:r>
    </w:p>
    <w:p>
      <w:pPr>
        <w:pStyle w:val="20"/>
        <w:keepNext w:val="0"/>
        <w:keepLines w:val="0"/>
        <w:pageBreakBefore w:val="0"/>
        <w:widowControl w:val="0"/>
        <w:kinsoku/>
        <w:wordWrap/>
        <w:overflowPunct/>
        <w:autoSpaceDE/>
        <w:autoSpaceDN/>
        <w:bidi w:val="0"/>
        <w:spacing w:line="578" w:lineRule="exact"/>
        <w:ind w:left="0" w:leftChars="0" w:firstLine="0" w:firstLineChars="0"/>
        <w:textAlignment w:val="auto"/>
        <w:rPr>
          <w:rFonts w:hint="eastAsia" w:ascii="仿宋" w:hAnsi="仿宋" w:eastAsia="仿宋"/>
          <w:sz w:val="32"/>
          <w:szCs w:val="32"/>
          <w:highlight w:val="yellow"/>
        </w:rPr>
      </w:pPr>
      <w:r>
        <w:rPr>
          <w:rFonts w:hint="eastAsia" w:ascii="仿宋_GB2312" w:hAnsi="仿宋_GB2312" w:eastAsia="仿宋_GB2312" w:cs="仿宋_GB2312"/>
          <w:sz w:val="32"/>
          <w:szCs w:val="32"/>
          <w:highlight w:val="none"/>
          <w:lang w:eastAsia="zh-CN"/>
        </w:rPr>
        <w:t>抄送：锡林郭勒盟生态环境局、</w:t>
      </w:r>
      <w:r>
        <w:rPr>
          <w:rFonts w:hint="eastAsia" w:ascii="仿宋_GB2312" w:hAnsi="仿宋_GB2312" w:eastAsia="仿宋_GB2312" w:cs="仿宋_GB2312"/>
          <w:sz w:val="32"/>
          <w:szCs w:val="32"/>
          <w:highlight w:val="none"/>
          <w:lang w:val="en-US" w:eastAsia="zh-CN"/>
        </w:rPr>
        <w:t>锡林郭勒盟生态环境综合行政执法支队</w:t>
      </w:r>
    </w:p>
    <w:sectPr>
      <w:footerReference r:id="rId3" w:type="default"/>
      <w:pgSz w:w="11906" w:h="16838"/>
      <w:pgMar w:top="2154" w:right="1531" w:bottom="1928" w:left="1531" w:header="851" w:footer="992" w:gutter="0"/>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90315"/>
      <w:docPartObj>
        <w:docPartGallery w:val="autotext"/>
      </w:docPartObj>
    </w:sdtPr>
    <w:sdtContent>
      <w:p>
        <w:pPr>
          <w:pStyle w:val="9"/>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9"/>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9"/>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s>
  <w:rsids>
    <w:rsidRoot w:val="001E271C"/>
    <w:rsid w:val="001E271C"/>
    <w:rsid w:val="00B87117"/>
    <w:rsid w:val="00E83F57"/>
    <w:rsid w:val="01166DA6"/>
    <w:rsid w:val="01D027C7"/>
    <w:rsid w:val="04A62A1C"/>
    <w:rsid w:val="05015B69"/>
    <w:rsid w:val="06C13B3D"/>
    <w:rsid w:val="07D679D6"/>
    <w:rsid w:val="0A1E3055"/>
    <w:rsid w:val="0C9B2141"/>
    <w:rsid w:val="0D502605"/>
    <w:rsid w:val="0DC94DA4"/>
    <w:rsid w:val="0E146C48"/>
    <w:rsid w:val="10773E64"/>
    <w:rsid w:val="11815149"/>
    <w:rsid w:val="119E5AF7"/>
    <w:rsid w:val="135651C1"/>
    <w:rsid w:val="18E453EE"/>
    <w:rsid w:val="1B4F5180"/>
    <w:rsid w:val="1BDE167F"/>
    <w:rsid w:val="204C4C91"/>
    <w:rsid w:val="20DE5961"/>
    <w:rsid w:val="21041E6B"/>
    <w:rsid w:val="23BD04C6"/>
    <w:rsid w:val="271664C8"/>
    <w:rsid w:val="272A677C"/>
    <w:rsid w:val="29CC3487"/>
    <w:rsid w:val="2AB067B8"/>
    <w:rsid w:val="2AF85194"/>
    <w:rsid w:val="2B330DF4"/>
    <w:rsid w:val="2C1005F7"/>
    <w:rsid w:val="2C8114F5"/>
    <w:rsid w:val="2CC02721"/>
    <w:rsid w:val="2FB4465A"/>
    <w:rsid w:val="30EB2DA6"/>
    <w:rsid w:val="333A6BDB"/>
    <w:rsid w:val="3372163A"/>
    <w:rsid w:val="35D72A2D"/>
    <w:rsid w:val="37D943F6"/>
    <w:rsid w:val="38CD7870"/>
    <w:rsid w:val="39CE76C6"/>
    <w:rsid w:val="3BC60B27"/>
    <w:rsid w:val="3DDE2FC6"/>
    <w:rsid w:val="3F156020"/>
    <w:rsid w:val="405F6E03"/>
    <w:rsid w:val="42A31D6D"/>
    <w:rsid w:val="43776D56"/>
    <w:rsid w:val="459171B6"/>
    <w:rsid w:val="459612D4"/>
    <w:rsid w:val="45DA1917"/>
    <w:rsid w:val="472B6FD6"/>
    <w:rsid w:val="4AE65F38"/>
    <w:rsid w:val="4AE66C9B"/>
    <w:rsid w:val="4B92472D"/>
    <w:rsid w:val="4E2978F9"/>
    <w:rsid w:val="4EAA7967"/>
    <w:rsid w:val="4FA672D9"/>
    <w:rsid w:val="532F7E23"/>
    <w:rsid w:val="575E7CEE"/>
    <w:rsid w:val="58D316BE"/>
    <w:rsid w:val="5A294206"/>
    <w:rsid w:val="5C4001D5"/>
    <w:rsid w:val="5C635BEB"/>
    <w:rsid w:val="5D0775B6"/>
    <w:rsid w:val="5DE829AC"/>
    <w:rsid w:val="5E55710C"/>
    <w:rsid w:val="5EBE21AB"/>
    <w:rsid w:val="60BF3BD0"/>
    <w:rsid w:val="61BF76EB"/>
    <w:rsid w:val="623D4D9E"/>
    <w:rsid w:val="623E6920"/>
    <w:rsid w:val="652266CA"/>
    <w:rsid w:val="65312F5D"/>
    <w:rsid w:val="66E83653"/>
    <w:rsid w:val="67B67782"/>
    <w:rsid w:val="681650AF"/>
    <w:rsid w:val="68704CA1"/>
    <w:rsid w:val="6AEF61B9"/>
    <w:rsid w:val="6BA12544"/>
    <w:rsid w:val="6BEB1D6D"/>
    <w:rsid w:val="6CA80FF3"/>
    <w:rsid w:val="6CF81186"/>
    <w:rsid w:val="6E7E0DC8"/>
    <w:rsid w:val="6FD235D4"/>
    <w:rsid w:val="733379D0"/>
    <w:rsid w:val="749E0175"/>
    <w:rsid w:val="75B535E3"/>
    <w:rsid w:val="75C311C4"/>
    <w:rsid w:val="7779709C"/>
    <w:rsid w:val="799A104A"/>
    <w:rsid w:val="7B401BFC"/>
    <w:rsid w:val="7C5510E6"/>
    <w:rsid w:val="7FD539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header"/>
    <w:basedOn w:val="1"/>
    <w:next w:val="1"/>
    <w:link w:val="23"/>
    <w:qFormat/>
    <w:uiPriority w:val="0"/>
    <w:pPr>
      <w:pBdr>
        <w:bottom w:val="single" w:color="auto" w:sz="6" w:space="1"/>
      </w:pBdr>
      <w:tabs>
        <w:tab w:val="center" w:pos="4153"/>
        <w:tab w:val="right" w:pos="8306"/>
      </w:tabs>
      <w:snapToGrid w:val="0"/>
      <w:jc w:val="center"/>
    </w:pPr>
    <w:rPr>
      <w:sz w:val="18"/>
      <w:szCs w:val="18"/>
    </w:rPr>
  </w:style>
  <w:style w:type="paragraph" w:styleId="4">
    <w:name w:val="Normal Indent"/>
    <w:basedOn w:val="1"/>
    <w:next w:val="5"/>
    <w:qFormat/>
    <w:uiPriority w:val="0"/>
    <w:pPr>
      <w:ind w:firstLine="420" w:firstLineChars="200"/>
    </w:pPr>
    <w:rPr>
      <w:rFonts w:eastAsia="宋体"/>
      <w:kern w:val="2"/>
      <w:sz w:val="21"/>
      <w:szCs w:val="24"/>
      <w:lang w:val="en-US" w:eastAsia="zh-CN" w:bidi="ar-SA"/>
    </w:rPr>
  </w:style>
  <w:style w:type="paragraph" w:customStyle="1" w:styleId="5">
    <w:name w:val="正文首行缩进2个字 Char"/>
    <w:basedOn w:val="1"/>
    <w:qFormat/>
    <w:uiPriority w:val="0"/>
    <w:pPr>
      <w:ind w:firstLine="480" w:firstLineChars="200"/>
    </w:pPr>
    <w:rPr>
      <w:rFonts w:eastAsia="楷体"/>
      <w:sz w:val="24"/>
    </w:rPr>
  </w:style>
  <w:style w:type="paragraph" w:styleId="6">
    <w:name w:val="Body Text"/>
    <w:basedOn w:val="1"/>
    <w:next w:val="1"/>
    <w:qFormat/>
    <w:uiPriority w:val="0"/>
    <w:pPr>
      <w:spacing w:line="360" w:lineRule="auto"/>
    </w:pPr>
    <w:rPr>
      <w:sz w:val="24"/>
      <w:szCs w:val="20"/>
    </w:rPr>
  </w:style>
  <w:style w:type="paragraph" w:styleId="7">
    <w:name w:val="Body Text Indent"/>
    <w:basedOn w:val="1"/>
    <w:next w:val="6"/>
    <w:qFormat/>
    <w:uiPriority w:val="0"/>
    <w:pPr>
      <w:keepNext/>
      <w:spacing w:line="360" w:lineRule="auto"/>
      <w:ind w:firstLine="200" w:firstLineChars="200"/>
    </w:pPr>
    <w:rPr>
      <w:sz w:val="24"/>
    </w:rPr>
  </w:style>
  <w:style w:type="paragraph" w:styleId="8">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9">
    <w:name w:val="footer"/>
    <w:basedOn w:val="1"/>
    <w:link w:val="24"/>
    <w:qFormat/>
    <w:uiPriority w:val="99"/>
    <w:pPr>
      <w:tabs>
        <w:tab w:val="center" w:pos="4153"/>
        <w:tab w:val="right" w:pos="8306"/>
      </w:tabs>
      <w:snapToGrid w:val="0"/>
      <w:jc w:val="left"/>
    </w:pPr>
    <w:rPr>
      <w:sz w:val="18"/>
      <w:szCs w:val="18"/>
    </w:rPr>
  </w:style>
  <w:style w:type="paragraph" w:styleId="10">
    <w:name w:val="toc 1"/>
    <w:basedOn w:val="1"/>
    <w:next w:val="1"/>
    <w:unhideWhenUsed/>
    <w:qFormat/>
    <w:uiPriority w:val="39"/>
  </w:style>
  <w:style w:type="paragraph" w:styleId="11">
    <w:name w:val="Body Text Indent 3"/>
    <w:basedOn w:val="1"/>
    <w:unhideWhenUsed/>
    <w:qFormat/>
    <w:uiPriority w:val="0"/>
    <w:pPr>
      <w:ind w:firstLine="570"/>
    </w:pPr>
    <w:rPr>
      <w:szCs w:val="20"/>
    </w:rPr>
  </w:style>
  <w:style w:type="paragraph" w:styleId="12">
    <w:name w:val="Normal (Web)"/>
    <w:basedOn w:val="1"/>
    <w:qFormat/>
    <w:uiPriority w:val="0"/>
    <w:pPr>
      <w:widowControl/>
      <w:spacing w:before="100" w:beforeAutospacing="1" w:after="100" w:afterAutospacing="1"/>
      <w:jc w:val="left"/>
    </w:pPr>
    <w:rPr>
      <w:rFonts w:ascii="宋体" w:hAnsi="宋体"/>
      <w:kern w:val="0"/>
    </w:rPr>
  </w:style>
  <w:style w:type="paragraph" w:styleId="13">
    <w:name w:val="Body Text First Indent"/>
    <w:basedOn w:val="6"/>
    <w:next w:val="14"/>
    <w:qFormat/>
    <w:uiPriority w:val="0"/>
    <w:pPr>
      <w:adjustRightInd/>
      <w:spacing w:line="240" w:lineRule="auto"/>
      <w:ind w:left="0" w:firstLine="420" w:firstLineChars="100"/>
      <w:textAlignment w:val="auto"/>
    </w:pPr>
    <w:rPr>
      <w:spacing w:val="0"/>
      <w:kern w:val="2"/>
      <w:sz w:val="21"/>
      <w:szCs w:val="24"/>
    </w:rPr>
  </w:style>
  <w:style w:type="paragraph" w:styleId="14">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styleId="15">
    <w:name w:val="Body Text First Indent 2"/>
    <w:basedOn w:val="7"/>
    <w:next w:val="13"/>
    <w:qFormat/>
    <w:uiPriority w:val="0"/>
    <w:pPr>
      <w:ind w:firstLine="420" w:firstLineChars="200"/>
    </w:p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9">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customStyle="1" w:styleId="20">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21">
    <w:name w:val="列出段落1"/>
    <w:basedOn w:val="1"/>
    <w:qFormat/>
    <w:uiPriority w:val="34"/>
    <w:pPr>
      <w:ind w:firstLine="420" w:firstLineChars="200"/>
    </w:pPr>
  </w:style>
  <w:style w:type="paragraph" w:customStyle="1" w:styleId="22">
    <w:name w:val="a正文"/>
    <w:basedOn w:val="1"/>
    <w:qFormat/>
    <w:uiPriority w:val="0"/>
    <w:pPr>
      <w:adjustRightInd w:val="0"/>
      <w:snapToGrid w:val="0"/>
      <w:spacing w:line="360" w:lineRule="auto"/>
      <w:ind w:firstLine="200" w:firstLineChars="200"/>
    </w:pPr>
    <w:rPr>
      <w:kern w:val="0"/>
      <w:sz w:val="24"/>
      <w:szCs w:val="20"/>
    </w:rPr>
  </w:style>
  <w:style w:type="character" w:customStyle="1" w:styleId="23">
    <w:name w:val="页眉 Char"/>
    <w:basedOn w:val="18"/>
    <w:link w:val="2"/>
    <w:qFormat/>
    <w:uiPriority w:val="0"/>
    <w:rPr>
      <w:kern w:val="2"/>
      <w:sz w:val="18"/>
      <w:szCs w:val="18"/>
    </w:rPr>
  </w:style>
  <w:style w:type="character" w:customStyle="1" w:styleId="24">
    <w:name w:val="页脚 Char"/>
    <w:basedOn w:val="18"/>
    <w:link w:val="9"/>
    <w:qFormat/>
    <w:uiPriority w:val="99"/>
    <w:rPr>
      <w:kern w:val="2"/>
      <w:sz w:val="18"/>
      <w:szCs w:val="18"/>
    </w:rPr>
  </w:style>
  <w:style w:type="paragraph" w:customStyle="1" w:styleId="25">
    <w:name w:val="表 正文"/>
    <w:basedOn w:val="1"/>
    <w:qFormat/>
    <w:uiPriority w:val="0"/>
    <w:pPr>
      <w:spacing w:line="360" w:lineRule="auto"/>
      <w:ind w:firstLine="480" w:firstLineChars="200"/>
    </w:pPr>
    <w:rPr>
      <w:sz w:val="24"/>
      <w:szCs w:val="21"/>
    </w:rPr>
  </w:style>
  <w:style w:type="paragraph" w:customStyle="1" w:styleId="26">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2464</Words>
  <Characters>2559</Characters>
  <Lines>20</Lines>
  <Paragraphs>5</Paragraphs>
  <TotalTime>10</TotalTime>
  <ScaleCrop>false</ScaleCrop>
  <LinksUpToDate>false</LinksUpToDate>
  <CharactersWithSpaces>2562</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小左佐</cp:lastModifiedBy>
  <cp:lastPrinted>2022-02-28T06:47:00Z</cp:lastPrinted>
  <dcterms:modified xsi:type="dcterms:W3CDTF">2022-10-14T07:17:45Z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