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78"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78"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78"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78"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78"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78"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78"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78"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78" w:lineRule="exact"/>
        <w:textAlignment w:val="auto"/>
        <w:rPr>
          <w:rFonts w:hAnsi="仿宋" w:eastAsia="仿宋"/>
          <w:sz w:val="30"/>
          <w:szCs w:val="30"/>
          <w:highlight w:val="none"/>
        </w:rPr>
      </w:pPr>
    </w:p>
    <w:p>
      <w:pPr>
        <w:keepNext w:val="0"/>
        <w:keepLines w:val="0"/>
        <w:pageBreakBefore w:val="0"/>
        <w:widowControl w:val="0"/>
        <w:kinsoku/>
        <w:wordWrap/>
        <w:overflowPunct/>
        <w:topLinePunct w:val="0"/>
        <w:autoSpaceDE/>
        <w:autoSpaceDN/>
        <w:bidi w:val="0"/>
        <w:adjustRightInd/>
        <w:snapToGrid/>
        <w:spacing w:after="313" w:afterLines="100" w:line="578" w:lineRule="exact"/>
        <w:jc w:val="center"/>
        <w:textAlignment w:val="auto"/>
        <w:rPr>
          <w:rFonts w:hAnsi="仿宋" w:eastAsia="仿宋"/>
          <w:color w:val="auto"/>
          <w:sz w:val="32"/>
          <w:szCs w:val="32"/>
          <w:highlight w:val="none"/>
        </w:rPr>
      </w:pPr>
      <w:r>
        <w:rPr>
          <w:rFonts w:hint="eastAsia" w:ascii="仿宋_GB2312" w:hAnsi="仿宋_GB2312" w:eastAsia="仿宋_GB2312" w:cs="仿宋_GB2312"/>
          <w:color w:val="auto"/>
          <w:sz w:val="32"/>
          <w:szCs w:val="32"/>
          <w:highlight w:val="none"/>
        </w:rPr>
        <w:t>锡市环</w:t>
      </w:r>
      <w:r>
        <w:rPr>
          <w:rFonts w:hint="eastAsia" w:ascii="仿宋_GB2312" w:hAnsi="仿宋_GB2312" w:eastAsia="仿宋_GB2312" w:cs="仿宋_GB2312"/>
          <w:color w:val="auto"/>
          <w:sz w:val="32"/>
          <w:szCs w:val="32"/>
          <w:highlight w:val="none"/>
          <w:lang w:eastAsia="zh-CN"/>
        </w:rPr>
        <w:t>表〔2022〕</w:t>
      </w:r>
      <w:r>
        <w:rPr>
          <w:rFonts w:hint="eastAsia" w:ascii="仿宋_GB2312" w:hAnsi="仿宋_GB2312" w:eastAsia="仿宋_GB2312" w:cs="仿宋_GB2312"/>
          <w:color w:val="auto"/>
          <w:sz w:val="32"/>
          <w:szCs w:val="32"/>
          <w:highlight w:val="none"/>
        </w:rPr>
        <w:t>第</w:t>
      </w:r>
      <w:r>
        <w:rPr>
          <w:rFonts w:hint="eastAsia" w:ascii="仿宋_GB2312" w:hAnsi="仿宋_GB2312" w:eastAsia="仿宋_GB2312" w:cs="仿宋_GB2312"/>
          <w:color w:val="auto"/>
          <w:sz w:val="32"/>
          <w:szCs w:val="32"/>
          <w:highlight w:val="none"/>
          <w:lang w:val="en-US" w:eastAsia="zh-CN"/>
        </w:rPr>
        <w:t>43</w:t>
      </w:r>
      <w:r>
        <w:rPr>
          <w:rFonts w:hint="eastAsia" w:ascii="仿宋_GB2312" w:hAnsi="仿宋_GB2312" w:eastAsia="仿宋_GB2312" w:cs="仿宋_GB2312"/>
          <w:color w:val="auto"/>
          <w:sz w:val="32"/>
          <w:szCs w:val="32"/>
          <w:highlight w:val="none"/>
        </w:rPr>
        <w:t>号</w:t>
      </w:r>
    </w:p>
    <w:p>
      <w:pPr>
        <w:keepNext w:val="0"/>
        <w:keepLines w:val="0"/>
        <w:pageBreakBefore w:val="0"/>
        <w:widowControl w:val="0"/>
        <w:kinsoku/>
        <w:wordWrap/>
        <w:overflowPunct/>
        <w:topLinePunct w:val="0"/>
        <w:autoSpaceDE/>
        <w:autoSpaceDN/>
        <w:bidi w:val="0"/>
        <w:adjustRightInd w:val="0"/>
        <w:snapToGrid w:val="0"/>
        <w:spacing w:line="578" w:lineRule="exact"/>
        <w:jc w:val="center"/>
        <w:textAlignment w:val="auto"/>
        <w:rPr>
          <w:rFonts w:hint="eastAsia" w:ascii="方正小标宋简体" w:hAnsi="方正小标宋简体" w:eastAsia="方正小标宋简体" w:cs="方正小标宋简体"/>
          <w:b/>
          <w:bCs/>
          <w:color w:val="auto"/>
          <w:sz w:val="44"/>
          <w:szCs w:val="44"/>
          <w:highlight w:val="none"/>
          <w:lang w:val="en-GB" w:eastAsia="zh-CN"/>
        </w:rPr>
      </w:pPr>
      <w:r>
        <w:rPr>
          <w:rFonts w:hint="eastAsia" w:ascii="方正小标宋简体" w:hAnsi="方正小标宋简体" w:eastAsia="方正小标宋简体" w:cs="方正小标宋简体"/>
          <w:b/>
          <w:bCs/>
          <w:color w:val="auto"/>
          <w:sz w:val="44"/>
          <w:szCs w:val="44"/>
          <w:highlight w:val="none"/>
          <w:lang w:eastAsia="zh-CN"/>
        </w:rPr>
        <w:t>关</w:t>
      </w:r>
      <w:r>
        <w:rPr>
          <w:rFonts w:hint="eastAsia" w:ascii="方正小标宋简体" w:hAnsi="方正小标宋简体" w:eastAsia="方正小标宋简体" w:cs="方正小标宋简体"/>
          <w:b/>
          <w:bCs/>
          <w:color w:val="auto"/>
          <w:sz w:val="44"/>
          <w:szCs w:val="44"/>
          <w:highlight w:val="none"/>
          <w:lang w:val="en-GB" w:eastAsia="zh-CN"/>
        </w:rPr>
        <w:t>于内蒙古瑞泰汽车销售服务有限公司</w:t>
      </w:r>
    </w:p>
    <w:p>
      <w:pPr>
        <w:keepNext w:val="0"/>
        <w:keepLines w:val="0"/>
        <w:pageBreakBefore w:val="0"/>
        <w:widowControl w:val="0"/>
        <w:kinsoku/>
        <w:wordWrap/>
        <w:overflowPunct/>
        <w:topLinePunct w:val="0"/>
        <w:autoSpaceDE/>
        <w:autoSpaceDN/>
        <w:bidi w:val="0"/>
        <w:adjustRightInd w:val="0"/>
        <w:snapToGrid w:val="0"/>
        <w:spacing w:line="578" w:lineRule="exact"/>
        <w:jc w:val="center"/>
        <w:textAlignment w:val="auto"/>
        <w:rPr>
          <w:rFonts w:hint="eastAsia" w:ascii="方正小标宋简体" w:hAnsi="方正小标宋简体" w:eastAsia="方正小标宋简体" w:cs="方正小标宋简体"/>
          <w:b/>
          <w:bCs/>
          <w:color w:val="auto"/>
          <w:sz w:val="44"/>
          <w:szCs w:val="44"/>
          <w:highlight w:val="none"/>
          <w:lang w:val="en-GB" w:eastAsia="zh-CN"/>
        </w:rPr>
      </w:pPr>
      <w:r>
        <w:rPr>
          <w:rFonts w:hint="eastAsia" w:ascii="方正小标宋简体" w:hAnsi="方正小标宋简体" w:eastAsia="方正小标宋简体" w:cs="方正小标宋简体"/>
          <w:b/>
          <w:bCs/>
          <w:color w:val="auto"/>
          <w:sz w:val="44"/>
          <w:szCs w:val="44"/>
          <w:highlight w:val="none"/>
          <w:lang w:val="en-GB" w:eastAsia="zh-CN"/>
        </w:rPr>
        <w:t>（东风本田4S店、长安福特4S店）危废间</w:t>
      </w:r>
    </w:p>
    <w:p>
      <w:pPr>
        <w:keepNext w:val="0"/>
        <w:keepLines w:val="0"/>
        <w:pageBreakBefore w:val="0"/>
        <w:widowControl w:val="0"/>
        <w:kinsoku/>
        <w:wordWrap/>
        <w:overflowPunct/>
        <w:topLinePunct w:val="0"/>
        <w:autoSpaceDE/>
        <w:autoSpaceDN/>
        <w:bidi w:val="0"/>
        <w:adjustRightInd w:val="0"/>
        <w:snapToGrid w:val="0"/>
        <w:spacing w:line="578" w:lineRule="exact"/>
        <w:jc w:val="center"/>
        <w:textAlignment w:val="auto"/>
        <w:rPr>
          <w:rFonts w:hint="eastAsia" w:ascii="Times New Roman" w:cs="Times New Roman"/>
          <w:b/>
          <w:bCs/>
          <w:color w:val="auto"/>
          <w:sz w:val="44"/>
          <w:szCs w:val="44"/>
          <w:highlight w:val="none"/>
        </w:rPr>
      </w:pPr>
      <w:r>
        <w:rPr>
          <w:rFonts w:hint="eastAsia" w:ascii="方正小标宋简体" w:hAnsi="方正小标宋简体" w:eastAsia="方正小标宋简体" w:cs="方正小标宋简体"/>
          <w:b/>
          <w:bCs/>
          <w:color w:val="auto"/>
          <w:sz w:val="44"/>
          <w:szCs w:val="44"/>
          <w:highlight w:val="none"/>
          <w:lang w:val="en-GB" w:eastAsia="zh-CN"/>
        </w:rPr>
        <w:t>项目</w:t>
      </w:r>
      <w:r>
        <w:rPr>
          <w:rFonts w:hint="eastAsia" w:ascii="方正小标宋简体" w:hAnsi="方正小标宋简体" w:eastAsia="方正小标宋简体" w:cs="方正小标宋简体"/>
          <w:b/>
          <w:bCs/>
          <w:color w:val="auto"/>
          <w:sz w:val="44"/>
          <w:szCs w:val="44"/>
          <w:highlight w:val="none"/>
          <w:lang w:eastAsia="zh-CN"/>
        </w:rPr>
        <w:t>环境影响</w:t>
      </w:r>
      <w:r>
        <w:rPr>
          <w:rFonts w:hint="eastAsia" w:ascii="方正小标宋简体" w:hAnsi="方正小标宋简体" w:eastAsia="方正小标宋简体" w:cs="方正小标宋简体"/>
          <w:b/>
          <w:bCs/>
          <w:color w:val="auto"/>
          <w:sz w:val="44"/>
          <w:szCs w:val="44"/>
          <w:highlight w:val="none"/>
          <w:lang w:val="en-US" w:eastAsia="zh-CN"/>
        </w:rPr>
        <w:t>报告</w:t>
      </w:r>
      <w:r>
        <w:rPr>
          <w:rFonts w:hint="eastAsia" w:ascii="方正小标宋简体" w:hAnsi="方正小标宋简体" w:eastAsia="方正小标宋简体" w:cs="方正小标宋简体"/>
          <w:b/>
          <w:bCs/>
          <w:color w:val="auto"/>
          <w:sz w:val="44"/>
          <w:szCs w:val="44"/>
          <w:highlight w:val="none"/>
          <w:lang w:eastAsia="zh-CN"/>
        </w:rPr>
        <w:t>表的批</w:t>
      </w:r>
      <w:r>
        <w:rPr>
          <w:rFonts w:hint="eastAsia" w:ascii="方正小标宋简体" w:hAnsi="方正小标宋简体" w:eastAsia="方正小标宋简体" w:cs="方正小标宋简体"/>
          <w:b/>
          <w:bCs/>
          <w:color w:val="auto"/>
          <w:sz w:val="44"/>
          <w:szCs w:val="44"/>
          <w:highlight w:val="none"/>
        </w:rPr>
        <w:t>复</w:t>
      </w:r>
    </w:p>
    <w:p>
      <w:pPr>
        <w:keepNext w:val="0"/>
        <w:keepLines w:val="0"/>
        <w:pageBreakBefore w:val="0"/>
        <w:widowControl w:val="0"/>
        <w:kinsoku/>
        <w:wordWrap/>
        <w:overflowPunct/>
        <w:topLinePunct w:val="0"/>
        <w:autoSpaceDE/>
        <w:autoSpaceDN/>
        <w:bidi w:val="0"/>
        <w:spacing w:line="578" w:lineRule="exact"/>
        <w:ind w:firstLine="880" w:firstLineChars="200"/>
        <w:textAlignment w:val="auto"/>
        <w:rPr>
          <w:rFonts w:ascii="Times New Roman" w:cs="Times New Roman"/>
          <w:color w:val="auto"/>
          <w:sz w:val="44"/>
          <w:szCs w:val="44"/>
          <w:highlight w:val="none"/>
        </w:rPr>
      </w:pPr>
    </w:p>
    <w:p>
      <w:pPr>
        <w:keepNext w:val="0"/>
        <w:keepLines w:val="0"/>
        <w:pageBreakBefore w:val="0"/>
        <w:widowControl w:val="0"/>
        <w:shd w:val="clear"/>
        <w:kinsoku/>
        <w:wordWrap/>
        <w:overflowPunct/>
        <w:topLinePunct w:val="0"/>
        <w:autoSpaceDE/>
        <w:autoSpaceDN/>
        <w:bidi w:val="0"/>
        <w:spacing w:line="578" w:lineRule="exact"/>
        <w:textAlignment w:val="auto"/>
        <w:rPr>
          <w:rFonts w:hint="eastAsia" w:ascii="仿宋_GB2312" w:hAnsi="仿宋_GB2312" w:eastAsia="仿宋_GB2312" w:cs="仿宋_GB2312"/>
          <w:color w:val="auto"/>
          <w:sz w:val="32"/>
          <w:szCs w:val="32"/>
          <w:highlight w:val="none"/>
          <w:lang w:val="en-GB" w:eastAsia="zh-CN"/>
        </w:rPr>
      </w:pPr>
      <w:r>
        <w:rPr>
          <w:rFonts w:hint="eastAsia" w:ascii="仿宋_GB2312" w:hAnsi="仿宋_GB2312" w:eastAsia="仿宋_GB2312" w:cs="仿宋_GB2312"/>
          <w:color w:val="auto"/>
          <w:sz w:val="32"/>
          <w:szCs w:val="32"/>
          <w:highlight w:val="none"/>
          <w:lang w:val="en-GB" w:eastAsia="zh-CN"/>
        </w:rPr>
        <w:t>内蒙古瑞泰汽车销售服务有限公司：</w:t>
      </w:r>
    </w:p>
    <w:p>
      <w:pPr>
        <w:keepNext w:val="0"/>
        <w:keepLines w:val="0"/>
        <w:pageBreakBefore w:val="0"/>
        <w:widowControl w:val="0"/>
        <w:shd w:val="clea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color w:val="auto"/>
          <w:sz w:val="32"/>
          <w:szCs w:val="32"/>
          <w:highlight w:val="none"/>
          <w:lang w:val="en-GB"/>
        </w:rPr>
      </w:pPr>
      <w:r>
        <w:rPr>
          <w:rFonts w:hint="eastAsia" w:ascii="仿宋_GB2312" w:hAnsi="仿宋_GB2312" w:eastAsia="仿宋_GB2312" w:cs="仿宋_GB2312"/>
          <w:color w:val="auto"/>
          <w:sz w:val="32"/>
          <w:szCs w:val="32"/>
          <w:highlight w:val="none"/>
          <w:lang w:val="en-GB"/>
        </w:rPr>
        <w:t>你单位报送的</w:t>
      </w:r>
      <w:r>
        <w:rPr>
          <w:rFonts w:hint="eastAsia" w:ascii="仿宋_GB2312" w:hAnsi="仿宋_GB2312" w:eastAsia="仿宋_GB2312" w:cs="仿宋_GB2312"/>
          <w:color w:val="auto"/>
          <w:sz w:val="32"/>
          <w:szCs w:val="32"/>
          <w:highlight w:val="none"/>
          <w:lang w:val="en-GB" w:eastAsia="zh-CN"/>
        </w:rPr>
        <w:t>由内蒙古环保投资集团有限公司锡林郭勒盟分公司编制</w:t>
      </w:r>
      <w:r>
        <w:rPr>
          <w:rFonts w:hint="eastAsia" w:ascii="仿宋_GB2312" w:hAnsi="仿宋_GB2312" w:eastAsia="仿宋_GB2312" w:cs="仿宋_GB2312"/>
          <w:b w:val="0"/>
          <w:bCs w:val="0"/>
          <w:color w:val="auto"/>
          <w:kern w:val="2"/>
          <w:sz w:val="32"/>
          <w:szCs w:val="32"/>
          <w:highlight w:val="none"/>
          <w:lang w:val="en-GB" w:eastAsia="zh-CN" w:bidi="ar-SA"/>
        </w:rPr>
        <w:t>的</w:t>
      </w:r>
      <w:r>
        <w:rPr>
          <w:rFonts w:hint="eastAsia" w:ascii="仿宋_GB2312" w:hAnsi="仿宋_GB2312" w:eastAsia="仿宋_GB2312" w:cs="仿宋_GB2312"/>
          <w:color w:val="auto"/>
          <w:sz w:val="32"/>
          <w:szCs w:val="32"/>
          <w:highlight w:val="none"/>
          <w:lang w:val="en-GB" w:eastAsia="zh-CN"/>
        </w:rPr>
        <w:t>《内蒙古瑞泰汽车销售服务有限公司（东风本田4S店、长安福特4S店）危废间项目》报告表已收悉</w:t>
      </w:r>
      <w:r>
        <w:rPr>
          <w:rFonts w:hint="eastAsia" w:ascii="仿宋_GB2312" w:hAnsi="仿宋_GB2312" w:eastAsia="仿宋_GB2312" w:cs="仿宋_GB2312"/>
          <w:color w:val="auto"/>
          <w:sz w:val="32"/>
          <w:szCs w:val="32"/>
          <w:highlight w:val="none"/>
          <w:lang w:val="en-GB"/>
        </w:rPr>
        <w:t>。</w:t>
      </w:r>
      <w:r>
        <w:rPr>
          <w:rFonts w:hint="eastAsia" w:ascii="仿宋_GB2312" w:hAnsi="仿宋_GB2312" w:eastAsia="仿宋_GB2312" w:cs="仿宋_GB2312"/>
          <w:color w:val="auto"/>
          <w:sz w:val="32"/>
          <w:szCs w:val="32"/>
          <w:highlight w:val="none"/>
          <w:lang w:val="en-US" w:eastAsia="zh-CN"/>
        </w:rPr>
        <w:t>经研究，</w:t>
      </w:r>
      <w:r>
        <w:rPr>
          <w:rFonts w:hint="eastAsia" w:ascii="仿宋_GB2312" w:hAnsi="仿宋_GB2312" w:eastAsia="仿宋_GB2312" w:cs="仿宋_GB2312"/>
          <w:color w:val="auto"/>
          <w:sz w:val="32"/>
          <w:szCs w:val="32"/>
          <w:highlight w:val="none"/>
          <w:lang w:val="en-GB" w:eastAsia="zh-CN"/>
        </w:rPr>
        <w:t>现</w:t>
      </w:r>
      <w:r>
        <w:rPr>
          <w:rFonts w:hint="eastAsia" w:ascii="仿宋_GB2312" w:hAnsi="仿宋_GB2312" w:eastAsia="仿宋_GB2312" w:cs="仿宋_GB2312"/>
          <w:color w:val="auto"/>
          <w:sz w:val="32"/>
          <w:szCs w:val="32"/>
          <w:highlight w:val="none"/>
          <w:lang w:val="en-GB"/>
        </w:rPr>
        <w:t>批复如下：</w:t>
      </w:r>
    </w:p>
    <w:p>
      <w:pPr>
        <w:pStyle w:val="39"/>
        <w:keepNext w:val="0"/>
        <w:keepLines w:val="0"/>
        <w:pageBreakBefore w:val="0"/>
        <w:widowControl w:val="0"/>
        <w:numPr>
          <w:ilvl w:val="0"/>
          <w:numId w:val="0"/>
        </w:numPr>
        <w:shd w:val="clear"/>
        <w:kinsoku/>
        <w:wordWrap/>
        <w:overflowPunct/>
        <w:topLinePunct w:val="0"/>
        <w:autoSpaceDE/>
        <w:autoSpaceDN/>
        <w:bidi w:val="0"/>
        <w:spacing w:line="578"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GB" w:eastAsia="zh-CN"/>
        </w:rPr>
        <w:t>一、</w:t>
      </w:r>
      <w:r>
        <w:rPr>
          <w:rFonts w:hint="eastAsia" w:ascii="仿宋_GB2312" w:hAnsi="仿宋_GB2312" w:eastAsia="仿宋_GB2312" w:cs="仿宋_GB2312"/>
          <w:color w:val="auto"/>
          <w:sz w:val="32"/>
          <w:szCs w:val="32"/>
          <w:highlight w:val="none"/>
          <w:lang w:val="en-US" w:eastAsia="zh-CN"/>
        </w:rPr>
        <w:t>该项目</w:t>
      </w:r>
      <w:r>
        <w:rPr>
          <w:rFonts w:hint="eastAsia" w:ascii="仿宋_GB2312" w:hAnsi="仿宋_GB2312" w:eastAsia="仿宋_GB2312" w:cs="仿宋_GB2312"/>
          <w:color w:val="auto"/>
          <w:kern w:val="2"/>
          <w:sz w:val="32"/>
          <w:szCs w:val="32"/>
          <w:highlight w:val="none"/>
          <w:lang w:val="en-US" w:eastAsia="zh-CN" w:bidi="ar-SA"/>
        </w:rPr>
        <w:t>位于锡林郭勒盟锡林浩特市火车站南东风本田4S店。该项目将东风本田4S店内原有库房改建为危废暂存库，总面积为7㎡，用于收集和暂存车辆设备维修等过程中产生的危险废物，废暂存间内分为2个区域存放，东侧为废矿物油（废润滑油）和其他含油包装区，西侧为废滤芯区和废电瓶区。总投资3万元，其中环保投资3万元。占总投资金额的100%。根据《产业结构调整指导目录（2019年本）》，项目属于允许类。经审查符合锡林浩特市总体规划，符合“三线一单”要求。</w:t>
      </w:r>
    </w:p>
    <w:p>
      <w:pPr>
        <w:pStyle w:val="39"/>
        <w:keepNext w:val="0"/>
        <w:keepLines w:val="0"/>
        <w:pageBreakBefore w:val="0"/>
        <w:widowControl w:val="0"/>
        <w:numPr>
          <w:ilvl w:val="0"/>
          <w:numId w:val="0"/>
        </w:numPr>
        <w:kinsoku/>
        <w:wordWrap/>
        <w:overflowPunct/>
        <w:topLinePunct w:val="0"/>
        <w:autoSpaceDE/>
        <w:autoSpaceDN/>
        <w:bidi w:val="0"/>
        <w:spacing w:line="578" w:lineRule="exact"/>
        <w:ind w:left="640" w:leftChars="0"/>
        <w:textAlignment w:val="auto"/>
        <w:rPr>
          <w:rFonts w:hint="eastAsia" w:ascii="仿宋_GB2312" w:hAnsi="仿宋_GB2312" w:eastAsia="仿宋_GB2312" w:cs="仿宋_GB2312"/>
          <w:color w:val="auto"/>
          <w:sz w:val="32"/>
          <w:szCs w:val="32"/>
          <w:highlight w:val="none"/>
          <w:lang w:val="en-US"/>
        </w:rPr>
      </w:pPr>
      <w:r>
        <w:rPr>
          <w:rFonts w:hint="eastAsia" w:ascii="仿宋_GB2312" w:hAnsi="仿宋_GB2312" w:eastAsia="仿宋_GB2312" w:cs="仿宋_GB2312"/>
          <w:color w:val="auto"/>
          <w:sz w:val="32"/>
          <w:szCs w:val="32"/>
          <w:highlight w:val="none"/>
          <w:lang w:eastAsia="zh-CN"/>
        </w:rPr>
        <w:t>二、项目在设计、</w:t>
      </w:r>
      <w:r>
        <w:rPr>
          <w:rFonts w:hint="eastAsia" w:ascii="仿宋_GB2312" w:hAnsi="仿宋_GB2312" w:eastAsia="仿宋_GB2312" w:cs="仿宋_GB2312"/>
          <w:color w:val="auto"/>
          <w:sz w:val="32"/>
          <w:szCs w:val="32"/>
          <w:highlight w:val="none"/>
          <w:lang w:val="en-US" w:eastAsia="zh-CN"/>
        </w:rPr>
        <w:t>建设和运营</w:t>
      </w:r>
      <w:r>
        <w:rPr>
          <w:rFonts w:hint="eastAsia" w:ascii="仿宋_GB2312" w:hAnsi="仿宋_GB2312" w:eastAsia="仿宋_GB2312" w:cs="仿宋_GB2312"/>
          <w:color w:val="auto"/>
          <w:sz w:val="32"/>
          <w:szCs w:val="32"/>
          <w:highlight w:val="none"/>
          <w:lang w:eastAsia="zh-CN"/>
        </w:rPr>
        <w:t>过程中应做好以下工作：</w:t>
      </w:r>
    </w:p>
    <w:p>
      <w:pPr>
        <w:keepNext w:val="0"/>
        <w:keepLines w:val="0"/>
        <w:pageBreakBefore w:val="0"/>
        <w:widowControl w:val="0"/>
        <w:kinsoku/>
        <w:wordWrap/>
        <w:overflowPunct/>
        <w:topLinePunct w:val="0"/>
        <w:autoSpaceDE/>
        <w:autoSpaceDN/>
        <w:bidi w:val="0"/>
        <w:adjustRightInd w:val="0"/>
        <w:spacing w:line="578"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一）施工期大气污染物主要为施工废气、施工过程中产生的粉尘、扬尘以及砂石料运输扬尘，灰土拌和、混凝土拌和会产生扬尘和粉尘。通过采取在施工场地洒水抑尘，半封闭施工方式、洒水等措施，将粉尘影响降低到较小程度。</w:t>
      </w:r>
      <w:r>
        <w:rPr>
          <w:rFonts w:hint="default" w:ascii="仿宋_GB2312" w:hAnsi="仿宋_GB2312" w:eastAsia="仿宋_GB2312" w:cs="仿宋_GB2312"/>
          <w:color w:val="auto"/>
          <w:kern w:val="2"/>
          <w:sz w:val="32"/>
          <w:szCs w:val="32"/>
          <w:highlight w:val="none"/>
          <w:lang w:val="en-US" w:eastAsia="zh-CN" w:bidi="ar-SA"/>
        </w:rPr>
        <w:t>运营期废气</w:t>
      </w:r>
      <w:r>
        <w:rPr>
          <w:rFonts w:hint="eastAsia" w:ascii="仿宋_GB2312" w:hAnsi="仿宋_GB2312" w:eastAsia="仿宋_GB2312" w:cs="仿宋_GB2312"/>
          <w:color w:val="auto"/>
          <w:kern w:val="2"/>
          <w:sz w:val="32"/>
          <w:szCs w:val="32"/>
          <w:highlight w:val="none"/>
          <w:lang w:val="en-US" w:eastAsia="zh-CN" w:bidi="ar-SA"/>
        </w:rPr>
        <w:t>为</w:t>
      </w:r>
      <w:r>
        <w:rPr>
          <w:rFonts w:hint="default" w:ascii="仿宋_GB2312" w:hAnsi="仿宋_GB2312" w:eastAsia="仿宋_GB2312" w:cs="仿宋_GB2312"/>
          <w:color w:val="auto"/>
          <w:kern w:val="2"/>
          <w:sz w:val="32"/>
          <w:szCs w:val="32"/>
          <w:highlight w:val="none"/>
          <w:lang w:val="en-US" w:eastAsia="zh-CN" w:bidi="ar-SA"/>
        </w:rPr>
        <w:t>废矿物油暂存过程中挥发的少量油气（非甲烷总烃）</w:t>
      </w:r>
      <w:r>
        <w:rPr>
          <w:rFonts w:hint="eastAsia" w:ascii="仿宋_GB2312" w:hAnsi="仿宋_GB2312" w:eastAsia="仿宋_GB2312" w:cs="仿宋_GB2312"/>
          <w:color w:val="auto"/>
          <w:kern w:val="2"/>
          <w:sz w:val="32"/>
          <w:szCs w:val="32"/>
          <w:highlight w:val="none"/>
          <w:lang w:val="en-US" w:eastAsia="zh-CN" w:bidi="ar-SA"/>
        </w:rPr>
        <w:t>。通过采取在</w:t>
      </w:r>
      <w:r>
        <w:rPr>
          <w:rFonts w:hint="default" w:ascii="仿宋_GB2312" w:hAnsi="仿宋_GB2312" w:eastAsia="仿宋_GB2312" w:cs="仿宋_GB2312"/>
          <w:color w:val="auto"/>
          <w:kern w:val="2"/>
          <w:sz w:val="32"/>
          <w:szCs w:val="32"/>
          <w:highlight w:val="none"/>
          <w:lang w:val="en-US" w:eastAsia="zh-CN" w:bidi="ar-SA"/>
        </w:rPr>
        <w:t>库房上方增加排风扇</w:t>
      </w:r>
      <w:r>
        <w:rPr>
          <w:rFonts w:hint="eastAsia" w:ascii="仿宋_GB2312" w:hAnsi="仿宋_GB2312" w:eastAsia="仿宋_GB2312" w:cs="仿宋_GB2312"/>
          <w:color w:val="auto"/>
          <w:kern w:val="2"/>
          <w:sz w:val="32"/>
          <w:szCs w:val="32"/>
          <w:highlight w:val="none"/>
          <w:lang w:val="en-US" w:eastAsia="zh-CN" w:bidi="ar-SA"/>
        </w:rPr>
        <w:t>、</w:t>
      </w:r>
      <w:r>
        <w:rPr>
          <w:rFonts w:hint="default" w:ascii="仿宋_GB2312" w:hAnsi="仿宋_GB2312" w:eastAsia="仿宋_GB2312" w:cs="仿宋_GB2312"/>
          <w:color w:val="auto"/>
          <w:kern w:val="2"/>
          <w:sz w:val="32"/>
          <w:szCs w:val="32"/>
          <w:highlight w:val="none"/>
          <w:lang w:val="en-US" w:eastAsia="zh-CN" w:bidi="ar-SA"/>
        </w:rPr>
        <w:t>排风扇直径不低于</w:t>
      </w:r>
      <w:r>
        <w:rPr>
          <w:rFonts w:hint="eastAsia" w:ascii="仿宋_GB2312" w:hAnsi="仿宋_GB2312" w:eastAsia="仿宋_GB2312" w:cs="仿宋_GB2312"/>
          <w:color w:val="auto"/>
          <w:kern w:val="2"/>
          <w:sz w:val="32"/>
          <w:szCs w:val="32"/>
          <w:highlight w:val="none"/>
          <w:lang w:val="en-US" w:eastAsia="zh-CN" w:bidi="ar-SA"/>
        </w:rPr>
        <w:t>20</w:t>
      </w:r>
      <w:r>
        <w:rPr>
          <w:rFonts w:hint="default" w:ascii="仿宋_GB2312" w:hAnsi="仿宋_GB2312" w:eastAsia="仿宋_GB2312" w:cs="仿宋_GB2312"/>
          <w:color w:val="auto"/>
          <w:kern w:val="2"/>
          <w:sz w:val="32"/>
          <w:szCs w:val="32"/>
          <w:highlight w:val="none"/>
          <w:lang w:val="en-US" w:eastAsia="zh-CN" w:bidi="ar-SA"/>
        </w:rPr>
        <w:t>cm</w:t>
      </w:r>
      <w:r>
        <w:rPr>
          <w:rFonts w:hint="eastAsia" w:ascii="仿宋_GB2312" w:hAnsi="仿宋_GB2312" w:eastAsia="仿宋_GB2312" w:cs="仿宋_GB2312"/>
          <w:color w:val="auto"/>
          <w:kern w:val="2"/>
          <w:sz w:val="32"/>
          <w:szCs w:val="32"/>
          <w:highlight w:val="none"/>
          <w:lang w:val="en-US" w:eastAsia="zh-CN" w:bidi="ar-SA"/>
        </w:rPr>
        <w:t>，</w:t>
      </w:r>
      <w:r>
        <w:rPr>
          <w:rFonts w:hint="default" w:ascii="仿宋_GB2312" w:hAnsi="仿宋_GB2312" w:eastAsia="仿宋_GB2312" w:cs="仿宋_GB2312"/>
          <w:color w:val="auto"/>
          <w:kern w:val="2"/>
          <w:sz w:val="32"/>
          <w:szCs w:val="32"/>
          <w:highlight w:val="none"/>
          <w:lang w:val="en-US" w:eastAsia="zh-CN" w:bidi="ar-SA"/>
        </w:rPr>
        <w:t>库房</w:t>
      </w:r>
      <w:r>
        <w:rPr>
          <w:rFonts w:hint="eastAsia" w:ascii="仿宋_GB2312" w:hAnsi="仿宋_GB2312" w:eastAsia="仿宋_GB2312" w:cs="仿宋_GB2312"/>
          <w:color w:val="auto"/>
          <w:kern w:val="2"/>
          <w:sz w:val="32"/>
          <w:szCs w:val="32"/>
          <w:highlight w:val="none"/>
          <w:lang w:val="en-US" w:eastAsia="zh-CN" w:bidi="ar-SA"/>
        </w:rPr>
        <w:t>大门</w:t>
      </w:r>
      <w:r>
        <w:rPr>
          <w:rFonts w:hint="default" w:ascii="仿宋_GB2312" w:hAnsi="仿宋_GB2312" w:eastAsia="仿宋_GB2312" w:cs="仿宋_GB2312"/>
          <w:color w:val="auto"/>
          <w:kern w:val="2"/>
          <w:sz w:val="32"/>
          <w:szCs w:val="32"/>
          <w:highlight w:val="none"/>
          <w:lang w:val="en-US" w:eastAsia="zh-CN" w:bidi="ar-SA"/>
        </w:rPr>
        <w:t>设置</w:t>
      </w:r>
      <w:r>
        <w:rPr>
          <w:rFonts w:hint="eastAsia" w:ascii="仿宋_GB2312" w:hAnsi="仿宋_GB2312" w:eastAsia="仿宋_GB2312" w:cs="仿宋_GB2312"/>
          <w:color w:val="auto"/>
          <w:kern w:val="2"/>
          <w:sz w:val="32"/>
          <w:szCs w:val="32"/>
          <w:highlight w:val="none"/>
          <w:lang w:val="en-US" w:eastAsia="zh-CN" w:bidi="ar-SA"/>
        </w:rPr>
        <w:t>观察窗口、</w:t>
      </w:r>
      <w:r>
        <w:rPr>
          <w:rFonts w:hint="default" w:ascii="仿宋_GB2312" w:hAnsi="仿宋_GB2312" w:eastAsia="仿宋_GB2312" w:cs="仿宋_GB2312"/>
          <w:color w:val="auto"/>
          <w:kern w:val="2"/>
          <w:sz w:val="32"/>
          <w:szCs w:val="32"/>
          <w:highlight w:val="none"/>
          <w:lang w:val="en-US" w:eastAsia="zh-CN" w:bidi="ar-SA"/>
        </w:rPr>
        <w:t>加强库内与库外的通风</w:t>
      </w:r>
      <w:r>
        <w:rPr>
          <w:rFonts w:hint="eastAsia" w:ascii="仿宋_GB2312" w:hAnsi="仿宋_GB2312" w:eastAsia="仿宋_GB2312" w:cs="仿宋_GB2312"/>
          <w:color w:val="auto"/>
          <w:kern w:val="2"/>
          <w:sz w:val="32"/>
          <w:szCs w:val="32"/>
          <w:highlight w:val="none"/>
          <w:lang w:val="en-US" w:eastAsia="zh-CN" w:bidi="ar-SA"/>
        </w:rPr>
        <w:t>等措施，确保大气污染物达标排放</w:t>
      </w:r>
      <w:r>
        <w:rPr>
          <w:rFonts w:hint="default" w:ascii="仿宋_GB2312" w:hAnsi="仿宋_GB2312" w:eastAsia="仿宋_GB2312" w:cs="仿宋_GB2312"/>
          <w:color w:val="auto"/>
          <w:kern w:val="2"/>
          <w:sz w:val="32"/>
          <w:szCs w:val="32"/>
          <w:highlight w:val="none"/>
          <w:lang w:val="en-US" w:eastAsia="zh-CN" w:bidi="ar-SA"/>
        </w:rPr>
        <w:t>。</w:t>
      </w:r>
    </w:p>
    <w:p>
      <w:pPr>
        <w:keepNext w:val="0"/>
        <w:keepLines w:val="0"/>
        <w:pageBreakBefore w:val="0"/>
        <w:widowControl w:val="0"/>
        <w:kinsoku/>
        <w:wordWrap/>
        <w:overflowPunct/>
        <w:topLinePunct w:val="0"/>
        <w:autoSpaceDE/>
        <w:autoSpaceDN/>
        <w:bidi w:val="0"/>
        <w:adjustRightInd w:val="0"/>
        <w:spacing w:line="578"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（二）施工期固体废物主要为生活垃圾和建筑垃圾。针对生活垃圾，通过在店内垃圾箱集中收集后，由环卫部门统一处理；针对建筑垃圾，应定时外运到有关部门指定的建筑垃圾倾倒场，防止露天长期堆放。</w:t>
      </w:r>
      <w:r>
        <w:rPr>
          <w:rFonts w:hint="default" w:ascii="仿宋_GB2312" w:hAnsi="仿宋_GB2312" w:eastAsia="仿宋_GB2312" w:cs="仿宋_GB2312"/>
          <w:color w:val="auto"/>
          <w:kern w:val="2"/>
          <w:sz w:val="32"/>
          <w:szCs w:val="32"/>
          <w:highlight w:val="none"/>
          <w:lang w:val="en-US" w:eastAsia="zh-CN" w:bidi="ar-SA"/>
        </w:rPr>
        <w:t>运营期</w:t>
      </w:r>
      <w:r>
        <w:rPr>
          <w:rFonts w:hint="eastAsia" w:ascii="仿宋_GB2312" w:hAnsi="仿宋_GB2312" w:eastAsia="仿宋_GB2312" w:cs="仿宋_GB2312"/>
          <w:color w:val="auto"/>
          <w:kern w:val="2"/>
          <w:sz w:val="32"/>
          <w:szCs w:val="32"/>
          <w:highlight w:val="none"/>
          <w:lang w:val="en-US" w:eastAsia="zh-CN" w:bidi="ar-SA"/>
        </w:rPr>
        <w:t>固废为废矿物油、其他含油包装、废滤芯和废电瓶（铅蓄电池）。针对废矿物油、废滤芯和废电瓶（铅蓄电池）、其他含油包装（包括废油桶及装卸车过程中如有明显滴漏废液，会产生少量的含废液抹布、手套）、废滤芯，通过采用专用设施集中收集后，暂时贮存于危险废物暂存间，</w:t>
      </w:r>
      <w:r>
        <w:rPr>
          <w:rFonts w:hint="eastAsia" w:ascii="仿宋_GB2312" w:hAnsi="仿宋_GB2312" w:eastAsia="仿宋_GB2312" w:cs="仿宋_GB2312"/>
          <w:kern w:val="2"/>
          <w:sz w:val="32"/>
          <w:szCs w:val="32"/>
          <w:lang w:val="en-US" w:eastAsia="zh-CN" w:bidi="ar-SA"/>
        </w:rPr>
        <w:t>定期交有资质单位处置。</w:t>
      </w:r>
    </w:p>
    <w:p>
      <w:pPr>
        <w:pStyle w:val="34"/>
        <w:keepNext w:val="0"/>
        <w:keepLines w:val="0"/>
        <w:pageBreakBefore w:val="0"/>
        <w:widowControl w:val="0"/>
        <w:kinsoku/>
        <w:wordWrap/>
        <w:overflowPunct/>
        <w:topLinePunct w:val="0"/>
        <w:bidi w:val="0"/>
        <w:spacing w:line="578"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（三）通过尽量选用低噪声的设备和工艺、加强设备维护检修保养、距离衰减等措施使项目厂界噪声满足噪声排放标准后达标排放。</w:t>
      </w:r>
    </w:p>
    <w:p>
      <w:pPr>
        <w:pStyle w:val="34"/>
        <w:keepNext w:val="0"/>
        <w:keepLines w:val="0"/>
        <w:pageBreakBefore w:val="0"/>
        <w:widowControl w:val="0"/>
        <w:kinsoku/>
        <w:wordWrap/>
        <w:overflowPunct/>
        <w:topLinePunct w:val="0"/>
        <w:bidi w:val="0"/>
        <w:spacing w:line="578" w:lineRule="exact"/>
        <w:ind w:firstLine="640" w:firstLineChars="200"/>
        <w:textAlignment w:val="auto"/>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sz w:val="32"/>
          <w:szCs w:val="32"/>
          <w:lang w:val="en-US" w:eastAsia="zh-CN"/>
        </w:rPr>
        <w:t>（四）按照环评要求，做好各防渗区防渗工作。</w:t>
      </w:r>
    </w:p>
    <w:p>
      <w:pPr>
        <w:pStyle w:val="39"/>
        <w:keepNext w:val="0"/>
        <w:keepLines w:val="0"/>
        <w:pageBreakBefore w:val="0"/>
        <w:widowControl w:val="0"/>
        <w:numPr>
          <w:ilvl w:val="0"/>
          <w:numId w:val="0"/>
        </w:numPr>
        <w:kinsoku/>
        <w:wordWrap/>
        <w:overflowPunct/>
        <w:topLinePunct w:val="0"/>
        <w:bidi w:val="0"/>
        <w:spacing w:line="578"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（五）增加环保投入，提高周边绿化率。</w:t>
      </w:r>
    </w:p>
    <w:p>
      <w:pPr>
        <w:pStyle w:val="39"/>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三、项目建设必须严格执行环境保护设施与主体工程同时设计、同时施工、同时投产使用的环境保护“三同时”制度。</w:t>
      </w:r>
    </w:p>
    <w:p>
      <w:pPr>
        <w:pStyle w:val="39"/>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（一）要将环境保护措施纳入初步设计报告并落实环保设施投资概算。</w:t>
      </w:r>
    </w:p>
    <w:p>
      <w:pPr>
        <w:pStyle w:val="39"/>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（二）要将环境保护设施建设纳入施工合同，保证环境保护设施建设进度和资金。</w:t>
      </w:r>
    </w:p>
    <w:p>
      <w:pPr>
        <w:pStyle w:val="39"/>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（三）项目竣工后须按规定程序实施竣工环境保护验收，验收合格后方可正式投运。</w:t>
      </w:r>
    </w:p>
    <w:p>
      <w:pPr>
        <w:pStyle w:val="39"/>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四、锡林郭勒盟生态环境综合行政执法支队对该项目建设期间各项生态环境保护措施落实情况进行监督检查和管理。</w:t>
      </w:r>
    </w:p>
    <w:p>
      <w:pPr>
        <w:pStyle w:val="39"/>
        <w:keepNext w:val="0"/>
        <w:keepLines w:val="0"/>
        <w:pageBreakBefore w:val="0"/>
        <w:widowControl w:val="0"/>
        <w:numPr>
          <w:ilvl w:val="0"/>
          <w:numId w:val="0"/>
        </w:numPr>
        <w:kinsoku/>
        <w:wordWrap/>
        <w:overflowPunct/>
        <w:topLinePunct w:val="0"/>
        <w:autoSpaceDE/>
        <w:autoSpaceDN/>
        <w:bidi w:val="0"/>
        <w:spacing w:line="578" w:lineRule="exact"/>
        <w:textAlignment w:val="auto"/>
        <w:rPr>
          <w:rFonts w:hint="eastAsia" w:ascii="仿宋_GB2312" w:hAnsi="仿宋_GB2312" w:eastAsia="仿宋_GB2312" w:cs="仿宋_GB2312"/>
          <w:sz w:val="32"/>
          <w:szCs w:val="32"/>
          <w:highlight w:val="none"/>
          <w:lang w:val="en-US" w:eastAsia="zh-CN"/>
        </w:rPr>
      </w:pPr>
    </w:p>
    <w:p>
      <w:pPr>
        <w:keepNext w:val="0"/>
        <w:keepLines w:val="0"/>
        <w:pageBreakBefore w:val="0"/>
        <w:widowControl w:val="0"/>
        <w:kinsoku/>
        <w:wordWrap/>
        <w:overflowPunct/>
        <w:topLinePunct w:val="0"/>
        <w:autoSpaceDE/>
        <w:autoSpaceDN/>
        <w:bidi w:val="0"/>
        <w:spacing w:line="578" w:lineRule="exact"/>
        <w:ind w:firstLine="2560" w:firstLineChars="8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锡林郭勒盟生态环境局锡林浩特市分局</w:t>
      </w:r>
    </w:p>
    <w:p>
      <w:pPr>
        <w:keepNext w:val="0"/>
        <w:keepLines w:val="0"/>
        <w:pageBreakBefore w:val="0"/>
        <w:widowControl w:val="0"/>
        <w:kinsoku/>
        <w:wordWrap/>
        <w:overflowPunct/>
        <w:topLinePunct w:val="0"/>
        <w:autoSpaceDE/>
        <w:autoSpaceDN/>
        <w:bidi w:val="0"/>
        <w:spacing w:line="578" w:lineRule="exact"/>
        <w:ind w:firstLine="4160" w:firstLineChars="1300"/>
        <w:textAlignment w:val="auto"/>
        <w:rPr>
          <w:rFonts w:hint="eastAsia" w:ascii="仿宋_GB2312" w:hAnsi="仿宋_GB2312" w:eastAsia="仿宋_GB2312" w:cs="仿宋_GB2312"/>
          <w:sz w:val="32"/>
          <w:szCs w:val="32"/>
          <w:highlight w:val="none"/>
          <w:lang w:val="en-US" w:eastAsia="zh-CN"/>
        </w:rPr>
      </w:pPr>
      <w:bookmarkStart w:id="0" w:name="_GoBack"/>
      <w:r>
        <w:rPr>
          <w:rFonts w:hint="eastAsia" w:ascii="仿宋_GB2312" w:hAnsi="仿宋_GB2312" w:eastAsia="仿宋_GB2312" w:cs="仿宋_GB2312"/>
          <w:sz w:val="32"/>
          <w:szCs w:val="32"/>
          <w:highlight w:val="none"/>
          <w:lang w:val="en-US" w:eastAsia="zh-CN"/>
        </w:rPr>
        <w:t>2022年11月17日</w:t>
      </w:r>
    </w:p>
    <w:bookmarkEnd w:id="0"/>
    <w:p>
      <w:pPr>
        <w:pStyle w:val="34"/>
        <w:keepNext w:val="0"/>
        <w:keepLines w:val="0"/>
        <w:pageBreakBefore w:val="0"/>
        <w:widowControl w:val="0"/>
        <w:kinsoku/>
        <w:wordWrap/>
        <w:overflowPunct/>
        <w:topLinePunct w:val="0"/>
        <w:bidi w:val="0"/>
        <w:spacing w:line="578" w:lineRule="exact"/>
        <w:textAlignment w:val="auto"/>
        <w:rPr>
          <w:rFonts w:hint="eastAsia" w:ascii="仿宋_GB2312" w:hAnsi="仿宋_GB2312" w:eastAsia="仿宋_GB2312" w:cs="仿宋_GB2312"/>
          <w:sz w:val="32"/>
          <w:szCs w:val="32"/>
          <w:highlight w:val="yellow"/>
          <w:lang w:val="en-US" w:eastAsia="zh-CN"/>
        </w:rPr>
      </w:pPr>
    </w:p>
    <w:p>
      <w:pPr>
        <w:pStyle w:val="39"/>
        <w:keepNext w:val="0"/>
        <w:keepLines w:val="0"/>
        <w:pageBreakBefore w:val="0"/>
        <w:widowControl w:val="0"/>
        <w:numPr>
          <w:ilvl w:val="0"/>
          <w:numId w:val="0"/>
        </w:numPr>
        <w:kinsoku/>
        <w:wordWrap/>
        <w:overflowPunct/>
        <w:topLinePunct w:val="0"/>
        <w:autoSpaceDE/>
        <w:autoSpaceDN/>
        <w:bidi w:val="0"/>
        <w:spacing w:line="578" w:lineRule="exact"/>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抄送：锡林郭勒盟生态环境局、锡林郭勒盟生态环境综合行政执法支队</w:t>
      </w:r>
    </w:p>
    <w:sectPr>
      <w:footerReference r:id="rId3" w:type="default"/>
      <w:pgSz w:w="11906" w:h="16838"/>
      <w:pgMar w:top="2154" w:right="1531" w:bottom="1928" w:left="1531"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Arial Unicode MS">
    <w:altName w:val="宋体"/>
    <w:panose1 w:val="020B0604020202020204"/>
    <w:charset w:val="86"/>
    <w:family w:val="swiss"/>
    <w:pitch w:val="default"/>
    <w:sig w:usb0="00000000" w:usb1="00000000" w:usb2="0000003F" w:usb3="00000000" w:csb0="603F01FF" w:csb1="FFFF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center"/>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sdt>
                <w:sdtPr>
                  <w:rPr>
                    <w:rFonts w:hint="eastAsia" w:ascii="楷体" w:hAnsi="楷体" w:eastAsia="楷体" w:cs="楷体"/>
                    <w:sz w:val="28"/>
                    <w:szCs w:val="28"/>
                  </w:rPr>
                  <w:id w:val="390315"/>
                  <w:docPartObj>
                    <w:docPartGallery w:val="autotext"/>
                  </w:docPartObj>
                </w:sdtPr>
                <w:sdtEndPr>
                  <w:rPr>
                    <w:rFonts w:hint="eastAsia" w:ascii="楷体" w:hAnsi="楷体" w:eastAsia="楷体" w:cs="楷体"/>
                    <w:sz w:val="28"/>
                    <w:szCs w:val="28"/>
                  </w:rPr>
                </w:sdtEndPr>
                <w:sdtContent>
                  <w:p>
                    <w:pPr>
                      <w:pStyle w:val="23"/>
                      <w:jc w:val="center"/>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lang w:val="zh-CN"/>
                      </w:rPr>
                      <w:t>1</w:t>
                    </w:r>
                    <w:r>
                      <w:rPr>
                        <w:rFonts w:hint="eastAsia" w:ascii="楷体" w:hAnsi="楷体" w:eastAsia="楷体" w:cs="楷体"/>
                        <w:sz w:val="28"/>
                        <w:szCs w:val="28"/>
                        <w:lang w:val="zh-CN"/>
                      </w:rPr>
                      <w:fldChar w:fldCharType="end"/>
                    </w:r>
                  </w:p>
                </w:sdtContent>
              </w:sdt>
              <w:p>
                <w:pPr>
                  <w:pStyle w:val="2"/>
                  <w:rPr>
                    <w:rFonts w:hint="eastAsia" w:ascii="楷体" w:hAnsi="楷体" w:eastAsia="楷体" w:cs="楷体"/>
                    <w:sz w:val="28"/>
                    <w:szCs w:val="28"/>
                  </w:rPr>
                </w:pPr>
              </w:p>
            </w:txbxContent>
          </v:textbox>
        </v:shape>
      </w:pict>
    </w:r>
  </w:p>
  <w:p>
    <w:pPr>
      <w:pStyle w:val="23"/>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DAA7CDA"/>
    <w:multiLevelType w:val="singleLevel"/>
    <w:tmpl w:val="ADAA7CDA"/>
    <w:lvl w:ilvl="0" w:tentative="0">
      <w:start w:val="1"/>
      <w:numFmt w:val="bullet"/>
      <w:pStyle w:val="13"/>
      <w:lvlText w:val=""/>
      <w:lvlJc w:val="left"/>
      <w:pPr>
        <w:tabs>
          <w:tab w:val="left" w:pos="780"/>
        </w:tabs>
        <w:ind w:left="7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zA2M2VmMTViNjIwOWYxYWM0Mjc1NTRkYTQ5MDY3MzQifQ=="/>
  </w:docVars>
  <w:rsids>
    <w:rsidRoot w:val="001E271C"/>
    <w:rsid w:val="001E271C"/>
    <w:rsid w:val="00962978"/>
    <w:rsid w:val="00B87117"/>
    <w:rsid w:val="00E83F57"/>
    <w:rsid w:val="01166DA6"/>
    <w:rsid w:val="01D027C7"/>
    <w:rsid w:val="04A62A1C"/>
    <w:rsid w:val="05015B69"/>
    <w:rsid w:val="0536008A"/>
    <w:rsid w:val="06C13B3D"/>
    <w:rsid w:val="07D679D6"/>
    <w:rsid w:val="0A1E3055"/>
    <w:rsid w:val="0C9B2141"/>
    <w:rsid w:val="0D502605"/>
    <w:rsid w:val="0DC94DA4"/>
    <w:rsid w:val="0E146C48"/>
    <w:rsid w:val="0F11030D"/>
    <w:rsid w:val="0F854188"/>
    <w:rsid w:val="10295A2D"/>
    <w:rsid w:val="10773E64"/>
    <w:rsid w:val="11815149"/>
    <w:rsid w:val="119E5AF7"/>
    <w:rsid w:val="135651C1"/>
    <w:rsid w:val="177469AA"/>
    <w:rsid w:val="18E453EE"/>
    <w:rsid w:val="1B4F5180"/>
    <w:rsid w:val="1BDE167F"/>
    <w:rsid w:val="204C4C91"/>
    <w:rsid w:val="20DE5961"/>
    <w:rsid w:val="21041E6B"/>
    <w:rsid w:val="23211F34"/>
    <w:rsid w:val="23BD04C6"/>
    <w:rsid w:val="271664C8"/>
    <w:rsid w:val="272A677C"/>
    <w:rsid w:val="294133B9"/>
    <w:rsid w:val="29CC3487"/>
    <w:rsid w:val="2AB067B8"/>
    <w:rsid w:val="2AF85194"/>
    <w:rsid w:val="2B330DF4"/>
    <w:rsid w:val="2C1005F7"/>
    <w:rsid w:val="2C8114F5"/>
    <w:rsid w:val="2CC02721"/>
    <w:rsid w:val="2FB4465A"/>
    <w:rsid w:val="30EB2DA6"/>
    <w:rsid w:val="333A6BDB"/>
    <w:rsid w:val="3372163A"/>
    <w:rsid w:val="33D40C28"/>
    <w:rsid w:val="357144BF"/>
    <w:rsid w:val="35D72A2D"/>
    <w:rsid w:val="37D943F6"/>
    <w:rsid w:val="382A4253"/>
    <w:rsid w:val="38C250C6"/>
    <w:rsid w:val="38CD7870"/>
    <w:rsid w:val="39CE76C6"/>
    <w:rsid w:val="3BC60B27"/>
    <w:rsid w:val="3CF733B4"/>
    <w:rsid w:val="3DDE2FC6"/>
    <w:rsid w:val="3E5850D6"/>
    <w:rsid w:val="3F156020"/>
    <w:rsid w:val="405F6E03"/>
    <w:rsid w:val="40F512DE"/>
    <w:rsid w:val="41D46BB8"/>
    <w:rsid w:val="42A31D6D"/>
    <w:rsid w:val="43776D56"/>
    <w:rsid w:val="459171B6"/>
    <w:rsid w:val="459612D4"/>
    <w:rsid w:val="45DA1917"/>
    <w:rsid w:val="472B6FD6"/>
    <w:rsid w:val="48CE52B4"/>
    <w:rsid w:val="4AE65F38"/>
    <w:rsid w:val="4AE66C9B"/>
    <w:rsid w:val="4B534ADE"/>
    <w:rsid w:val="4B92472D"/>
    <w:rsid w:val="4D142C43"/>
    <w:rsid w:val="4DFF3B68"/>
    <w:rsid w:val="4E2978F9"/>
    <w:rsid w:val="4EAA7967"/>
    <w:rsid w:val="4FA672D9"/>
    <w:rsid w:val="51AC402E"/>
    <w:rsid w:val="532F7E23"/>
    <w:rsid w:val="539E0D30"/>
    <w:rsid w:val="54D601BE"/>
    <w:rsid w:val="575E7CEE"/>
    <w:rsid w:val="58D316BE"/>
    <w:rsid w:val="5A294206"/>
    <w:rsid w:val="5C4001D5"/>
    <w:rsid w:val="5C635BEB"/>
    <w:rsid w:val="5D0775B6"/>
    <w:rsid w:val="5DE829AC"/>
    <w:rsid w:val="5E55710C"/>
    <w:rsid w:val="5E6913FD"/>
    <w:rsid w:val="5EBE21AB"/>
    <w:rsid w:val="5FBA2651"/>
    <w:rsid w:val="60BF3BD0"/>
    <w:rsid w:val="61BF76EB"/>
    <w:rsid w:val="623D4D9E"/>
    <w:rsid w:val="623E6920"/>
    <w:rsid w:val="652266CA"/>
    <w:rsid w:val="65312F5D"/>
    <w:rsid w:val="65A2639E"/>
    <w:rsid w:val="66E83653"/>
    <w:rsid w:val="67B67782"/>
    <w:rsid w:val="681650AF"/>
    <w:rsid w:val="684D4516"/>
    <w:rsid w:val="68704CA1"/>
    <w:rsid w:val="6AEF61B9"/>
    <w:rsid w:val="6BA12544"/>
    <w:rsid w:val="6BEB1D6D"/>
    <w:rsid w:val="6C536D8E"/>
    <w:rsid w:val="6CA80FF3"/>
    <w:rsid w:val="6CF81186"/>
    <w:rsid w:val="6E7E0DC8"/>
    <w:rsid w:val="6EEA7AC9"/>
    <w:rsid w:val="6FD235D4"/>
    <w:rsid w:val="715C20BD"/>
    <w:rsid w:val="733379D0"/>
    <w:rsid w:val="749E0175"/>
    <w:rsid w:val="75B535E3"/>
    <w:rsid w:val="75C311C4"/>
    <w:rsid w:val="775B1307"/>
    <w:rsid w:val="7779709C"/>
    <w:rsid w:val="799A104A"/>
    <w:rsid w:val="7B401BFC"/>
    <w:rsid w:val="7C5510E6"/>
    <w:rsid w:val="7D016ED4"/>
    <w:rsid w:val="7E6C32B7"/>
    <w:rsid w:val="7FD539F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99"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qFormat="1" w:unhideWhenUsed="0" w:uiPriority="99"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17">
    <w:name w:val="heading 1"/>
    <w:basedOn w:val="1"/>
    <w:next w:val="1"/>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paragraph" w:styleId="18">
    <w:name w:val="heading 4"/>
    <w:next w:val="1"/>
    <w:qFormat/>
    <w:uiPriority w:val="0"/>
    <w:pPr>
      <w:keepNext/>
      <w:keepLines/>
      <w:spacing w:beforeLines="0" w:beforeAutospacing="0" w:afterLines="0" w:afterAutospacing="0" w:line="240" w:lineRule="auto"/>
      <w:ind w:firstLine="0" w:firstLineChars="0"/>
      <w:jc w:val="center"/>
      <w:outlineLvl w:val="3"/>
    </w:pPr>
    <w:rPr>
      <w:rFonts w:ascii="Calibri" w:hAnsi="Calibri" w:eastAsia="宋体" w:cs="Times New Roman"/>
      <w:sz w:val="21"/>
      <w:szCs w:val="21"/>
    </w:rPr>
  </w:style>
  <w:style w:type="character" w:default="1" w:styleId="33">
    <w:name w:val="Default Paragraph Font"/>
    <w:semiHidden/>
    <w:unhideWhenUsed/>
    <w:qFormat/>
    <w:uiPriority w:val="1"/>
  </w:style>
  <w:style w:type="table" w:default="1" w:styleId="31">
    <w:name w:val="Normal Table"/>
    <w:semiHidden/>
    <w:unhideWhenUsed/>
    <w:qFormat/>
    <w:uiPriority w:val="99"/>
    <w:tblPr>
      <w:tblCellMar>
        <w:top w:w="0" w:type="dxa"/>
        <w:left w:w="108" w:type="dxa"/>
        <w:bottom w:w="0" w:type="dxa"/>
        <w:right w:w="108" w:type="dxa"/>
      </w:tblCellMar>
    </w:tblPr>
  </w:style>
  <w:style w:type="paragraph" w:customStyle="1" w:styleId="2">
    <w:name w:val="Default"/>
    <w:basedOn w:val="3"/>
    <w:next w:val="4"/>
    <w:qFormat/>
    <w:uiPriority w:val="0"/>
    <w:pPr>
      <w:widowControl w:val="0"/>
      <w:autoSpaceDE w:val="0"/>
      <w:autoSpaceDN w:val="0"/>
      <w:adjustRightInd w:val="0"/>
    </w:pPr>
    <w:rPr>
      <w:rFonts w:ascii="宋体" w:cs="宋体"/>
      <w:color w:val="000000"/>
      <w:sz w:val="24"/>
      <w:szCs w:val="24"/>
      <w:lang w:val="en-US" w:eastAsia="zh-CN" w:bidi="ar-SA"/>
    </w:rPr>
  </w:style>
  <w:style w:type="paragraph" w:customStyle="1" w:styleId="3">
    <w:name w:val="纯文本1"/>
    <w:basedOn w:val="1"/>
    <w:qFormat/>
    <w:uiPriority w:val="0"/>
    <w:pPr>
      <w:adjustRightInd w:val="0"/>
      <w:textAlignment w:val="baseline"/>
    </w:pPr>
    <w:rPr>
      <w:rFonts w:ascii="宋体" w:hAnsi="Courier New"/>
      <w:snapToGrid w:val="0"/>
      <w:sz w:val="28"/>
    </w:rPr>
  </w:style>
  <w:style w:type="paragraph" w:customStyle="1" w:styleId="4">
    <w:name w:val="样式35"/>
    <w:basedOn w:val="5"/>
    <w:next w:val="6"/>
    <w:qFormat/>
    <w:uiPriority w:val="0"/>
    <w:pPr>
      <w:spacing w:line="312" w:lineRule="auto"/>
      <w:ind w:firstLine="567"/>
    </w:pPr>
    <w:rPr>
      <w:rFonts w:ascii="宋体"/>
    </w:rPr>
  </w:style>
  <w:style w:type="paragraph" w:customStyle="1" w:styleId="5">
    <w:name w:val="表 内容"/>
    <w:basedOn w:val="1"/>
    <w:qFormat/>
    <w:uiPriority w:val="0"/>
    <w:pPr>
      <w:spacing w:line="240" w:lineRule="atLeast"/>
      <w:jc w:val="center"/>
    </w:pPr>
  </w:style>
  <w:style w:type="paragraph" w:customStyle="1" w:styleId="6">
    <w:name w:val="font6"/>
    <w:basedOn w:val="1"/>
    <w:next w:val="7"/>
    <w:qFormat/>
    <w:uiPriority w:val="0"/>
    <w:pPr>
      <w:widowControl/>
      <w:spacing w:before="280" w:after="280"/>
    </w:pPr>
  </w:style>
  <w:style w:type="paragraph" w:styleId="7">
    <w:name w:val="toc 2"/>
    <w:basedOn w:val="1"/>
    <w:next w:val="8"/>
    <w:qFormat/>
    <w:uiPriority w:val="39"/>
    <w:pPr>
      <w:ind w:left="420" w:leftChars="200"/>
    </w:pPr>
  </w:style>
  <w:style w:type="paragraph" w:styleId="8">
    <w:name w:val="E-mail Signature"/>
    <w:basedOn w:val="1"/>
    <w:next w:val="9"/>
    <w:qFormat/>
    <w:uiPriority w:val="0"/>
    <w:pPr>
      <w:spacing w:line="460" w:lineRule="exact"/>
      <w:ind w:firstLine="200"/>
    </w:pPr>
    <w:rPr>
      <w:sz w:val="24"/>
    </w:rPr>
  </w:style>
  <w:style w:type="paragraph" w:customStyle="1" w:styleId="9">
    <w:name w:val="文章"/>
    <w:basedOn w:val="10"/>
    <w:next w:val="12"/>
    <w:qFormat/>
    <w:uiPriority w:val="0"/>
    <w:pPr>
      <w:widowControl/>
      <w:ind w:firstLine="480"/>
      <w:jc w:val="center"/>
    </w:pPr>
    <w:rPr>
      <w:sz w:val="26"/>
    </w:rPr>
  </w:style>
  <w:style w:type="paragraph" w:styleId="10">
    <w:name w:val="Body Text Indent"/>
    <w:basedOn w:val="1"/>
    <w:next w:val="11"/>
    <w:qFormat/>
    <w:uiPriority w:val="0"/>
    <w:pPr>
      <w:keepNext/>
      <w:spacing w:line="360" w:lineRule="auto"/>
      <w:ind w:firstLine="200" w:firstLineChars="200"/>
    </w:pPr>
    <w:rPr>
      <w:sz w:val="24"/>
    </w:rPr>
  </w:style>
  <w:style w:type="paragraph" w:styleId="11">
    <w:name w:val="Body Text"/>
    <w:basedOn w:val="1"/>
    <w:next w:val="1"/>
    <w:qFormat/>
    <w:uiPriority w:val="0"/>
    <w:pPr>
      <w:spacing w:line="360" w:lineRule="auto"/>
    </w:pPr>
    <w:rPr>
      <w:sz w:val="24"/>
      <w:szCs w:val="20"/>
    </w:rPr>
  </w:style>
  <w:style w:type="paragraph" w:styleId="12">
    <w:name w:val="List"/>
    <w:basedOn w:val="1"/>
    <w:next w:val="13"/>
    <w:qFormat/>
    <w:uiPriority w:val="0"/>
    <w:pPr>
      <w:jc w:val="center"/>
    </w:pPr>
  </w:style>
  <w:style w:type="paragraph" w:styleId="13">
    <w:name w:val="List Bullet 2"/>
    <w:basedOn w:val="1"/>
    <w:next w:val="14"/>
    <w:qFormat/>
    <w:uiPriority w:val="0"/>
    <w:pPr>
      <w:numPr>
        <w:ilvl w:val="0"/>
        <w:numId w:val="1"/>
      </w:numPr>
    </w:pPr>
  </w:style>
  <w:style w:type="paragraph" w:customStyle="1" w:styleId="14">
    <w:name w:val="xl70"/>
    <w:basedOn w:val="1"/>
    <w:next w:val="15"/>
    <w:qFormat/>
    <w:uiPriority w:val="0"/>
    <w:pPr>
      <w:widowControl/>
      <w:spacing w:before="280" w:after="280"/>
    </w:pPr>
    <w:rPr>
      <w:rFonts w:ascii="宋体"/>
    </w:rPr>
  </w:style>
  <w:style w:type="paragraph" w:customStyle="1" w:styleId="15">
    <w:name w:val="正文缩进1"/>
    <w:basedOn w:val="1"/>
    <w:next w:val="16"/>
    <w:qFormat/>
    <w:uiPriority w:val="0"/>
    <w:pPr>
      <w:ind w:firstLine="420"/>
    </w:pPr>
    <w:rPr>
      <w:szCs w:val="20"/>
    </w:rPr>
  </w:style>
  <w:style w:type="paragraph" w:customStyle="1" w:styleId="16">
    <w:name w:val="td1"/>
    <w:basedOn w:val="1"/>
    <w:next w:val="1"/>
    <w:qFormat/>
    <w:uiPriority w:val="0"/>
    <w:pPr>
      <w:widowControl/>
      <w:spacing w:before="280" w:after="280" w:line="300" w:lineRule="atLeast"/>
      <w:ind w:firstLine="200"/>
    </w:pPr>
    <w:rPr>
      <w:color w:val="000000"/>
      <w:sz w:val="18"/>
    </w:rPr>
  </w:style>
  <w:style w:type="paragraph" w:styleId="19">
    <w:name w:val="Normal Indent"/>
    <w:basedOn w:val="1"/>
    <w:next w:val="20"/>
    <w:qFormat/>
    <w:uiPriority w:val="0"/>
    <w:pPr>
      <w:ind w:firstLine="420" w:firstLineChars="200"/>
    </w:pPr>
    <w:rPr>
      <w:rFonts w:eastAsia="宋体"/>
      <w:kern w:val="2"/>
      <w:sz w:val="21"/>
      <w:szCs w:val="24"/>
      <w:lang w:val="en-US" w:eastAsia="zh-CN" w:bidi="ar-SA"/>
    </w:rPr>
  </w:style>
  <w:style w:type="paragraph" w:customStyle="1" w:styleId="20">
    <w:name w:val="Char Char Char Char Char Char Char Char Char1 Char"/>
    <w:basedOn w:val="1"/>
    <w:next w:val="21"/>
    <w:qFormat/>
    <w:uiPriority w:val="0"/>
    <w:pPr>
      <w:spacing w:line="360" w:lineRule="auto"/>
      <w:ind w:firstLine="200" w:firstLineChars="200"/>
    </w:pPr>
    <w:rPr>
      <w:rFonts w:hAnsi="宋体" w:cs="宋体"/>
      <w:spacing w:val="0"/>
      <w:sz w:val="24"/>
      <w:szCs w:val="24"/>
    </w:rPr>
  </w:style>
  <w:style w:type="paragraph" w:customStyle="1" w:styleId="21">
    <w:name w:val="Body Text First Indent1"/>
    <w:next w:val="1"/>
    <w:qFormat/>
    <w:uiPriority w:val="0"/>
    <w:pPr>
      <w:widowControl w:val="0"/>
      <w:spacing w:after="120"/>
      <w:ind w:firstLine="420"/>
      <w:jc w:val="both"/>
    </w:pPr>
    <w:rPr>
      <w:rFonts w:ascii="Calibri" w:hAnsi="Calibri" w:eastAsia="宋体" w:cs="Times New Roman"/>
      <w:sz w:val="21"/>
      <w:szCs w:val="22"/>
      <w:lang w:val="en-US" w:eastAsia="zh-CN" w:bidi="ar-SA"/>
    </w:rPr>
  </w:style>
  <w:style w:type="paragraph" w:styleId="22">
    <w:name w:val="Body Text Indent 2"/>
    <w:basedOn w:val="1"/>
    <w:next w:val="1"/>
    <w:qFormat/>
    <w:uiPriority w:val="0"/>
    <w:pPr>
      <w:widowControl w:val="0"/>
      <w:spacing w:line="340" w:lineRule="exact"/>
      <w:ind w:firstLine="480" w:firstLineChars="200"/>
      <w:jc w:val="left"/>
    </w:pPr>
    <w:rPr>
      <w:rFonts w:ascii="仿宋_GB2312" w:hAnsi="宋体" w:eastAsia="仿宋_GB2312" w:cs="Times New Roman"/>
      <w:kern w:val="2"/>
      <w:sz w:val="24"/>
      <w:szCs w:val="24"/>
      <w:lang w:val="en-US" w:eastAsia="zh-CN" w:bidi="ar-SA"/>
    </w:rPr>
  </w:style>
  <w:style w:type="paragraph" w:styleId="23">
    <w:name w:val="footer"/>
    <w:basedOn w:val="1"/>
    <w:link w:val="42"/>
    <w:qFormat/>
    <w:uiPriority w:val="99"/>
    <w:pPr>
      <w:tabs>
        <w:tab w:val="center" w:pos="4153"/>
        <w:tab w:val="right" w:pos="8306"/>
      </w:tabs>
      <w:snapToGrid w:val="0"/>
      <w:jc w:val="left"/>
    </w:pPr>
    <w:rPr>
      <w:sz w:val="18"/>
      <w:szCs w:val="18"/>
    </w:rPr>
  </w:style>
  <w:style w:type="paragraph" w:styleId="24">
    <w:name w:val="header"/>
    <w:basedOn w:val="1"/>
    <w:next w:val="1"/>
    <w:link w:val="41"/>
    <w:qFormat/>
    <w:uiPriority w:val="0"/>
    <w:pPr>
      <w:pBdr>
        <w:bottom w:val="single" w:color="auto" w:sz="6" w:space="1"/>
      </w:pBdr>
      <w:tabs>
        <w:tab w:val="center" w:pos="4153"/>
        <w:tab w:val="right" w:pos="8306"/>
      </w:tabs>
      <w:snapToGrid w:val="0"/>
      <w:jc w:val="center"/>
    </w:pPr>
    <w:rPr>
      <w:sz w:val="18"/>
      <w:szCs w:val="18"/>
    </w:rPr>
  </w:style>
  <w:style w:type="paragraph" w:styleId="25">
    <w:name w:val="toc 1"/>
    <w:basedOn w:val="1"/>
    <w:next w:val="1"/>
    <w:unhideWhenUsed/>
    <w:qFormat/>
    <w:uiPriority w:val="39"/>
  </w:style>
  <w:style w:type="paragraph" w:styleId="26">
    <w:name w:val="index heading"/>
    <w:basedOn w:val="1"/>
    <w:next w:val="27"/>
    <w:qFormat/>
    <w:uiPriority w:val="99"/>
    <w:rPr>
      <w:rFonts w:hint="eastAsia" w:ascii="Cambria" w:hAnsi="Cambria"/>
      <w:b/>
    </w:rPr>
  </w:style>
  <w:style w:type="paragraph" w:styleId="27">
    <w:name w:val="index 1"/>
    <w:basedOn w:val="1"/>
    <w:next w:val="1"/>
    <w:qFormat/>
    <w:uiPriority w:val="99"/>
  </w:style>
  <w:style w:type="paragraph" w:styleId="28">
    <w:name w:val="Body Text Indent 3"/>
    <w:basedOn w:val="1"/>
    <w:unhideWhenUsed/>
    <w:qFormat/>
    <w:uiPriority w:val="0"/>
    <w:pPr>
      <w:ind w:firstLine="570"/>
    </w:pPr>
    <w:rPr>
      <w:szCs w:val="20"/>
    </w:rPr>
  </w:style>
  <w:style w:type="paragraph" w:styleId="29">
    <w:name w:val="Normal (Web)"/>
    <w:basedOn w:val="1"/>
    <w:qFormat/>
    <w:uiPriority w:val="0"/>
    <w:pPr>
      <w:widowControl/>
      <w:spacing w:before="100" w:beforeAutospacing="1" w:after="100" w:afterAutospacing="1"/>
      <w:jc w:val="left"/>
    </w:pPr>
    <w:rPr>
      <w:rFonts w:ascii="宋体" w:hAnsi="宋体"/>
      <w:kern w:val="0"/>
    </w:rPr>
  </w:style>
  <w:style w:type="paragraph" w:styleId="30">
    <w:name w:val="Body Text First Indent 2"/>
    <w:basedOn w:val="10"/>
    <w:qFormat/>
    <w:uiPriority w:val="0"/>
    <w:pPr>
      <w:ind w:firstLine="420" w:firstLineChars="200"/>
    </w:pPr>
  </w:style>
  <w:style w:type="table" w:styleId="32">
    <w:name w:val="Table Grid"/>
    <w:basedOn w:val="3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34">
    <w:name w:val="[1]正文"/>
    <w:basedOn w:val="1"/>
    <w:qFormat/>
    <w:uiPriority w:val="0"/>
    <w:pPr>
      <w:autoSpaceDE w:val="0"/>
      <w:autoSpaceDN w:val="0"/>
    </w:pPr>
    <w:rPr>
      <w:rFonts w:ascii="Times New Roman" w:hAnsi="Times New Roman" w:eastAsia="宋体" w:cs="Times New Roman"/>
      <w:color w:val="000000"/>
      <w:kern w:val="0"/>
      <w:szCs w:val="24"/>
      <w:lang w:val="zh-CN"/>
    </w:rPr>
  </w:style>
  <w:style w:type="paragraph" w:styleId="35">
    <w:name w:val="Intense Quote"/>
    <w:next w:val="1"/>
    <w:qFormat/>
    <w:uiPriority w:val="0"/>
    <w:pPr>
      <w:wordWrap w:val="0"/>
      <w:spacing w:before="360" w:after="360" w:line="240" w:lineRule="auto"/>
      <w:ind w:left="950" w:right="950"/>
      <w:jc w:val="center"/>
    </w:pPr>
    <w:rPr>
      <w:rFonts w:ascii="Times New Roman" w:hAnsi="Times New Roman" w:eastAsia="宋体" w:cs="Times New Roman"/>
      <w:i/>
      <w:color w:val="auto"/>
      <w:sz w:val="21"/>
    </w:rPr>
  </w:style>
  <w:style w:type="paragraph" w:customStyle="1" w:styleId="36">
    <w:name w:val="正文首行缩进2个字 Char"/>
    <w:basedOn w:val="1"/>
    <w:qFormat/>
    <w:uiPriority w:val="0"/>
    <w:pPr>
      <w:ind w:firstLine="480" w:firstLineChars="200"/>
    </w:pPr>
    <w:rPr>
      <w:rFonts w:eastAsia="楷体"/>
      <w:sz w:val="24"/>
    </w:rPr>
  </w:style>
  <w:style w:type="paragraph" w:customStyle="1" w:styleId="37">
    <w:name w:val="xl27"/>
    <w:basedOn w:val="1"/>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customStyle="1" w:styleId="38">
    <w:name w:val="高-正文"/>
    <w:basedOn w:val="1"/>
    <w:qFormat/>
    <w:uiPriority w:val="0"/>
    <w:pPr>
      <w:topLinePunct/>
      <w:adjustRightInd w:val="0"/>
      <w:snapToGrid w:val="0"/>
      <w:spacing w:line="480" w:lineRule="exact"/>
      <w:ind w:firstLine="600" w:firstLineChars="200"/>
    </w:pPr>
    <w:rPr>
      <w:rFonts w:ascii="Times New Roman" w:hAnsi="Times New Roman"/>
      <w:snapToGrid w:val="0"/>
      <w:kern w:val="0"/>
      <w:sz w:val="24"/>
    </w:rPr>
  </w:style>
  <w:style w:type="paragraph" w:customStyle="1" w:styleId="39">
    <w:name w:val="列出段落1"/>
    <w:basedOn w:val="1"/>
    <w:qFormat/>
    <w:uiPriority w:val="34"/>
    <w:pPr>
      <w:ind w:firstLine="420" w:firstLineChars="200"/>
    </w:pPr>
  </w:style>
  <w:style w:type="paragraph" w:customStyle="1" w:styleId="40">
    <w:name w:val="a正文"/>
    <w:basedOn w:val="1"/>
    <w:qFormat/>
    <w:uiPriority w:val="0"/>
    <w:pPr>
      <w:adjustRightInd w:val="0"/>
      <w:snapToGrid w:val="0"/>
      <w:spacing w:line="360" w:lineRule="auto"/>
      <w:ind w:firstLine="200" w:firstLineChars="200"/>
    </w:pPr>
    <w:rPr>
      <w:kern w:val="0"/>
      <w:sz w:val="24"/>
      <w:szCs w:val="20"/>
    </w:rPr>
  </w:style>
  <w:style w:type="character" w:customStyle="1" w:styleId="41">
    <w:name w:val="页眉 Char"/>
    <w:basedOn w:val="33"/>
    <w:link w:val="24"/>
    <w:qFormat/>
    <w:uiPriority w:val="0"/>
    <w:rPr>
      <w:kern w:val="2"/>
      <w:sz w:val="18"/>
      <w:szCs w:val="18"/>
    </w:rPr>
  </w:style>
  <w:style w:type="character" w:customStyle="1" w:styleId="42">
    <w:name w:val="页脚 Char"/>
    <w:basedOn w:val="33"/>
    <w:link w:val="23"/>
    <w:qFormat/>
    <w:uiPriority w:val="99"/>
    <w:rPr>
      <w:kern w:val="2"/>
      <w:sz w:val="18"/>
      <w:szCs w:val="18"/>
    </w:rPr>
  </w:style>
  <w:style w:type="paragraph" w:customStyle="1" w:styleId="43">
    <w:name w:val="表 正文"/>
    <w:basedOn w:val="1"/>
    <w:qFormat/>
    <w:uiPriority w:val="0"/>
    <w:pPr>
      <w:spacing w:line="360" w:lineRule="auto"/>
      <w:ind w:firstLine="480" w:firstLineChars="200"/>
    </w:pPr>
    <w:rPr>
      <w:sz w:val="24"/>
      <w:szCs w:val="21"/>
    </w:rPr>
  </w:style>
  <w:style w:type="paragraph" w:customStyle="1" w:styleId="44">
    <w:name w:val="Body text|1"/>
    <w:basedOn w:val="1"/>
    <w:qFormat/>
    <w:uiPriority w:val="0"/>
    <w:pPr>
      <w:widowControl w:val="0"/>
      <w:shd w:val="clear" w:color="auto" w:fill="auto"/>
      <w:spacing w:line="449" w:lineRule="auto"/>
      <w:ind w:firstLine="400"/>
    </w:pPr>
    <w:rPr>
      <w:rFonts w:ascii="宋体" w:hAnsi="宋体" w:eastAsia="宋体" w:cs="宋体"/>
      <w:sz w:val="22"/>
      <w:szCs w:val="22"/>
      <w:u w:val="none"/>
      <w:shd w:val="clear" w:color="auto" w:fill="auto"/>
      <w:lang w:val="zh-TW" w:eastAsia="zh-TW" w:bidi="zh-TW"/>
    </w:rPr>
  </w:style>
  <w:style w:type="paragraph" w:customStyle="1" w:styleId="45">
    <w:name w:val="报告表样式"/>
    <w:basedOn w:val="1"/>
    <w:qFormat/>
    <w:uiPriority w:val="0"/>
    <w:pPr>
      <w:ind w:firstLine="200"/>
    </w:pPr>
    <w:rPr>
      <w:rFonts w:ascii="宋体" w:hAnsi="宋体"/>
      <w:sz w:val="28"/>
      <w:szCs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Words>1177</Words>
  <Characters>1201</Characters>
  <Lines>20</Lines>
  <Paragraphs>5</Paragraphs>
  <TotalTime>1</TotalTime>
  <ScaleCrop>false</ScaleCrop>
  <LinksUpToDate>false</LinksUpToDate>
  <CharactersWithSpaces>1201</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DELL</cp:lastModifiedBy>
  <cp:lastPrinted>2022-02-28T06:47:00Z</cp:lastPrinted>
  <dcterms:modified xsi:type="dcterms:W3CDTF">2022-11-17T08:22:52Z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0C7AEDC11EEF4F028910265D173293AF</vt:lpwstr>
  </property>
  <property fmtid="{D5CDD505-2E9C-101B-9397-08002B2CF9AE}" pid="4" name="commondata">
    <vt:lpwstr>eyJoZGlkIjoiMGJjM2I0OWE0NDNiNTExOTc5ZWIxY2I1ZTA1OTFkYTUifQ==</vt:lpwstr>
  </property>
</Properties>
</file>