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78" w:lineRule="exact"/>
        <w:jc w:val="center"/>
        <w:textAlignment w:val="auto"/>
        <w:rPr>
          <w:rFonts w:hAnsi="仿宋" w:eastAsia="仿宋"/>
          <w:color w:val="auto"/>
          <w:sz w:val="32"/>
          <w:szCs w:val="32"/>
          <w:highlight w:val="none"/>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表〔2022〕</w:t>
      </w:r>
      <w:r>
        <w:rPr>
          <w:rFonts w:hint="eastAsia" w:ascii="仿宋_GB2312" w:hAnsi="仿宋_GB2312" w:eastAsia="仿宋_GB2312" w:cs="仿宋_GB2312"/>
          <w:color w:val="auto"/>
          <w:sz w:val="32"/>
          <w:szCs w:val="32"/>
          <w:highlight w:val="none"/>
        </w:rPr>
        <w:t>第</w:t>
      </w:r>
      <w:r>
        <w:rPr>
          <w:rFonts w:hint="eastAsia" w:ascii="仿宋_GB2312" w:hAnsi="仿宋_GB2312" w:eastAsia="仿宋_GB2312" w:cs="仿宋_GB2312"/>
          <w:color w:val="auto"/>
          <w:sz w:val="32"/>
          <w:szCs w:val="32"/>
          <w:highlight w:val="none"/>
          <w:lang w:val="en-US" w:eastAsia="zh-CN"/>
        </w:rPr>
        <w:t>46</w:t>
      </w:r>
      <w:r>
        <w:rPr>
          <w:rFonts w:hint="eastAsia" w:ascii="仿宋_GB2312" w:hAnsi="仿宋_GB2312" w:eastAsia="仿宋_GB2312" w:cs="仿宋_GB2312"/>
          <w:color w:val="auto"/>
          <w:sz w:val="32"/>
          <w:szCs w:val="32"/>
          <w:highlight w:val="none"/>
        </w:rPr>
        <w:t>号</w:t>
      </w:r>
    </w:p>
    <w:p>
      <w:pPr>
        <w:keepNext w:val="0"/>
        <w:keepLines w:val="0"/>
        <w:pageBreakBefore w:val="0"/>
        <w:widowControl w:val="0"/>
        <w:kinsoku/>
        <w:wordWrap/>
        <w:overflowPunct/>
        <w:topLinePunct w:val="0"/>
        <w:autoSpaceDE/>
        <w:autoSpaceDN/>
        <w:bidi w:val="0"/>
        <w:adjustRightInd w:val="0"/>
        <w:snapToGrid w:val="0"/>
        <w:spacing w:line="578"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于锡林浩特市万福商贸有限公司烟花爆竹仓储库项目</w:t>
      </w: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78"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78"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锡林浩特市万福商贸有限公司：</w:t>
      </w:r>
    </w:p>
    <w:p>
      <w:pPr>
        <w:keepNext w:val="0"/>
        <w:keepLines w:val="0"/>
        <w:pageBreakBefore w:val="0"/>
        <w:widowControl w:val="0"/>
        <w:shd w:val="clea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由内蒙古环保投资集团有限公司锡林郭勒盟分公司编制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《锡林浩特市万福商贸有限公司烟花爆竹仓储库项目》报告表已收悉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25"/>
        <w:keepNext w:val="0"/>
        <w:keepLines w:val="0"/>
        <w:pageBreakBefore w:val="0"/>
        <w:widowControl w:val="0"/>
        <w:numPr>
          <w:numId w:val="0"/>
        </w:numPr>
        <w:shd w:val="clear"/>
        <w:kinsoku/>
        <w:wordWrap/>
        <w:overflowPunct/>
        <w:topLinePunct w:val="0"/>
        <w:autoSpaceDE/>
        <w:autoSpaceDN/>
        <w:bidi w:val="0"/>
        <w:spacing w:line="578"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一、该项目</w:t>
      </w:r>
      <w:r>
        <w:rPr>
          <w:rFonts w:hint="eastAsia" w:ascii="仿宋_GB2312" w:hAnsi="仿宋_GB2312" w:eastAsia="仿宋_GB2312" w:cs="仿宋_GB2312"/>
          <w:color w:val="auto"/>
          <w:kern w:val="2"/>
          <w:sz w:val="32"/>
          <w:szCs w:val="32"/>
          <w:highlight w:val="none"/>
          <w:lang w:val="en-US" w:eastAsia="zh-CN" w:bidi="ar-SA"/>
        </w:rPr>
        <w:t>位于锡林郭勒盟锡林浩特市南郊砖瓦厂1公里处，总占地面积为17000.8平方米。主要建设内容包括一座烟花爆竹储存仓库和一座办公用房，项目库房存储量最大为19.6t（计算药量），项目主要储存、销售《烟花爆竹工程设计</w:t>
      </w:r>
      <w:bookmarkStart w:id="0" w:name="_GoBack"/>
      <w:bookmarkEnd w:id="0"/>
      <w:r>
        <w:rPr>
          <w:rFonts w:hint="eastAsia" w:ascii="仿宋_GB2312" w:hAnsi="仿宋_GB2312" w:eastAsia="仿宋_GB2312" w:cs="仿宋_GB2312"/>
          <w:color w:val="auto"/>
          <w:kern w:val="2"/>
          <w:sz w:val="32"/>
          <w:szCs w:val="32"/>
          <w:highlight w:val="none"/>
          <w:lang w:val="en-US" w:eastAsia="zh-CN" w:bidi="ar-SA"/>
        </w:rPr>
        <w:t>安全标准》（GB50161-2022）及《烟花爆竹安全与质量》（GB10631-2013）中按照产品的药量及所能构成的危险性分类中的C、D级（爆竹类、吐珠类、旋转类、玩具类、喷花类、组合烟花类）产品。项目总投资为200万元，环保投资为26万元，环保投资占比13%。项目属于《产业结构调整指导目录（2019年本）》允许类。经审查符合锡林浩特市总体规划，符合“三线一单”要求。</w:t>
      </w:r>
    </w:p>
    <w:p>
      <w:pPr>
        <w:pStyle w:val="25"/>
        <w:keepNext w:val="0"/>
        <w:keepLines w:val="0"/>
        <w:pageBreakBefore w:val="0"/>
        <w:widowControl w:val="0"/>
        <w:numPr>
          <w:ilvl w:val="0"/>
          <w:numId w:val="0"/>
        </w:numPr>
        <w:kinsoku/>
        <w:wordWrap/>
        <w:overflowPunct/>
        <w:topLinePunct w:val="0"/>
        <w:autoSpaceDE/>
        <w:autoSpaceDN/>
        <w:bidi w:val="0"/>
        <w:spacing w:line="578" w:lineRule="exact"/>
        <w:ind w:left="640" w:leftChars="0"/>
        <w:textAlignment w:val="auto"/>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二、项目在设计、建设</w:t>
      </w:r>
      <w:r>
        <w:rPr>
          <w:rFonts w:hint="eastAsia" w:ascii="仿宋_GB2312" w:hAnsi="仿宋_GB2312" w:eastAsia="仿宋_GB2312" w:cs="仿宋_GB2312"/>
          <w:color w:val="auto"/>
          <w:sz w:val="32"/>
          <w:szCs w:val="32"/>
          <w:highlight w:val="none"/>
          <w:lang w:val="en-US" w:eastAsia="zh-CN"/>
        </w:rPr>
        <w:t>和运营</w:t>
      </w:r>
      <w:r>
        <w:rPr>
          <w:rFonts w:hint="eastAsia" w:ascii="仿宋_GB2312" w:hAnsi="仿宋_GB2312" w:eastAsia="仿宋_GB2312" w:cs="仿宋_GB2312"/>
          <w:color w:val="auto"/>
          <w:sz w:val="32"/>
          <w:szCs w:val="32"/>
          <w:highlight w:val="none"/>
          <w:lang w:eastAsia="zh-CN"/>
        </w:rPr>
        <w:t>过程中应做好以下工作：</w:t>
      </w:r>
    </w:p>
    <w:p>
      <w:pPr>
        <w:pStyle w:val="1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78"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（一）运营期大气污染物主要为运输车辆尾气及运输道路扬尘。通过采取在施工道路经常洒水、运输车辆加盖遮盖物，避免扬尘等措施，确保大气污染物达标排放。</w:t>
      </w:r>
    </w:p>
    <w:p>
      <w:pPr>
        <w:keepNext w:val="0"/>
        <w:keepLines w:val="0"/>
        <w:pageBreakBefore w:val="0"/>
        <w:kinsoku/>
        <w:overflowPunct/>
        <w:topLinePunct w:val="0"/>
        <w:autoSpaceDE/>
        <w:autoSpaceDN/>
        <w:bidi w:val="0"/>
        <w:adjustRightInd w:val="0"/>
        <w:spacing w:line="578"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（二）运营期固体废物主要为过期、残损烟花爆竹、废弃包装物及职工生活垃圾。针对</w:t>
      </w:r>
      <w:r>
        <w:rPr>
          <w:rFonts w:hint="eastAsia" w:ascii="仿宋_GB2312" w:hAnsi="仿宋_GB2312" w:eastAsia="仿宋_GB2312" w:cs="仿宋_GB2312"/>
          <w:b w:val="0"/>
          <w:color w:val="auto"/>
          <w:kern w:val="2"/>
          <w:sz w:val="32"/>
          <w:szCs w:val="32"/>
          <w:highlight w:val="none"/>
          <w:lang w:val="en-US" w:eastAsia="zh-CN" w:bidi="ar-SA"/>
        </w:rPr>
        <w:t>生产过程中产生的过期、残损的烟花爆竹、废包装材料，收集后由厂家回收或外售处理，不得随意处置；人员生活垃圾由封闭式垃圾箱收集后，定期清运至当地环卫部门指定地点处理</w:t>
      </w:r>
      <w:r>
        <w:rPr>
          <w:rFonts w:hint="eastAsia" w:ascii="仿宋_GB2312" w:hAnsi="仿宋_GB2312" w:eastAsia="仿宋_GB2312" w:cs="仿宋_GB2312"/>
          <w:color w:val="auto"/>
          <w:kern w:val="2"/>
          <w:sz w:val="32"/>
          <w:szCs w:val="32"/>
          <w:highlight w:val="none"/>
          <w:lang w:val="en-US" w:eastAsia="zh-CN" w:bidi="ar-SA"/>
        </w:rPr>
        <w:t>。</w:t>
      </w:r>
    </w:p>
    <w:p>
      <w:pPr>
        <w:keepNext w:val="0"/>
        <w:keepLines w:val="0"/>
        <w:pageBreakBefore w:val="0"/>
        <w:kinsoku/>
        <w:overflowPunct/>
        <w:topLinePunct w:val="0"/>
        <w:autoSpaceDE/>
        <w:autoSpaceDN/>
        <w:bidi w:val="0"/>
        <w:adjustRightInd w:val="0"/>
        <w:spacing w:line="578"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（三）做好噪声环境影响措施。采取相应的消声、隔音、减振、降噪措施、车辆减速行驶、禁止鸣笛措施，使项目厂界噪声满足《工业企业厂界环境噪声排放标准》（GB12348-2008）3类标准后达标排放。</w:t>
      </w:r>
    </w:p>
    <w:p>
      <w:pPr>
        <w:keepNext w:val="0"/>
        <w:keepLines w:val="0"/>
        <w:pageBreakBefore w:val="0"/>
        <w:kinsoku/>
        <w:overflowPunct/>
        <w:topLinePunct w:val="0"/>
        <w:autoSpaceDE/>
        <w:autoSpaceDN/>
        <w:bidi w:val="0"/>
        <w:adjustRightInd w:val="0"/>
        <w:spacing w:line="578"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（四）加强污水处置管理。针对运营期产生的生活污水，通过采取防渗旱厕处理后由吸污车定期抽走外运。同时针对仓储库出现极端状况产生消防废水</w:t>
      </w:r>
      <w:r>
        <w:rPr>
          <w:rFonts w:hint="eastAsia" w:ascii="仿宋_GB2312" w:hAnsi="仿宋_GB2312" w:eastAsia="仿宋_GB2312" w:cs="仿宋_GB2312"/>
          <w:sz w:val="32"/>
          <w:szCs w:val="32"/>
          <w:highlight w:val="none"/>
          <w:lang w:val="en-US" w:eastAsia="zh-CN"/>
        </w:rPr>
        <w:t>，经事故应急池收集后外运处置。</w:t>
      </w:r>
    </w:p>
    <w:p>
      <w:pPr>
        <w:pStyle w:val="25"/>
        <w:keepNext w:val="0"/>
        <w:keepLines w:val="0"/>
        <w:pageBreakBefore w:val="0"/>
        <w:numPr>
          <w:ilvl w:val="0"/>
          <w:numId w:val="0"/>
        </w:numPr>
        <w:kinsoku/>
        <w:overflowPunct/>
        <w:topLinePunct w:val="0"/>
        <w:bidi w:val="0"/>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（五）做好突发环境事件应急预案，按照应急预案要求加强环保应急管理确保设施正常运行，防止污染事故的发生。</w:t>
      </w:r>
    </w:p>
    <w:p>
      <w:pPr>
        <w:pStyle w:val="25"/>
        <w:keepNext w:val="0"/>
        <w:keepLines w:val="0"/>
        <w:pageBreakBefore w:val="0"/>
        <w:numPr>
          <w:ilvl w:val="0"/>
          <w:numId w:val="0"/>
        </w:numPr>
        <w:kinsoku/>
        <w:overflowPunct/>
        <w:topLinePunct w:val="0"/>
        <w:bidi w:val="0"/>
        <w:spacing w:line="578"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（六）增加环保投入，提高周边绿化率。</w:t>
      </w:r>
    </w:p>
    <w:p>
      <w:pPr>
        <w:pStyle w:val="25"/>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三、项目建设必须严格执行环境保护设施与主体工程同时设计、同时施工、同时投产使用的环境保护“三同时”制度。</w:t>
      </w:r>
    </w:p>
    <w:p>
      <w:pPr>
        <w:pStyle w:val="25"/>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25"/>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25"/>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25"/>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四、锡林郭勒盟生态环境综合行政执法支队对该项目建设期间各项生态环境保护措施落实情况进行监督检查和管理。</w:t>
      </w:r>
    </w:p>
    <w:p>
      <w:pPr>
        <w:pStyle w:val="25"/>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pStyle w:val="25"/>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pStyle w:val="25"/>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78" w:lineRule="exact"/>
        <w:ind w:firstLine="2560" w:firstLineChars="8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锡林郭勒盟生态环境局锡林浩特市分局</w:t>
      </w:r>
    </w:p>
    <w:p>
      <w:pPr>
        <w:keepNext w:val="0"/>
        <w:keepLines w:val="0"/>
        <w:pageBreakBefore w:val="0"/>
        <w:widowControl w:val="0"/>
        <w:kinsoku/>
        <w:wordWrap/>
        <w:overflowPunct/>
        <w:topLinePunct w:val="0"/>
        <w:autoSpaceDE/>
        <w:autoSpaceDN/>
        <w:bidi w:val="0"/>
        <w:spacing w:line="578" w:lineRule="exact"/>
        <w:ind w:firstLine="4160" w:firstLineChars="13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2022年11月17日</w:t>
      </w:r>
    </w:p>
    <w:p>
      <w:pPr>
        <w:pStyle w:val="25"/>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pStyle w:val="25"/>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pStyle w:val="25"/>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抄送：锡林郭勒盟生态环境局、锡林郭勒盟生态环境综合行政执法支队</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603F01FF" w:csb1="FFFF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center"/>
    </w:pPr>
    <w:r>
      <w:rPr>
        <w:sz w:val="18"/>
      </w:rPr>
      <w:pict>
        <v:shape id="_x0000_s2049" o:spid="_x0000_s2049"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10"/>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2"/>
                  <w:rPr>
                    <w:rFonts w:hint="eastAsia" w:ascii="楷体" w:hAnsi="楷体" w:eastAsia="楷体" w:cs="楷体"/>
                    <w:sz w:val="28"/>
                    <w:szCs w:val="28"/>
                  </w:rPr>
                </w:pP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s>
  <w:rsids>
    <w:rsidRoot w:val="001E271C"/>
    <w:rsid w:val="001E271C"/>
    <w:rsid w:val="00962978"/>
    <w:rsid w:val="00B87117"/>
    <w:rsid w:val="00E83F57"/>
    <w:rsid w:val="01166DA6"/>
    <w:rsid w:val="01D027C7"/>
    <w:rsid w:val="02367056"/>
    <w:rsid w:val="04A62A1C"/>
    <w:rsid w:val="05015B69"/>
    <w:rsid w:val="0536008A"/>
    <w:rsid w:val="06C13B3D"/>
    <w:rsid w:val="07D679D6"/>
    <w:rsid w:val="081C4913"/>
    <w:rsid w:val="09A34558"/>
    <w:rsid w:val="0A1E3055"/>
    <w:rsid w:val="0C9B2141"/>
    <w:rsid w:val="0D502605"/>
    <w:rsid w:val="0DC94DA4"/>
    <w:rsid w:val="0E146C48"/>
    <w:rsid w:val="0F11030D"/>
    <w:rsid w:val="10773E64"/>
    <w:rsid w:val="11177D79"/>
    <w:rsid w:val="11815149"/>
    <w:rsid w:val="119E5AF7"/>
    <w:rsid w:val="135651C1"/>
    <w:rsid w:val="177469AA"/>
    <w:rsid w:val="18E453EE"/>
    <w:rsid w:val="1B4F5180"/>
    <w:rsid w:val="1BDE167F"/>
    <w:rsid w:val="204C4C91"/>
    <w:rsid w:val="20DE5961"/>
    <w:rsid w:val="21041E6B"/>
    <w:rsid w:val="23BD04C6"/>
    <w:rsid w:val="25D714E0"/>
    <w:rsid w:val="271664C8"/>
    <w:rsid w:val="272A677C"/>
    <w:rsid w:val="295C2506"/>
    <w:rsid w:val="29CC3487"/>
    <w:rsid w:val="2AB067B8"/>
    <w:rsid w:val="2AF85194"/>
    <w:rsid w:val="2B330DF4"/>
    <w:rsid w:val="2C1005F7"/>
    <w:rsid w:val="2C8114F5"/>
    <w:rsid w:val="2CC02721"/>
    <w:rsid w:val="2FB4465A"/>
    <w:rsid w:val="30410212"/>
    <w:rsid w:val="30EB2DA6"/>
    <w:rsid w:val="316210C5"/>
    <w:rsid w:val="333A6BDB"/>
    <w:rsid w:val="3372163A"/>
    <w:rsid w:val="35D72A2D"/>
    <w:rsid w:val="37D943F6"/>
    <w:rsid w:val="38CD7870"/>
    <w:rsid w:val="39CE76C6"/>
    <w:rsid w:val="3BC60B27"/>
    <w:rsid w:val="3DDE2FC6"/>
    <w:rsid w:val="3F156020"/>
    <w:rsid w:val="405F6E03"/>
    <w:rsid w:val="42A31D6D"/>
    <w:rsid w:val="43776D56"/>
    <w:rsid w:val="43CB41CA"/>
    <w:rsid w:val="459171B6"/>
    <w:rsid w:val="459612D4"/>
    <w:rsid w:val="45DA1917"/>
    <w:rsid w:val="472B6FD6"/>
    <w:rsid w:val="48CE52B4"/>
    <w:rsid w:val="4AE65F38"/>
    <w:rsid w:val="4AE66C9B"/>
    <w:rsid w:val="4B534ADE"/>
    <w:rsid w:val="4B92472D"/>
    <w:rsid w:val="4D142C43"/>
    <w:rsid w:val="4E2978F9"/>
    <w:rsid w:val="4EAA7967"/>
    <w:rsid w:val="4FA672D9"/>
    <w:rsid w:val="532F7E23"/>
    <w:rsid w:val="539E0D30"/>
    <w:rsid w:val="575E7CEE"/>
    <w:rsid w:val="58D316BE"/>
    <w:rsid w:val="5A294206"/>
    <w:rsid w:val="5C4001D5"/>
    <w:rsid w:val="5C635BEB"/>
    <w:rsid w:val="5D0775B6"/>
    <w:rsid w:val="5DE829AC"/>
    <w:rsid w:val="5E55710C"/>
    <w:rsid w:val="5E7368C8"/>
    <w:rsid w:val="5EBE21AB"/>
    <w:rsid w:val="5EEC627F"/>
    <w:rsid w:val="60BF3BD0"/>
    <w:rsid w:val="61BF76EB"/>
    <w:rsid w:val="623D4D9E"/>
    <w:rsid w:val="623E6920"/>
    <w:rsid w:val="652266CA"/>
    <w:rsid w:val="65312F5D"/>
    <w:rsid w:val="66E83653"/>
    <w:rsid w:val="67B67782"/>
    <w:rsid w:val="681650AF"/>
    <w:rsid w:val="684D4516"/>
    <w:rsid w:val="68704CA1"/>
    <w:rsid w:val="6AEF61B9"/>
    <w:rsid w:val="6B6A1FFF"/>
    <w:rsid w:val="6BA12544"/>
    <w:rsid w:val="6BEB1D6D"/>
    <w:rsid w:val="6C536D8E"/>
    <w:rsid w:val="6CA80FF3"/>
    <w:rsid w:val="6CF81186"/>
    <w:rsid w:val="6D813EDA"/>
    <w:rsid w:val="6E7E0DC8"/>
    <w:rsid w:val="6EEA7AC9"/>
    <w:rsid w:val="6FD235D4"/>
    <w:rsid w:val="715C20BD"/>
    <w:rsid w:val="733379D0"/>
    <w:rsid w:val="73FD1AFA"/>
    <w:rsid w:val="749E0175"/>
    <w:rsid w:val="75B535E3"/>
    <w:rsid w:val="75C311C4"/>
    <w:rsid w:val="7779709C"/>
    <w:rsid w:val="799A104A"/>
    <w:rsid w:val="7B401BFC"/>
    <w:rsid w:val="7C5510E6"/>
    <w:rsid w:val="7E6C32B7"/>
    <w:rsid w:val="7FD539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customStyle="1" w:styleId="2">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4">
    <w:name w:val="Normal Indent"/>
    <w:basedOn w:val="1"/>
    <w:next w:val="5"/>
    <w:qFormat/>
    <w:uiPriority w:val="0"/>
    <w:pPr>
      <w:ind w:firstLine="420" w:firstLineChars="200"/>
    </w:pPr>
    <w:rPr>
      <w:rFonts w:eastAsia="宋体"/>
      <w:kern w:val="2"/>
      <w:sz w:val="21"/>
      <w:szCs w:val="24"/>
      <w:lang w:val="en-US" w:eastAsia="zh-CN" w:bidi="ar-SA"/>
    </w:rPr>
  </w:style>
  <w:style w:type="paragraph" w:customStyle="1" w:styleId="5">
    <w:name w:val="Char Char Char Char Char Char Char Char Char1 Char"/>
    <w:basedOn w:val="1"/>
    <w:next w:val="6"/>
    <w:qFormat/>
    <w:uiPriority w:val="0"/>
    <w:pPr>
      <w:spacing w:line="360" w:lineRule="auto"/>
      <w:ind w:firstLine="200" w:firstLineChars="200"/>
    </w:pPr>
    <w:rPr>
      <w:rFonts w:hAnsi="宋体" w:cs="宋体"/>
      <w:spacing w:val="0"/>
      <w:sz w:val="24"/>
      <w:szCs w:val="24"/>
    </w:rPr>
  </w:style>
  <w:style w:type="paragraph" w:customStyle="1" w:styleId="6">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7">
    <w:name w:val="Body Text"/>
    <w:basedOn w:val="1"/>
    <w:next w:val="1"/>
    <w:qFormat/>
    <w:uiPriority w:val="0"/>
    <w:pPr>
      <w:spacing w:line="360" w:lineRule="auto"/>
    </w:pPr>
    <w:rPr>
      <w:sz w:val="24"/>
      <w:szCs w:val="20"/>
    </w:rPr>
  </w:style>
  <w:style w:type="paragraph" w:styleId="8">
    <w:name w:val="Body Text Indent"/>
    <w:basedOn w:val="1"/>
    <w:next w:val="7"/>
    <w:qFormat/>
    <w:uiPriority w:val="0"/>
    <w:pPr>
      <w:keepNext/>
      <w:spacing w:line="360" w:lineRule="auto"/>
      <w:ind w:firstLine="200" w:firstLineChars="200"/>
    </w:pPr>
    <w:rPr>
      <w:sz w:val="24"/>
    </w:rPr>
  </w:style>
  <w:style w:type="paragraph" w:styleId="9">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10">
    <w:name w:val="footer"/>
    <w:basedOn w:val="1"/>
    <w:link w:val="28"/>
    <w:qFormat/>
    <w:uiPriority w:val="99"/>
    <w:pPr>
      <w:tabs>
        <w:tab w:val="center" w:pos="4153"/>
        <w:tab w:val="right" w:pos="8306"/>
      </w:tabs>
      <w:snapToGrid w:val="0"/>
      <w:jc w:val="left"/>
    </w:pPr>
    <w:rPr>
      <w:sz w:val="18"/>
      <w:szCs w:val="18"/>
    </w:rPr>
  </w:style>
  <w:style w:type="paragraph" w:styleId="11">
    <w:name w:val="header"/>
    <w:basedOn w:val="1"/>
    <w:next w:val="1"/>
    <w:link w:val="27"/>
    <w:qFormat/>
    <w:uiPriority w:val="0"/>
    <w:pPr>
      <w:pBdr>
        <w:bottom w:val="single" w:color="auto" w:sz="6" w:space="1"/>
      </w:pBdr>
      <w:tabs>
        <w:tab w:val="center" w:pos="4153"/>
        <w:tab w:val="right" w:pos="8306"/>
      </w:tabs>
      <w:snapToGrid w:val="0"/>
      <w:jc w:val="center"/>
    </w:pPr>
    <w:rPr>
      <w:sz w:val="18"/>
      <w:szCs w:val="18"/>
    </w:rPr>
  </w:style>
  <w:style w:type="paragraph" w:styleId="12">
    <w:name w:val="toc 1"/>
    <w:basedOn w:val="1"/>
    <w:next w:val="1"/>
    <w:unhideWhenUsed/>
    <w:qFormat/>
    <w:uiPriority w:val="39"/>
  </w:style>
  <w:style w:type="paragraph" w:styleId="13">
    <w:name w:val="index heading"/>
    <w:basedOn w:val="1"/>
    <w:next w:val="14"/>
    <w:qFormat/>
    <w:uiPriority w:val="99"/>
    <w:rPr>
      <w:rFonts w:hint="eastAsia" w:ascii="Cambria" w:hAnsi="Cambria"/>
      <w:b/>
    </w:rPr>
  </w:style>
  <w:style w:type="paragraph" w:styleId="14">
    <w:name w:val="index 1"/>
    <w:basedOn w:val="1"/>
    <w:next w:val="1"/>
    <w:qFormat/>
    <w:uiPriority w:val="99"/>
  </w:style>
  <w:style w:type="paragraph" w:styleId="15">
    <w:name w:val="Body Text Indent 3"/>
    <w:basedOn w:val="1"/>
    <w:unhideWhenUsed/>
    <w:qFormat/>
    <w:uiPriority w:val="0"/>
    <w:pPr>
      <w:ind w:firstLine="570"/>
    </w:pPr>
    <w:rPr>
      <w:szCs w:val="20"/>
    </w:rPr>
  </w:style>
  <w:style w:type="paragraph" w:styleId="16">
    <w:name w:val="Normal (Web)"/>
    <w:basedOn w:val="1"/>
    <w:qFormat/>
    <w:uiPriority w:val="0"/>
    <w:pPr>
      <w:widowControl/>
      <w:spacing w:before="100" w:beforeAutospacing="1" w:after="100" w:afterAutospacing="1"/>
      <w:jc w:val="left"/>
    </w:pPr>
    <w:rPr>
      <w:rFonts w:ascii="宋体" w:hAnsi="宋体"/>
      <w:kern w:val="0"/>
    </w:rPr>
  </w:style>
  <w:style w:type="paragraph" w:styleId="17">
    <w:name w:val="Body Text First Indent 2"/>
    <w:basedOn w:val="8"/>
    <w:qFormat/>
    <w:uiPriority w:val="0"/>
    <w:pPr>
      <w:ind w:firstLine="420" w:firstLineChars="200"/>
    </w:pPr>
  </w:style>
  <w:style w:type="table" w:styleId="19">
    <w:name w:val="Table Grid"/>
    <w:basedOn w:val="1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21">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22">
    <w:name w:val="正文首行缩进2个字 Char"/>
    <w:basedOn w:val="1"/>
    <w:qFormat/>
    <w:uiPriority w:val="0"/>
    <w:pPr>
      <w:ind w:firstLine="480" w:firstLineChars="200"/>
    </w:pPr>
    <w:rPr>
      <w:rFonts w:eastAsia="楷体"/>
      <w:sz w:val="24"/>
    </w:rPr>
  </w:style>
  <w:style w:type="paragraph" w:customStyle="1" w:styleId="23">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customStyle="1" w:styleId="24">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25">
    <w:name w:val="列出段落1"/>
    <w:basedOn w:val="1"/>
    <w:qFormat/>
    <w:uiPriority w:val="34"/>
    <w:pPr>
      <w:ind w:firstLine="420" w:firstLineChars="200"/>
    </w:pPr>
  </w:style>
  <w:style w:type="paragraph" w:customStyle="1" w:styleId="26">
    <w:name w:val="a正文"/>
    <w:basedOn w:val="1"/>
    <w:qFormat/>
    <w:uiPriority w:val="0"/>
    <w:pPr>
      <w:adjustRightInd w:val="0"/>
      <w:snapToGrid w:val="0"/>
      <w:spacing w:line="360" w:lineRule="auto"/>
      <w:ind w:firstLine="200" w:firstLineChars="200"/>
    </w:pPr>
    <w:rPr>
      <w:kern w:val="0"/>
      <w:sz w:val="24"/>
      <w:szCs w:val="20"/>
    </w:rPr>
  </w:style>
  <w:style w:type="character" w:customStyle="1" w:styleId="27">
    <w:name w:val="页眉 Char"/>
    <w:basedOn w:val="20"/>
    <w:link w:val="11"/>
    <w:qFormat/>
    <w:uiPriority w:val="0"/>
    <w:rPr>
      <w:kern w:val="2"/>
      <w:sz w:val="18"/>
      <w:szCs w:val="18"/>
    </w:rPr>
  </w:style>
  <w:style w:type="character" w:customStyle="1" w:styleId="28">
    <w:name w:val="页脚 Char"/>
    <w:basedOn w:val="20"/>
    <w:link w:val="10"/>
    <w:qFormat/>
    <w:uiPriority w:val="99"/>
    <w:rPr>
      <w:kern w:val="2"/>
      <w:sz w:val="18"/>
      <w:szCs w:val="18"/>
    </w:rPr>
  </w:style>
  <w:style w:type="paragraph" w:customStyle="1" w:styleId="29">
    <w:name w:val="表 正文"/>
    <w:basedOn w:val="1"/>
    <w:qFormat/>
    <w:uiPriority w:val="0"/>
    <w:pPr>
      <w:spacing w:line="360" w:lineRule="auto"/>
      <w:ind w:firstLine="480" w:firstLineChars="200"/>
    </w:pPr>
    <w:rPr>
      <w:sz w:val="24"/>
      <w:szCs w:val="21"/>
    </w:rPr>
  </w:style>
  <w:style w:type="paragraph" w:customStyle="1" w:styleId="30">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1097</Words>
  <Characters>1157</Characters>
  <Lines>20</Lines>
  <Paragraphs>5</Paragraphs>
  <TotalTime>0</TotalTime>
  <ScaleCrop>false</ScaleCrop>
  <LinksUpToDate>false</LinksUpToDate>
  <CharactersWithSpaces>1157</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DELL</cp:lastModifiedBy>
  <cp:lastPrinted>2022-02-28T06:47:00Z</cp:lastPrinted>
  <dcterms:modified xsi:type="dcterms:W3CDTF">2022-11-17T03:44:48Z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