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sz w:val="32"/>
          <w:szCs w:val="32"/>
          <w:highlight w:val="none"/>
        </w:rPr>
      </w:pPr>
    </w:p>
    <w:p>
      <w:pPr>
        <w:keepNext w:val="0"/>
        <w:keepLines w:val="0"/>
        <w:pageBreakBefore w:val="0"/>
        <w:widowControl w:val="0"/>
        <w:kinsoku/>
        <w:wordWrap/>
        <w:overflowPunct/>
        <w:topLinePunct w:val="0"/>
        <w:autoSpaceDE/>
        <w:autoSpaceDN/>
        <w:bidi w:val="0"/>
        <w:spacing w:line="560" w:lineRule="exact"/>
        <w:textAlignment w:val="auto"/>
        <w:rPr>
          <w:rFonts w:hAnsi="仿宋" w:eastAsia="仿宋"/>
          <w:sz w:val="30"/>
          <w:szCs w:val="30"/>
          <w:highlight w:val="none"/>
        </w:rPr>
      </w:pPr>
    </w:p>
    <w:p>
      <w:pPr>
        <w:keepNext w:val="0"/>
        <w:keepLines w:val="0"/>
        <w:pageBreakBefore w:val="0"/>
        <w:widowControl w:val="0"/>
        <w:kinsoku/>
        <w:wordWrap/>
        <w:overflowPunct/>
        <w:topLinePunct w:val="0"/>
        <w:autoSpaceDE/>
        <w:autoSpaceDN/>
        <w:bidi w:val="0"/>
        <w:adjustRightInd/>
        <w:snapToGrid/>
        <w:spacing w:after="313" w:afterLines="100" w:line="560" w:lineRule="exact"/>
        <w:jc w:val="center"/>
        <w:textAlignment w:val="auto"/>
        <w:rPr>
          <w:rFonts w:hint="default" w:hAnsi="仿宋" w:eastAsia="仿宋"/>
          <w:color w:val="auto"/>
          <w:sz w:val="32"/>
          <w:szCs w:val="32"/>
          <w:highlight w:val="none"/>
          <w:lang w:val="en-US"/>
        </w:rPr>
      </w:pPr>
      <w:r>
        <w:rPr>
          <w:rFonts w:hint="eastAsia" w:ascii="仿宋_GB2312" w:hAnsi="仿宋_GB2312" w:eastAsia="仿宋_GB2312" w:cs="仿宋_GB2312"/>
          <w:color w:val="auto"/>
          <w:sz w:val="32"/>
          <w:szCs w:val="32"/>
          <w:highlight w:val="none"/>
        </w:rPr>
        <w:t>锡市环</w:t>
      </w:r>
      <w:r>
        <w:rPr>
          <w:rFonts w:hint="eastAsia" w:ascii="仿宋_GB2312" w:hAnsi="仿宋_GB2312" w:eastAsia="仿宋_GB2312" w:cs="仿宋_GB2312"/>
          <w:color w:val="auto"/>
          <w:sz w:val="32"/>
          <w:szCs w:val="32"/>
          <w:highlight w:val="none"/>
          <w:lang w:eastAsia="zh-CN"/>
        </w:rPr>
        <w:t>表〔202</w:t>
      </w:r>
      <w:r>
        <w:rPr>
          <w:rFonts w:hint="eastAsia" w:ascii="仿宋_GB2312" w:hAnsi="仿宋_GB2312" w:eastAsia="仿宋_GB2312" w:cs="仿宋_GB2312"/>
          <w:color w:val="auto"/>
          <w:sz w:val="32"/>
          <w:szCs w:val="32"/>
          <w:highlight w:val="none"/>
          <w:lang w:val="en-US" w:eastAsia="zh-CN"/>
        </w:rPr>
        <w:t>3</w:t>
      </w:r>
      <w:r>
        <w:rPr>
          <w:rFonts w:hint="eastAsia" w:ascii="仿宋_GB2312" w:hAnsi="仿宋_GB2312" w:eastAsia="仿宋_GB2312" w:cs="仿宋_GB2312"/>
          <w:color w:val="auto"/>
          <w:sz w:val="32"/>
          <w:szCs w:val="32"/>
          <w:highlight w:val="none"/>
          <w:lang w:eastAsia="zh-CN"/>
        </w:rPr>
        <w:t>〕</w:t>
      </w:r>
      <w:r>
        <w:rPr>
          <w:rFonts w:hint="eastAsia" w:ascii="仿宋_GB2312" w:hAnsi="仿宋_GB2312" w:eastAsia="仿宋_GB2312" w:cs="仿宋_GB2312"/>
          <w:color w:val="auto"/>
          <w:sz w:val="32"/>
          <w:szCs w:val="32"/>
          <w:highlight w:val="none"/>
          <w:lang w:val="en-US" w:eastAsia="zh-CN"/>
        </w:rPr>
        <w:t>2号</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方正小标宋简体" w:hAnsi="方正小标宋简体" w:eastAsia="方正小标宋简体" w:cs="方正小标宋简体"/>
          <w:b/>
          <w:bCs/>
          <w:color w:val="auto"/>
          <w:sz w:val="44"/>
          <w:szCs w:val="44"/>
          <w:highlight w:val="none"/>
          <w:lang w:val="en-GB" w:eastAsia="zh-CN"/>
        </w:rPr>
      </w:pPr>
      <w:r>
        <w:rPr>
          <w:rFonts w:hint="eastAsia" w:ascii="方正小标宋简体" w:hAnsi="方正小标宋简体" w:eastAsia="方正小标宋简体" w:cs="方正小标宋简体"/>
          <w:b/>
          <w:bCs/>
          <w:color w:val="auto"/>
          <w:sz w:val="44"/>
          <w:szCs w:val="44"/>
          <w:highlight w:val="none"/>
          <w:lang w:eastAsia="zh-CN"/>
        </w:rPr>
        <w:t>关</w:t>
      </w:r>
      <w:r>
        <w:rPr>
          <w:rFonts w:hint="eastAsia" w:ascii="方正小标宋简体" w:hAnsi="方正小标宋简体" w:eastAsia="方正小标宋简体" w:cs="方正小标宋简体"/>
          <w:b/>
          <w:bCs/>
          <w:color w:val="auto"/>
          <w:sz w:val="44"/>
          <w:szCs w:val="44"/>
          <w:highlight w:val="none"/>
          <w:lang w:val="en-GB" w:eastAsia="zh-CN"/>
        </w:rPr>
        <w:t>于锡林浩特市恩起慧医院建设项目</w:t>
      </w:r>
    </w:p>
    <w:p>
      <w:pPr>
        <w:keepNext w:val="0"/>
        <w:keepLines w:val="0"/>
        <w:pageBreakBefore w:val="0"/>
        <w:widowControl w:val="0"/>
        <w:kinsoku/>
        <w:wordWrap/>
        <w:overflowPunct/>
        <w:topLinePunct w:val="0"/>
        <w:autoSpaceDE/>
        <w:autoSpaceDN/>
        <w:bidi w:val="0"/>
        <w:adjustRightInd w:val="0"/>
        <w:snapToGrid w:val="0"/>
        <w:spacing w:line="560" w:lineRule="exact"/>
        <w:jc w:val="center"/>
        <w:textAlignment w:val="auto"/>
        <w:rPr>
          <w:rFonts w:hint="eastAsia" w:ascii="Times New Roman" w:cs="Times New Roman"/>
          <w:b/>
          <w:bCs/>
          <w:color w:val="auto"/>
          <w:sz w:val="44"/>
          <w:szCs w:val="44"/>
          <w:highlight w:val="none"/>
        </w:rPr>
      </w:pPr>
      <w:r>
        <w:rPr>
          <w:rFonts w:hint="eastAsia" w:ascii="方正小标宋简体" w:hAnsi="方正小标宋简体" w:eastAsia="方正小标宋简体" w:cs="方正小标宋简体"/>
          <w:b/>
          <w:bCs/>
          <w:color w:val="auto"/>
          <w:sz w:val="44"/>
          <w:szCs w:val="44"/>
          <w:highlight w:val="none"/>
          <w:lang w:eastAsia="zh-CN"/>
        </w:rPr>
        <w:t>环境影响</w:t>
      </w:r>
      <w:r>
        <w:rPr>
          <w:rFonts w:hint="eastAsia" w:ascii="方正小标宋简体" w:hAnsi="方正小标宋简体" w:eastAsia="方正小标宋简体" w:cs="方正小标宋简体"/>
          <w:b/>
          <w:bCs/>
          <w:color w:val="auto"/>
          <w:sz w:val="44"/>
          <w:szCs w:val="44"/>
          <w:highlight w:val="none"/>
          <w:lang w:val="en-US" w:eastAsia="zh-CN"/>
        </w:rPr>
        <w:t>报告</w:t>
      </w:r>
      <w:r>
        <w:rPr>
          <w:rFonts w:hint="eastAsia" w:ascii="方正小标宋简体" w:hAnsi="方正小标宋简体" w:eastAsia="方正小标宋简体" w:cs="方正小标宋简体"/>
          <w:b/>
          <w:bCs/>
          <w:color w:val="auto"/>
          <w:sz w:val="44"/>
          <w:szCs w:val="44"/>
          <w:highlight w:val="none"/>
          <w:lang w:eastAsia="zh-CN"/>
        </w:rPr>
        <w:t>表的批</w:t>
      </w:r>
      <w:r>
        <w:rPr>
          <w:rFonts w:hint="eastAsia" w:ascii="方正小标宋简体" w:hAnsi="方正小标宋简体" w:eastAsia="方正小标宋简体" w:cs="方正小标宋简体"/>
          <w:b/>
          <w:bCs/>
          <w:color w:val="auto"/>
          <w:sz w:val="44"/>
          <w:szCs w:val="44"/>
          <w:highlight w:val="none"/>
        </w:rPr>
        <w:t>复</w:t>
      </w:r>
    </w:p>
    <w:p>
      <w:pPr>
        <w:keepNext w:val="0"/>
        <w:keepLines w:val="0"/>
        <w:pageBreakBefore w:val="0"/>
        <w:widowControl w:val="0"/>
        <w:kinsoku/>
        <w:wordWrap/>
        <w:overflowPunct/>
        <w:topLinePunct w:val="0"/>
        <w:autoSpaceDE/>
        <w:autoSpaceDN/>
        <w:bidi w:val="0"/>
        <w:spacing w:line="560" w:lineRule="exact"/>
        <w:ind w:firstLine="880" w:firstLineChars="200"/>
        <w:textAlignment w:val="auto"/>
        <w:rPr>
          <w:rFonts w:ascii="Times New Roman" w:cs="Times New Roman"/>
          <w:color w:val="auto"/>
          <w:sz w:val="44"/>
          <w:szCs w:val="44"/>
          <w:highlight w:val="none"/>
        </w:rPr>
      </w:pPr>
    </w:p>
    <w:p>
      <w:pPr>
        <w:keepNext w:val="0"/>
        <w:keepLines w:val="0"/>
        <w:pageBreakBefore w:val="0"/>
        <w:widowControl w:val="0"/>
        <w:shd w:val="clear"/>
        <w:kinsoku/>
        <w:wordWrap/>
        <w:overflowPunct/>
        <w:topLinePunct w:val="0"/>
        <w:autoSpaceDE/>
        <w:autoSpaceDN/>
        <w:bidi w:val="0"/>
        <w:spacing w:line="560" w:lineRule="exact"/>
        <w:textAlignment w:val="auto"/>
        <w:rPr>
          <w:rFonts w:hint="eastAsia" w:ascii="仿宋_GB2312" w:hAnsi="仿宋_GB2312" w:eastAsia="仿宋_GB2312" w:cs="仿宋_GB2312"/>
          <w:color w:val="auto"/>
          <w:sz w:val="32"/>
          <w:szCs w:val="32"/>
          <w:highlight w:val="none"/>
          <w:lang w:val="en-GB" w:eastAsia="zh-CN"/>
        </w:rPr>
      </w:pPr>
      <w:r>
        <w:rPr>
          <w:rFonts w:hint="eastAsia" w:ascii="仿宋_GB2312" w:hAnsi="仿宋_GB2312" w:eastAsia="仿宋_GB2312" w:cs="仿宋_GB2312"/>
          <w:color w:val="auto"/>
          <w:sz w:val="32"/>
          <w:szCs w:val="32"/>
          <w:highlight w:val="none"/>
          <w:lang w:val="en-GB" w:eastAsia="zh-CN"/>
        </w:rPr>
        <w:t>锡林浩特市恩起慧医院：</w:t>
      </w:r>
    </w:p>
    <w:p>
      <w:pPr>
        <w:keepNext w:val="0"/>
        <w:keepLines w:val="0"/>
        <w:pageBreakBefore w:val="0"/>
        <w:widowControl w:val="0"/>
        <w:shd w:val="clea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color w:val="auto"/>
          <w:sz w:val="32"/>
          <w:szCs w:val="32"/>
          <w:highlight w:val="none"/>
          <w:lang w:val="en-GB"/>
        </w:rPr>
      </w:pPr>
      <w:r>
        <w:rPr>
          <w:rFonts w:hint="eastAsia" w:ascii="仿宋_GB2312" w:hAnsi="仿宋_GB2312" w:eastAsia="仿宋_GB2312" w:cs="仿宋_GB2312"/>
          <w:color w:val="auto"/>
          <w:sz w:val="32"/>
          <w:szCs w:val="32"/>
          <w:highlight w:val="none"/>
          <w:lang w:val="en-GB"/>
        </w:rPr>
        <w:t>你单位报送的</w:t>
      </w:r>
      <w:r>
        <w:rPr>
          <w:rFonts w:hint="eastAsia" w:ascii="仿宋_GB2312" w:hAnsi="仿宋_GB2312" w:eastAsia="仿宋_GB2312" w:cs="仿宋_GB2312"/>
          <w:color w:val="auto"/>
          <w:sz w:val="32"/>
          <w:szCs w:val="32"/>
          <w:highlight w:val="none"/>
          <w:lang w:val="en-GB" w:eastAsia="zh-CN"/>
        </w:rPr>
        <w:t>由内蒙古筹信环保科技有限公司编制</w:t>
      </w:r>
      <w:r>
        <w:rPr>
          <w:rFonts w:hint="eastAsia" w:ascii="仿宋_GB2312" w:hAnsi="仿宋_GB2312" w:eastAsia="仿宋_GB2312" w:cs="仿宋_GB2312"/>
          <w:b w:val="0"/>
          <w:bCs w:val="0"/>
          <w:color w:val="auto"/>
          <w:kern w:val="2"/>
          <w:sz w:val="32"/>
          <w:szCs w:val="32"/>
          <w:highlight w:val="none"/>
          <w:lang w:val="en-GB" w:eastAsia="zh-CN" w:bidi="ar-SA"/>
        </w:rPr>
        <w:t>的</w:t>
      </w:r>
      <w:r>
        <w:rPr>
          <w:rFonts w:hint="eastAsia" w:ascii="仿宋_GB2312" w:hAnsi="仿宋_GB2312" w:eastAsia="仿宋_GB2312" w:cs="仿宋_GB2312"/>
          <w:color w:val="auto"/>
          <w:sz w:val="32"/>
          <w:szCs w:val="32"/>
          <w:highlight w:val="none"/>
          <w:lang w:val="en-GB" w:eastAsia="zh-CN"/>
        </w:rPr>
        <w:t>《锡林浩特市恩起慧医院建设项目》报告表已收悉</w:t>
      </w:r>
      <w:r>
        <w:rPr>
          <w:rFonts w:hint="eastAsia" w:ascii="仿宋_GB2312" w:hAnsi="仿宋_GB2312" w:eastAsia="仿宋_GB2312" w:cs="仿宋_GB2312"/>
          <w:color w:val="auto"/>
          <w:sz w:val="32"/>
          <w:szCs w:val="32"/>
          <w:highlight w:val="none"/>
          <w:lang w:val="en-GB"/>
        </w:rPr>
        <w:t>。</w:t>
      </w:r>
      <w:r>
        <w:rPr>
          <w:rFonts w:hint="eastAsia" w:ascii="仿宋_GB2312" w:hAnsi="仿宋_GB2312" w:eastAsia="仿宋_GB2312" w:cs="仿宋_GB2312"/>
          <w:color w:val="auto"/>
          <w:sz w:val="32"/>
          <w:szCs w:val="32"/>
          <w:highlight w:val="none"/>
          <w:lang w:val="en-US" w:eastAsia="zh-CN"/>
        </w:rPr>
        <w:t>经研究，</w:t>
      </w:r>
      <w:r>
        <w:rPr>
          <w:rFonts w:hint="eastAsia" w:ascii="仿宋_GB2312" w:hAnsi="仿宋_GB2312" w:eastAsia="仿宋_GB2312" w:cs="仿宋_GB2312"/>
          <w:color w:val="auto"/>
          <w:sz w:val="32"/>
          <w:szCs w:val="32"/>
          <w:highlight w:val="none"/>
          <w:lang w:val="en-GB" w:eastAsia="zh-CN"/>
        </w:rPr>
        <w:t>现</w:t>
      </w:r>
      <w:r>
        <w:rPr>
          <w:rFonts w:hint="eastAsia" w:ascii="仿宋_GB2312" w:hAnsi="仿宋_GB2312" w:eastAsia="仿宋_GB2312" w:cs="仿宋_GB2312"/>
          <w:color w:val="auto"/>
          <w:sz w:val="32"/>
          <w:szCs w:val="32"/>
          <w:highlight w:val="none"/>
          <w:lang w:val="en-GB"/>
        </w:rPr>
        <w:t>批复如下：</w:t>
      </w:r>
    </w:p>
    <w:p>
      <w:pPr>
        <w:pStyle w:val="42"/>
        <w:keepNext w:val="0"/>
        <w:keepLines w:val="0"/>
        <w:pageBreakBefore w:val="0"/>
        <w:widowControl w:val="0"/>
        <w:numPr>
          <w:ilvl w:val="0"/>
          <w:numId w:val="0"/>
        </w:numPr>
        <w:shd w:val="clear"/>
        <w:kinsoku/>
        <w:wordWrap/>
        <w:overflowPunct/>
        <w:topLinePunct w:val="0"/>
        <w:autoSpaceDE/>
        <w:autoSpaceDN/>
        <w:bidi w:val="0"/>
        <w:spacing w:line="560" w:lineRule="exact"/>
        <w:ind w:firstLine="640" w:firstLineChars="200"/>
        <w:jc w:val="both"/>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sz w:val="32"/>
          <w:szCs w:val="32"/>
          <w:highlight w:val="none"/>
          <w:lang w:val="en-GB" w:eastAsia="zh-CN"/>
        </w:rPr>
        <w:t>一、</w:t>
      </w:r>
      <w:r>
        <w:rPr>
          <w:rFonts w:hint="eastAsia" w:ascii="仿宋_GB2312" w:hAnsi="仿宋_GB2312" w:eastAsia="仿宋_GB2312" w:cs="仿宋_GB2312"/>
          <w:color w:val="auto"/>
          <w:sz w:val="32"/>
          <w:szCs w:val="32"/>
          <w:highlight w:val="none"/>
          <w:lang w:val="en-US" w:eastAsia="zh-CN"/>
        </w:rPr>
        <w:t>该项目</w:t>
      </w:r>
      <w:r>
        <w:rPr>
          <w:rFonts w:hint="eastAsia" w:ascii="仿宋_GB2312" w:hAnsi="仿宋_GB2312" w:eastAsia="仿宋_GB2312" w:cs="仿宋_GB2312"/>
          <w:color w:val="auto"/>
          <w:kern w:val="2"/>
          <w:sz w:val="32"/>
          <w:szCs w:val="32"/>
          <w:highlight w:val="none"/>
          <w:lang w:val="en-US" w:eastAsia="zh-CN" w:bidi="ar-SA"/>
        </w:rPr>
        <w:t>位于锡林浩特市旺业欣居A区8号楼底商，为租用现有房屋，占地面积1100平方米，总建筑面积4000平方米，地上三层，地下一层。负一层为CT和DR室及库房，一楼为预留门诊室、导诊台和药房，二楼为输液大厅、化验室、手术室和妇科、肛肠科、牙科等各科室，三楼为住院部。住院部配有床位60床，门诊接诊量30人/天。本项目仅对现有房屋进行装修改造，无新建。总投资300万元，其中环保投资16万元，占比5.3%。项目属于《产业结构调整指导目录（2019年本）》鼓励类。经审查符合锡林浩特市总体规划，符合“三线一单”要求。</w:t>
      </w:r>
    </w:p>
    <w:p>
      <w:pPr>
        <w:pStyle w:val="42"/>
        <w:keepNext w:val="0"/>
        <w:keepLines w:val="0"/>
        <w:pageBreakBefore w:val="0"/>
        <w:widowControl w:val="0"/>
        <w:numPr>
          <w:ilvl w:val="0"/>
          <w:numId w:val="0"/>
        </w:numPr>
        <w:kinsoku/>
        <w:wordWrap/>
        <w:overflowPunct/>
        <w:topLinePunct w:val="0"/>
        <w:autoSpaceDE/>
        <w:autoSpaceDN/>
        <w:bidi w:val="0"/>
        <w:spacing w:line="560" w:lineRule="exact"/>
        <w:ind w:left="640" w:leftChars="0"/>
        <w:textAlignment w:val="auto"/>
        <w:rPr>
          <w:rFonts w:hint="eastAsia" w:ascii="仿宋_GB2312" w:hAnsi="仿宋_GB2312" w:eastAsia="仿宋_GB2312" w:cs="仿宋_GB2312"/>
          <w:color w:val="auto"/>
          <w:sz w:val="32"/>
          <w:szCs w:val="32"/>
          <w:highlight w:val="none"/>
          <w:lang w:val="en-US"/>
        </w:rPr>
      </w:pPr>
      <w:r>
        <w:rPr>
          <w:rFonts w:hint="eastAsia" w:ascii="仿宋_GB2312" w:hAnsi="仿宋_GB2312" w:eastAsia="仿宋_GB2312" w:cs="仿宋_GB2312"/>
          <w:color w:val="auto"/>
          <w:sz w:val="32"/>
          <w:szCs w:val="32"/>
          <w:highlight w:val="none"/>
          <w:lang w:eastAsia="zh-CN"/>
        </w:rPr>
        <w:t>二、项目在设计、建设过程中应做好以下工作：</w:t>
      </w:r>
    </w:p>
    <w:p>
      <w:pPr>
        <w:pStyle w:val="2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val="0"/>
        <w:overflowPunct/>
        <w:topLinePunct w:val="0"/>
        <w:autoSpaceDE/>
        <w:autoSpaceDN/>
        <w:bidi w:val="0"/>
        <w:spacing w:before="0" w:beforeAutospacing="0" w:after="0" w:afterAutospacing="0" w:line="560" w:lineRule="exact"/>
        <w:ind w:right="0" w:rightChars="0" w:firstLine="640" w:firstLineChars="200"/>
        <w:jc w:val="both"/>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一）严格落实各项大气污染防治措施。项目污水处理站产生的恶臭气体，应当通过采取对池体加盖，加强周边绿化等措施减少恶臭气体排放，满足《医疗机构水污染物排放标准》（GB18466-2005）中“表3污水处理站周边大气污染物最高允许浓度”限值。</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（二）严格落实各项水污染防治措施。项目产生的生活污水、医疗废水，经污水处理站</w:t>
      </w:r>
      <w:r>
        <w:rPr>
          <w:rFonts w:hint="eastAsia" w:ascii="仿宋_GB2312" w:hAnsi="仿宋_GB2312" w:eastAsia="仿宋_GB2312" w:cs="仿宋_GB2312"/>
          <w:sz w:val="32"/>
          <w:szCs w:val="32"/>
          <w:highlight w:val="none"/>
          <w:lang w:eastAsia="zh-CN"/>
        </w:rPr>
        <w:t>处理</w:t>
      </w:r>
      <w:r>
        <w:rPr>
          <w:rFonts w:hint="eastAsia" w:ascii="仿宋_GB2312" w:hAnsi="仿宋_GB2312" w:eastAsia="仿宋_GB2312" w:cs="仿宋_GB2312"/>
          <w:sz w:val="32"/>
          <w:szCs w:val="32"/>
          <w:highlight w:val="none"/>
          <w:lang w:val="en-US" w:eastAsia="zh-CN"/>
        </w:rPr>
        <w:t>后</w:t>
      </w:r>
      <w:r>
        <w:rPr>
          <w:rFonts w:hint="eastAsia" w:ascii="仿宋_GB2312" w:hAnsi="仿宋_GB2312" w:eastAsia="仿宋_GB2312" w:cs="仿宋_GB2312"/>
          <w:sz w:val="32"/>
          <w:szCs w:val="32"/>
          <w:highlight w:val="none"/>
          <w:lang w:eastAsia="zh-CN"/>
        </w:rPr>
        <w:t>达到《医疗机构水污染物排放标准》（GB18466-200</w:t>
      </w:r>
      <w:r>
        <w:rPr>
          <w:rFonts w:hint="eastAsia" w:ascii="仿宋_GB2312" w:hAnsi="仿宋_GB2312" w:eastAsia="仿宋_GB2312" w:cs="仿宋_GB2312"/>
          <w:sz w:val="32"/>
          <w:szCs w:val="32"/>
          <w:highlight w:val="none"/>
          <w:lang w:val="en-US" w:eastAsia="zh-CN"/>
        </w:rPr>
        <w:t>5）表2中预处理排放标准后，通过污水管网排入锡林浩特市污水处理厂进行处理。</w:t>
      </w:r>
    </w:p>
    <w:p>
      <w:pPr>
        <w:pStyle w:val="38"/>
        <w:keepNext w:val="0"/>
        <w:keepLines w:val="0"/>
        <w:pageBreakBefore w:val="0"/>
        <w:kinsoku/>
        <w:overflowPunct/>
        <w:topLinePunct w:val="0"/>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（三）严格落实噪声防治措施。通过选用低噪声设备，做好减震装置、消声器，设立隔声罩等综合治理措施，确保项目满足《工业企业厂界环境噪声排放标准》（GB12348-2008）1类标准后达标排放。</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eastAsia" w:ascii="仿宋_GB2312" w:hAnsi="仿宋_GB2312" w:eastAsia="仿宋_GB2312" w:cs="仿宋_GB2312"/>
          <w:color w:val="auto"/>
          <w:kern w:val="2"/>
          <w:sz w:val="32"/>
          <w:szCs w:val="32"/>
          <w:highlight w:val="none"/>
          <w:lang w:val="en-US" w:eastAsia="zh-CN" w:bidi="ar-SA"/>
        </w:rPr>
      </w:pPr>
      <w:r>
        <w:rPr>
          <w:rFonts w:hint="eastAsia" w:ascii="仿宋_GB2312" w:hAnsi="仿宋_GB2312" w:eastAsia="仿宋_GB2312" w:cs="仿宋_GB2312"/>
          <w:sz w:val="32"/>
          <w:szCs w:val="32"/>
          <w:highlight w:val="none"/>
          <w:lang w:val="en-US" w:eastAsia="zh-CN"/>
        </w:rPr>
        <w:t>（四）</w:t>
      </w:r>
      <w:r>
        <w:rPr>
          <w:rFonts w:hint="eastAsia" w:ascii="仿宋_GB2312" w:hAnsi="仿宋_GB2312" w:eastAsia="仿宋_GB2312" w:cs="仿宋_GB2312"/>
          <w:color w:val="auto"/>
          <w:kern w:val="2"/>
          <w:sz w:val="32"/>
          <w:szCs w:val="32"/>
          <w:highlight w:val="none"/>
          <w:lang w:val="en-US" w:eastAsia="zh-CN" w:bidi="ar-SA"/>
        </w:rPr>
        <w:t>加强固体废物处置管理。项目施工期产生的废弃物，应当运至环卫部门指定场所进行处置；项目运营期产生的医疗垃圾分类收集后，运至医疗垃圾暂存间，交由有资质的单位进行处置;针对污水处理站产生的污泥，应当直接交由有资质的单位进行处置。针对项目产生的生活垃圾交由环卫部门进行处理。</w:t>
      </w:r>
    </w:p>
    <w:p>
      <w:pPr>
        <w:keepNext w:val="0"/>
        <w:keepLines w:val="0"/>
        <w:pageBreakBefore w:val="0"/>
        <w:kinsoku/>
        <w:overflowPunct/>
        <w:topLinePunct w:val="0"/>
        <w:autoSpaceDE/>
        <w:autoSpaceDN/>
        <w:bidi w:val="0"/>
        <w:adjustRightInd w:val="0"/>
        <w:spacing w:line="560" w:lineRule="exact"/>
        <w:ind w:firstLine="640" w:firstLineChars="200"/>
        <w:textAlignment w:val="auto"/>
        <w:rPr>
          <w:rFonts w:hint="default" w:ascii="仿宋_GB2312" w:hAnsi="仿宋_GB2312" w:eastAsia="仿宋_GB2312" w:cs="仿宋_GB2312"/>
          <w:b w:val="0"/>
          <w:color w:val="auto"/>
          <w:kern w:val="2"/>
          <w:sz w:val="32"/>
          <w:szCs w:val="32"/>
          <w:highlight w:val="none"/>
          <w:lang w:val="en-US" w:eastAsia="zh-CN" w:bidi="ar-SA"/>
        </w:rPr>
      </w:pPr>
      <w:r>
        <w:rPr>
          <w:rFonts w:hint="eastAsia" w:ascii="仿宋_GB2312" w:hAnsi="仿宋_GB2312" w:eastAsia="仿宋_GB2312" w:cs="仿宋_GB2312"/>
          <w:color w:val="auto"/>
          <w:kern w:val="2"/>
          <w:sz w:val="32"/>
          <w:szCs w:val="32"/>
          <w:highlight w:val="none"/>
          <w:lang w:val="en-US" w:eastAsia="zh-CN" w:bidi="ar-SA"/>
        </w:rPr>
        <w:t>（五）本次环评批复不包含该医院放射及电磁辐射内容，该医院的放射及电磁辐射建设内容要按规定另行办理环评审批手续。</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val="en-US" w:eastAsia="zh-CN"/>
        </w:rPr>
        <w:t>（六）进一步提高</w:t>
      </w:r>
      <w:r>
        <w:rPr>
          <w:rFonts w:hint="eastAsia" w:ascii="仿宋_GB2312" w:hAnsi="仿宋_GB2312" w:eastAsia="仿宋_GB2312" w:cs="仿宋_GB2312"/>
          <w:sz w:val="32"/>
          <w:szCs w:val="32"/>
          <w:highlight w:val="none"/>
          <w:lang w:eastAsia="zh-CN"/>
        </w:rPr>
        <w:t>环保投入，提高周边绿化率。</w:t>
      </w:r>
    </w:p>
    <w:p>
      <w:pPr>
        <w:keepNext w:val="0"/>
        <w:keepLines w:val="0"/>
        <w:pageBreakBefore w:val="0"/>
        <w:widowControl w:val="0"/>
        <w:numPr>
          <w:ilvl w:val="0"/>
          <w:numId w:val="0"/>
        </w:numPr>
        <w:kinsoku/>
        <w:wordWrap/>
        <w:overflowPunct/>
        <w:topLinePunct w:val="0"/>
        <w:autoSpaceDE/>
        <w:autoSpaceDN/>
        <w:bidi w:val="0"/>
        <w:adjustRightInd/>
        <w:snapToGrid/>
        <w:spacing w:before="60" w:beforeLines="25" w:line="560" w:lineRule="exact"/>
        <w:ind w:firstLine="640" w:firstLineChars="200"/>
        <w:jc w:val="both"/>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七</w:t>
      </w:r>
      <w:r>
        <w:rPr>
          <w:rFonts w:hint="eastAsia" w:ascii="仿宋_GB2312" w:hAnsi="仿宋_GB2312" w:eastAsia="仿宋_GB2312" w:cs="仿宋_GB2312"/>
          <w:sz w:val="32"/>
          <w:szCs w:val="32"/>
          <w:highlight w:val="none"/>
          <w:lang w:eastAsia="zh-CN"/>
        </w:rPr>
        <w:t>）做好各防渗区的防渗工作。</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三、项目建设必须严格执行环境保护设施与主体工程同时设计、同时施工、同时投产使用的环境保护“三同时”制度。</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（一）要将环境保护措施纳入初步设计报告并落实环保设施投资概算。</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（二）要将环境保护设施建设纳入施工合同，保证环境保护设施建设进度和资金。</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（三）项目竣工后须按规定程序实施竣工环境保护验收，验收合格后方可正式投运。</w:t>
      </w: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四、锡林郭勒盟生态环境综合行政执法支队对该项目建设期间各项生态环境保护措施落实情况进行监督检查和管理。</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keepNext w:val="0"/>
        <w:keepLines w:val="0"/>
        <w:pageBreakBefore w:val="0"/>
        <w:widowControl w:val="0"/>
        <w:kinsoku/>
        <w:wordWrap/>
        <w:overflowPunct/>
        <w:topLinePunct w:val="0"/>
        <w:autoSpaceDE/>
        <w:autoSpaceDN/>
        <w:bidi w:val="0"/>
        <w:spacing w:line="560" w:lineRule="exact"/>
        <w:ind w:firstLine="2560" w:firstLineChars="800"/>
        <w:textAlignment w:val="auto"/>
        <w:rPr>
          <w:rFonts w:hint="eastAsia" w:ascii="仿宋_GB2312" w:hAnsi="仿宋_GB2312" w:eastAsia="仿宋_GB2312" w:cs="仿宋_GB2312"/>
          <w:sz w:val="32"/>
          <w:szCs w:val="32"/>
          <w:highlight w:val="none"/>
          <w:lang w:eastAsia="zh-CN"/>
        </w:rPr>
      </w:pPr>
      <w:r>
        <w:rPr>
          <w:rFonts w:hint="eastAsia" w:ascii="仿宋_GB2312" w:hAnsi="仿宋_GB2312" w:eastAsia="仿宋_GB2312" w:cs="仿宋_GB2312"/>
          <w:sz w:val="32"/>
          <w:szCs w:val="32"/>
          <w:highlight w:val="none"/>
          <w:lang w:eastAsia="zh-CN"/>
        </w:rPr>
        <w:t>锡林郭勒盟生态环境局锡林浩特市分局</w:t>
      </w:r>
    </w:p>
    <w:p>
      <w:pPr>
        <w:keepNext w:val="0"/>
        <w:keepLines w:val="0"/>
        <w:pageBreakBefore w:val="0"/>
        <w:widowControl w:val="0"/>
        <w:kinsoku/>
        <w:wordWrap/>
        <w:overflowPunct/>
        <w:topLinePunct w:val="0"/>
        <w:autoSpaceDE/>
        <w:autoSpaceDN/>
        <w:bidi w:val="0"/>
        <w:spacing w:line="560" w:lineRule="exact"/>
        <w:ind w:firstLine="4160" w:firstLineChars="1300"/>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2023年3月27</w:t>
      </w:r>
      <w:bookmarkStart w:id="0" w:name="_GoBack"/>
      <w:bookmarkEnd w:id="0"/>
      <w:r>
        <w:rPr>
          <w:rFonts w:hint="eastAsia" w:ascii="仿宋_GB2312" w:hAnsi="仿宋_GB2312" w:eastAsia="仿宋_GB2312" w:cs="仿宋_GB2312"/>
          <w:sz w:val="32"/>
          <w:szCs w:val="32"/>
          <w:highlight w:val="none"/>
          <w:lang w:val="en-US" w:eastAsia="zh-CN"/>
        </w:rPr>
        <w:t>日</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ind w:firstLine="640" w:firstLineChars="200"/>
        <w:textAlignment w:val="auto"/>
        <w:rPr>
          <w:rFonts w:hint="default"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（此页无正文）</w:t>
      </w: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p>
    <w:p>
      <w:pPr>
        <w:pStyle w:val="42"/>
        <w:keepNext w:val="0"/>
        <w:keepLines w:val="0"/>
        <w:pageBreakBefore w:val="0"/>
        <w:widowControl w:val="0"/>
        <w:numPr>
          <w:ilvl w:val="0"/>
          <w:numId w:val="0"/>
        </w:numPr>
        <w:kinsoku/>
        <w:wordWrap/>
        <w:overflowPunct/>
        <w:topLinePunct w:val="0"/>
        <w:autoSpaceDE/>
        <w:autoSpaceDN/>
        <w:bidi w:val="0"/>
        <w:spacing w:line="560" w:lineRule="exact"/>
        <w:textAlignment w:val="auto"/>
        <w:rPr>
          <w:rFonts w:hint="eastAsia" w:ascii="仿宋_GB2312" w:hAnsi="仿宋_GB2312" w:eastAsia="仿宋_GB2312" w:cs="仿宋_GB2312"/>
          <w:sz w:val="32"/>
          <w:szCs w:val="32"/>
          <w:highlight w:val="none"/>
          <w:lang w:val="en-US" w:eastAsia="zh-CN"/>
        </w:rPr>
      </w:pPr>
      <w:r>
        <w:rPr>
          <w:rFonts w:hint="eastAsia" w:ascii="仿宋_GB2312" w:hAnsi="仿宋_GB2312" w:eastAsia="仿宋_GB2312" w:cs="仿宋_GB2312"/>
          <w:sz w:val="32"/>
          <w:szCs w:val="32"/>
          <w:highlight w:val="none"/>
          <w:lang w:val="en-US" w:eastAsia="zh-CN"/>
        </w:rPr>
        <w:t>抄送：锡林郭勒盟生态环境局、锡林郭勒盟生态环境综合行政执法支队</w:t>
      </w:r>
    </w:p>
    <w:sectPr>
      <w:footerReference r:id="rId3" w:type="default"/>
      <w:pgSz w:w="11906" w:h="16838"/>
      <w:pgMar w:top="2154" w:right="1531" w:bottom="1928" w:left="1531"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Arial Unicode MS">
    <w:altName w:val="宋体"/>
    <w:panose1 w:val="020B0604020202020204"/>
    <w:charset w:val="86"/>
    <w:family w:val="swiss"/>
    <w:pitch w:val="default"/>
    <w:sig w:usb0="00000000" w:usb1="00000000" w:usb2="0000003F" w:usb3="00000000" w:csb0="603F01FF" w:csb1="FFFF0000"/>
  </w:font>
  <w:font w:name="Cambria">
    <w:panose1 w:val="02040503050406030204"/>
    <w:charset w:val="00"/>
    <w:family w:val="roman"/>
    <w:pitch w:val="default"/>
    <w:sig w:usb0="E00006FF" w:usb1="420024FF" w:usb2="02000000" w:usb3="00000000" w:csb0="2000019F"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jc w:val="center"/>
    </w:pPr>
    <w:r>
      <w:rPr>
        <w:sz w:val="18"/>
      </w:rPr>
      <w:pict>
        <v:shape id="_x0000_s4097" o:spid="_x0000_s4097"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sdt>
                <w:sdtPr>
                  <w:rPr>
                    <w:rFonts w:hint="eastAsia" w:ascii="楷体" w:hAnsi="楷体" w:eastAsia="楷体" w:cs="楷体"/>
                    <w:sz w:val="28"/>
                    <w:szCs w:val="28"/>
                  </w:rPr>
                  <w:id w:val="390315"/>
                  <w:docPartObj>
                    <w:docPartGallery w:val="autotext"/>
                  </w:docPartObj>
                </w:sdtPr>
                <w:sdtEndPr>
                  <w:rPr>
                    <w:rFonts w:hint="eastAsia" w:ascii="楷体" w:hAnsi="楷体" w:eastAsia="楷体" w:cs="楷体"/>
                    <w:sz w:val="28"/>
                    <w:szCs w:val="28"/>
                  </w:rPr>
                </w:sdtEndPr>
                <w:sdtContent>
                  <w:p>
                    <w:pPr>
                      <w:pStyle w:val="21"/>
                      <w:jc w:val="center"/>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lang w:val="zh-CN"/>
                      </w:rPr>
                      <w:t>1</w:t>
                    </w:r>
                    <w:r>
                      <w:rPr>
                        <w:rFonts w:hint="eastAsia" w:ascii="楷体" w:hAnsi="楷体" w:eastAsia="楷体" w:cs="楷体"/>
                        <w:sz w:val="28"/>
                        <w:szCs w:val="28"/>
                        <w:lang w:val="zh-CN"/>
                      </w:rPr>
                      <w:fldChar w:fldCharType="end"/>
                    </w:r>
                  </w:p>
                </w:sdtContent>
              </w:sdt>
              <w:p>
                <w:pPr>
                  <w:pStyle w:val="33"/>
                  <w:rPr>
                    <w:rFonts w:hint="eastAsia" w:ascii="楷体" w:hAnsi="楷体" w:eastAsia="楷体" w:cs="楷体"/>
                    <w:sz w:val="28"/>
                    <w:szCs w:val="28"/>
                  </w:rPr>
                </w:pPr>
              </w:p>
            </w:txbxContent>
          </v:textbox>
        </v:shape>
      </w:pict>
    </w:r>
  </w:p>
  <w:p>
    <w:pPr>
      <w:pStyle w:val="21"/>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386319"/>
    <w:multiLevelType w:val="singleLevel"/>
    <w:tmpl w:val="45386319"/>
    <w:lvl w:ilvl="0" w:tentative="0">
      <w:start w:val="1"/>
      <w:numFmt w:val="bullet"/>
      <w:pStyle w:val="11"/>
      <w:lvlText w:val=""/>
      <w:lvlJc w:val="left"/>
      <w:pPr>
        <w:tabs>
          <w:tab w:val="left" w:pos="780"/>
        </w:tabs>
        <w:ind w:left="780" w:hanging="360"/>
      </w:pPr>
      <w:rPr>
        <w:rFonts w:hint="default" w:ascii="Wingdings" w:hAnsi="Wingdings"/>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YzA2M2VmMTViNjIwOWYxYWM0Mjc1NTRkYTQ5MDY3MzQifQ=="/>
    <w:docVar w:name="KSO_WPS_MARK_KEY" w:val="bfbee2c9-fe1a-4cb4-85c1-8f311fdb8236"/>
  </w:docVars>
  <w:rsids>
    <w:rsidRoot w:val="001E271C"/>
    <w:rsid w:val="000969AD"/>
    <w:rsid w:val="001E271C"/>
    <w:rsid w:val="0020594B"/>
    <w:rsid w:val="00962978"/>
    <w:rsid w:val="00B87117"/>
    <w:rsid w:val="00E83F57"/>
    <w:rsid w:val="01166DA6"/>
    <w:rsid w:val="01A730E3"/>
    <w:rsid w:val="01D027C7"/>
    <w:rsid w:val="030516AD"/>
    <w:rsid w:val="03D3430C"/>
    <w:rsid w:val="04A62A1C"/>
    <w:rsid w:val="05015B69"/>
    <w:rsid w:val="0536008A"/>
    <w:rsid w:val="05EE5EAB"/>
    <w:rsid w:val="05FD5DAF"/>
    <w:rsid w:val="068C7BAB"/>
    <w:rsid w:val="06C13B3D"/>
    <w:rsid w:val="06E25813"/>
    <w:rsid w:val="07D679D6"/>
    <w:rsid w:val="0A1E3055"/>
    <w:rsid w:val="0A1F2635"/>
    <w:rsid w:val="0A727E13"/>
    <w:rsid w:val="0A7D449D"/>
    <w:rsid w:val="0AF711F7"/>
    <w:rsid w:val="0B6F2EDB"/>
    <w:rsid w:val="0C6E02C3"/>
    <w:rsid w:val="0C741368"/>
    <w:rsid w:val="0C9B2141"/>
    <w:rsid w:val="0D502605"/>
    <w:rsid w:val="0DC94DA4"/>
    <w:rsid w:val="0E146C48"/>
    <w:rsid w:val="0E3D4B2E"/>
    <w:rsid w:val="0F11030D"/>
    <w:rsid w:val="10773E64"/>
    <w:rsid w:val="11815149"/>
    <w:rsid w:val="119E5AF7"/>
    <w:rsid w:val="122A1D6A"/>
    <w:rsid w:val="12521974"/>
    <w:rsid w:val="130268C3"/>
    <w:rsid w:val="135651C1"/>
    <w:rsid w:val="15181BDE"/>
    <w:rsid w:val="15202312"/>
    <w:rsid w:val="16F92D6D"/>
    <w:rsid w:val="177469AA"/>
    <w:rsid w:val="17AC6C55"/>
    <w:rsid w:val="18E453EE"/>
    <w:rsid w:val="1AEA175E"/>
    <w:rsid w:val="1B01027C"/>
    <w:rsid w:val="1B4F5180"/>
    <w:rsid w:val="1BDE167F"/>
    <w:rsid w:val="1C1F33B6"/>
    <w:rsid w:val="20315438"/>
    <w:rsid w:val="204C4C91"/>
    <w:rsid w:val="20DE5961"/>
    <w:rsid w:val="21041E6B"/>
    <w:rsid w:val="2130749E"/>
    <w:rsid w:val="21E61F52"/>
    <w:rsid w:val="233353D8"/>
    <w:rsid w:val="233E3859"/>
    <w:rsid w:val="23BD04C6"/>
    <w:rsid w:val="25C348F5"/>
    <w:rsid w:val="271664C8"/>
    <w:rsid w:val="272A677C"/>
    <w:rsid w:val="273A4B0A"/>
    <w:rsid w:val="292F2370"/>
    <w:rsid w:val="29A20219"/>
    <w:rsid w:val="29CC3487"/>
    <w:rsid w:val="2A5A302F"/>
    <w:rsid w:val="2AB067B8"/>
    <w:rsid w:val="2AF85194"/>
    <w:rsid w:val="2B330DF4"/>
    <w:rsid w:val="2C1005F7"/>
    <w:rsid w:val="2C39284C"/>
    <w:rsid w:val="2C8114F5"/>
    <w:rsid w:val="2CC02721"/>
    <w:rsid w:val="2E977312"/>
    <w:rsid w:val="2FAF6DA2"/>
    <w:rsid w:val="2FB4465A"/>
    <w:rsid w:val="30EB2DA6"/>
    <w:rsid w:val="333A6BDB"/>
    <w:rsid w:val="3372163A"/>
    <w:rsid w:val="34F177D6"/>
    <w:rsid w:val="35D72A2D"/>
    <w:rsid w:val="37354BB1"/>
    <w:rsid w:val="37D943F6"/>
    <w:rsid w:val="37EB5A0A"/>
    <w:rsid w:val="38CD7870"/>
    <w:rsid w:val="39CE76C6"/>
    <w:rsid w:val="3A0260F2"/>
    <w:rsid w:val="3BC60B27"/>
    <w:rsid w:val="3CF77C7E"/>
    <w:rsid w:val="3D497C0B"/>
    <w:rsid w:val="3DCC51DE"/>
    <w:rsid w:val="3DDE2FC6"/>
    <w:rsid w:val="3F156020"/>
    <w:rsid w:val="405F6E03"/>
    <w:rsid w:val="42A31D6D"/>
    <w:rsid w:val="42C90C42"/>
    <w:rsid w:val="43776D56"/>
    <w:rsid w:val="446B68BB"/>
    <w:rsid w:val="447251DD"/>
    <w:rsid w:val="459171B6"/>
    <w:rsid w:val="45921C25"/>
    <w:rsid w:val="459612D4"/>
    <w:rsid w:val="45DA1917"/>
    <w:rsid w:val="472B6FD6"/>
    <w:rsid w:val="48CE52B4"/>
    <w:rsid w:val="49B45AEF"/>
    <w:rsid w:val="4A5F68A6"/>
    <w:rsid w:val="4AE65F38"/>
    <w:rsid w:val="4AE66C9B"/>
    <w:rsid w:val="4B2D5499"/>
    <w:rsid w:val="4B534ADE"/>
    <w:rsid w:val="4B5E2D3C"/>
    <w:rsid w:val="4B92472D"/>
    <w:rsid w:val="4D142C43"/>
    <w:rsid w:val="4E2978F9"/>
    <w:rsid w:val="4EAA7967"/>
    <w:rsid w:val="4EF90DF2"/>
    <w:rsid w:val="4FA672D9"/>
    <w:rsid w:val="532F7E23"/>
    <w:rsid w:val="539E0D30"/>
    <w:rsid w:val="54933F16"/>
    <w:rsid w:val="5531510A"/>
    <w:rsid w:val="575E7CEE"/>
    <w:rsid w:val="57A85382"/>
    <w:rsid w:val="58D316BE"/>
    <w:rsid w:val="59090B79"/>
    <w:rsid w:val="59D70FAC"/>
    <w:rsid w:val="5A294206"/>
    <w:rsid w:val="5C4001D5"/>
    <w:rsid w:val="5C635BEB"/>
    <w:rsid w:val="5CC83756"/>
    <w:rsid w:val="5D0775B6"/>
    <w:rsid w:val="5DCB6DD4"/>
    <w:rsid w:val="5DE829AC"/>
    <w:rsid w:val="5E002436"/>
    <w:rsid w:val="5E55710C"/>
    <w:rsid w:val="5EBE21AB"/>
    <w:rsid w:val="608E4DD3"/>
    <w:rsid w:val="60BF3BD0"/>
    <w:rsid w:val="61BF76EB"/>
    <w:rsid w:val="623D4D9E"/>
    <w:rsid w:val="623E6920"/>
    <w:rsid w:val="63971B60"/>
    <w:rsid w:val="63A21756"/>
    <w:rsid w:val="63AA1151"/>
    <w:rsid w:val="63E8362C"/>
    <w:rsid w:val="652266CA"/>
    <w:rsid w:val="65312F5D"/>
    <w:rsid w:val="66E83653"/>
    <w:rsid w:val="670A57CB"/>
    <w:rsid w:val="67B67782"/>
    <w:rsid w:val="681650AF"/>
    <w:rsid w:val="684D4516"/>
    <w:rsid w:val="68704CA1"/>
    <w:rsid w:val="6A6C56F5"/>
    <w:rsid w:val="6AEF61B9"/>
    <w:rsid w:val="6BA12544"/>
    <w:rsid w:val="6BEB1D6D"/>
    <w:rsid w:val="6C536D8E"/>
    <w:rsid w:val="6CA218CA"/>
    <w:rsid w:val="6CA80FF3"/>
    <w:rsid w:val="6CF81186"/>
    <w:rsid w:val="6E7E0DC8"/>
    <w:rsid w:val="6E922181"/>
    <w:rsid w:val="6EEA7AC9"/>
    <w:rsid w:val="6FD235D4"/>
    <w:rsid w:val="6FD60FB9"/>
    <w:rsid w:val="6FD96BEA"/>
    <w:rsid w:val="700B2DF3"/>
    <w:rsid w:val="701A3237"/>
    <w:rsid w:val="702F7D5E"/>
    <w:rsid w:val="7081011F"/>
    <w:rsid w:val="70885C1F"/>
    <w:rsid w:val="70A46FBF"/>
    <w:rsid w:val="71136822"/>
    <w:rsid w:val="715C20BD"/>
    <w:rsid w:val="7179417A"/>
    <w:rsid w:val="71B41EA2"/>
    <w:rsid w:val="733379D0"/>
    <w:rsid w:val="739B6B02"/>
    <w:rsid w:val="74086579"/>
    <w:rsid w:val="747344DC"/>
    <w:rsid w:val="749E0175"/>
    <w:rsid w:val="753D2C37"/>
    <w:rsid w:val="758703C2"/>
    <w:rsid w:val="75B535E3"/>
    <w:rsid w:val="75C311C4"/>
    <w:rsid w:val="75D4756D"/>
    <w:rsid w:val="76CF69C8"/>
    <w:rsid w:val="771E6CEF"/>
    <w:rsid w:val="7779709C"/>
    <w:rsid w:val="78016A91"/>
    <w:rsid w:val="799A104A"/>
    <w:rsid w:val="7B401BFC"/>
    <w:rsid w:val="7BF368E4"/>
    <w:rsid w:val="7C3D17CD"/>
    <w:rsid w:val="7C5510E6"/>
    <w:rsid w:val="7D375301"/>
    <w:rsid w:val="7D994C5A"/>
    <w:rsid w:val="7DB027AB"/>
    <w:rsid w:val="7E6C32B7"/>
    <w:rsid w:val="7ED06E49"/>
    <w:rsid w:val="7FD539FF"/>
    <w:rsid w:val="7FDE6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qFormat="1" w:unhideWhenUsed="0" w:uiPriority="99"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nhideWhenUsed="0"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99"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qFormat="1"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qFormat="1"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7">
    <w:name w:val="heading 1"/>
    <w:basedOn w:val="1"/>
    <w:next w:val="1"/>
    <w:qFormat/>
    <w:uiPriority w:val="0"/>
    <w:pPr>
      <w:widowControl/>
      <w:spacing w:before="100" w:beforeAutospacing="1" w:after="100" w:afterAutospacing="1"/>
      <w:jc w:val="left"/>
      <w:outlineLvl w:val="0"/>
    </w:pPr>
    <w:rPr>
      <w:rFonts w:ascii="宋体" w:hAnsi="宋体" w:eastAsia="宋体" w:cs="宋体"/>
      <w:b/>
      <w:bCs/>
      <w:kern w:val="36"/>
      <w:sz w:val="48"/>
      <w:szCs w:val="48"/>
    </w:rPr>
  </w:style>
  <w:style w:type="character" w:default="1" w:styleId="31">
    <w:name w:val="Default Paragraph Font"/>
    <w:semiHidden/>
    <w:unhideWhenUsed/>
    <w:qFormat/>
    <w:uiPriority w:val="1"/>
  </w:style>
  <w:style w:type="table" w:default="1" w:styleId="29">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qFormat/>
    <w:uiPriority w:val="0"/>
    <w:pPr>
      <w:ind w:firstLine="420" w:firstLineChars="200"/>
    </w:pPr>
  </w:style>
  <w:style w:type="paragraph" w:styleId="3">
    <w:name w:val="Body Text Indent"/>
    <w:basedOn w:val="1"/>
    <w:next w:val="1"/>
    <w:qFormat/>
    <w:uiPriority w:val="0"/>
    <w:pPr>
      <w:keepNext/>
      <w:spacing w:line="360" w:lineRule="auto"/>
      <w:ind w:firstLine="200" w:firstLineChars="200"/>
    </w:pPr>
    <w:rPr>
      <w:sz w:val="24"/>
    </w:rPr>
  </w:style>
  <w:style w:type="paragraph" w:styleId="4">
    <w:name w:val="Body Text First Indent"/>
    <w:basedOn w:val="5"/>
    <w:next w:val="1"/>
    <w:qFormat/>
    <w:uiPriority w:val="0"/>
    <w:pPr>
      <w:adjustRightInd/>
      <w:spacing w:line="240" w:lineRule="auto"/>
      <w:ind w:left="0" w:firstLine="420" w:firstLineChars="100"/>
      <w:textAlignment w:val="auto"/>
    </w:pPr>
    <w:rPr>
      <w:spacing w:val="0"/>
      <w:kern w:val="2"/>
      <w:sz w:val="21"/>
      <w:szCs w:val="24"/>
    </w:rPr>
  </w:style>
  <w:style w:type="paragraph" w:styleId="5">
    <w:name w:val="Body Text"/>
    <w:basedOn w:val="1"/>
    <w:next w:val="6"/>
    <w:qFormat/>
    <w:uiPriority w:val="0"/>
    <w:pPr>
      <w:spacing w:line="360" w:lineRule="auto"/>
    </w:pPr>
    <w:rPr>
      <w:sz w:val="24"/>
      <w:szCs w:val="20"/>
    </w:rPr>
  </w:style>
  <w:style w:type="paragraph" w:customStyle="1" w:styleId="6">
    <w:name w:val="xl27"/>
    <w:basedOn w:val="1"/>
    <w:qFormat/>
    <w:uiPriority w:val="0"/>
    <w:pPr>
      <w:widowControl/>
      <w:pBdr>
        <w:top w:val="single" w:color="auto" w:sz="4" w:space="0"/>
        <w:left w:val="single" w:color="auto" w:sz="4" w:space="0"/>
        <w:bottom w:val="single" w:color="auto" w:sz="4" w:space="0"/>
        <w:right w:val="single" w:color="auto" w:sz="4" w:space="0"/>
      </w:pBdr>
      <w:autoSpaceDE/>
      <w:autoSpaceDN/>
      <w:adjustRightInd/>
      <w:spacing w:before="100" w:beforeAutospacing="1" w:after="100" w:afterAutospacing="1"/>
    </w:pPr>
    <w:rPr>
      <w:rFonts w:ascii="Arial Unicode MS" w:hAnsi="Arial Unicode MS" w:eastAsia="Arial Unicode MS" w:cs="Arial Unicode MS"/>
      <w:sz w:val="18"/>
      <w:szCs w:val="18"/>
    </w:rPr>
  </w:style>
  <w:style w:type="paragraph" w:styleId="8">
    <w:name w:val="E-mail Signature"/>
    <w:basedOn w:val="1"/>
    <w:next w:val="9"/>
    <w:qFormat/>
    <w:uiPriority w:val="0"/>
    <w:pPr>
      <w:spacing w:line="460" w:lineRule="exact"/>
      <w:ind w:firstLine="200"/>
    </w:pPr>
    <w:rPr>
      <w:sz w:val="24"/>
    </w:rPr>
  </w:style>
  <w:style w:type="paragraph" w:customStyle="1" w:styleId="9">
    <w:name w:val="文章"/>
    <w:basedOn w:val="3"/>
    <w:next w:val="10"/>
    <w:qFormat/>
    <w:uiPriority w:val="0"/>
    <w:pPr>
      <w:widowControl/>
      <w:ind w:firstLine="480"/>
      <w:jc w:val="center"/>
    </w:pPr>
    <w:rPr>
      <w:sz w:val="26"/>
    </w:rPr>
  </w:style>
  <w:style w:type="paragraph" w:styleId="10">
    <w:name w:val="List"/>
    <w:basedOn w:val="1"/>
    <w:next w:val="11"/>
    <w:qFormat/>
    <w:uiPriority w:val="0"/>
    <w:pPr>
      <w:jc w:val="center"/>
    </w:pPr>
  </w:style>
  <w:style w:type="paragraph" w:styleId="11">
    <w:name w:val="List Bullet 2"/>
    <w:basedOn w:val="1"/>
    <w:next w:val="12"/>
    <w:qFormat/>
    <w:uiPriority w:val="0"/>
    <w:pPr>
      <w:numPr>
        <w:ilvl w:val="0"/>
        <w:numId w:val="1"/>
      </w:numPr>
    </w:pPr>
  </w:style>
  <w:style w:type="paragraph" w:customStyle="1" w:styleId="12">
    <w:name w:val="xl70"/>
    <w:basedOn w:val="1"/>
    <w:next w:val="13"/>
    <w:qFormat/>
    <w:uiPriority w:val="0"/>
    <w:pPr>
      <w:widowControl/>
      <w:spacing w:before="280" w:after="280"/>
    </w:pPr>
    <w:rPr>
      <w:rFonts w:ascii="宋体"/>
    </w:rPr>
  </w:style>
  <w:style w:type="paragraph" w:customStyle="1" w:styleId="13">
    <w:name w:val="正文缩进1"/>
    <w:basedOn w:val="1"/>
    <w:next w:val="14"/>
    <w:qFormat/>
    <w:uiPriority w:val="0"/>
    <w:pPr>
      <w:ind w:firstLine="420"/>
    </w:pPr>
    <w:rPr>
      <w:szCs w:val="20"/>
    </w:rPr>
  </w:style>
  <w:style w:type="paragraph" w:customStyle="1" w:styleId="14">
    <w:name w:val="td1"/>
    <w:basedOn w:val="1"/>
    <w:next w:val="1"/>
    <w:qFormat/>
    <w:uiPriority w:val="0"/>
    <w:pPr>
      <w:widowControl/>
      <w:spacing w:before="280" w:after="280" w:line="300" w:lineRule="atLeast"/>
      <w:ind w:firstLine="200"/>
    </w:pPr>
    <w:rPr>
      <w:color w:val="000000"/>
      <w:sz w:val="18"/>
    </w:rPr>
  </w:style>
  <w:style w:type="paragraph" w:styleId="15">
    <w:name w:val="Normal Indent"/>
    <w:basedOn w:val="1"/>
    <w:next w:val="16"/>
    <w:qFormat/>
    <w:uiPriority w:val="0"/>
    <w:pPr>
      <w:ind w:firstLine="420" w:firstLineChars="200"/>
    </w:pPr>
    <w:rPr>
      <w:rFonts w:eastAsia="宋体"/>
      <w:kern w:val="2"/>
      <w:sz w:val="21"/>
      <w:szCs w:val="24"/>
      <w:lang w:val="en-US" w:eastAsia="zh-CN" w:bidi="ar-SA"/>
    </w:rPr>
  </w:style>
  <w:style w:type="paragraph" w:customStyle="1" w:styleId="16">
    <w:name w:val="Char Char Char Char Char Char Char Char Char1 Char"/>
    <w:basedOn w:val="1"/>
    <w:next w:val="17"/>
    <w:qFormat/>
    <w:uiPriority w:val="0"/>
    <w:pPr>
      <w:spacing w:line="360" w:lineRule="auto"/>
      <w:ind w:firstLine="200" w:firstLineChars="200"/>
    </w:pPr>
    <w:rPr>
      <w:rFonts w:hAnsi="宋体" w:cs="宋体"/>
      <w:spacing w:val="0"/>
      <w:sz w:val="24"/>
      <w:szCs w:val="24"/>
    </w:rPr>
  </w:style>
  <w:style w:type="paragraph" w:customStyle="1" w:styleId="17">
    <w:name w:val="Body Text First Indent1"/>
    <w:next w:val="1"/>
    <w:qFormat/>
    <w:uiPriority w:val="0"/>
    <w:pPr>
      <w:widowControl w:val="0"/>
      <w:spacing w:after="120"/>
      <w:ind w:firstLine="420"/>
      <w:jc w:val="both"/>
    </w:pPr>
    <w:rPr>
      <w:rFonts w:ascii="Calibri" w:hAnsi="Calibri" w:eastAsia="宋体" w:cs="Times New Roman"/>
      <w:sz w:val="21"/>
      <w:szCs w:val="22"/>
      <w:lang w:val="en-US" w:eastAsia="zh-CN" w:bidi="ar-SA"/>
    </w:rPr>
  </w:style>
  <w:style w:type="paragraph" w:styleId="18">
    <w:name w:val="annotation text"/>
    <w:basedOn w:val="1"/>
    <w:qFormat/>
    <w:uiPriority w:val="0"/>
    <w:pPr>
      <w:jc w:val="left"/>
    </w:pPr>
  </w:style>
  <w:style w:type="paragraph" w:styleId="19">
    <w:name w:val="Plain Text"/>
    <w:basedOn w:val="1"/>
    <w:qFormat/>
    <w:uiPriority w:val="0"/>
    <w:rPr>
      <w:rFonts w:ascii="宋体" w:hAnsi="Courier New" w:cs="Courier New"/>
      <w:sz w:val="21"/>
      <w:szCs w:val="21"/>
    </w:rPr>
  </w:style>
  <w:style w:type="paragraph" w:styleId="20">
    <w:name w:val="Body Text Indent 2"/>
    <w:next w:val="1"/>
    <w:qFormat/>
    <w:uiPriority w:val="0"/>
    <w:pPr>
      <w:widowControl w:val="0"/>
      <w:spacing w:line="340" w:lineRule="exact"/>
      <w:ind w:firstLine="480" w:firstLineChars="200"/>
      <w:jc w:val="left"/>
    </w:pPr>
    <w:rPr>
      <w:rFonts w:ascii="仿宋_GB2312" w:hAnsi="宋体" w:eastAsia="仿宋_GB2312" w:cs="Times New Roman"/>
      <w:kern w:val="2"/>
      <w:sz w:val="24"/>
      <w:szCs w:val="24"/>
      <w:lang w:val="en-US" w:eastAsia="zh-CN" w:bidi="ar-SA"/>
    </w:rPr>
  </w:style>
  <w:style w:type="paragraph" w:styleId="21">
    <w:name w:val="footer"/>
    <w:basedOn w:val="1"/>
    <w:next w:val="1"/>
    <w:link w:val="45"/>
    <w:qFormat/>
    <w:uiPriority w:val="99"/>
    <w:pPr>
      <w:tabs>
        <w:tab w:val="center" w:pos="4153"/>
        <w:tab w:val="right" w:pos="8306"/>
      </w:tabs>
      <w:snapToGrid w:val="0"/>
      <w:jc w:val="left"/>
    </w:pPr>
    <w:rPr>
      <w:sz w:val="18"/>
      <w:szCs w:val="18"/>
    </w:rPr>
  </w:style>
  <w:style w:type="paragraph" w:styleId="22">
    <w:name w:val="header"/>
    <w:basedOn w:val="1"/>
    <w:next w:val="1"/>
    <w:link w:val="44"/>
    <w:qFormat/>
    <w:uiPriority w:val="0"/>
    <w:pPr>
      <w:pBdr>
        <w:bottom w:val="single" w:color="auto" w:sz="6" w:space="1"/>
      </w:pBdr>
      <w:tabs>
        <w:tab w:val="center" w:pos="4153"/>
        <w:tab w:val="right" w:pos="8306"/>
      </w:tabs>
      <w:snapToGrid w:val="0"/>
      <w:jc w:val="center"/>
    </w:pPr>
    <w:rPr>
      <w:sz w:val="18"/>
      <w:szCs w:val="18"/>
    </w:rPr>
  </w:style>
  <w:style w:type="paragraph" w:styleId="23">
    <w:name w:val="toc 1"/>
    <w:basedOn w:val="1"/>
    <w:next w:val="1"/>
    <w:unhideWhenUsed/>
    <w:qFormat/>
    <w:uiPriority w:val="39"/>
  </w:style>
  <w:style w:type="paragraph" w:styleId="24">
    <w:name w:val="index heading"/>
    <w:basedOn w:val="1"/>
    <w:next w:val="25"/>
    <w:qFormat/>
    <w:uiPriority w:val="99"/>
    <w:rPr>
      <w:rFonts w:hint="eastAsia" w:ascii="Cambria" w:hAnsi="Cambria"/>
      <w:b/>
    </w:rPr>
  </w:style>
  <w:style w:type="paragraph" w:styleId="25">
    <w:name w:val="index 1"/>
    <w:basedOn w:val="1"/>
    <w:next w:val="1"/>
    <w:qFormat/>
    <w:uiPriority w:val="99"/>
  </w:style>
  <w:style w:type="paragraph" w:styleId="26">
    <w:name w:val="Body Text Indent 3"/>
    <w:basedOn w:val="1"/>
    <w:unhideWhenUsed/>
    <w:qFormat/>
    <w:uiPriority w:val="0"/>
    <w:pPr>
      <w:ind w:firstLine="570"/>
    </w:pPr>
    <w:rPr>
      <w:szCs w:val="20"/>
    </w:rPr>
  </w:style>
  <w:style w:type="paragraph" w:styleId="27">
    <w:name w:val="toc 2"/>
    <w:basedOn w:val="1"/>
    <w:next w:val="8"/>
    <w:qFormat/>
    <w:uiPriority w:val="39"/>
    <w:pPr>
      <w:ind w:left="420" w:leftChars="200"/>
    </w:pPr>
  </w:style>
  <w:style w:type="paragraph" w:styleId="28">
    <w:name w:val="Normal (Web)"/>
    <w:basedOn w:val="1"/>
    <w:qFormat/>
    <w:uiPriority w:val="0"/>
    <w:pPr>
      <w:widowControl/>
      <w:spacing w:before="100" w:beforeAutospacing="1" w:after="100" w:afterAutospacing="1"/>
      <w:jc w:val="left"/>
    </w:pPr>
    <w:rPr>
      <w:rFonts w:ascii="宋体" w:hAnsi="宋体"/>
      <w:kern w:val="0"/>
    </w:rPr>
  </w:style>
  <w:style w:type="table" w:styleId="30">
    <w:name w:val="Table Grid"/>
    <w:basedOn w:val="29"/>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32">
    <w:name w:val="样式 正文11 + 首行缩进:  2 字符"/>
    <w:basedOn w:val="1"/>
    <w:qFormat/>
    <w:uiPriority w:val="0"/>
    <w:pPr>
      <w:spacing w:line="500" w:lineRule="exact"/>
      <w:ind w:firstLine="560"/>
    </w:pPr>
    <w:rPr>
      <w:color w:val="FF0000"/>
      <w:sz w:val="24"/>
    </w:rPr>
  </w:style>
  <w:style w:type="paragraph" w:customStyle="1" w:styleId="33">
    <w:name w:val="Default"/>
    <w:basedOn w:val="34"/>
    <w:next w:val="35"/>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34">
    <w:name w:val="纯文本1"/>
    <w:basedOn w:val="1"/>
    <w:qFormat/>
    <w:uiPriority w:val="0"/>
    <w:pPr>
      <w:adjustRightInd w:val="0"/>
      <w:textAlignment w:val="baseline"/>
    </w:pPr>
    <w:rPr>
      <w:rFonts w:ascii="宋体" w:hAnsi="Courier New"/>
      <w:snapToGrid w:val="0"/>
      <w:sz w:val="28"/>
    </w:rPr>
  </w:style>
  <w:style w:type="paragraph" w:customStyle="1" w:styleId="35">
    <w:name w:val="样式35"/>
    <w:basedOn w:val="36"/>
    <w:next w:val="37"/>
    <w:qFormat/>
    <w:uiPriority w:val="0"/>
    <w:pPr>
      <w:spacing w:line="312" w:lineRule="auto"/>
      <w:ind w:firstLine="567"/>
    </w:pPr>
    <w:rPr>
      <w:rFonts w:ascii="宋体"/>
    </w:rPr>
  </w:style>
  <w:style w:type="paragraph" w:customStyle="1" w:styleId="36">
    <w:name w:val="表 内容"/>
    <w:basedOn w:val="1"/>
    <w:qFormat/>
    <w:uiPriority w:val="0"/>
    <w:pPr>
      <w:spacing w:line="240" w:lineRule="atLeast"/>
      <w:jc w:val="center"/>
    </w:pPr>
  </w:style>
  <w:style w:type="paragraph" w:customStyle="1" w:styleId="37">
    <w:name w:val="font6"/>
    <w:basedOn w:val="1"/>
    <w:next w:val="27"/>
    <w:qFormat/>
    <w:uiPriority w:val="0"/>
    <w:pPr>
      <w:widowControl/>
      <w:spacing w:before="280" w:after="280"/>
    </w:pPr>
  </w:style>
  <w:style w:type="paragraph" w:customStyle="1" w:styleId="38">
    <w:name w:val="[1]正文"/>
    <w:basedOn w:val="1"/>
    <w:qFormat/>
    <w:uiPriority w:val="0"/>
    <w:pPr>
      <w:autoSpaceDE w:val="0"/>
      <w:autoSpaceDN w:val="0"/>
    </w:pPr>
    <w:rPr>
      <w:rFonts w:ascii="Times New Roman" w:hAnsi="Times New Roman" w:eastAsia="宋体" w:cs="Times New Roman"/>
      <w:color w:val="000000"/>
      <w:kern w:val="0"/>
      <w:szCs w:val="24"/>
      <w:lang w:val="zh-CN"/>
    </w:rPr>
  </w:style>
  <w:style w:type="paragraph" w:styleId="39">
    <w:name w:val="Intense Quote"/>
    <w:next w:val="1"/>
    <w:qFormat/>
    <w:uiPriority w:val="0"/>
    <w:pPr>
      <w:wordWrap w:val="0"/>
      <w:spacing w:before="360" w:after="360" w:line="240" w:lineRule="auto"/>
      <w:ind w:left="950" w:right="950"/>
      <w:jc w:val="center"/>
    </w:pPr>
    <w:rPr>
      <w:rFonts w:ascii="Times New Roman" w:hAnsi="Times New Roman" w:eastAsia="宋体" w:cs="Times New Roman"/>
      <w:i/>
      <w:color w:val="auto"/>
      <w:sz w:val="21"/>
    </w:rPr>
  </w:style>
  <w:style w:type="paragraph" w:customStyle="1" w:styleId="40">
    <w:name w:val="正文首行缩进2个字 Char"/>
    <w:basedOn w:val="1"/>
    <w:qFormat/>
    <w:uiPriority w:val="0"/>
    <w:pPr>
      <w:ind w:firstLine="480" w:firstLineChars="200"/>
    </w:pPr>
    <w:rPr>
      <w:rFonts w:eastAsia="楷体"/>
      <w:sz w:val="24"/>
    </w:rPr>
  </w:style>
  <w:style w:type="paragraph" w:customStyle="1" w:styleId="41">
    <w:name w:val="高-正文"/>
    <w:basedOn w:val="1"/>
    <w:qFormat/>
    <w:uiPriority w:val="0"/>
    <w:pPr>
      <w:topLinePunct/>
      <w:adjustRightInd w:val="0"/>
      <w:snapToGrid w:val="0"/>
      <w:spacing w:line="480" w:lineRule="exact"/>
      <w:ind w:firstLine="600" w:firstLineChars="200"/>
    </w:pPr>
    <w:rPr>
      <w:rFonts w:ascii="Times New Roman" w:hAnsi="Times New Roman"/>
      <w:snapToGrid w:val="0"/>
      <w:kern w:val="0"/>
      <w:sz w:val="24"/>
    </w:rPr>
  </w:style>
  <w:style w:type="paragraph" w:customStyle="1" w:styleId="42">
    <w:name w:val="列出段落1"/>
    <w:basedOn w:val="1"/>
    <w:qFormat/>
    <w:uiPriority w:val="34"/>
    <w:pPr>
      <w:ind w:firstLine="420" w:firstLineChars="200"/>
    </w:pPr>
  </w:style>
  <w:style w:type="paragraph" w:customStyle="1" w:styleId="43">
    <w:name w:val="a正文"/>
    <w:basedOn w:val="1"/>
    <w:qFormat/>
    <w:uiPriority w:val="0"/>
    <w:pPr>
      <w:adjustRightInd w:val="0"/>
      <w:snapToGrid w:val="0"/>
      <w:spacing w:line="360" w:lineRule="auto"/>
      <w:ind w:firstLine="200" w:firstLineChars="200"/>
    </w:pPr>
    <w:rPr>
      <w:kern w:val="0"/>
      <w:sz w:val="24"/>
      <w:szCs w:val="20"/>
    </w:rPr>
  </w:style>
  <w:style w:type="character" w:customStyle="1" w:styleId="44">
    <w:name w:val="页眉 Char"/>
    <w:basedOn w:val="31"/>
    <w:link w:val="22"/>
    <w:qFormat/>
    <w:uiPriority w:val="0"/>
    <w:rPr>
      <w:kern w:val="2"/>
      <w:sz w:val="18"/>
      <w:szCs w:val="18"/>
    </w:rPr>
  </w:style>
  <w:style w:type="character" w:customStyle="1" w:styleId="45">
    <w:name w:val="页脚 Char"/>
    <w:basedOn w:val="31"/>
    <w:link w:val="21"/>
    <w:qFormat/>
    <w:uiPriority w:val="99"/>
    <w:rPr>
      <w:kern w:val="2"/>
      <w:sz w:val="18"/>
      <w:szCs w:val="18"/>
    </w:rPr>
  </w:style>
  <w:style w:type="paragraph" w:customStyle="1" w:styleId="46">
    <w:name w:val="表 正文"/>
    <w:basedOn w:val="1"/>
    <w:qFormat/>
    <w:uiPriority w:val="0"/>
    <w:pPr>
      <w:spacing w:line="360" w:lineRule="auto"/>
      <w:ind w:firstLine="480" w:firstLineChars="200"/>
    </w:pPr>
    <w:rPr>
      <w:sz w:val="24"/>
      <w:szCs w:val="21"/>
    </w:rPr>
  </w:style>
  <w:style w:type="paragraph" w:customStyle="1" w:styleId="47">
    <w:name w:val="Body text|1"/>
    <w:basedOn w:val="1"/>
    <w:qFormat/>
    <w:uiPriority w:val="0"/>
    <w:pPr>
      <w:widowControl w:val="0"/>
      <w:shd w:val="clear" w:color="auto" w:fill="auto"/>
      <w:spacing w:line="449" w:lineRule="auto"/>
      <w:ind w:firstLine="400"/>
    </w:pPr>
    <w:rPr>
      <w:rFonts w:ascii="宋体" w:hAnsi="宋体" w:eastAsia="宋体" w:cs="宋体"/>
      <w:sz w:val="22"/>
      <w:szCs w:val="22"/>
      <w:u w:val="none"/>
      <w:shd w:val="clear" w:color="auto" w:fill="auto"/>
      <w:lang w:val="zh-TW" w:eastAsia="zh-TW" w:bidi="zh-TW"/>
    </w:rPr>
  </w:style>
  <w:style w:type="paragraph" w:customStyle="1" w:styleId="48">
    <w:name w:val="表格"/>
    <w:next w:val="1"/>
    <w:qFormat/>
    <w:uiPriority w:val="0"/>
    <w:pPr>
      <w:adjustRightInd w:val="0"/>
      <w:snapToGrid w:val="0"/>
      <w:spacing w:before="10" w:beforeLines="10" w:after="10" w:afterLines="10" w:line="240" w:lineRule="auto"/>
      <w:ind w:firstLine="0" w:firstLineChars="0"/>
      <w:jc w:val="center"/>
    </w:pPr>
    <w:rPr>
      <w:rFonts w:ascii="Times New Roman" w:hAnsi="Times New Roman" w:eastAsia="宋体" w:cs="Times New Roman"/>
      <w:kern w:val="0"/>
      <w:sz w:val="21"/>
      <w:szCs w:val="20"/>
    </w:rPr>
  </w:style>
  <w:style w:type="paragraph" w:customStyle="1" w:styleId="49">
    <w:name w:val="Body text (2)"/>
    <w:basedOn w:val="1"/>
    <w:qFormat/>
    <w:uiPriority w:val="0"/>
    <w:pPr>
      <w:widowControl w:val="0"/>
      <w:shd w:val="clear" w:color="auto" w:fill="FFFFFF"/>
      <w:spacing w:before="1200" w:after="540" w:line="0" w:lineRule="exact"/>
      <w:jc w:val="center"/>
    </w:pPr>
    <w:rPr>
      <w:rFonts w:ascii="宋体" w:hAnsi="宋体" w:eastAsia="宋体" w:cs="宋体"/>
      <w:spacing w:val="20"/>
      <w:sz w:val="32"/>
      <w:szCs w:val="32"/>
      <w:u w:val="none"/>
    </w:rPr>
  </w:style>
  <w:style w:type="paragraph" w:customStyle="1" w:styleId="50">
    <w:name w:val="Table Paragraph"/>
    <w:basedOn w:val="1"/>
    <w:qFormat/>
    <w:uiPriority w:val="1"/>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1142</Words>
  <Characters>1201</Characters>
  <Lines>20</Lines>
  <Paragraphs>5</Paragraphs>
  <TotalTime>8</TotalTime>
  <ScaleCrop>false</ScaleCrop>
  <LinksUpToDate>false</LinksUpToDate>
  <CharactersWithSpaces>1201</CharactersWithSpaces>
  <Application>WPS Office_11.1.0.12970_F1E327BC-269C-435d-A152-05C5408002CA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南楠</cp:lastModifiedBy>
  <cp:lastPrinted>2022-02-28T06:47:00Z</cp:lastPrinted>
  <dcterms:modified xsi:type="dcterms:W3CDTF">2023-03-27T01:46:39Z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2052-11.1.0.12970</vt:lpwstr>
  </property>
  <property fmtid="{D5CDD505-2E9C-101B-9397-08002B2CF9AE}" pid="3" name="ICV">
    <vt:lpwstr>0C7AEDC11EEF4F028910265D173293AF</vt:lpwstr>
  </property>
  <property fmtid="{D5CDD505-2E9C-101B-9397-08002B2CF9AE}" pid="4" name="commondata">
    <vt:lpwstr>eyJoZGlkIjoiMGJjM2I0OWE0NDNiNTExOTc5ZWIxY2I1ZTA1OTFkYTUifQ==</vt:lpwstr>
  </property>
</Properties>
</file>