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200C93B">
      <w:pPr>
        <w:spacing w:beforeLines="0" w:afterLines="0"/>
        <w:rPr>
          <w:rFonts w:hint="default" w:ascii="Times New Roman" w:hAnsi="Times New Roman" w:eastAsia="仿宋_GB2312" w:cs="Times New Roman"/>
          <w:color w:val="auto"/>
          <w:sz w:val="36"/>
          <w:szCs w:val="36"/>
          <w:highlight w:val="none"/>
          <w:lang w:val="en-US" w:eastAsia="zh-CN"/>
        </w:rPr>
      </w:pPr>
    </w:p>
    <w:p w14:paraId="61E2B256">
      <w:pPr>
        <w:spacing w:beforeLines="0" w:afterLines="0"/>
        <w:rPr>
          <w:rFonts w:hint="default" w:ascii="Times New Roman" w:hAnsi="Times New Roman" w:eastAsia="仿宋_GB2312" w:cs="Times New Roman"/>
          <w:color w:val="auto"/>
          <w:sz w:val="36"/>
          <w:szCs w:val="36"/>
          <w:highlight w:val="none"/>
        </w:rPr>
      </w:pPr>
    </w:p>
    <w:p w14:paraId="16717135">
      <w:pPr>
        <w:spacing w:beforeLines="0" w:afterLines="0"/>
        <w:rPr>
          <w:rFonts w:hint="default" w:ascii="Times New Roman" w:hAnsi="Times New Roman" w:eastAsia="仿宋_GB2312" w:cs="Times New Roman"/>
          <w:color w:val="auto"/>
          <w:sz w:val="36"/>
          <w:szCs w:val="36"/>
          <w:highlight w:val="none"/>
        </w:rPr>
      </w:pPr>
    </w:p>
    <w:p w14:paraId="2A45C67D">
      <w:pPr>
        <w:spacing w:beforeLines="0" w:afterLines="0"/>
        <w:rPr>
          <w:rFonts w:hint="default" w:ascii="Times New Roman" w:hAnsi="Times New Roman" w:eastAsia="仿宋_GB2312" w:cs="Times New Roman"/>
          <w:color w:val="auto"/>
          <w:sz w:val="36"/>
          <w:szCs w:val="36"/>
          <w:highlight w:val="none"/>
        </w:rPr>
      </w:pPr>
    </w:p>
    <w:p w14:paraId="363A59F1">
      <w:pPr>
        <w:spacing w:beforeLines="0" w:afterLines="0"/>
        <w:rPr>
          <w:rFonts w:hint="default" w:ascii="Times New Roman" w:hAnsi="Times New Roman" w:eastAsia="仿宋_GB2312" w:cs="Times New Roman"/>
          <w:color w:val="auto"/>
          <w:sz w:val="36"/>
          <w:szCs w:val="36"/>
          <w:highlight w:val="none"/>
        </w:rPr>
      </w:pPr>
    </w:p>
    <w:p w14:paraId="4C3CAB39">
      <w:pPr>
        <w:adjustRightInd w:val="0"/>
        <w:snapToGrid w:val="0"/>
        <w:spacing w:beforeLines="0" w:afterLines="0"/>
        <w:jc w:val="center"/>
        <w:outlineLvl w:val="0"/>
        <w:rPr>
          <w:rFonts w:hint="default" w:ascii="Times New Roman" w:hAnsi="Times New Roman" w:eastAsia="方正小标宋_GBK" w:cs="Times New Roman"/>
          <w:color w:val="auto"/>
          <w:sz w:val="72"/>
          <w:szCs w:val="24"/>
          <w:highlight w:val="none"/>
        </w:rPr>
      </w:pPr>
      <w:r>
        <w:rPr>
          <w:rFonts w:hint="default" w:ascii="Times New Roman" w:hAnsi="Times New Roman" w:eastAsia="方正小标宋_GBK" w:cs="Times New Roman"/>
          <w:color w:val="auto"/>
          <w:sz w:val="72"/>
          <w:szCs w:val="24"/>
          <w:highlight w:val="none"/>
        </w:rPr>
        <w:t>建设项目环境影响报告表</w:t>
      </w:r>
    </w:p>
    <w:p w14:paraId="2318CDE1">
      <w:pPr>
        <w:adjustRightInd w:val="0"/>
        <w:snapToGrid w:val="0"/>
        <w:spacing w:before="192" w:beforeLines="80" w:afterLines="0"/>
        <w:jc w:val="center"/>
        <w:outlineLvl w:val="0"/>
        <w:rPr>
          <w:rFonts w:hint="default" w:ascii="Times New Roman" w:hAnsi="Times New Roman" w:eastAsia="楷体_GB2312" w:cs="Times New Roman"/>
          <w:color w:val="auto"/>
          <w:sz w:val="48"/>
          <w:szCs w:val="24"/>
          <w:highlight w:val="none"/>
        </w:rPr>
      </w:pPr>
      <w:r>
        <w:rPr>
          <w:rFonts w:hint="default" w:ascii="Times New Roman" w:hAnsi="Times New Roman" w:eastAsia="楷体_GB2312" w:cs="Times New Roman"/>
          <w:color w:val="auto"/>
          <w:sz w:val="48"/>
          <w:szCs w:val="24"/>
          <w:highlight w:val="none"/>
        </w:rPr>
        <w:t>（污染影响类）</w:t>
      </w:r>
    </w:p>
    <w:p w14:paraId="5EF1FAB1">
      <w:pPr>
        <w:adjustRightInd w:val="0"/>
        <w:snapToGrid w:val="0"/>
        <w:spacing w:beforeLines="0" w:afterLines="0" w:line="288" w:lineRule="auto"/>
        <w:jc w:val="center"/>
        <w:outlineLvl w:val="0"/>
        <w:rPr>
          <w:rFonts w:hint="default" w:ascii="Times New Roman" w:hAnsi="Times New Roman" w:eastAsia="华文仿宋" w:cs="Times New Roman"/>
          <w:color w:val="auto"/>
          <w:kern w:val="44"/>
          <w:sz w:val="44"/>
          <w:szCs w:val="44"/>
          <w:highlight w:val="none"/>
        </w:rPr>
      </w:pPr>
    </w:p>
    <w:p w14:paraId="3952837B">
      <w:pPr>
        <w:spacing w:beforeLines="0" w:afterLines="0"/>
        <w:jc w:val="center"/>
        <w:rPr>
          <w:rFonts w:hint="default" w:ascii="Times New Roman" w:hAnsi="Times New Roman" w:eastAsia="仿宋" w:cs="Times New Roman"/>
          <w:color w:val="auto"/>
          <w:sz w:val="52"/>
          <w:szCs w:val="24"/>
          <w:highlight w:val="none"/>
        </w:rPr>
      </w:pPr>
    </w:p>
    <w:p w14:paraId="607C6C84">
      <w:pPr>
        <w:spacing w:beforeLines="0" w:afterLines="0"/>
        <w:ind w:firstLine="1040"/>
        <w:rPr>
          <w:rFonts w:hint="default" w:ascii="Times New Roman" w:hAnsi="Times New Roman" w:eastAsia="仿宋" w:cs="Times New Roman"/>
          <w:color w:val="auto"/>
          <w:sz w:val="44"/>
          <w:szCs w:val="24"/>
          <w:highlight w:val="none"/>
        </w:rPr>
      </w:pPr>
    </w:p>
    <w:p w14:paraId="3D97E46E">
      <w:pPr>
        <w:spacing w:beforeLines="0" w:afterLines="0"/>
        <w:rPr>
          <w:rFonts w:hint="default" w:ascii="Times New Roman" w:hAnsi="Times New Roman" w:eastAsia="仿宋" w:cs="Times New Roman"/>
          <w:color w:val="auto"/>
          <w:sz w:val="44"/>
          <w:szCs w:val="24"/>
          <w:highlight w:val="none"/>
        </w:rPr>
      </w:pPr>
    </w:p>
    <w:p w14:paraId="1A3AFEAE">
      <w:pPr>
        <w:adjustRightInd w:val="0"/>
        <w:snapToGrid w:val="0"/>
        <w:spacing w:beforeLines="0" w:afterLines="0" w:line="288" w:lineRule="auto"/>
        <w:ind w:firstLine="720" w:firstLineChars="200"/>
        <w:outlineLvl w:val="0"/>
        <w:rPr>
          <w:rFonts w:hint="default" w:ascii="Times New Roman" w:hAnsi="Times New Roman" w:eastAsia="仿宋_GB2312" w:cs="Times New Roman"/>
          <w:color w:val="auto"/>
          <w:sz w:val="36"/>
          <w:szCs w:val="24"/>
          <w:highlight w:val="none"/>
          <w:u w:val="single"/>
          <w:lang w:val="en-US" w:eastAsia="zh-CN"/>
        </w:rPr>
      </w:pPr>
      <w:r>
        <w:rPr>
          <w:rFonts w:hint="default" w:ascii="Times New Roman" w:hAnsi="Times New Roman" w:eastAsia="仿宋_GB2312" w:cs="Times New Roman"/>
          <w:color w:val="auto"/>
          <w:sz w:val="36"/>
          <w:szCs w:val="24"/>
          <w:highlight w:val="none"/>
        </w:rPr>
        <w:t>项目名称：</w:t>
      </w:r>
      <w:r>
        <w:rPr>
          <w:rFonts w:hint="default" w:ascii="Times New Roman" w:hAnsi="Times New Roman" w:eastAsia="仿宋_GB2312" w:cs="Times New Roman"/>
          <w:color w:val="auto"/>
          <w:sz w:val="36"/>
          <w:szCs w:val="24"/>
          <w:highlight w:val="none"/>
          <w:u w:val="single"/>
        </w:rPr>
        <w:t>远景能源（锡林郭勒）有限公司</w:t>
      </w:r>
      <w:r>
        <w:rPr>
          <w:rFonts w:hint="eastAsia" w:ascii="Times New Roman" w:hAnsi="Times New Roman" w:eastAsia="仿宋_GB2312" w:cs="Times New Roman"/>
          <w:color w:val="auto"/>
          <w:sz w:val="36"/>
          <w:szCs w:val="24"/>
          <w:highlight w:val="none"/>
          <w:u w:val="single"/>
          <w:lang w:val="en-US" w:eastAsia="zh-CN"/>
        </w:rPr>
        <w:t>危废暂存间建设项目</w:t>
      </w:r>
    </w:p>
    <w:p w14:paraId="55EF817F">
      <w:pPr>
        <w:adjustRightInd w:val="0"/>
        <w:snapToGrid w:val="0"/>
        <w:spacing w:beforeLines="0" w:afterLines="0" w:line="288" w:lineRule="auto"/>
        <w:ind w:firstLine="720" w:firstLineChars="200"/>
        <w:outlineLvl w:val="0"/>
        <w:rPr>
          <w:rFonts w:hint="default" w:ascii="Times New Roman" w:hAnsi="Times New Roman" w:eastAsia="仿宋_GB2312" w:cs="Times New Roman"/>
          <w:color w:val="auto"/>
          <w:sz w:val="36"/>
          <w:szCs w:val="24"/>
          <w:highlight w:val="none"/>
          <w:u w:val="single"/>
          <w:lang w:eastAsia="zh-CN"/>
        </w:rPr>
      </w:pPr>
      <w:r>
        <w:rPr>
          <w:rFonts w:hint="default" w:ascii="Times New Roman" w:hAnsi="Times New Roman" w:eastAsia="仿宋_GB2312" w:cs="Times New Roman"/>
          <w:color w:val="auto"/>
          <w:sz w:val="36"/>
          <w:szCs w:val="24"/>
          <w:highlight w:val="none"/>
        </w:rPr>
        <w:t>建设单位（盖章）：</w:t>
      </w:r>
      <w:r>
        <w:rPr>
          <w:rFonts w:hint="default" w:ascii="Times New Roman" w:hAnsi="Times New Roman" w:eastAsia="仿宋_GB2312" w:cs="Times New Roman"/>
          <w:color w:val="auto"/>
          <w:sz w:val="36"/>
          <w:szCs w:val="24"/>
          <w:highlight w:val="none"/>
          <w:u w:val="single"/>
        </w:rPr>
        <w:t>远景能源（锡林郭勒）有限公司</w:t>
      </w:r>
    </w:p>
    <w:p w14:paraId="76032986">
      <w:pPr>
        <w:adjustRightInd w:val="0"/>
        <w:snapToGrid w:val="0"/>
        <w:spacing w:beforeLines="0" w:afterLines="0" w:line="288" w:lineRule="auto"/>
        <w:ind w:firstLine="720" w:firstLineChars="200"/>
        <w:jc w:val="both"/>
        <w:outlineLvl w:val="0"/>
        <w:rPr>
          <w:rFonts w:hint="default" w:ascii="Times New Roman" w:hAnsi="Times New Roman" w:eastAsia="仿宋_GB2312" w:cs="Times New Roman"/>
          <w:color w:val="auto"/>
          <w:sz w:val="36"/>
          <w:szCs w:val="24"/>
          <w:highlight w:val="none"/>
          <w:u w:val="single"/>
          <w:lang w:val="en-US" w:eastAsia="zh-CN"/>
        </w:rPr>
      </w:pPr>
      <w:r>
        <w:rPr>
          <w:rFonts w:hint="default" w:ascii="Times New Roman" w:hAnsi="Times New Roman" w:eastAsia="仿宋_GB2312" w:cs="Times New Roman"/>
          <w:color w:val="auto"/>
          <w:sz w:val="36"/>
          <w:szCs w:val="24"/>
          <w:highlight w:val="none"/>
        </w:rPr>
        <w:t>编制日期：</w:t>
      </w:r>
      <w:r>
        <w:rPr>
          <w:rFonts w:hint="default" w:ascii="Times New Roman" w:hAnsi="Times New Roman" w:eastAsia="仿宋_GB2312" w:cs="Times New Roman"/>
          <w:color w:val="auto"/>
          <w:sz w:val="36"/>
          <w:szCs w:val="24"/>
          <w:highlight w:val="none"/>
          <w:u w:val="single"/>
          <w:lang w:val="en-US" w:eastAsia="zh-CN"/>
        </w:rPr>
        <w:t>202</w:t>
      </w:r>
      <w:r>
        <w:rPr>
          <w:rFonts w:hint="eastAsia" w:ascii="Times New Roman" w:hAnsi="Times New Roman" w:eastAsia="仿宋_GB2312" w:cs="Times New Roman"/>
          <w:color w:val="auto"/>
          <w:sz w:val="36"/>
          <w:szCs w:val="24"/>
          <w:highlight w:val="none"/>
          <w:u w:val="single"/>
          <w:lang w:val="en-US" w:eastAsia="zh-CN"/>
        </w:rPr>
        <w:t>5</w:t>
      </w:r>
      <w:r>
        <w:rPr>
          <w:rFonts w:hint="default" w:ascii="Times New Roman" w:hAnsi="Times New Roman" w:eastAsia="仿宋_GB2312" w:cs="Times New Roman"/>
          <w:color w:val="auto"/>
          <w:sz w:val="36"/>
          <w:szCs w:val="24"/>
          <w:highlight w:val="none"/>
          <w:u w:val="single"/>
          <w:lang w:val="en-US" w:eastAsia="zh-CN"/>
        </w:rPr>
        <w:t>年</w:t>
      </w:r>
      <w:r>
        <w:rPr>
          <w:rFonts w:hint="eastAsia" w:ascii="Times New Roman" w:hAnsi="Times New Roman" w:eastAsia="仿宋_GB2312" w:cs="Times New Roman"/>
          <w:color w:val="auto"/>
          <w:sz w:val="36"/>
          <w:szCs w:val="24"/>
          <w:highlight w:val="none"/>
          <w:u w:val="single"/>
          <w:lang w:val="en-US" w:eastAsia="zh-CN"/>
        </w:rPr>
        <w:t>1</w:t>
      </w:r>
      <w:r>
        <w:rPr>
          <w:rFonts w:hint="default" w:ascii="Times New Roman" w:hAnsi="Times New Roman" w:eastAsia="仿宋_GB2312" w:cs="Times New Roman"/>
          <w:color w:val="auto"/>
          <w:sz w:val="36"/>
          <w:szCs w:val="24"/>
          <w:highlight w:val="none"/>
          <w:u w:val="single"/>
          <w:lang w:val="en-US" w:eastAsia="zh-CN"/>
        </w:rPr>
        <w:t>月</w:t>
      </w:r>
    </w:p>
    <w:p w14:paraId="378D6C92">
      <w:pPr>
        <w:adjustRightInd w:val="0"/>
        <w:snapToGrid w:val="0"/>
        <w:spacing w:beforeLines="0" w:afterLines="0" w:line="288" w:lineRule="auto"/>
        <w:ind w:firstLine="1040"/>
        <w:rPr>
          <w:rFonts w:hint="default" w:ascii="Times New Roman" w:hAnsi="Times New Roman" w:eastAsia="仿宋_GB2312" w:cs="Times New Roman"/>
          <w:color w:val="auto"/>
          <w:sz w:val="36"/>
          <w:szCs w:val="24"/>
          <w:highlight w:val="none"/>
          <w:u w:val="single"/>
          <w:lang w:eastAsia="zh-CN"/>
        </w:rPr>
      </w:pPr>
      <w:bookmarkStart w:id="0" w:name="_Hlk57884087"/>
    </w:p>
    <w:p w14:paraId="028FED69">
      <w:pPr>
        <w:adjustRightInd w:val="0"/>
        <w:snapToGrid w:val="0"/>
        <w:spacing w:beforeLines="0" w:afterLines="0" w:line="288" w:lineRule="auto"/>
        <w:ind w:firstLine="1040"/>
        <w:rPr>
          <w:rFonts w:hint="default" w:ascii="Times New Roman" w:hAnsi="Times New Roman" w:eastAsia="仿宋_GB2312" w:cs="Times New Roman"/>
          <w:color w:val="auto"/>
          <w:sz w:val="36"/>
          <w:szCs w:val="24"/>
          <w:highlight w:val="none"/>
        </w:rPr>
      </w:pPr>
    </w:p>
    <w:p w14:paraId="3CE488BD">
      <w:pPr>
        <w:pStyle w:val="2"/>
        <w:rPr>
          <w:rFonts w:hint="default"/>
        </w:rPr>
      </w:pPr>
    </w:p>
    <w:p w14:paraId="529DD49E">
      <w:pPr>
        <w:adjustRightInd w:val="0"/>
        <w:snapToGrid w:val="0"/>
        <w:spacing w:beforeLines="0" w:afterLines="0" w:line="288" w:lineRule="auto"/>
        <w:ind w:firstLine="1040"/>
        <w:rPr>
          <w:rFonts w:hint="default" w:ascii="Times New Roman" w:hAnsi="Times New Roman" w:eastAsia="仿宋_GB2312" w:cs="Times New Roman"/>
          <w:color w:val="auto"/>
          <w:sz w:val="36"/>
          <w:szCs w:val="24"/>
          <w:highlight w:val="none"/>
        </w:rPr>
      </w:pPr>
    </w:p>
    <w:bookmarkEnd w:id="0"/>
    <w:p w14:paraId="3BF175F8">
      <w:pPr>
        <w:adjustRightInd w:val="0"/>
        <w:snapToGrid w:val="0"/>
        <w:spacing w:beforeLines="0" w:afterLines="0" w:line="288" w:lineRule="auto"/>
        <w:jc w:val="both"/>
        <w:rPr>
          <w:rFonts w:hint="default" w:ascii="Times New Roman" w:hAnsi="Times New Roman" w:eastAsia="楷体_GB2312" w:cs="Times New Roman"/>
          <w:color w:val="auto"/>
          <w:sz w:val="36"/>
          <w:szCs w:val="24"/>
          <w:highlight w:val="none"/>
        </w:rPr>
      </w:pPr>
    </w:p>
    <w:p w14:paraId="24C2F342">
      <w:pPr>
        <w:adjustRightInd w:val="0"/>
        <w:snapToGrid w:val="0"/>
        <w:spacing w:beforeLines="0" w:afterLines="0" w:line="288" w:lineRule="auto"/>
        <w:ind w:left="0" w:leftChars="0" w:right="0" w:rightChars="0" w:firstLine="0" w:firstLineChars="0"/>
        <w:jc w:val="center"/>
        <w:outlineLvl w:val="0"/>
        <w:rPr>
          <w:rFonts w:hint="default" w:ascii="Times New Roman" w:hAnsi="Times New Roman" w:eastAsia="仿宋_GB2312" w:cs="Times New Roman"/>
          <w:color w:val="auto"/>
          <w:sz w:val="36"/>
          <w:szCs w:val="24"/>
          <w:highlight w:val="none"/>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lnNumType w:countBy="0" w:distance="360"/>
          <w:pgNumType w:start="3"/>
          <w:cols w:space="720" w:num="1"/>
          <w:docGrid w:type="lines" w:linePitch="312" w:charSpace="0"/>
        </w:sectPr>
      </w:pPr>
      <w:r>
        <w:rPr>
          <w:rFonts w:hint="default" w:ascii="Times New Roman" w:hAnsi="Times New Roman" w:eastAsia="楷体_GB2312" w:cs="Times New Roman"/>
          <w:color w:val="auto"/>
          <w:sz w:val="36"/>
          <w:szCs w:val="24"/>
          <w:highlight w:val="none"/>
        </w:rPr>
        <w:t>中华人民共和国生态环境部制</w:t>
      </w:r>
    </w:p>
    <w:p w14:paraId="03B48281">
      <w:pPr>
        <w:pStyle w:val="21"/>
        <w:jc w:val="center"/>
        <w:outlineLvl w:val="0"/>
        <w:rPr>
          <w:rFonts w:hint="default" w:ascii="Times New Roman" w:hAnsi="Times New Roman" w:eastAsia="黑体" w:cs="Times New Roman"/>
          <w:snapToGrid w:val="0"/>
          <w:sz w:val="30"/>
        </w:rPr>
      </w:pPr>
      <w:r>
        <w:rPr>
          <w:rFonts w:hint="default" w:ascii="Times New Roman" w:hAnsi="Times New Roman" w:eastAsia="黑体" w:cs="Times New Roman"/>
          <w:snapToGrid w:val="0"/>
          <w:sz w:val="30"/>
        </w:rPr>
        <w:t>一、建设项目基本情况</w:t>
      </w:r>
    </w:p>
    <w:tbl>
      <w:tblPr>
        <w:tblStyle w:val="2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35"/>
        <w:gridCol w:w="2284"/>
        <w:gridCol w:w="1871"/>
        <w:gridCol w:w="2980"/>
      </w:tblGrid>
      <w:tr w14:paraId="06BFA6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5" w:type="dxa"/>
            <w:tcBorders>
              <w:top w:val="single" w:color="auto" w:sz="8"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1DD6C028">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建设项目名称</w:t>
            </w:r>
          </w:p>
        </w:tc>
        <w:tc>
          <w:tcPr>
            <w:tcW w:w="7135" w:type="dxa"/>
            <w:gridSpan w:val="3"/>
            <w:tcBorders>
              <w:top w:val="single" w:color="auto" w:sz="8" w:space="0"/>
              <w:left w:val="single" w:color="auto" w:sz="4" w:space="0"/>
              <w:bottom w:val="single" w:color="auto" w:sz="4" w:space="0"/>
              <w:right w:val="single" w:color="auto" w:sz="8" w:space="0"/>
              <w:tl2br w:val="nil"/>
              <w:tr2bl w:val="nil"/>
            </w:tcBorders>
            <w:vAlign w:val="center"/>
          </w:tcPr>
          <w:p w14:paraId="6280E4C7">
            <w:pPr>
              <w:adjustRightInd w:val="0"/>
              <w:snapToGrid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远景能源（锡林郭勒）有限公司</w:t>
            </w:r>
            <w:r>
              <w:rPr>
                <w:rFonts w:hint="eastAsia" w:ascii="Times New Roman" w:hAnsi="Times New Roman" w:cs="Times New Roman"/>
                <w:color w:val="auto"/>
                <w:highlight w:val="none"/>
                <w:lang w:val="en-US" w:eastAsia="zh-CN"/>
              </w:rPr>
              <w:t>危废暂存间建设项目</w:t>
            </w:r>
          </w:p>
        </w:tc>
      </w:tr>
      <w:tr w14:paraId="123C90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2D12B001">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项目代码</w:t>
            </w:r>
          </w:p>
        </w:tc>
        <w:tc>
          <w:tcPr>
            <w:tcW w:w="7135" w:type="dxa"/>
            <w:gridSpan w:val="3"/>
            <w:tcBorders>
              <w:top w:val="single" w:color="auto" w:sz="4" w:space="0"/>
              <w:left w:val="single" w:color="auto" w:sz="4" w:space="0"/>
              <w:bottom w:val="single" w:color="auto" w:sz="4" w:space="0"/>
              <w:right w:val="single" w:color="auto" w:sz="8" w:space="0"/>
              <w:tl2br w:val="nil"/>
              <w:tr2bl w:val="nil"/>
            </w:tcBorders>
            <w:vAlign w:val="center"/>
          </w:tcPr>
          <w:p w14:paraId="609E992B">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w:t>
            </w:r>
          </w:p>
        </w:tc>
      </w:tr>
      <w:tr w14:paraId="50208B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634C18D5">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建设单位联系人</w:t>
            </w:r>
          </w:p>
        </w:tc>
        <w:tc>
          <w:tcPr>
            <w:tcW w:w="2284" w:type="dxa"/>
            <w:tcBorders>
              <w:top w:val="single" w:color="auto" w:sz="4" w:space="0"/>
              <w:left w:val="single" w:color="auto" w:sz="4" w:space="0"/>
              <w:bottom w:val="single" w:color="auto" w:sz="4" w:space="0"/>
              <w:right w:val="single" w:color="auto" w:sz="4" w:space="0"/>
              <w:tl2br w:val="nil"/>
              <w:tr2bl w:val="nil"/>
            </w:tcBorders>
            <w:vAlign w:val="center"/>
          </w:tcPr>
          <w:p w14:paraId="667F4A3A">
            <w:pPr>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陈昭</w:t>
            </w:r>
          </w:p>
        </w:tc>
        <w:tc>
          <w:tcPr>
            <w:tcW w:w="1871" w:type="dxa"/>
            <w:tcBorders>
              <w:top w:val="single" w:color="auto" w:sz="4" w:space="0"/>
              <w:left w:val="single" w:color="auto" w:sz="4" w:space="0"/>
              <w:bottom w:val="single" w:color="auto" w:sz="4" w:space="0"/>
              <w:right w:val="single" w:color="auto" w:sz="4" w:space="0"/>
              <w:tl2br w:val="nil"/>
              <w:tr2bl w:val="nil"/>
            </w:tcBorders>
            <w:vAlign w:val="center"/>
          </w:tcPr>
          <w:p w14:paraId="43B6D10F">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联系方式</w:t>
            </w:r>
          </w:p>
        </w:tc>
        <w:tc>
          <w:tcPr>
            <w:tcW w:w="2980" w:type="dxa"/>
            <w:tcBorders>
              <w:top w:val="single" w:color="auto" w:sz="4" w:space="0"/>
              <w:left w:val="single" w:color="auto" w:sz="4" w:space="0"/>
              <w:bottom w:val="single" w:color="auto" w:sz="4" w:space="0"/>
              <w:right w:val="single" w:color="auto" w:sz="8" w:space="0"/>
              <w:tl2br w:val="nil"/>
              <w:tr2bl w:val="nil"/>
            </w:tcBorders>
            <w:vAlign w:val="center"/>
          </w:tcPr>
          <w:p w14:paraId="61307F20">
            <w:pPr>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13623134644</w:t>
            </w:r>
          </w:p>
        </w:tc>
      </w:tr>
      <w:tr w14:paraId="7BDB42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3D640E76">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建设地点</w:t>
            </w:r>
          </w:p>
        </w:tc>
        <w:tc>
          <w:tcPr>
            <w:tcW w:w="7135" w:type="dxa"/>
            <w:gridSpan w:val="3"/>
            <w:tcBorders>
              <w:top w:val="single" w:color="auto" w:sz="4" w:space="0"/>
              <w:left w:val="single" w:color="auto" w:sz="4" w:space="0"/>
              <w:bottom w:val="single" w:color="auto" w:sz="4" w:space="0"/>
              <w:right w:val="single" w:color="auto" w:sz="8" w:space="0"/>
              <w:tl2br w:val="nil"/>
              <w:tr2bl w:val="nil"/>
            </w:tcBorders>
            <w:vAlign w:val="center"/>
          </w:tcPr>
          <w:p w14:paraId="33EAD5FD">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内蒙古锡林郭勒盟</w:t>
            </w:r>
            <w:r>
              <w:rPr>
                <w:rFonts w:hint="eastAsia" w:ascii="Times New Roman" w:hAnsi="Times New Roman" w:cs="Times New Roman"/>
                <w:color w:val="auto"/>
                <w:highlight w:val="none"/>
                <w:lang w:eastAsia="zh-CN"/>
              </w:rPr>
              <w:t>锡林浩特市远景能源（锡林郭勒）有限公司</w:t>
            </w:r>
            <w:r>
              <w:rPr>
                <w:rFonts w:ascii="Times New Roman" w:hAnsi="Times New Roman" w:cs="Times New Roman"/>
                <w:color w:val="auto"/>
                <w:highlight w:val="none"/>
              </w:rPr>
              <w:t>院内</w:t>
            </w:r>
          </w:p>
        </w:tc>
      </w:tr>
      <w:tr w14:paraId="054BF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50FD4112">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地理坐标</w:t>
            </w:r>
          </w:p>
        </w:tc>
        <w:tc>
          <w:tcPr>
            <w:tcW w:w="7135" w:type="dxa"/>
            <w:gridSpan w:val="3"/>
            <w:tcBorders>
              <w:top w:val="single" w:color="auto" w:sz="4" w:space="0"/>
              <w:left w:val="single" w:color="auto" w:sz="4" w:space="0"/>
              <w:bottom w:val="single" w:color="auto" w:sz="4" w:space="0"/>
              <w:right w:val="single" w:color="auto" w:sz="8" w:space="0"/>
              <w:tl2br w:val="nil"/>
              <w:tr2bl w:val="nil"/>
            </w:tcBorders>
            <w:vAlign w:val="center"/>
          </w:tcPr>
          <w:p w14:paraId="6541D406">
            <w:pPr>
              <w:jc w:val="center"/>
              <w:rPr>
                <w:rFonts w:ascii="Times New Roman" w:hAnsi="Times New Roman" w:cs="Times New Roman"/>
                <w:color w:val="auto"/>
                <w:highlight w:val="none"/>
              </w:rPr>
            </w:pPr>
            <w:r>
              <w:rPr>
                <w:rFonts w:ascii="Times New Roman" w:hAnsi="Times New Roman" w:cs="Times New Roman"/>
                <w:color w:val="auto"/>
                <w:highlight w:val="none"/>
              </w:rPr>
              <w:t>（东经：11</w:t>
            </w:r>
            <w:r>
              <w:rPr>
                <w:rFonts w:hint="eastAsia" w:ascii="Times New Roman" w:hAnsi="Times New Roman" w:cs="Times New Roman"/>
                <w:color w:val="auto"/>
                <w:highlight w:val="none"/>
                <w:lang w:eastAsia="zh-CN"/>
              </w:rPr>
              <w:t>6</w:t>
            </w:r>
            <w:r>
              <w:rPr>
                <w:rFonts w:ascii="Times New Roman" w:hAnsi="Times New Roman" w:cs="Times New Roman"/>
                <w:color w:val="auto"/>
                <w:highlight w:val="none"/>
              </w:rPr>
              <w:t>度</w:t>
            </w:r>
            <w:r>
              <w:rPr>
                <w:rFonts w:hint="eastAsia" w:ascii="Times New Roman" w:hAnsi="Times New Roman" w:cs="Times New Roman"/>
                <w:color w:val="auto"/>
                <w:highlight w:val="none"/>
                <w:lang w:eastAsia="zh-CN"/>
              </w:rPr>
              <w:t>9</w:t>
            </w:r>
            <w:r>
              <w:rPr>
                <w:rFonts w:ascii="Times New Roman" w:hAnsi="Times New Roman" w:cs="Times New Roman"/>
                <w:color w:val="auto"/>
                <w:highlight w:val="none"/>
              </w:rPr>
              <w:t>分</w:t>
            </w:r>
            <w:r>
              <w:rPr>
                <w:rFonts w:hint="eastAsia" w:ascii="Times New Roman" w:hAnsi="Times New Roman" w:cs="Times New Roman"/>
                <w:color w:val="auto"/>
                <w:highlight w:val="none"/>
                <w:lang w:eastAsia="zh-CN"/>
              </w:rPr>
              <w:t>37.787</w:t>
            </w:r>
            <w:r>
              <w:rPr>
                <w:rFonts w:ascii="Times New Roman" w:hAnsi="Times New Roman" w:cs="Times New Roman"/>
                <w:color w:val="auto"/>
                <w:highlight w:val="none"/>
              </w:rPr>
              <w:t>秒，北纬：4</w:t>
            </w:r>
            <w:r>
              <w:rPr>
                <w:rFonts w:hint="eastAsia" w:ascii="Times New Roman" w:hAnsi="Times New Roman" w:cs="Times New Roman"/>
                <w:color w:val="auto"/>
                <w:highlight w:val="none"/>
                <w:lang w:eastAsia="zh-CN"/>
              </w:rPr>
              <w:t>3</w:t>
            </w:r>
            <w:r>
              <w:rPr>
                <w:rFonts w:ascii="Times New Roman" w:hAnsi="Times New Roman" w:cs="Times New Roman"/>
                <w:color w:val="auto"/>
                <w:highlight w:val="none"/>
              </w:rPr>
              <w:t>度</w:t>
            </w:r>
            <w:r>
              <w:rPr>
                <w:rFonts w:hint="eastAsia" w:ascii="Times New Roman" w:hAnsi="Times New Roman" w:cs="Times New Roman"/>
                <w:color w:val="auto"/>
                <w:highlight w:val="none"/>
                <w:lang w:eastAsia="zh-CN"/>
              </w:rPr>
              <w:t>59</w:t>
            </w:r>
            <w:r>
              <w:rPr>
                <w:rFonts w:ascii="Times New Roman" w:hAnsi="Times New Roman" w:cs="Times New Roman"/>
                <w:color w:val="auto"/>
                <w:highlight w:val="none"/>
              </w:rPr>
              <w:t>分</w:t>
            </w:r>
            <w:r>
              <w:rPr>
                <w:rFonts w:hint="eastAsia" w:ascii="Times New Roman" w:hAnsi="Times New Roman" w:cs="Times New Roman"/>
                <w:color w:val="auto"/>
                <w:highlight w:val="none"/>
                <w:lang w:eastAsia="zh-CN"/>
              </w:rPr>
              <w:t>28.130</w:t>
            </w:r>
            <w:r>
              <w:rPr>
                <w:rFonts w:ascii="Times New Roman" w:hAnsi="Times New Roman" w:cs="Times New Roman"/>
                <w:color w:val="auto"/>
                <w:highlight w:val="none"/>
              </w:rPr>
              <w:t>秒）</w:t>
            </w:r>
          </w:p>
        </w:tc>
      </w:tr>
      <w:tr w14:paraId="43F429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28"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63E11865">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国民经济</w:t>
            </w:r>
          </w:p>
          <w:p w14:paraId="0C8AF97A">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行业类别</w:t>
            </w:r>
          </w:p>
        </w:tc>
        <w:tc>
          <w:tcPr>
            <w:tcW w:w="2284" w:type="dxa"/>
            <w:tcBorders>
              <w:top w:val="single" w:color="auto" w:sz="4" w:space="0"/>
              <w:left w:val="single" w:color="auto" w:sz="4" w:space="0"/>
              <w:bottom w:val="single" w:color="auto" w:sz="4" w:space="0"/>
              <w:right w:val="single" w:color="auto" w:sz="4" w:space="0"/>
              <w:tl2br w:val="nil"/>
              <w:tr2bl w:val="nil"/>
            </w:tcBorders>
            <w:vAlign w:val="center"/>
          </w:tcPr>
          <w:p w14:paraId="204C2C78">
            <w:pPr>
              <w:adjustRightInd w:val="0"/>
              <w:snapToGrid w:val="0"/>
              <w:jc w:val="center"/>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N7724危险废物治理</w:t>
            </w:r>
          </w:p>
        </w:tc>
        <w:tc>
          <w:tcPr>
            <w:tcW w:w="1871" w:type="dxa"/>
            <w:tcBorders>
              <w:top w:val="single" w:color="auto" w:sz="4" w:space="0"/>
              <w:left w:val="single" w:color="auto" w:sz="4" w:space="0"/>
              <w:bottom w:val="single" w:color="auto" w:sz="4" w:space="0"/>
              <w:right w:val="single" w:color="auto" w:sz="4" w:space="0"/>
              <w:tl2br w:val="nil"/>
              <w:tr2bl w:val="nil"/>
            </w:tcBorders>
            <w:vAlign w:val="center"/>
          </w:tcPr>
          <w:p w14:paraId="32BBAE14">
            <w:pPr>
              <w:adjustRightInd w:val="0"/>
              <w:snapToGrid w:val="0"/>
              <w:jc w:val="center"/>
              <w:rPr>
                <w:rFonts w:ascii="Times New Roman" w:hAnsi="Times New Roman" w:cs="Times New Roman"/>
                <w:color w:val="auto"/>
                <w:highlight w:val="none"/>
              </w:rPr>
            </w:pPr>
            <w:bookmarkStart w:id="1" w:name="_Hlk49843745"/>
            <w:r>
              <w:rPr>
                <w:rFonts w:ascii="Times New Roman" w:hAnsi="Times New Roman" w:cs="Times New Roman"/>
                <w:color w:val="auto"/>
                <w:highlight w:val="none"/>
              </w:rPr>
              <w:t>建设项目</w:t>
            </w:r>
          </w:p>
          <w:p w14:paraId="0D53F889">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行业类别</w:t>
            </w:r>
            <w:bookmarkEnd w:id="1"/>
          </w:p>
        </w:tc>
        <w:tc>
          <w:tcPr>
            <w:tcW w:w="2980" w:type="dxa"/>
            <w:tcBorders>
              <w:top w:val="single" w:color="auto" w:sz="4" w:space="0"/>
              <w:left w:val="single" w:color="auto" w:sz="4" w:space="0"/>
              <w:bottom w:val="single" w:color="auto" w:sz="4" w:space="0"/>
              <w:right w:val="single" w:color="auto" w:sz="8" w:space="0"/>
              <w:tl2br w:val="nil"/>
              <w:tr2bl w:val="nil"/>
            </w:tcBorders>
            <w:vAlign w:val="center"/>
          </w:tcPr>
          <w:p w14:paraId="22517339">
            <w:pPr>
              <w:adjustRightInd w:val="0"/>
              <w:snapToGrid w:val="0"/>
              <w:rPr>
                <w:rFonts w:ascii="Times New Roman" w:hAnsi="Times New Roman" w:cs="Times New Roman"/>
                <w:color w:val="auto"/>
                <w:highlight w:val="none"/>
              </w:rPr>
            </w:pPr>
            <w:r>
              <w:rPr>
                <w:rFonts w:hint="default" w:ascii="Times New Roman" w:hAnsi="Times New Roman" w:cs="Times New Roman"/>
                <w:color w:val="auto"/>
                <w:sz w:val="24"/>
                <w:szCs w:val="24"/>
                <w:highlight w:val="none"/>
                <w:lang w:val="en-US" w:eastAsia="zh-CN"/>
              </w:rPr>
              <w:t>四十七、生态保护和环境治理业</w:t>
            </w:r>
            <w:r>
              <w:rPr>
                <w:rFonts w:hint="eastAsia" w:ascii="Times New Roman" w:hAnsi="Times New Roman" w:cs="Times New Roman"/>
                <w:color w:val="auto"/>
                <w:sz w:val="24"/>
                <w:szCs w:val="24"/>
                <w:highlight w:val="none"/>
                <w:lang w:val="en-US" w:eastAsia="zh-CN"/>
              </w:rPr>
              <w:t>；</w:t>
            </w:r>
            <w:r>
              <w:rPr>
                <w:rFonts w:hint="eastAsia" w:ascii="Times New Roman" w:hAnsi="Times New Roman" w:cs="Times New Roman"/>
                <w:color w:val="auto"/>
                <w:highlight w:val="none"/>
              </w:rPr>
              <w:t>101危险废物（不含医疗废物）利用及处置中的“其他”类别</w:t>
            </w:r>
          </w:p>
        </w:tc>
      </w:tr>
      <w:tr w14:paraId="03960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5DCF2EA8">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建设性质</w:t>
            </w:r>
          </w:p>
        </w:tc>
        <w:tc>
          <w:tcPr>
            <w:tcW w:w="2284" w:type="dxa"/>
            <w:tcBorders>
              <w:top w:val="single" w:color="auto" w:sz="4" w:space="0"/>
              <w:left w:val="single" w:color="auto" w:sz="4" w:space="0"/>
              <w:bottom w:val="single" w:color="auto" w:sz="4" w:space="0"/>
              <w:right w:val="single" w:color="auto" w:sz="4" w:space="0"/>
              <w:tl2br w:val="nil"/>
              <w:tr2bl w:val="nil"/>
            </w:tcBorders>
            <w:vAlign w:val="center"/>
          </w:tcPr>
          <w:p w14:paraId="0E03440E">
            <w:pPr>
              <w:jc w:val="left"/>
              <w:rPr>
                <w:rFonts w:ascii="Times New Roman" w:hAnsi="Times New Roman" w:cs="Times New Roman"/>
                <w:color w:val="auto"/>
                <w:highlight w:val="none"/>
              </w:rPr>
            </w:pPr>
            <w:r>
              <w:rPr>
                <w:rFonts w:ascii="Times New Roman" w:hAnsi="Times New Roman" w:cs="Times New Roman"/>
                <w:color w:val="auto"/>
                <w:highlight w:val="none"/>
              </w:rPr>
              <w:sym w:font="Wingdings" w:char="00FE"/>
            </w:r>
            <w:r>
              <w:rPr>
                <w:rFonts w:ascii="Times New Roman" w:hAnsi="Times New Roman" w:cs="Times New Roman"/>
                <w:color w:val="auto"/>
                <w:highlight w:val="none"/>
              </w:rPr>
              <w:t>新建（迁建）</w:t>
            </w:r>
          </w:p>
          <w:p w14:paraId="0730F8BA">
            <w:pPr>
              <w:jc w:val="left"/>
              <w:rPr>
                <w:rFonts w:ascii="Times New Roman" w:hAnsi="Times New Roman" w:cs="Times New Roman"/>
                <w:color w:val="auto"/>
                <w:highlight w:val="none"/>
              </w:rPr>
            </w:pPr>
            <w:r>
              <w:rPr>
                <w:rFonts w:ascii="Times New Roman" w:hAnsi="Times New Roman" w:cs="Times New Roman"/>
                <w:color w:val="auto"/>
                <w:highlight w:val="none"/>
              </w:rPr>
              <w:sym w:font="Wingdings" w:char="00A8"/>
            </w:r>
            <w:r>
              <w:rPr>
                <w:rFonts w:ascii="Times New Roman" w:hAnsi="Times New Roman" w:cs="Times New Roman"/>
                <w:color w:val="auto"/>
                <w:highlight w:val="none"/>
              </w:rPr>
              <w:t>改建</w:t>
            </w:r>
          </w:p>
          <w:p w14:paraId="6ADF3150">
            <w:pPr>
              <w:jc w:val="left"/>
              <w:rPr>
                <w:rFonts w:ascii="Times New Roman" w:hAnsi="Times New Roman" w:cs="Times New Roman"/>
                <w:color w:val="auto"/>
                <w:highlight w:val="none"/>
              </w:rPr>
            </w:pPr>
            <w:r>
              <w:rPr>
                <w:rFonts w:ascii="Times New Roman" w:hAnsi="Times New Roman" w:cs="Times New Roman"/>
                <w:color w:val="auto"/>
                <w:highlight w:val="none"/>
              </w:rPr>
              <w:sym w:font="Wingdings" w:char="00A8"/>
            </w:r>
            <w:r>
              <w:rPr>
                <w:rFonts w:ascii="Times New Roman" w:hAnsi="Times New Roman" w:cs="Times New Roman"/>
                <w:color w:val="auto"/>
                <w:highlight w:val="none"/>
              </w:rPr>
              <w:t>扩建</w:t>
            </w:r>
          </w:p>
          <w:p w14:paraId="2031994D">
            <w:pPr>
              <w:jc w:val="left"/>
              <w:rPr>
                <w:rFonts w:ascii="Times New Roman" w:hAnsi="Times New Roman" w:cs="Times New Roman"/>
                <w:color w:val="auto"/>
                <w:highlight w:val="none"/>
              </w:rPr>
            </w:pPr>
            <w:r>
              <w:rPr>
                <w:rFonts w:ascii="Times New Roman" w:hAnsi="Times New Roman" w:cs="Times New Roman"/>
                <w:color w:val="auto"/>
                <w:highlight w:val="none"/>
              </w:rPr>
              <w:sym w:font="Wingdings" w:char="00A8"/>
            </w:r>
            <w:r>
              <w:rPr>
                <w:rFonts w:ascii="Times New Roman" w:hAnsi="Times New Roman" w:cs="Times New Roman"/>
                <w:color w:val="auto"/>
                <w:highlight w:val="none"/>
              </w:rPr>
              <w:t>技术改造</w:t>
            </w:r>
          </w:p>
        </w:tc>
        <w:tc>
          <w:tcPr>
            <w:tcW w:w="1871" w:type="dxa"/>
            <w:tcBorders>
              <w:top w:val="single" w:color="auto" w:sz="4" w:space="0"/>
              <w:left w:val="single" w:color="auto" w:sz="4" w:space="0"/>
              <w:bottom w:val="single" w:color="auto" w:sz="4" w:space="0"/>
              <w:right w:val="single" w:color="auto" w:sz="4" w:space="0"/>
              <w:tl2br w:val="nil"/>
              <w:tr2bl w:val="nil"/>
            </w:tcBorders>
            <w:vAlign w:val="center"/>
          </w:tcPr>
          <w:p w14:paraId="5943B57E">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建设项目</w:t>
            </w:r>
          </w:p>
          <w:p w14:paraId="43849D7A">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申报情形</w:t>
            </w:r>
          </w:p>
        </w:tc>
        <w:tc>
          <w:tcPr>
            <w:tcW w:w="2980" w:type="dxa"/>
            <w:tcBorders>
              <w:top w:val="single" w:color="auto" w:sz="4" w:space="0"/>
              <w:left w:val="single" w:color="auto" w:sz="4" w:space="0"/>
              <w:bottom w:val="single" w:color="auto" w:sz="4" w:space="0"/>
              <w:right w:val="single" w:color="auto" w:sz="8" w:space="0"/>
              <w:tl2br w:val="nil"/>
              <w:tr2bl w:val="nil"/>
            </w:tcBorders>
            <w:vAlign w:val="center"/>
          </w:tcPr>
          <w:p w14:paraId="34C34AE9">
            <w:pPr>
              <w:jc w:val="left"/>
              <w:rPr>
                <w:rFonts w:ascii="Times New Roman" w:hAnsi="Times New Roman" w:cs="Times New Roman"/>
                <w:color w:val="auto"/>
                <w:highlight w:val="none"/>
              </w:rPr>
            </w:pPr>
            <w:r>
              <w:rPr>
                <w:rFonts w:ascii="Times New Roman" w:hAnsi="Times New Roman" w:cs="Times New Roman"/>
                <w:color w:val="auto"/>
                <w:highlight w:val="none"/>
              </w:rPr>
              <w:sym w:font="Wingdings" w:char="00FE"/>
            </w:r>
            <w:r>
              <w:rPr>
                <w:rFonts w:ascii="Times New Roman" w:hAnsi="Times New Roman" w:cs="Times New Roman"/>
                <w:color w:val="auto"/>
                <w:highlight w:val="none"/>
              </w:rPr>
              <w:t>首次申报项目</w:t>
            </w:r>
          </w:p>
          <w:p w14:paraId="1ACE18D8">
            <w:pPr>
              <w:jc w:val="both"/>
              <w:rPr>
                <w:rFonts w:ascii="Times New Roman" w:hAnsi="Times New Roman" w:cs="Times New Roman"/>
                <w:color w:val="auto"/>
                <w:highlight w:val="none"/>
              </w:rPr>
            </w:pPr>
            <w:r>
              <w:rPr>
                <w:rFonts w:ascii="Times New Roman" w:hAnsi="Times New Roman" w:cs="Times New Roman"/>
                <w:color w:val="auto"/>
                <w:highlight w:val="none"/>
              </w:rPr>
              <w:sym w:font="Wingdings" w:char="00A8"/>
            </w:r>
            <w:r>
              <w:rPr>
                <w:rFonts w:ascii="Times New Roman" w:hAnsi="Times New Roman" w:cs="Times New Roman"/>
                <w:color w:val="auto"/>
                <w:highlight w:val="none"/>
              </w:rPr>
              <w:t>不予批准后再次申报项目</w:t>
            </w:r>
          </w:p>
          <w:p w14:paraId="5B9E27D2">
            <w:pPr>
              <w:jc w:val="left"/>
              <w:rPr>
                <w:rFonts w:ascii="Times New Roman" w:hAnsi="Times New Roman" w:cs="Times New Roman"/>
                <w:color w:val="auto"/>
                <w:highlight w:val="none"/>
              </w:rPr>
            </w:pPr>
            <w:r>
              <w:rPr>
                <w:rFonts w:ascii="Times New Roman" w:hAnsi="Times New Roman" w:cs="Times New Roman"/>
                <w:color w:val="auto"/>
                <w:highlight w:val="none"/>
              </w:rPr>
              <w:sym w:font="Wingdings" w:char="00A8"/>
            </w:r>
            <w:r>
              <w:rPr>
                <w:rFonts w:ascii="Times New Roman" w:hAnsi="Times New Roman" w:cs="Times New Roman"/>
                <w:color w:val="auto"/>
                <w:highlight w:val="none"/>
              </w:rPr>
              <w:t>超五年重新审核项目</w:t>
            </w:r>
          </w:p>
          <w:p w14:paraId="6AD82570">
            <w:pPr>
              <w:jc w:val="left"/>
              <w:rPr>
                <w:rFonts w:ascii="Times New Roman" w:hAnsi="Times New Roman" w:cs="Times New Roman"/>
                <w:color w:val="auto"/>
                <w:highlight w:val="none"/>
              </w:rPr>
            </w:pPr>
            <w:r>
              <w:rPr>
                <w:rFonts w:ascii="Times New Roman" w:hAnsi="Times New Roman" w:cs="Times New Roman"/>
                <w:color w:val="auto"/>
                <w:highlight w:val="none"/>
              </w:rPr>
              <w:sym w:font="Wingdings" w:char="00A8"/>
            </w:r>
            <w:r>
              <w:rPr>
                <w:rFonts w:ascii="Times New Roman" w:hAnsi="Times New Roman" w:cs="Times New Roman"/>
                <w:color w:val="auto"/>
                <w:highlight w:val="none"/>
              </w:rPr>
              <w:t>重大变动重新报批项目</w:t>
            </w:r>
          </w:p>
        </w:tc>
      </w:tr>
      <w:tr w14:paraId="7D1395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3A65E69B">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项目审批（核准/备案）部门（选填）</w:t>
            </w:r>
          </w:p>
        </w:tc>
        <w:tc>
          <w:tcPr>
            <w:tcW w:w="2284" w:type="dxa"/>
            <w:tcBorders>
              <w:top w:val="single" w:color="auto" w:sz="4" w:space="0"/>
              <w:left w:val="single" w:color="auto" w:sz="4" w:space="0"/>
              <w:bottom w:val="single" w:color="auto" w:sz="4" w:space="0"/>
              <w:right w:val="single" w:color="auto" w:sz="4" w:space="0"/>
              <w:tl2br w:val="nil"/>
              <w:tr2bl w:val="nil"/>
            </w:tcBorders>
            <w:vAlign w:val="center"/>
          </w:tcPr>
          <w:p w14:paraId="68CD5C50">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w:t>
            </w:r>
          </w:p>
        </w:tc>
        <w:tc>
          <w:tcPr>
            <w:tcW w:w="1871" w:type="dxa"/>
            <w:tcBorders>
              <w:top w:val="single" w:color="auto" w:sz="4" w:space="0"/>
              <w:left w:val="single" w:color="auto" w:sz="4" w:space="0"/>
              <w:bottom w:val="single" w:color="auto" w:sz="4" w:space="0"/>
              <w:right w:val="single" w:color="auto" w:sz="4" w:space="0"/>
              <w:tl2br w:val="nil"/>
              <w:tr2bl w:val="nil"/>
            </w:tcBorders>
            <w:vAlign w:val="center"/>
          </w:tcPr>
          <w:p w14:paraId="5A8B7ECC">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项目审批（核准/</w:t>
            </w:r>
          </w:p>
          <w:p w14:paraId="3E7C2045">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备案）文号（选填）</w:t>
            </w:r>
          </w:p>
        </w:tc>
        <w:tc>
          <w:tcPr>
            <w:tcW w:w="2980" w:type="dxa"/>
            <w:tcBorders>
              <w:top w:val="single" w:color="auto" w:sz="4" w:space="0"/>
              <w:left w:val="single" w:color="auto" w:sz="4" w:space="0"/>
              <w:bottom w:val="single" w:color="auto" w:sz="4" w:space="0"/>
              <w:right w:val="single" w:color="auto" w:sz="8" w:space="0"/>
              <w:tl2br w:val="nil"/>
              <w:tr2bl w:val="nil"/>
            </w:tcBorders>
            <w:vAlign w:val="center"/>
          </w:tcPr>
          <w:p w14:paraId="5649BB9E">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w:t>
            </w:r>
          </w:p>
        </w:tc>
      </w:tr>
      <w:tr w14:paraId="35912B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1F5EF3E8">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总投资（万元）</w:t>
            </w:r>
          </w:p>
        </w:tc>
        <w:tc>
          <w:tcPr>
            <w:tcW w:w="2284" w:type="dxa"/>
            <w:tcBorders>
              <w:top w:val="single" w:color="auto" w:sz="4" w:space="0"/>
              <w:left w:val="single" w:color="auto" w:sz="4" w:space="0"/>
              <w:bottom w:val="single" w:color="auto" w:sz="4" w:space="0"/>
              <w:right w:val="single" w:color="auto" w:sz="4" w:space="0"/>
              <w:tl2br w:val="nil"/>
              <w:tr2bl w:val="nil"/>
            </w:tcBorders>
            <w:vAlign w:val="center"/>
          </w:tcPr>
          <w:p w14:paraId="7FF8E023">
            <w:pPr>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24</w:t>
            </w:r>
          </w:p>
        </w:tc>
        <w:tc>
          <w:tcPr>
            <w:tcW w:w="1871" w:type="dxa"/>
            <w:tcBorders>
              <w:top w:val="single" w:color="auto" w:sz="4" w:space="0"/>
              <w:left w:val="single" w:color="auto" w:sz="4" w:space="0"/>
              <w:bottom w:val="single" w:color="auto" w:sz="4" w:space="0"/>
              <w:right w:val="single" w:color="auto" w:sz="4" w:space="0"/>
              <w:tl2br w:val="nil"/>
              <w:tr2bl w:val="nil"/>
            </w:tcBorders>
            <w:tcMar>
              <w:top w:w="16" w:type="dxa"/>
              <w:left w:w="16" w:type="dxa"/>
              <w:right w:w="16" w:type="dxa"/>
            </w:tcMar>
            <w:vAlign w:val="center"/>
          </w:tcPr>
          <w:p w14:paraId="70360789">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环保投资（万元）</w:t>
            </w:r>
          </w:p>
        </w:tc>
        <w:tc>
          <w:tcPr>
            <w:tcW w:w="2980" w:type="dxa"/>
            <w:tcBorders>
              <w:top w:val="single" w:color="auto" w:sz="4" w:space="0"/>
              <w:left w:val="single" w:color="auto" w:sz="4" w:space="0"/>
              <w:bottom w:val="single" w:color="auto" w:sz="4" w:space="0"/>
              <w:right w:val="single" w:color="auto" w:sz="8" w:space="0"/>
              <w:tl2br w:val="nil"/>
              <w:tr2bl w:val="nil"/>
            </w:tcBorders>
            <w:vAlign w:val="center"/>
          </w:tcPr>
          <w:p w14:paraId="336DD0BE">
            <w:pPr>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24</w:t>
            </w:r>
          </w:p>
        </w:tc>
      </w:tr>
      <w:tr w14:paraId="21E727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8"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370E09E9">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环保投资占比（%）</w:t>
            </w:r>
          </w:p>
        </w:tc>
        <w:tc>
          <w:tcPr>
            <w:tcW w:w="2284" w:type="dxa"/>
            <w:tcBorders>
              <w:top w:val="single" w:color="auto" w:sz="4" w:space="0"/>
              <w:left w:val="single" w:color="auto" w:sz="4" w:space="0"/>
              <w:bottom w:val="single" w:color="auto" w:sz="4" w:space="0"/>
              <w:right w:val="single" w:color="auto" w:sz="4" w:space="0"/>
              <w:tl2br w:val="nil"/>
              <w:tr2bl w:val="nil"/>
            </w:tcBorders>
            <w:vAlign w:val="center"/>
          </w:tcPr>
          <w:p w14:paraId="0333F729">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100%</w:t>
            </w:r>
          </w:p>
        </w:tc>
        <w:tc>
          <w:tcPr>
            <w:tcW w:w="1871" w:type="dxa"/>
            <w:tcBorders>
              <w:top w:val="single" w:color="auto" w:sz="4" w:space="0"/>
              <w:left w:val="single" w:color="auto" w:sz="4" w:space="0"/>
              <w:bottom w:val="single" w:color="auto" w:sz="4" w:space="0"/>
              <w:right w:val="single" w:color="auto" w:sz="4" w:space="0"/>
              <w:tl2br w:val="nil"/>
              <w:tr2bl w:val="nil"/>
            </w:tcBorders>
            <w:tcMar>
              <w:top w:w="16" w:type="dxa"/>
              <w:left w:w="16" w:type="dxa"/>
              <w:right w:w="16" w:type="dxa"/>
            </w:tcMar>
            <w:vAlign w:val="center"/>
          </w:tcPr>
          <w:p w14:paraId="362B3F8C">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施工工期</w:t>
            </w:r>
          </w:p>
        </w:tc>
        <w:tc>
          <w:tcPr>
            <w:tcW w:w="2980" w:type="dxa"/>
            <w:tcBorders>
              <w:top w:val="single" w:color="auto" w:sz="4" w:space="0"/>
              <w:left w:val="single" w:color="auto" w:sz="4" w:space="0"/>
              <w:bottom w:val="single" w:color="auto" w:sz="4" w:space="0"/>
              <w:right w:val="single" w:color="auto" w:sz="8" w:space="0"/>
              <w:tl2br w:val="nil"/>
              <w:tr2bl w:val="nil"/>
            </w:tcBorders>
            <w:vAlign w:val="center"/>
          </w:tcPr>
          <w:p w14:paraId="69E533C3">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1个月</w:t>
            </w:r>
          </w:p>
        </w:tc>
      </w:tr>
      <w:tr w14:paraId="0F3C7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15"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tcMar>
              <w:top w:w="16" w:type="dxa"/>
              <w:left w:w="16" w:type="dxa"/>
              <w:right w:w="16" w:type="dxa"/>
            </w:tcMar>
            <w:vAlign w:val="center"/>
          </w:tcPr>
          <w:p w14:paraId="24719B3D">
            <w:pPr>
              <w:adjustRightInd w:val="0"/>
              <w:snapToGrid w:val="0"/>
              <w:jc w:val="center"/>
              <w:rPr>
                <w:rFonts w:ascii="Times New Roman" w:hAnsi="Times New Roman" w:cs="Times New Roman"/>
                <w:color w:val="auto"/>
                <w:highlight w:val="none"/>
              </w:rPr>
            </w:pPr>
            <w:r>
              <w:rPr>
                <w:rFonts w:ascii="Times New Roman" w:hAnsi="Times New Roman" w:cs="Times New Roman"/>
                <w:color w:val="auto"/>
                <w:highlight w:val="none"/>
              </w:rPr>
              <w:t>是否开工建设</w:t>
            </w:r>
          </w:p>
        </w:tc>
        <w:tc>
          <w:tcPr>
            <w:tcW w:w="2284" w:type="dxa"/>
            <w:tcBorders>
              <w:top w:val="single" w:color="auto" w:sz="4" w:space="0"/>
              <w:left w:val="single" w:color="auto" w:sz="4" w:space="0"/>
              <w:bottom w:val="single" w:color="auto" w:sz="4" w:space="0"/>
              <w:right w:val="single" w:color="auto" w:sz="4" w:space="0"/>
              <w:tl2br w:val="nil"/>
              <w:tr2bl w:val="nil"/>
            </w:tcBorders>
            <w:vAlign w:val="center"/>
          </w:tcPr>
          <w:p w14:paraId="5EA72B0F">
            <w:pPr>
              <w:adjustRightInd w:val="0"/>
              <w:snapToGrid w:val="0"/>
              <w:rPr>
                <w:rFonts w:ascii="Times New Roman" w:hAnsi="Times New Roman" w:cs="Times New Roman"/>
                <w:color w:val="auto"/>
                <w:highlight w:val="none"/>
              </w:rPr>
            </w:pPr>
            <w:r>
              <w:rPr>
                <w:rFonts w:ascii="Times New Roman" w:hAnsi="Times New Roman" w:cs="Times New Roman"/>
                <w:color w:val="auto"/>
                <w:highlight w:val="none"/>
              </w:rPr>
              <w:sym w:font="Wingdings" w:char="00FE"/>
            </w:r>
            <w:r>
              <w:rPr>
                <w:rFonts w:ascii="Times New Roman" w:hAnsi="Times New Roman" w:cs="Times New Roman"/>
                <w:color w:val="auto"/>
                <w:highlight w:val="none"/>
              </w:rPr>
              <w:t>否</w:t>
            </w:r>
          </w:p>
          <w:p w14:paraId="574AB91B">
            <w:pPr>
              <w:adjustRightInd w:val="0"/>
              <w:snapToGrid w:val="0"/>
              <w:rPr>
                <w:rFonts w:ascii="Times New Roman" w:hAnsi="Times New Roman" w:cs="Times New Roman"/>
                <w:color w:val="auto"/>
                <w:highlight w:val="none"/>
              </w:rPr>
            </w:pPr>
            <w:r>
              <w:rPr>
                <w:rFonts w:ascii="Times New Roman" w:hAnsi="Times New Roman" w:cs="Times New Roman"/>
                <w:color w:val="auto"/>
                <w:highlight w:val="none"/>
              </w:rPr>
              <w:sym w:font="Wingdings" w:char="00A8"/>
            </w:r>
            <w:r>
              <w:rPr>
                <w:rFonts w:ascii="Times New Roman" w:hAnsi="Times New Roman" w:cs="Times New Roman"/>
                <w:color w:val="auto"/>
                <w:highlight w:val="none"/>
              </w:rPr>
              <w:t>是：</w:t>
            </w:r>
          </w:p>
        </w:tc>
        <w:tc>
          <w:tcPr>
            <w:tcW w:w="1871" w:type="dxa"/>
            <w:tcBorders>
              <w:top w:val="single" w:color="auto" w:sz="4" w:space="0"/>
              <w:left w:val="single" w:color="auto" w:sz="4" w:space="0"/>
              <w:bottom w:val="single" w:color="auto" w:sz="4" w:space="0"/>
              <w:right w:val="single" w:color="auto" w:sz="4" w:space="0"/>
              <w:tl2br w:val="nil"/>
              <w:tr2bl w:val="nil"/>
            </w:tcBorders>
            <w:tcMar>
              <w:top w:w="16" w:type="dxa"/>
              <w:left w:w="16" w:type="dxa"/>
              <w:right w:w="16" w:type="dxa"/>
            </w:tcMar>
            <w:vAlign w:val="center"/>
          </w:tcPr>
          <w:p w14:paraId="1AF61362">
            <w:pPr>
              <w:adjustRightInd w:val="0"/>
              <w:snapToGrid w:val="0"/>
              <w:jc w:val="center"/>
              <w:rPr>
                <w:rFonts w:ascii="Times New Roman" w:hAnsi="Times New Roman" w:cs="Times New Roman"/>
                <w:color w:val="auto"/>
                <w:spacing w:val="-6"/>
                <w:highlight w:val="none"/>
              </w:rPr>
            </w:pPr>
            <w:r>
              <w:rPr>
                <w:rFonts w:ascii="Times New Roman" w:hAnsi="Times New Roman" w:cs="Times New Roman"/>
                <w:color w:val="auto"/>
                <w:spacing w:val="-6"/>
                <w:highlight w:val="none"/>
              </w:rPr>
              <w:t>用地（用海）</w:t>
            </w:r>
          </w:p>
          <w:p w14:paraId="150E8A62">
            <w:pPr>
              <w:adjustRightInd w:val="0"/>
              <w:snapToGrid w:val="0"/>
              <w:jc w:val="center"/>
              <w:rPr>
                <w:rFonts w:ascii="Times New Roman" w:hAnsi="Times New Roman" w:cs="Times New Roman"/>
                <w:color w:val="auto"/>
                <w:highlight w:val="none"/>
              </w:rPr>
            </w:pPr>
            <w:r>
              <w:rPr>
                <w:rFonts w:ascii="Times New Roman" w:hAnsi="Times New Roman" w:cs="Times New Roman"/>
                <w:color w:val="auto"/>
                <w:spacing w:val="-6"/>
                <w:highlight w:val="none"/>
              </w:rPr>
              <w:t>面积（m</w:t>
            </w:r>
            <w:r>
              <w:rPr>
                <w:rFonts w:ascii="Times New Roman" w:hAnsi="Times New Roman" w:cs="Times New Roman"/>
                <w:color w:val="auto"/>
                <w:spacing w:val="-6"/>
                <w:highlight w:val="none"/>
                <w:vertAlign w:val="superscript"/>
              </w:rPr>
              <w:t>2</w:t>
            </w:r>
            <w:r>
              <w:rPr>
                <w:rFonts w:ascii="Times New Roman" w:hAnsi="Times New Roman" w:cs="Times New Roman"/>
                <w:color w:val="auto"/>
                <w:spacing w:val="-6"/>
                <w:highlight w:val="none"/>
              </w:rPr>
              <w:t>）</w:t>
            </w:r>
          </w:p>
        </w:tc>
        <w:tc>
          <w:tcPr>
            <w:tcW w:w="2980" w:type="dxa"/>
            <w:tcBorders>
              <w:top w:val="single" w:color="auto" w:sz="4" w:space="0"/>
              <w:left w:val="single" w:color="auto" w:sz="4" w:space="0"/>
              <w:bottom w:val="single" w:color="auto" w:sz="4" w:space="0"/>
              <w:right w:val="single" w:color="auto" w:sz="8" w:space="0"/>
              <w:tl2br w:val="nil"/>
              <w:tr2bl w:val="nil"/>
            </w:tcBorders>
            <w:vAlign w:val="center"/>
          </w:tcPr>
          <w:p w14:paraId="2749E0A8">
            <w:pPr>
              <w:adjustRightInd w:val="0"/>
              <w:snapToGrid w:val="0"/>
              <w:rPr>
                <w:rFonts w:ascii="Times New Roman" w:hAnsi="Times New Roman" w:cs="Times New Roman"/>
                <w:color w:val="auto"/>
                <w:highlight w:val="none"/>
              </w:rPr>
            </w:pPr>
            <w:r>
              <w:rPr>
                <w:rFonts w:hint="eastAsia" w:ascii="Times New Roman" w:hAnsi="Times New Roman" w:cs="Times New Roman"/>
                <w:color w:val="auto"/>
                <w:spacing w:val="-6"/>
                <w:highlight w:val="none"/>
                <w:lang w:val="en-US" w:eastAsia="zh-CN"/>
              </w:rPr>
              <w:t>厂区总</w:t>
            </w:r>
            <w:r>
              <w:rPr>
                <w:rFonts w:ascii="Times New Roman" w:hAnsi="Times New Roman" w:cs="Times New Roman"/>
                <w:color w:val="auto"/>
                <w:spacing w:val="-6"/>
                <w:highlight w:val="none"/>
              </w:rPr>
              <w:t>占地面积</w:t>
            </w:r>
            <w:r>
              <w:rPr>
                <w:rFonts w:hint="eastAsia" w:ascii="Times New Roman" w:hAnsi="Times New Roman" w:cs="Times New Roman"/>
                <w:color w:val="auto"/>
                <w:sz w:val="24"/>
              </w:rPr>
              <w:t>5</w:t>
            </w:r>
            <w:r>
              <w:rPr>
                <w:rFonts w:ascii="Times New Roman" w:hAnsi="Times New Roman" w:cs="Times New Roman"/>
                <w:color w:val="auto"/>
                <w:sz w:val="24"/>
              </w:rPr>
              <w:t>3332.85</w:t>
            </w:r>
            <w:r>
              <w:rPr>
                <w:rFonts w:ascii="Times New Roman" w:hAnsi="Times New Roman" w:cs="Times New Roman"/>
                <w:color w:val="auto"/>
                <w:spacing w:val="-6"/>
                <w:highlight w:val="none"/>
              </w:rPr>
              <w:t>m</w:t>
            </w:r>
            <w:r>
              <w:rPr>
                <w:rFonts w:ascii="Times New Roman" w:hAnsi="Times New Roman" w:cs="Times New Roman"/>
                <w:color w:val="auto"/>
                <w:spacing w:val="-6"/>
                <w:highlight w:val="none"/>
                <w:vertAlign w:val="superscript"/>
              </w:rPr>
              <w:t>2</w:t>
            </w:r>
            <w:r>
              <w:rPr>
                <w:rFonts w:ascii="Times New Roman" w:hAnsi="Times New Roman" w:cs="Times New Roman"/>
                <w:color w:val="auto"/>
                <w:spacing w:val="-6"/>
                <w:highlight w:val="none"/>
              </w:rPr>
              <w:t>，本项目占地</w:t>
            </w:r>
            <w:r>
              <w:rPr>
                <w:rFonts w:hint="eastAsia" w:ascii="Times New Roman" w:hAnsi="Times New Roman" w:cs="Times New Roman"/>
                <w:color w:val="auto"/>
                <w:spacing w:val="-6"/>
                <w:highlight w:val="none"/>
                <w:lang w:val="en-US" w:eastAsia="zh-CN"/>
              </w:rPr>
              <w:t>50</w:t>
            </w:r>
            <w:r>
              <w:rPr>
                <w:rFonts w:ascii="Times New Roman" w:hAnsi="Times New Roman" w:cs="Times New Roman"/>
                <w:color w:val="auto"/>
                <w:spacing w:val="-6"/>
                <w:highlight w:val="none"/>
              </w:rPr>
              <w:t>m</w:t>
            </w:r>
            <w:r>
              <w:rPr>
                <w:rFonts w:ascii="Times New Roman" w:hAnsi="Times New Roman" w:cs="Times New Roman"/>
                <w:color w:val="auto"/>
                <w:spacing w:val="-6"/>
                <w:highlight w:val="none"/>
                <w:vertAlign w:val="superscript"/>
              </w:rPr>
              <w:t>2</w:t>
            </w:r>
            <w:r>
              <w:rPr>
                <w:rFonts w:ascii="Times New Roman" w:hAnsi="Times New Roman" w:cs="Times New Roman"/>
                <w:color w:val="auto"/>
                <w:spacing w:val="-6"/>
                <w:highlight w:val="none"/>
              </w:rPr>
              <w:t>，位于现有</w:t>
            </w:r>
            <w:r>
              <w:rPr>
                <w:rFonts w:hint="eastAsia" w:ascii="Times New Roman" w:hAnsi="Times New Roman" w:cs="Times New Roman"/>
                <w:color w:val="auto"/>
                <w:spacing w:val="-6"/>
                <w:highlight w:val="none"/>
                <w:lang w:val="en-US" w:eastAsia="zh-CN"/>
              </w:rPr>
              <w:t>厂</w:t>
            </w:r>
            <w:r>
              <w:rPr>
                <w:rFonts w:ascii="Times New Roman" w:hAnsi="Times New Roman" w:cs="Times New Roman"/>
                <w:color w:val="auto"/>
                <w:spacing w:val="-6"/>
                <w:highlight w:val="none"/>
              </w:rPr>
              <w:t>内，不新增占地</w:t>
            </w:r>
          </w:p>
        </w:tc>
      </w:tr>
      <w:tr w14:paraId="68470A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vAlign w:val="center"/>
          </w:tcPr>
          <w:p w14:paraId="1832DEEF">
            <w:pPr>
              <w:autoSpaceDE w:val="0"/>
              <w:autoSpaceDN w:val="0"/>
              <w:adjustRightInd w:val="0"/>
              <w:snapToGrid w:val="0"/>
              <w:jc w:val="center"/>
              <w:rPr>
                <w:rFonts w:ascii="Times New Roman" w:hAnsi="Times New Roman" w:cs="Times New Roman"/>
                <w:color w:val="auto"/>
                <w:kern w:val="0"/>
                <w:highlight w:val="none"/>
              </w:rPr>
            </w:pPr>
            <w:r>
              <w:rPr>
                <w:rFonts w:ascii="Times New Roman" w:hAnsi="Times New Roman" w:cs="Times New Roman"/>
                <w:color w:val="auto"/>
                <w:kern w:val="0"/>
                <w:highlight w:val="none"/>
              </w:rPr>
              <w:t>专项评价设置情况</w:t>
            </w:r>
          </w:p>
        </w:tc>
        <w:tc>
          <w:tcPr>
            <w:tcW w:w="7135" w:type="dxa"/>
            <w:gridSpan w:val="3"/>
            <w:tcBorders>
              <w:top w:val="single" w:color="auto" w:sz="4" w:space="0"/>
              <w:left w:val="single" w:color="auto" w:sz="4" w:space="0"/>
              <w:bottom w:val="single" w:color="auto" w:sz="4" w:space="0"/>
              <w:right w:val="single" w:color="auto" w:sz="8" w:space="0"/>
              <w:tl2br w:val="nil"/>
              <w:tr2bl w:val="nil"/>
            </w:tcBorders>
            <w:vAlign w:val="center"/>
          </w:tcPr>
          <w:p w14:paraId="4A622B6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ascii="Times New Roman" w:hAnsi="Times New Roman" w:cs="Times New Roman"/>
                <w:color w:val="auto"/>
                <w:kern w:val="0"/>
                <w:highlight w:val="none"/>
              </w:rPr>
            </w:pPr>
            <w:r>
              <w:rPr>
                <w:rFonts w:hint="default" w:ascii="Times New Roman" w:hAnsi="Times New Roman" w:cs="Times New Roman"/>
                <w:color w:val="auto"/>
                <w:kern w:val="0"/>
                <w:highlight w:val="none"/>
                <w:lang w:val="en-US" w:eastAsia="zh-CN"/>
              </w:rPr>
              <w:t>本项目为</w:t>
            </w:r>
            <w:r>
              <w:rPr>
                <w:rFonts w:hint="eastAsia" w:ascii="Times New Roman" w:hAnsi="Times New Roman" w:cs="Times New Roman"/>
                <w:color w:val="auto"/>
                <w:kern w:val="0"/>
                <w:highlight w:val="none"/>
                <w:lang w:val="en-US" w:eastAsia="zh-CN"/>
              </w:rPr>
              <w:t>危废暂存间建设</w:t>
            </w:r>
            <w:r>
              <w:rPr>
                <w:rFonts w:hint="default" w:ascii="Times New Roman" w:hAnsi="Times New Roman" w:cs="Times New Roman"/>
                <w:color w:val="auto"/>
                <w:kern w:val="0"/>
                <w:highlight w:val="none"/>
                <w:lang w:val="en-US" w:eastAsia="zh-CN"/>
              </w:rPr>
              <w:t>项目，根据《建设项目环境影响报告表编制技术指南（污染影响类）（试行）》表1专项评价设置原则表，本项目危险物质</w:t>
            </w:r>
            <w:r>
              <w:rPr>
                <w:rFonts w:hint="eastAsia" w:ascii="Times New Roman" w:hAnsi="Times New Roman" w:cs="Times New Roman"/>
                <w:color w:val="auto"/>
                <w:kern w:val="0"/>
                <w:highlight w:val="none"/>
                <w:lang w:val="en-US" w:eastAsia="zh-CN"/>
              </w:rPr>
              <w:t>最大贮存量未</w:t>
            </w:r>
            <w:r>
              <w:rPr>
                <w:rFonts w:hint="default" w:ascii="Times New Roman" w:hAnsi="Times New Roman" w:cs="Times New Roman"/>
                <w:color w:val="auto"/>
                <w:kern w:val="0"/>
                <w:highlight w:val="none"/>
                <w:lang w:val="en-US" w:eastAsia="zh-CN"/>
              </w:rPr>
              <w:t>超过临界量，无</w:t>
            </w:r>
            <w:r>
              <w:rPr>
                <w:rFonts w:hint="eastAsia" w:ascii="Times New Roman" w:hAnsi="Times New Roman" w:cs="Times New Roman"/>
                <w:color w:val="auto"/>
                <w:kern w:val="0"/>
                <w:highlight w:val="none"/>
                <w:lang w:val="en-US" w:eastAsia="zh-CN"/>
              </w:rPr>
              <w:t>须</w:t>
            </w:r>
            <w:r>
              <w:rPr>
                <w:rFonts w:hint="default" w:ascii="Times New Roman" w:hAnsi="Times New Roman" w:cs="Times New Roman"/>
                <w:color w:val="auto"/>
                <w:kern w:val="0"/>
                <w:highlight w:val="none"/>
                <w:lang w:val="en-US" w:eastAsia="zh-CN"/>
              </w:rPr>
              <w:t>设置专题评价报告。</w:t>
            </w:r>
          </w:p>
        </w:tc>
      </w:tr>
      <w:tr w14:paraId="0C9263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vAlign w:val="center"/>
          </w:tcPr>
          <w:p w14:paraId="289270E3">
            <w:pPr>
              <w:autoSpaceDE w:val="0"/>
              <w:autoSpaceDN w:val="0"/>
              <w:adjustRightInd w:val="0"/>
              <w:snapToGrid w:val="0"/>
              <w:jc w:val="center"/>
              <w:rPr>
                <w:rFonts w:ascii="Times New Roman" w:hAnsi="Times New Roman" w:cs="Times New Roman"/>
                <w:color w:val="auto"/>
                <w:kern w:val="0"/>
                <w:highlight w:val="none"/>
              </w:rPr>
            </w:pPr>
            <w:r>
              <w:rPr>
                <w:rFonts w:ascii="Times New Roman" w:hAnsi="Times New Roman" w:cs="Times New Roman"/>
                <w:color w:val="auto"/>
                <w:highlight w:val="none"/>
              </w:rPr>
              <w:t>规划情况</w:t>
            </w:r>
          </w:p>
        </w:tc>
        <w:tc>
          <w:tcPr>
            <w:tcW w:w="7135" w:type="dxa"/>
            <w:gridSpan w:val="3"/>
            <w:tcBorders>
              <w:top w:val="single" w:color="auto" w:sz="4" w:space="0"/>
              <w:left w:val="single" w:color="auto" w:sz="4" w:space="0"/>
              <w:bottom w:val="single" w:color="auto" w:sz="4" w:space="0"/>
              <w:right w:val="single" w:color="auto" w:sz="8" w:space="0"/>
              <w:tl2br w:val="nil"/>
              <w:tr2bl w:val="nil"/>
            </w:tcBorders>
            <w:vAlign w:val="center"/>
          </w:tcPr>
          <w:p w14:paraId="758406DA">
            <w:pPr>
              <w:adjustRightInd w:val="0"/>
              <w:snapToGrid w:val="0"/>
              <w:spacing w:line="360" w:lineRule="auto"/>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highlight w:val="none"/>
              </w:rPr>
              <w:t>无</w:t>
            </w:r>
          </w:p>
        </w:tc>
      </w:tr>
      <w:tr w14:paraId="036B99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1"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vAlign w:val="center"/>
          </w:tcPr>
          <w:p w14:paraId="1215C3BA">
            <w:pPr>
              <w:adjustRightInd w:val="0"/>
              <w:snapToGrid w:val="0"/>
              <w:jc w:val="center"/>
              <w:rPr>
                <w:rFonts w:ascii="Times New Roman" w:hAnsi="Times New Roman" w:cs="Times New Roman"/>
                <w:color w:val="auto"/>
                <w:kern w:val="0"/>
                <w:highlight w:val="none"/>
              </w:rPr>
            </w:pPr>
            <w:r>
              <w:rPr>
                <w:rFonts w:ascii="Times New Roman" w:hAnsi="Times New Roman" w:cs="Times New Roman"/>
                <w:color w:val="auto"/>
                <w:highlight w:val="none"/>
              </w:rPr>
              <w:t>规划环境影响评价情况</w:t>
            </w:r>
          </w:p>
        </w:tc>
        <w:tc>
          <w:tcPr>
            <w:tcW w:w="7135" w:type="dxa"/>
            <w:gridSpan w:val="3"/>
            <w:tcBorders>
              <w:top w:val="single" w:color="auto" w:sz="4" w:space="0"/>
              <w:left w:val="single" w:color="auto" w:sz="4" w:space="0"/>
              <w:bottom w:val="single" w:color="auto" w:sz="4" w:space="0"/>
              <w:right w:val="single" w:color="auto" w:sz="8" w:space="0"/>
              <w:tl2br w:val="nil"/>
              <w:tr2bl w:val="nil"/>
            </w:tcBorders>
            <w:vAlign w:val="center"/>
          </w:tcPr>
          <w:p w14:paraId="0545735A">
            <w:pPr>
              <w:adjustRightInd w:val="0"/>
              <w:snapToGrid w:val="0"/>
              <w:spacing w:line="360" w:lineRule="auto"/>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highlight w:val="none"/>
              </w:rPr>
              <w:t>无</w:t>
            </w:r>
          </w:p>
        </w:tc>
      </w:tr>
      <w:tr w14:paraId="6298E0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35" w:type="dxa"/>
            <w:tcBorders>
              <w:top w:val="single" w:color="auto" w:sz="4" w:space="0"/>
              <w:left w:val="single" w:color="auto" w:sz="8" w:space="0"/>
              <w:bottom w:val="single" w:color="auto" w:sz="4" w:space="0"/>
              <w:right w:val="single" w:color="auto" w:sz="4" w:space="0"/>
              <w:tl2br w:val="nil"/>
              <w:tr2bl w:val="nil"/>
            </w:tcBorders>
            <w:vAlign w:val="center"/>
          </w:tcPr>
          <w:p w14:paraId="273EBDD0">
            <w:pPr>
              <w:autoSpaceDE w:val="0"/>
              <w:autoSpaceDN w:val="0"/>
              <w:adjustRightInd w:val="0"/>
              <w:snapToGrid w:val="0"/>
              <w:jc w:val="center"/>
              <w:rPr>
                <w:rFonts w:ascii="Times New Roman" w:hAnsi="Times New Roman" w:cs="Times New Roman"/>
                <w:color w:val="auto"/>
                <w:kern w:val="0"/>
                <w:highlight w:val="none"/>
              </w:rPr>
            </w:pPr>
            <w:r>
              <w:rPr>
                <w:rFonts w:ascii="Times New Roman" w:hAnsi="Times New Roman" w:cs="Times New Roman"/>
                <w:color w:val="auto"/>
                <w:kern w:val="0"/>
                <w:highlight w:val="none"/>
              </w:rPr>
              <w:t>规划及规划环境影响评价符合性分析</w:t>
            </w:r>
          </w:p>
        </w:tc>
        <w:tc>
          <w:tcPr>
            <w:tcW w:w="7135" w:type="dxa"/>
            <w:gridSpan w:val="3"/>
            <w:tcBorders>
              <w:top w:val="single" w:color="auto" w:sz="4" w:space="0"/>
              <w:left w:val="single" w:color="auto" w:sz="4" w:space="0"/>
              <w:bottom w:val="single" w:color="auto" w:sz="4" w:space="0"/>
              <w:right w:val="single" w:color="auto" w:sz="8" w:space="0"/>
              <w:tl2br w:val="nil"/>
              <w:tr2bl w:val="nil"/>
            </w:tcBorders>
            <w:vAlign w:val="center"/>
          </w:tcPr>
          <w:p w14:paraId="3E87C5E9">
            <w:pPr>
              <w:adjustRightInd w:val="0"/>
              <w:snapToGrid w:val="0"/>
              <w:spacing w:line="360" w:lineRule="auto"/>
              <w:jc w:val="center"/>
              <w:rPr>
                <w:color w:val="auto"/>
                <w:highlight w:val="none"/>
              </w:rPr>
            </w:pPr>
            <w:r>
              <w:rPr>
                <w:rFonts w:ascii="Times New Roman" w:hAnsi="Times New Roman" w:cs="Times New Roman"/>
                <w:color w:val="auto"/>
                <w:kern w:val="0"/>
                <w:highlight w:val="none"/>
              </w:rPr>
              <w:t>无</w:t>
            </w:r>
          </w:p>
        </w:tc>
      </w:tr>
      <w:tr w14:paraId="5BA98D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35" w:type="dxa"/>
            <w:tcBorders>
              <w:top w:val="single" w:color="auto" w:sz="4" w:space="0"/>
              <w:left w:val="single" w:color="auto" w:sz="8" w:space="0"/>
              <w:bottom w:val="single" w:color="auto" w:sz="8" w:space="0"/>
              <w:right w:val="single" w:color="auto" w:sz="4" w:space="0"/>
              <w:tl2br w:val="nil"/>
              <w:tr2bl w:val="nil"/>
            </w:tcBorders>
            <w:vAlign w:val="center"/>
          </w:tcPr>
          <w:p w14:paraId="08C6DFDE">
            <w:pPr>
              <w:autoSpaceDE w:val="0"/>
              <w:autoSpaceDN w:val="0"/>
              <w:adjustRightInd w:val="0"/>
              <w:snapToGrid w:val="0"/>
              <w:jc w:val="center"/>
              <w:rPr>
                <w:rFonts w:ascii="Times New Roman" w:hAnsi="Times New Roman" w:cs="Times New Roman"/>
                <w:color w:val="auto"/>
                <w:kern w:val="0"/>
                <w:sz w:val="21"/>
                <w:szCs w:val="21"/>
                <w:highlight w:val="yellow"/>
              </w:rPr>
            </w:pPr>
            <w:r>
              <w:rPr>
                <w:rFonts w:ascii="Times New Roman" w:hAnsi="Times New Roman" w:cs="Times New Roman"/>
                <w:color w:val="auto"/>
                <w:kern w:val="0"/>
                <w:sz w:val="21"/>
                <w:szCs w:val="21"/>
                <w:highlight w:val="none"/>
              </w:rPr>
              <w:t>其他符合性分析</w:t>
            </w:r>
          </w:p>
        </w:tc>
        <w:tc>
          <w:tcPr>
            <w:tcW w:w="7135" w:type="dxa"/>
            <w:gridSpan w:val="3"/>
            <w:tcBorders>
              <w:top w:val="single" w:color="auto" w:sz="4" w:space="0"/>
              <w:left w:val="single" w:color="auto" w:sz="4" w:space="0"/>
              <w:bottom w:val="single" w:color="auto" w:sz="8" w:space="0"/>
              <w:right w:val="single" w:color="auto" w:sz="8" w:space="0"/>
              <w:tl2br w:val="nil"/>
              <w:tr2bl w:val="nil"/>
            </w:tcBorders>
            <w:vAlign w:val="center"/>
          </w:tcPr>
          <w:p w14:paraId="12F984EF">
            <w:pPr>
              <w:snapToGrid w:val="0"/>
              <w:spacing w:line="360" w:lineRule="auto"/>
              <w:ind w:firstLine="482" w:firstLineChars="200"/>
              <w:rPr>
                <w:rFonts w:ascii="Times New Roman" w:hAnsi="Times New Roman" w:cs="Times New Roman"/>
                <w:b/>
                <w:bCs/>
                <w:color w:val="auto"/>
                <w:highlight w:val="none"/>
              </w:rPr>
            </w:pPr>
            <w:r>
              <w:rPr>
                <w:rFonts w:ascii="Times New Roman" w:hAnsi="Times New Roman" w:cs="Times New Roman"/>
                <w:b/>
                <w:bCs/>
                <w:color w:val="auto"/>
                <w:highlight w:val="none"/>
              </w:rPr>
              <w:t>一、项目选址与</w:t>
            </w:r>
            <w:r>
              <w:rPr>
                <w:rFonts w:hint="eastAsia" w:ascii="Times New Roman" w:hAnsi="Times New Roman" w:cs="Times New Roman"/>
                <w:b/>
                <w:bCs/>
                <w:color w:val="auto"/>
                <w:highlight w:val="none"/>
              </w:rPr>
              <w:t>“</w:t>
            </w:r>
            <w:r>
              <w:rPr>
                <w:rFonts w:ascii="Times New Roman" w:hAnsi="Times New Roman" w:cs="Times New Roman"/>
                <w:b/>
                <w:bCs/>
                <w:color w:val="auto"/>
                <w:highlight w:val="none"/>
              </w:rPr>
              <w:t>三线一单</w:t>
            </w:r>
            <w:r>
              <w:rPr>
                <w:rFonts w:hint="eastAsia" w:ascii="Times New Roman" w:hAnsi="Times New Roman" w:cs="Times New Roman"/>
                <w:b/>
                <w:bCs/>
                <w:color w:val="auto"/>
                <w:highlight w:val="none"/>
              </w:rPr>
              <w:t>”</w:t>
            </w:r>
            <w:r>
              <w:rPr>
                <w:rFonts w:ascii="Times New Roman" w:hAnsi="Times New Roman" w:cs="Times New Roman"/>
                <w:b/>
                <w:bCs/>
                <w:color w:val="auto"/>
                <w:highlight w:val="none"/>
              </w:rPr>
              <w:t>符合性分析</w:t>
            </w:r>
          </w:p>
          <w:p w14:paraId="5F2226E3">
            <w:pPr>
              <w:snapToGrid w:val="0"/>
              <w:spacing w:line="360" w:lineRule="auto"/>
              <w:jc w:val="center"/>
              <w:rPr>
                <w:rFonts w:ascii="Times New Roman" w:hAnsi="Times New Roman" w:cs="Times New Roman"/>
                <w:b/>
                <w:color w:val="auto"/>
                <w:highlight w:val="none"/>
              </w:rPr>
            </w:pPr>
            <w:r>
              <w:rPr>
                <w:rFonts w:ascii="Times New Roman" w:hAnsi="Times New Roman" w:cs="Times New Roman"/>
                <w:b/>
                <w:color w:val="auto"/>
                <w:highlight w:val="none"/>
              </w:rPr>
              <w:t>表</w:t>
            </w:r>
            <w:r>
              <w:rPr>
                <w:rFonts w:hint="eastAsia" w:ascii="Times New Roman" w:hAnsi="Times New Roman" w:cs="Times New Roman"/>
                <w:b/>
                <w:color w:val="auto"/>
                <w:highlight w:val="none"/>
              </w:rPr>
              <w:t>1</w:t>
            </w:r>
            <w:r>
              <w:rPr>
                <w:rFonts w:hint="eastAsia" w:ascii="Times New Roman" w:hAnsi="Times New Roman" w:cs="Times New Roman"/>
                <w:b/>
                <w:color w:val="auto"/>
                <w:highlight w:val="none"/>
                <w:lang w:val="en-US" w:eastAsia="zh-CN"/>
              </w:rPr>
              <w:t xml:space="preserve">  </w:t>
            </w:r>
            <w:r>
              <w:rPr>
                <w:rFonts w:hint="eastAsia" w:ascii="Times New Roman" w:hAnsi="Times New Roman" w:cs="Times New Roman"/>
                <w:b/>
                <w:color w:val="auto"/>
                <w:highlight w:val="none"/>
              </w:rPr>
              <w:t>“</w:t>
            </w:r>
            <w:r>
              <w:rPr>
                <w:rFonts w:ascii="Times New Roman" w:hAnsi="Times New Roman" w:cs="Times New Roman"/>
                <w:b/>
                <w:color w:val="auto"/>
                <w:highlight w:val="none"/>
              </w:rPr>
              <w:t>三线一单</w:t>
            </w:r>
            <w:r>
              <w:rPr>
                <w:rFonts w:hint="eastAsia" w:ascii="Times New Roman" w:hAnsi="Times New Roman" w:cs="Times New Roman"/>
                <w:b/>
                <w:color w:val="auto"/>
                <w:highlight w:val="none"/>
              </w:rPr>
              <w:t>”</w:t>
            </w:r>
            <w:r>
              <w:rPr>
                <w:rFonts w:ascii="Times New Roman" w:hAnsi="Times New Roman" w:cs="Times New Roman"/>
                <w:b/>
                <w:color w:val="auto"/>
                <w:highlight w:val="none"/>
              </w:rPr>
              <w:t>符合性分析</w:t>
            </w:r>
          </w:p>
          <w:tbl>
            <w:tblPr>
              <w:tblStyle w:val="25"/>
              <w:tblW w:w="5000"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5233"/>
              <w:gridCol w:w="909"/>
            </w:tblGrid>
            <w:tr w14:paraId="3BFC14B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tcBorders>
                    <w:tl2br w:val="nil"/>
                    <w:tr2bl w:val="nil"/>
                  </w:tcBorders>
                  <w:noWrap/>
                  <w:vAlign w:val="center"/>
                </w:tcPr>
                <w:p w14:paraId="22799485">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内容</w:t>
                  </w:r>
                </w:p>
              </w:tc>
              <w:tc>
                <w:tcPr>
                  <w:tcW w:w="3787" w:type="pct"/>
                  <w:tcBorders>
                    <w:tl2br w:val="nil"/>
                    <w:tr2bl w:val="nil"/>
                  </w:tcBorders>
                  <w:noWrap/>
                  <w:vAlign w:val="center"/>
                </w:tcPr>
                <w:p w14:paraId="76B89690">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符合性分析</w:t>
                  </w:r>
                </w:p>
              </w:tc>
              <w:tc>
                <w:tcPr>
                  <w:tcW w:w="657" w:type="pct"/>
                  <w:tcBorders>
                    <w:tl2br w:val="nil"/>
                    <w:tr2bl w:val="nil"/>
                  </w:tcBorders>
                  <w:noWrap/>
                  <w:vAlign w:val="center"/>
                </w:tcPr>
                <w:p w14:paraId="179E763A">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符合性</w:t>
                  </w:r>
                </w:p>
              </w:tc>
            </w:tr>
            <w:tr w14:paraId="51A5FE6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2" w:hRule="atLeast"/>
              </w:trPr>
              <w:tc>
                <w:tcPr>
                  <w:tcW w:w="555" w:type="pct"/>
                  <w:tcBorders>
                    <w:tl2br w:val="nil"/>
                    <w:tr2bl w:val="nil"/>
                  </w:tcBorders>
                  <w:noWrap/>
                  <w:vAlign w:val="center"/>
                </w:tcPr>
                <w:p w14:paraId="786DDB93">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生态保护红线</w:t>
                  </w:r>
                </w:p>
              </w:tc>
              <w:tc>
                <w:tcPr>
                  <w:tcW w:w="3787" w:type="pct"/>
                  <w:tcBorders>
                    <w:tl2br w:val="nil"/>
                    <w:tr2bl w:val="nil"/>
                  </w:tcBorders>
                  <w:noWrap/>
                  <w:vAlign w:val="center"/>
                </w:tcPr>
                <w:p w14:paraId="4ECDD1AB">
                  <w:pPr>
                    <w:autoSpaceDE w:val="0"/>
                    <w:autoSpaceDN w:val="0"/>
                    <w:adjustRightInd w:val="0"/>
                    <w:snapToGrid w:val="0"/>
                    <w:spacing w:line="360" w:lineRule="auto"/>
                    <w:ind w:firstLine="420" w:firstLineChars="200"/>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据《锡林郭勒盟生态环境保护委员会办公室关于印发锡林郭勒盟</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三线一单</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生态环境分区管控意见修改单和锡林郭勒盟生态环境准入清单的通知（锡环委办发〔2024〕1号）》，锡林郭勒盟共划分环境管控单元157个，包括优先保护单元、重点管控单元、一般管控单元三类，实施分类管控。</w:t>
                  </w:r>
                  <w:r>
                    <w:rPr>
                      <w:rFonts w:ascii="Times New Roman" w:hAnsi="Times New Roman" w:cs="Times New Roman"/>
                      <w:color w:val="auto"/>
                      <w:sz w:val="21"/>
                      <w:szCs w:val="21"/>
                      <w:highlight w:val="none"/>
                    </w:rPr>
                    <w:t>本项目位于内蒙古锡林郭勒盟</w:t>
                  </w:r>
                  <w:r>
                    <w:rPr>
                      <w:rFonts w:hint="eastAsia" w:ascii="Times New Roman" w:hAnsi="Times New Roman" w:cs="Times New Roman"/>
                      <w:color w:val="auto"/>
                      <w:sz w:val="21"/>
                      <w:szCs w:val="21"/>
                      <w:highlight w:val="none"/>
                      <w:lang w:val="en-US" w:eastAsia="zh-CN"/>
                    </w:rPr>
                    <w:t>锡林浩特市远景能源（锡林郭勒）有限公司</w:t>
                  </w:r>
                  <w:r>
                    <w:rPr>
                      <w:rFonts w:ascii="Times New Roman" w:hAnsi="Times New Roman" w:cs="Times New Roman"/>
                      <w:color w:val="auto"/>
                      <w:sz w:val="21"/>
                      <w:szCs w:val="21"/>
                      <w:highlight w:val="none"/>
                    </w:rPr>
                    <w:t>院内，</w:t>
                  </w:r>
                  <w:r>
                    <w:rPr>
                      <w:rFonts w:hint="eastAsia" w:ascii="Times New Roman" w:hAnsi="Times New Roman" w:cs="Times New Roman"/>
                      <w:color w:val="auto"/>
                      <w:sz w:val="21"/>
                      <w:szCs w:val="21"/>
                      <w:highlight w:val="none"/>
                    </w:rPr>
                    <w:t>环境管控单元名称为内蒙古锡林郭勒经济技术开发区，管控单元编码为ZH15250220004，管控单元类别为“重点</w:t>
                  </w:r>
                  <w:r>
                    <w:rPr>
                      <w:rFonts w:ascii="Times New Roman" w:hAnsi="Times New Roman" w:cs="Times New Roman"/>
                      <w:color w:val="auto"/>
                      <w:sz w:val="21"/>
                      <w:szCs w:val="21"/>
                      <w:highlight w:val="none"/>
                    </w:rPr>
                    <w:t>管控单元</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。项目所在区域内无自然保护区、水源保护区、风景名胜区、文物古迹等需要特殊保护的环境敏感目标，项目区不在生态保护红线范围内，符合生态保护红线要求。</w:t>
                  </w:r>
                </w:p>
              </w:tc>
              <w:tc>
                <w:tcPr>
                  <w:tcW w:w="657" w:type="pct"/>
                  <w:tcBorders>
                    <w:tl2br w:val="nil"/>
                    <w:tr2bl w:val="nil"/>
                  </w:tcBorders>
                  <w:noWrap/>
                  <w:vAlign w:val="center"/>
                </w:tcPr>
                <w:p w14:paraId="25E60548">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符合</w:t>
                  </w:r>
                </w:p>
              </w:tc>
            </w:tr>
            <w:tr w14:paraId="010083A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 w:hRule="atLeast"/>
              </w:trPr>
              <w:tc>
                <w:tcPr>
                  <w:tcW w:w="555" w:type="pct"/>
                  <w:tcBorders>
                    <w:tl2br w:val="nil"/>
                    <w:tr2bl w:val="nil"/>
                  </w:tcBorders>
                  <w:noWrap/>
                  <w:vAlign w:val="center"/>
                </w:tcPr>
                <w:p w14:paraId="584BF3DB">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资源利用上线</w:t>
                  </w:r>
                </w:p>
              </w:tc>
              <w:tc>
                <w:tcPr>
                  <w:tcW w:w="3787" w:type="pct"/>
                  <w:tcBorders>
                    <w:tl2br w:val="nil"/>
                    <w:tr2bl w:val="nil"/>
                  </w:tcBorders>
                  <w:noWrap/>
                  <w:vAlign w:val="center"/>
                </w:tcPr>
                <w:p w14:paraId="2AFBAC06">
                  <w:pPr>
                    <w:autoSpaceDE w:val="0"/>
                    <w:autoSpaceDN w:val="0"/>
                    <w:adjustRightInd w:val="0"/>
                    <w:snapToGrid w:val="0"/>
                    <w:spacing w:line="360" w:lineRule="auto"/>
                    <w:ind w:firstLine="420" w:firstLineChars="200"/>
                    <w:jc w:val="left"/>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本项目运营过程中需要一定的电资源的消耗，项目消耗资源符合清洁生产中能源消耗要求，本项目资源消耗量相对区域资源总量所占比例极少，用电量不会触及区域资源利用上线要求。</w:t>
                  </w:r>
                </w:p>
              </w:tc>
              <w:tc>
                <w:tcPr>
                  <w:tcW w:w="657" w:type="pct"/>
                  <w:tcBorders>
                    <w:tl2br w:val="nil"/>
                    <w:tr2bl w:val="nil"/>
                  </w:tcBorders>
                  <w:noWrap/>
                  <w:vAlign w:val="center"/>
                </w:tcPr>
                <w:p w14:paraId="6ECA6779">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符合</w:t>
                  </w:r>
                </w:p>
              </w:tc>
            </w:tr>
            <w:tr w14:paraId="2A2E676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555" w:type="pct"/>
                  <w:tcBorders>
                    <w:tl2br w:val="nil"/>
                    <w:tr2bl w:val="nil"/>
                  </w:tcBorders>
                  <w:noWrap/>
                  <w:vAlign w:val="center"/>
                </w:tcPr>
                <w:p w14:paraId="693AE823">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环境质量底线</w:t>
                  </w:r>
                </w:p>
              </w:tc>
              <w:tc>
                <w:tcPr>
                  <w:tcW w:w="3787" w:type="pct"/>
                  <w:tcBorders>
                    <w:tl2br w:val="nil"/>
                    <w:tr2bl w:val="nil"/>
                  </w:tcBorders>
                  <w:noWrap/>
                  <w:vAlign w:val="center"/>
                </w:tcPr>
                <w:p w14:paraId="418E1F99">
                  <w:pPr>
                    <w:autoSpaceDE w:val="0"/>
                    <w:autoSpaceDN w:val="0"/>
                    <w:adjustRightInd w:val="0"/>
                    <w:snapToGrid w:val="0"/>
                    <w:spacing w:line="360" w:lineRule="auto"/>
                    <w:ind w:firstLine="420" w:firstLineChars="200"/>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项目区域环境空气质量</w:t>
                  </w:r>
                  <w:r>
                    <w:rPr>
                      <w:rFonts w:hint="eastAsia" w:ascii="Times New Roman" w:hAnsi="Times New Roman" w:cs="Times New Roman"/>
                      <w:color w:val="auto"/>
                      <w:sz w:val="21"/>
                      <w:szCs w:val="21"/>
                      <w:highlight w:val="none"/>
                    </w:rPr>
                    <w:t>满足</w:t>
                  </w:r>
                  <w:r>
                    <w:rPr>
                      <w:rFonts w:ascii="Times New Roman" w:hAnsi="Times New Roman" w:cs="Times New Roman"/>
                      <w:color w:val="auto"/>
                      <w:sz w:val="21"/>
                      <w:szCs w:val="21"/>
                      <w:highlight w:val="none"/>
                    </w:rPr>
                    <w:t>《环境空气质量标准》（GB3095-2012）中二类功能区；声环境属于《声环境质量标准》（GB3096-</w:t>
                  </w:r>
                  <w:r>
                    <w:rPr>
                      <w:rFonts w:hint="eastAsia" w:ascii="Times New Roman" w:hAnsi="Times New Roman" w:cs="Times New Roman"/>
                      <w:color w:val="auto"/>
                      <w:sz w:val="21"/>
                      <w:szCs w:val="21"/>
                      <w:highlight w:val="none"/>
                    </w:rPr>
                    <w:t>2008</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类功能区。区域环境质量现状较好，具有环境容量，项目采取合理的治理措施后，在正常运营情况下，各项污染物均能达标排放，不会明显降低区域环境质量，不会突破当地环境质量底线</w:t>
                  </w:r>
                  <w:r>
                    <w:rPr>
                      <w:rFonts w:hint="eastAsia" w:ascii="Times New Roman" w:hAnsi="Times New Roman" w:cs="Times New Roman"/>
                      <w:color w:val="auto"/>
                      <w:sz w:val="21"/>
                      <w:szCs w:val="21"/>
                      <w:highlight w:val="none"/>
                    </w:rPr>
                    <w:t>。</w:t>
                  </w:r>
                </w:p>
              </w:tc>
              <w:tc>
                <w:tcPr>
                  <w:tcW w:w="657" w:type="pct"/>
                  <w:tcBorders>
                    <w:tl2br w:val="nil"/>
                    <w:tr2bl w:val="nil"/>
                  </w:tcBorders>
                  <w:noWrap/>
                  <w:vAlign w:val="center"/>
                </w:tcPr>
                <w:p w14:paraId="76BDF0B3">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符合</w:t>
                  </w:r>
                </w:p>
              </w:tc>
            </w:tr>
            <w:tr w14:paraId="24B3F3C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tcBorders>
                    <w:tl2br w:val="nil"/>
                    <w:tr2bl w:val="nil"/>
                  </w:tcBorders>
                  <w:noWrap/>
                  <w:vAlign w:val="center"/>
                </w:tcPr>
                <w:p w14:paraId="5744E88C">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准入清单</w:t>
                  </w:r>
                </w:p>
              </w:tc>
              <w:tc>
                <w:tcPr>
                  <w:tcW w:w="3787" w:type="pct"/>
                  <w:tcBorders>
                    <w:tl2br w:val="nil"/>
                    <w:tr2bl w:val="nil"/>
                  </w:tcBorders>
                  <w:noWrap/>
                  <w:vAlign w:val="center"/>
                </w:tcPr>
                <w:p w14:paraId="7658C606">
                  <w:pPr>
                    <w:pStyle w:val="9"/>
                    <w:snapToGrid w:val="0"/>
                    <w:spacing w:line="360" w:lineRule="auto"/>
                    <w:ind w:firstLine="420" w:firstLineChars="20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本项目不属于《内蒙古自治区政府关于印发自治区国家重点生态功能区产业准入负面清单的通知》（内政发</w:t>
                  </w:r>
                  <w:r>
                    <w:rPr>
                      <w:rFonts w:hint="default" w:ascii="Times New Roman" w:hAnsi="Times New Roman" w:cs="Times New Roman"/>
                      <w:color w:val="auto"/>
                      <w:sz w:val="21"/>
                      <w:szCs w:val="21"/>
                      <w:highlight w:val="none"/>
                    </w:rPr>
                    <w:t>〔20</w:t>
                  </w:r>
                  <w:r>
                    <w:rPr>
                      <w:rFonts w:hint="eastAsia" w:ascii="Times New Roman" w:hAnsi="Times New Roman" w:cs="Times New Roman"/>
                      <w:color w:val="auto"/>
                      <w:sz w:val="21"/>
                      <w:szCs w:val="21"/>
                      <w:highlight w:val="none"/>
                      <w:lang w:val="en-US" w:eastAsia="zh-CN"/>
                    </w:rPr>
                    <w:t>18</w:t>
                  </w:r>
                  <w:r>
                    <w:rPr>
                      <w:rFonts w:hint="default"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11号）中</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清单</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所列项，</w:t>
                  </w:r>
                  <w:r>
                    <w:rPr>
                      <w:rFonts w:hint="eastAsia" w:ascii="Times New Roman" w:hAnsi="Times New Roman" w:cs="Times New Roman"/>
                      <w:color w:val="auto"/>
                      <w:sz w:val="21"/>
                      <w:szCs w:val="21"/>
                      <w:highlight w:val="none"/>
                    </w:rPr>
                    <w:t>同时，</w:t>
                  </w:r>
                  <w:r>
                    <w:rPr>
                      <w:rFonts w:ascii="Times New Roman" w:hAnsi="Times New Roman" w:cs="Times New Roman"/>
                      <w:color w:val="auto"/>
                      <w:sz w:val="21"/>
                      <w:szCs w:val="21"/>
                      <w:highlight w:val="none"/>
                    </w:rPr>
                    <w:t>依据《锡林郭勒盟生态环境准入清单》中</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锡林郭勒盟</w:t>
                  </w:r>
                  <w:r>
                    <w:rPr>
                      <w:rFonts w:hint="eastAsia" w:ascii="Times New Roman" w:hAnsi="Times New Roman" w:cs="Times New Roman"/>
                      <w:color w:val="auto"/>
                      <w:sz w:val="21"/>
                      <w:szCs w:val="21"/>
                      <w:highlight w:val="none"/>
                      <w:lang w:val="en-US" w:eastAsia="zh-CN"/>
                    </w:rPr>
                    <w:t>锡林浩特市</w:t>
                  </w:r>
                  <w:r>
                    <w:rPr>
                      <w:rFonts w:ascii="Times New Roman" w:hAnsi="Times New Roman" w:cs="Times New Roman"/>
                      <w:color w:val="auto"/>
                      <w:sz w:val="21"/>
                      <w:szCs w:val="21"/>
                      <w:highlight w:val="none"/>
                    </w:rPr>
                    <w:t>生态环境准入清单</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，本项目位于内蒙古锡林郭勒盟</w:t>
                  </w:r>
                  <w:r>
                    <w:rPr>
                      <w:rFonts w:hint="eastAsia" w:ascii="Times New Roman" w:hAnsi="Times New Roman" w:cs="Times New Roman"/>
                      <w:color w:val="auto"/>
                      <w:sz w:val="21"/>
                      <w:szCs w:val="21"/>
                      <w:highlight w:val="none"/>
                      <w:lang w:val="en-US" w:eastAsia="zh-CN"/>
                    </w:rPr>
                    <w:t>锡林浩特市远景能源（锡林郭勒）有限公司</w:t>
                  </w:r>
                  <w:r>
                    <w:rPr>
                      <w:rFonts w:ascii="Times New Roman" w:hAnsi="Times New Roman" w:cs="Times New Roman"/>
                      <w:color w:val="auto"/>
                      <w:sz w:val="21"/>
                      <w:szCs w:val="21"/>
                      <w:highlight w:val="none"/>
                    </w:rPr>
                    <w:t>院内</w:t>
                  </w:r>
                  <w:r>
                    <w:rPr>
                      <w:rFonts w:hint="eastAsia" w:ascii="Times New Roman" w:hAnsi="Times New Roman" w:cs="Times New Roman"/>
                      <w:color w:val="auto"/>
                      <w:sz w:val="21"/>
                      <w:szCs w:val="21"/>
                      <w:highlight w:val="none"/>
                    </w:rPr>
                    <w:t>，环境管控单元名称为内蒙古锡林郭勒经济技术开发区，管控单元编码为ZH15250220004，管控单元类别为“重点</w:t>
                  </w:r>
                  <w:r>
                    <w:rPr>
                      <w:rFonts w:ascii="Times New Roman" w:hAnsi="Times New Roman" w:cs="Times New Roman"/>
                      <w:color w:val="auto"/>
                      <w:sz w:val="21"/>
                      <w:szCs w:val="21"/>
                      <w:highlight w:val="none"/>
                    </w:rPr>
                    <w:t>管控单元</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项目符合空间布局约束、污染物排放管控、环境风险防控以及资源利用效率要求，</w:t>
                  </w:r>
                  <w:r>
                    <w:rPr>
                      <w:rFonts w:ascii="Times New Roman" w:hAnsi="Times New Roman" w:cs="Times New Roman"/>
                      <w:color w:val="auto"/>
                      <w:sz w:val="21"/>
                      <w:szCs w:val="21"/>
                      <w:highlight w:val="none"/>
                    </w:rPr>
                    <w:t>因此，本项目的建设符合环境准入要求。</w:t>
                  </w:r>
                </w:p>
              </w:tc>
              <w:tc>
                <w:tcPr>
                  <w:tcW w:w="657" w:type="pct"/>
                  <w:tcBorders>
                    <w:tl2br w:val="nil"/>
                    <w:tr2bl w:val="nil"/>
                  </w:tcBorders>
                  <w:noWrap/>
                  <w:vAlign w:val="center"/>
                </w:tcPr>
                <w:p w14:paraId="18D7EE48">
                  <w:pPr>
                    <w:autoSpaceDE w:val="0"/>
                    <w:autoSpaceDN w:val="0"/>
                    <w:adjustRightIn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符合</w:t>
                  </w:r>
                </w:p>
              </w:tc>
            </w:tr>
          </w:tbl>
          <w:p w14:paraId="43C5D4F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表2  与锡林郭勒盟锡林浩特市生态环境准入清单</w:t>
            </w:r>
            <w:r>
              <w:rPr>
                <w:rFonts w:hint="eastAsia" w:ascii="宋体" w:hAnsi="宋体" w:cs="宋体"/>
                <w:b/>
                <w:bCs/>
                <w:color w:val="auto"/>
                <w:position w:val="0"/>
                <w:sz w:val="24"/>
                <w:szCs w:val="24"/>
                <w:highlight w:val="none"/>
                <w:lang w:val="en-US" w:eastAsia="zh-CN"/>
              </w:rPr>
              <w:t>符合性分析</w:t>
            </w:r>
          </w:p>
          <w:tbl>
            <w:tblPr>
              <w:tblStyle w:val="25"/>
              <w:tblW w:w="4997"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761"/>
              <w:gridCol w:w="3497"/>
              <w:gridCol w:w="1410"/>
              <w:gridCol w:w="696"/>
            </w:tblGrid>
            <w:tr w14:paraId="15756D2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5" w:type="pct"/>
                  <w:gridSpan w:val="3"/>
                  <w:tcBorders>
                    <w:tl2br w:val="nil"/>
                    <w:tr2bl w:val="nil"/>
                  </w:tcBorders>
                  <w:vAlign w:val="center"/>
                </w:tcPr>
                <w:p w14:paraId="537D255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管控要求</w:t>
                  </w:r>
                </w:p>
              </w:tc>
              <w:tc>
                <w:tcPr>
                  <w:tcW w:w="1020" w:type="pct"/>
                  <w:tcBorders>
                    <w:tl2br w:val="nil"/>
                    <w:tr2bl w:val="nil"/>
                  </w:tcBorders>
                  <w:vAlign w:val="center"/>
                </w:tcPr>
                <w:p w14:paraId="67B468D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实际情况</w:t>
                  </w:r>
                </w:p>
              </w:tc>
              <w:tc>
                <w:tcPr>
                  <w:tcW w:w="503" w:type="pct"/>
                  <w:tcBorders>
                    <w:tl2br w:val="nil"/>
                    <w:tr2bl w:val="nil"/>
                  </w:tcBorders>
                  <w:vAlign w:val="center"/>
                </w:tcPr>
                <w:p w14:paraId="136C262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符合性</w:t>
                  </w:r>
                </w:p>
              </w:tc>
            </w:tr>
            <w:tr w14:paraId="0B6A957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restart"/>
                  <w:tcBorders>
                    <w:tl2br w:val="nil"/>
                    <w:tr2bl w:val="nil"/>
                  </w:tcBorders>
                  <w:vAlign w:val="center"/>
                </w:tcPr>
                <w:p w14:paraId="113E205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空间布局约束</w:t>
                  </w:r>
                </w:p>
              </w:tc>
              <w:tc>
                <w:tcPr>
                  <w:tcW w:w="551" w:type="pct"/>
                  <w:vMerge w:val="restart"/>
                  <w:tcBorders>
                    <w:tl2br w:val="nil"/>
                    <w:tr2bl w:val="nil"/>
                  </w:tcBorders>
                  <w:vAlign w:val="center"/>
                </w:tcPr>
                <w:p w14:paraId="6A2F9D9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1.执行锡林郭勒盟总体准入要求中第一条关于空间布局约束的准入要求。</w:t>
                  </w:r>
                </w:p>
              </w:tc>
              <w:tc>
                <w:tcPr>
                  <w:tcW w:w="2532" w:type="pct"/>
                  <w:tcBorders>
                    <w:tl2br w:val="nil"/>
                    <w:tr2bl w:val="nil"/>
                  </w:tcBorders>
                  <w:vAlign w:val="center"/>
                </w:tcPr>
                <w:p w14:paraId="474384F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禁止布局现有化工园区以外新的化工园区。禁止在海河流域内蒙古锡林郭勒盟段及主要支流岸线1公里范围内扩大现有园区的面积。</w:t>
                  </w:r>
                </w:p>
              </w:tc>
              <w:tc>
                <w:tcPr>
                  <w:tcW w:w="1020" w:type="pct"/>
                  <w:tcBorders>
                    <w:tl2br w:val="nil"/>
                    <w:tr2bl w:val="nil"/>
                  </w:tcBorders>
                  <w:vAlign w:val="center"/>
                </w:tcPr>
                <w:p w14:paraId="7EB586F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6F744A0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41F8C1F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68E9F54B">
                  <w:pPr>
                    <w:keepNext w:val="0"/>
                    <w:keepLines w:val="0"/>
                    <w:pageBreakBefore w:val="0"/>
                    <w:widowControl w:val="0"/>
                    <w:kinsoku/>
                    <w:wordWrap/>
                    <w:overflowPunct/>
                    <w:topLinePunct w:val="0"/>
                    <w:autoSpaceDE/>
                    <w:autoSpaceDN/>
                    <w:bidi w:val="0"/>
                    <w:adjustRightInd/>
                    <w:snapToGrid/>
                    <w:spacing w:line="480" w:lineRule="exact"/>
                    <w:jc w:val="both"/>
                    <w:textAlignment w:val="auto"/>
                    <w:rPr>
                      <w:color w:val="auto"/>
                      <w:highlight w:val="none"/>
                    </w:rPr>
                  </w:pPr>
                </w:p>
              </w:tc>
              <w:tc>
                <w:tcPr>
                  <w:tcW w:w="551" w:type="pct"/>
                  <w:vMerge w:val="continue"/>
                  <w:tcBorders>
                    <w:tl2br w:val="nil"/>
                    <w:tr2bl w:val="nil"/>
                  </w:tcBorders>
                  <w:vAlign w:val="center"/>
                </w:tcPr>
                <w:p w14:paraId="1179E1C2">
                  <w:pPr>
                    <w:keepNext w:val="0"/>
                    <w:keepLines w:val="0"/>
                    <w:pageBreakBefore w:val="0"/>
                    <w:widowControl w:val="0"/>
                    <w:kinsoku/>
                    <w:wordWrap/>
                    <w:overflowPunct/>
                    <w:topLinePunct w:val="0"/>
                    <w:autoSpaceDE/>
                    <w:autoSpaceDN/>
                    <w:bidi w:val="0"/>
                    <w:adjustRightInd/>
                    <w:snapToGrid/>
                    <w:spacing w:line="480" w:lineRule="exact"/>
                    <w:jc w:val="both"/>
                    <w:textAlignment w:val="auto"/>
                    <w:rPr>
                      <w:color w:val="auto"/>
                      <w:highlight w:val="none"/>
                    </w:rPr>
                  </w:pPr>
                </w:p>
              </w:tc>
              <w:tc>
                <w:tcPr>
                  <w:tcW w:w="2532" w:type="pct"/>
                  <w:tcBorders>
                    <w:tl2br w:val="nil"/>
                    <w:tr2bl w:val="nil"/>
                  </w:tcBorders>
                  <w:vAlign w:val="center"/>
                </w:tcPr>
                <w:p w14:paraId="3A5A4BC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新（改、扩）建化工项目必须符合规划环评及审查意见相关要求，必须与居民区或城市规划的居住用地保持足够的缓冲距离。</w:t>
                  </w:r>
                </w:p>
              </w:tc>
              <w:tc>
                <w:tcPr>
                  <w:tcW w:w="1020" w:type="pct"/>
                  <w:tcBorders>
                    <w:tl2br w:val="nil"/>
                    <w:tr2bl w:val="nil"/>
                  </w:tcBorders>
                  <w:vAlign w:val="center"/>
                </w:tcPr>
                <w:p w14:paraId="6E8D354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10AEB91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583DA04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5301AD0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56E76DD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0DDCD4A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严禁水泥、电解铝、平板玻璃等行业新增产能，对确有必要新建的项目实行等量或减量置换。</w:t>
                  </w:r>
                </w:p>
              </w:tc>
              <w:tc>
                <w:tcPr>
                  <w:tcW w:w="1020" w:type="pct"/>
                  <w:tcBorders>
                    <w:tl2br w:val="nil"/>
                    <w:tr2bl w:val="nil"/>
                  </w:tcBorders>
                  <w:vAlign w:val="center"/>
                </w:tcPr>
                <w:p w14:paraId="3750152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454F06E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4CA3567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55AADE5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4710541E">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5FA528F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w:t>
                  </w:r>
                  <w:r>
                    <w:rPr>
                      <w:rFonts w:hint="default" w:ascii="Times New Roman" w:hAnsi="Times New Roman" w:eastAsia="宋体" w:cs="Times New Roman"/>
                      <w:color w:val="auto"/>
                      <w:sz w:val="21"/>
                      <w:szCs w:val="21"/>
                      <w:highlight w:val="none"/>
                      <w:vertAlign w:val="baseline"/>
                      <w:lang w:val="en-US" w:eastAsia="zh-CN"/>
                    </w:rPr>
                    <w:t>全盟各旗县市（区）及以上城市建成区基本淘汰每小时10蒸吨及以下燃煤锅炉及茶浴炉、经营性炉灶、储粮烘干设备等燃煤设施，原则上不再新建每小时35蒸吨以下的燃煤锅炉，其他地区原则上不再新建每小时10蒸吨以下的燃煤锅炉。</w:t>
                  </w:r>
                </w:p>
              </w:tc>
              <w:tc>
                <w:tcPr>
                  <w:tcW w:w="1020" w:type="pct"/>
                  <w:tcBorders>
                    <w:tl2br w:val="nil"/>
                    <w:tr2bl w:val="nil"/>
                  </w:tcBorders>
                  <w:vAlign w:val="center"/>
                </w:tcPr>
                <w:p w14:paraId="0F2758A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本项目不建设锅炉</w:t>
                  </w:r>
                </w:p>
              </w:tc>
              <w:tc>
                <w:tcPr>
                  <w:tcW w:w="503" w:type="pct"/>
                  <w:tcBorders>
                    <w:tl2br w:val="nil"/>
                    <w:tr2bl w:val="nil"/>
                  </w:tcBorders>
                  <w:vAlign w:val="center"/>
                </w:tcPr>
                <w:p w14:paraId="2E9AEE0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505D0C0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70DE363E">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6446A9D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2417E09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w:t>
                  </w:r>
                  <w:r>
                    <w:rPr>
                      <w:rFonts w:hint="default" w:ascii="Times New Roman" w:hAnsi="Times New Roman" w:eastAsia="宋体" w:cs="Times New Roman"/>
                      <w:color w:val="auto"/>
                      <w:sz w:val="21"/>
                      <w:szCs w:val="21"/>
                      <w:highlight w:val="none"/>
                      <w:vertAlign w:val="baseline"/>
                      <w:lang w:val="en-US" w:eastAsia="zh-CN"/>
                    </w:rPr>
                    <w:t>禁止在城市主导风向上风向新建涉气重污染项目。</w:t>
                  </w:r>
                </w:p>
              </w:tc>
              <w:tc>
                <w:tcPr>
                  <w:tcW w:w="1020" w:type="pct"/>
                  <w:tcBorders>
                    <w:tl2br w:val="nil"/>
                    <w:tr2bl w:val="nil"/>
                  </w:tcBorders>
                  <w:vAlign w:val="center"/>
                </w:tcPr>
                <w:p w14:paraId="123F487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本项目位于主导风向下风向，且不属于</w:t>
                  </w:r>
                  <w:r>
                    <w:rPr>
                      <w:rFonts w:hint="default" w:ascii="Times New Roman" w:hAnsi="Times New Roman" w:cs="Times New Roman"/>
                      <w:color w:val="auto"/>
                      <w:sz w:val="21"/>
                      <w:szCs w:val="21"/>
                      <w:highlight w:val="none"/>
                      <w:vertAlign w:val="baseline"/>
                      <w:lang w:val="en-US" w:eastAsia="zh-CN"/>
                    </w:rPr>
                    <w:t>涉气重污染项目</w:t>
                  </w:r>
                </w:p>
              </w:tc>
              <w:tc>
                <w:tcPr>
                  <w:tcW w:w="503" w:type="pct"/>
                  <w:tcBorders>
                    <w:tl2br w:val="nil"/>
                    <w:tr2bl w:val="nil"/>
                  </w:tcBorders>
                  <w:vAlign w:val="center"/>
                </w:tcPr>
                <w:p w14:paraId="61653BA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303901A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6197816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6B0CD87C">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25F354F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w:t>
                  </w:r>
                  <w:r>
                    <w:rPr>
                      <w:rFonts w:hint="default" w:ascii="Times New Roman" w:hAnsi="Times New Roman" w:eastAsia="宋体" w:cs="Times New Roman"/>
                      <w:color w:val="auto"/>
                      <w:sz w:val="21"/>
                      <w:szCs w:val="21"/>
                      <w:highlight w:val="none"/>
                      <w:vertAlign w:val="baseline"/>
                      <w:lang w:val="en-US" w:eastAsia="zh-CN"/>
                    </w:rPr>
                    <w:t>重大项目原则上布局在优化开发区和重点开发区，并符合城乡规划和土地利用总体规划。推进企业向工业集聚区集中，并实施工业集聚区生态化改造。严禁地下水超采区新建高耗水、高污染项目，已建项目要采用先进节水技术，提高用水水平。</w:t>
                  </w:r>
                </w:p>
              </w:tc>
              <w:tc>
                <w:tcPr>
                  <w:tcW w:w="1020" w:type="pct"/>
                  <w:tcBorders>
                    <w:tl2br w:val="nil"/>
                    <w:tr2bl w:val="nil"/>
                  </w:tcBorders>
                  <w:vAlign w:val="center"/>
                </w:tcPr>
                <w:p w14:paraId="3271654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本项目不属于重大项目</w:t>
                  </w:r>
                </w:p>
              </w:tc>
              <w:tc>
                <w:tcPr>
                  <w:tcW w:w="503" w:type="pct"/>
                  <w:tcBorders>
                    <w:tl2br w:val="nil"/>
                    <w:tr2bl w:val="nil"/>
                  </w:tcBorders>
                  <w:vAlign w:val="center"/>
                </w:tcPr>
                <w:p w14:paraId="05ABCE5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D46236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7325BA1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57012D4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5BD926B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w:t>
                  </w:r>
                  <w:r>
                    <w:rPr>
                      <w:rFonts w:hint="default" w:ascii="Times New Roman" w:hAnsi="Times New Roman" w:eastAsia="宋体" w:cs="Times New Roman"/>
                      <w:color w:val="auto"/>
                      <w:sz w:val="21"/>
                      <w:szCs w:val="21"/>
                      <w:highlight w:val="none"/>
                      <w:vertAlign w:val="baseline"/>
                      <w:lang w:val="en-US" w:eastAsia="zh-CN"/>
                    </w:rPr>
                    <w:t>新建、改扩建《管控目录》中的</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两高</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项目，项目选址必须进园区，工艺技术装备须达到同行业先进水平，符合新增产能管控。</w:t>
                  </w:r>
                </w:p>
              </w:tc>
              <w:tc>
                <w:tcPr>
                  <w:tcW w:w="1020" w:type="pct"/>
                  <w:tcBorders>
                    <w:tl2br w:val="nil"/>
                    <w:tr2bl w:val="nil"/>
                  </w:tcBorders>
                  <w:vAlign w:val="center"/>
                </w:tcPr>
                <w:p w14:paraId="6E2E51E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本项目不涉及“两高”项目</w:t>
                  </w:r>
                </w:p>
              </w:tc>
              <w:tc>
                <w:tcPr>
                  <w:tcW w:w="503" w:type="pct"/>
                  <w:tcBorders>
                    <w:tl2br w:val="nil"/>
                    <w:tr2bl w:val="nil"/>
                  </w:tcBorders>
                  <w:vAlign w:val="center"/>
                </w:tcPr>
                <w:p w14:paraId="11832CA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3A134A4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086F1E9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32CC9BE0">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5FB8B98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vertAlign w:val="baseline"/>
                      <w:lang w:val="en-US" w:eastAsia="zh-CN"/>
                    </w:rPr>
                    <w:t>禁止在燃气管网和集中供热管网覆盖的区域新建、改建、扩建分散燃烧煤炭、重油、渣油的集中供热设施；已建成的不能达标排放的集中供热设施应当在规定的期限内拆除。</w:t>
                  </w:r>
                </w:p>
              </w:tc>
              <w:tc>
                <w:tcPr>
                  <w:tcW w:w="1020" w:type="pct"/>
                  <w:tcBorders>
                    <w:tl2br w:val="nil"/>
                    <w:tr2bl w:val="nil"/>
                  </w:tcBorders>
                  <w:vAlign w:val="center"/>
                </w:tcPr>
                <w:p w14:paraId="456CD2F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0DEE375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DD63A1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0572C22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545A025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2278BB3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w:t>
                  </w:r>
                  <w:r>
                    <w:rPr>
                      <w:rFonts w:hint="default" w:ascii="Times New Roman" w:hAnsi="Times New Roman" w:eastAsia="宋体" w:cs="Times New Roman"/>
                      <w:color w:val="auto"/>
                      <w:sz w:val="21"/>
                      <w:szCs w:val="21"/>
                      <w:highlight w:val="none"/>
                      <w:vertAlign w:val="baseline"/>
                      <w:lang w:val="en-US" w:eastAsia="zh-CN"/>
                    </w:rPr>
                    <w:t>禁止在自然保护区、饮用水水源保护区、风景名胜区等敏感区域内新建、扩建、改建工业炉窑。</w:t>
                  </w:r>
                </w:p>
              </w:tc>
              <w:tc>
                <w:tcPr>
                  <w:tcW w:w="1020" w:type="pct"/>
                  <w:tcBorders>
                    <w:tl2br w:val="nil"/>
                    <w:tr2bl w:val="nil"/>
                  </w:tcBorders>
                  <w:vAlign w:val="center"/>
                </w:tcPr>
                <w:p w14:paraId="44682B2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本项目不涉及敏感区域</w:t>
                  </w:r>
                </w:p>
              </w:tc>
              <w:tc>
                <w:tcPr>
                  <w:tcW w:w="503" w:type="pct"/>
                  <w:tcBorders>
                    <w:tl2br w:val="nil"/>
                    <w:tr2bl w:val="nil"/>
                  </w:tcBorders>
                  <w:vAlign w:val="center"/>
                </w:tcPr>
                <w:p w14:paraId="5DA4452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4E27CAB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66F305D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79C44E9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0C1D30B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w:t>
                  </w:r>
                  <w:r>
                    <w:rPr>
                      <w:rFonts w:hint="default" w:ascii="Times New Roman" w:hAnsi="Times New Roman" w:eastAsia="宋体" w:cs="Times New Roman"/>
                      <w:color w:val="auto"/>
                      <w:sz w:val="21"/>
                      <w:szCs w:val="21"/>
                      <w:highlight w:val="none"/>
                      <w:vertAlign w:val="baseline"/>
                      <w:lang w:val="en-US" w:eastAsia="zh-CN"/>
                    </w:rPr>
                    <w:t>禁止在河湖管理范围内向河湖排放、倾倒、处置油类、酸液、碱液或者剧毒废液污染物等；禁止新建、改建、扩建围堤、阻水渠道、阻水道路；禁止弃置、倾倒、堆放、掩埋固体废物。</w:t>
                  </w:r>
                </w:p>
              </w:tc>
              <w:tc>
                <w:tcPr>
                  <w:tcW w:w="1020" w:type="pct"/>
                  <w:tcBorders>
                    <w:tl2br w:val="nil"/>
                    <w:tr2bl w:val="nil"/>
                  </w:tcBorders>
                  <w:vAlign w:val="center"/>
                </w:tcPr>
                <w:p w14:paraId="1F9C270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775A62A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29560E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3A6D5252">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597148A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1D1F958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11.</w:t>
                  </w:r>
                  <w:r>
                    <w:rPr>
                      <w:rFonts w:hint="default" w:ascii="Times New Roman" w:hAnsi="Times New Roman" w:eastAsia="宋体" w:cs="Times New Roman"/>
                      <w:color w:val="auto"/>
                      <w:sz w:val="21"/>
                      <w:szCs w:val="21"/>
                      <w:highlight w:val="none"/>
                      <w:vertAlign w:val="baseline"/>
                      <w:lang w:val="en-US" w:eastAsia="zh-CN"/>
                    </w:rPr>
                    <w:t>禁止在崩塌、滑坡危险区和泥石流易发区从事取土、挖砂、采石等可能造成水土流失的活动。永久基本农田集中区域不得新建可能造成土壤污染的建设项目。</w:t>
                  </w:r>
                </w:p>
              </w:tc>
              <w:tc>
                <w:tcPr>
                  <w:tcW w:w="1020" w:type="pct"/>
                  <w:tcBorders>
                    <w:tl2br w:val="nil"/>
                    <w:tr2bl w:val="nil"/>
                  </w:tcBorders>
                  <w:vAlign w:val="center"/>
                </w:tcPr>
                <w:p w14:paraId="359FAFE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本项目不涉及基本农田</w:t>
                  </w:r>
                </w:p>
              </w:tc>
              <w:tc>
                <w:tcPr>
                  <w:tcW w:w="503" w:type="pct"/>
                  <w:tcBorders>
                    <w:tl2br w:val="nil"/>
                    <w:tr2bl w:val="nil"/>
                  </w:tcBorders>
                  <w:vAlign w:val="center"/>
                </w:tcPr>
                <w:p w14:paraId="48375EE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B74704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91" w:type="pct"/>
                  <w:vMerge w:val="continue"/>
                  <w:tcBorders>
                    <w:tl2br w:val="nil"/>
                    <w:tr2bl w:val="nil"/>
                  </w:tcBorders>
                  <w:vAlign w:val="center"/>
                </w:tcPr>
                <w:p w14:paraId="03B60B6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4D271DD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26C114D2">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w:t>
                  </w:r>
                  <w:r>
                    <w:rPr>
                      <w:rFonts w:hint="default" w:ascii="Times New Roman" w:hAnsi="Times New Roman" w:eastAsia="宋体" w:cs="Times New Roman"/>
                      <w:color w:val="auto"/>
                      <w:sz w:val="21"/>
                      <w:szCs w:val="21"/>
                      <w:highlight w:val="none"/>
                      <w:vertAlign w:val="baseline"/>
                      <w:lang w:val="en-US" w:eastAsia="zh-CN"/>
                    </w:rPr>
                    <w:t>在饮用水水源准保护区内，禁止下列行为：（一）新建、扩建化工、生物发酵、电镀、皮革、冶炼、放射性、炼油、炼焦以及其他严重污染水体的建设项目，改建增加排污量的项目；（二）进行可能严重影响饮用水水源水质和水量的矿产勘查、采选等活动；（三）倾倒、堆放工业废渣、垃圾、粪便以及其他废弃物；（四）破坏水源涵养林、护岸林以及水源保护相关植被的活动；（五）法律、法规规定的其他可能污染饮用水水源的行为。在饮用水水源二级保护区内，除饮用水水源准保护区内禁止的行为外，禁止下列行为：（一）设置排污口；（二）新建、改建、扩建排放污染物的建设项目或者其他设施；（三）影响水源补给的活动以及与饮用水供水无关的勘查、开采活动；（四）新建、扩建油库、加油站；（五）建立火葬场、墓地；（六）设置畜禽养殖场、养殖小区；（七）利用未经净化处理达标的污水灌溉农田；（八）超过标准使用农药、化肥、含磷洗涤剂；（九）掩埋、弃置动物尸体；（十）法律、法规规定的其他可能污染饮用水水源的行为。在饮用水水源一级保护区内，除饮用水水源准保护区、二级保护区内禁止的行为外，还禁止下列行为：（一）新建、改建、扩建与供水设施和保护水源无关的建设项目；（二）从事网箱养殖、旅游、游泳、垂钓或者其他可能污染饮用水水体的行为。</w:t>
                  </w:r>
                </w:p>
              </w:tc>
              <w:tc>
                <w:tcPr>
                  <w:tcW w:w="1020" w:type="pct"/>
                  <w:tcBorders>
                    <w:tl2br w:val="nil"/>
                    <w:tr2bl w:val="nil"/>
                  </w:tcBorders>
                  <w:vAlign w:val="center"/>
                </w:tcPr>
                <w:p w14:paraId="5C4D7C3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本项目不涉及饮用水水源保护区</w:t>
                  </w:r>
                </w:p>
              </w:tc>
              <w:tc>
                <w:tcPr>
                  <w:tcW w:w="503" w:type="pct"/>
                  <w:tcBorders>
                    <w:tl2br w:val="nil"/>
                    <w:tr2bl w:val="nil"/>
                  </w:tcBorders>
                  <w:vAlign w:val="center"/>
                </w:tcPr>
                <w:p w14:paraId="6105941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5984E28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4E54789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3083" w:type="pct"/>
                  <w:gridSpan w:val="2"/>
                  <w:tcBorders>
                    <w:tl2br w:val="nil"/>
                    <w:tr2bl w:val="nil"/>
                  </w:tcBorders>
                  <w:vAlign w:val="center"/>
                </w:tcPr>
                <w:p w14:paraId="5DB386A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2.禁止不符合园区产业定位及规划环评等要求的项目入园；国家明令淘汰的落后产能和不符合国家产业政策的项目，禁止向园区转移。</w:t>
                  </w:r>
                </w:p>
              </w:tc>
              <w:tc>
                <w:tcPr>
                  <w:tcW w:w="1020" w:type="pct"/>
                  <w:tcBorders>
                    <w:tl2br w:val="nil"/>
                    <w:tr2bl w:val="nil"/>
                  </w:tcBorders>
                  <w:vAlign w:val="center"/>
                </w:tcPr>
                <w:p w14:paraId="6785757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5A3C7FE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419F90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04E0CE7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3083" w:type="pct"/>
                  <w:gridSpan w:val="2"/>
                  <w:tcBorders>
                    <w:tl2br w:val="nil"/>
                    <w:tr2bl w:val="nil"/>
                  </w:tcBorders>
                  <w:vAlign w:val="center"/>
                </w:tcPr>
                <w:p w14:paraId="2A99952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3.禁止新扩建未纳入规划的火电项目（包括抽凝式燃煤热电项目）。</w:t>
                  </w:r>
                </w:p>
              </w:tc>
              <w:tc>
                <w:tcPr>
                  <w:tcW w:w="1020" w:type="pct"/>
                  <w:tcBorders>
                    <w:tl2br w:val="nil"/>
                    <w:tr2bl w:val="nil"/>
                  </w:tcBorders>
                  <w:vAlign w:val="center"/>
                </w:tcPr>
                <w:p w14:paraId="3C05FF9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本项目不涉及火电项目</w:t>
                  </w:r>
                </w:p>
              </w:tc>
              <w:tc>
                <w:tcPr>
                  <w:tcW w:w="503" w:type="pct"/>
                  <w:tcBorders>
                    <w:tl2br w:val="nil"/>
                    <w:tr2bl w:val="nil"/>
                  </w:tcBorders>
                  <w:vAlign w:val="center"/>
                </w:tcPr>
                <w:p w14:paraId="7A6C803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1FDE050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459D3AF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3083" w:type="pct"/>
                  <w:gridSpan w:val="2"/>
                  <w:tcBorders>
                    <w:tl2br w:val="nil"/>
                    <w:tr2bl w:val="nil"/>
                  </w:tcBorders>
                  <w:vAlign w:val="center"/>
                </w:tcPr>
                <w:p w14:paraId="08ADA41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4.禁止工艺落后、设备陈旧、污染严重的项目入区。</w:t>
                  </w:r>
                </w:p>
              </w:tc>
              <w:tc>
                <w:tcPr>
                  <w:tcW w:w="1020" w:type="pct"/>
                  <w:tcBorders>
                    <w:tl2br w:val="nil"/>
                    <w:tr2bl w:val="nil"/>
                  </w:tcBorders>
                  <w:vAlign w:val="center"/>
                </w:tcPr>
                <w:p w14:paraId="1C78BC5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本项目不涉及</w:t>
                  </w:r>
                </w:p>
              </w:tc>
              <w:tc>
                <w:tcPr>
                  <w:tcW w:w="503" w:type="pct"/>
                  <w:tcBorders>
                    <w:tl2br w:val="nil"/>
                    <w:tr2bl w:val="nil"/>
                  </w:tcBorders>
                  <w:vAlign w:val="center"/>
                </w:tcPr>
                <w:p w14:paraId="3EA4AFB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59B06B3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restart"/>
                  <w:tcBorders>
                    <w:tl2br w:val="nil"/>
                    <w:tr2bl w:val="nil"/>
                  </w:tcBorders>
                  <w:vAlign w:val="center"/>
                </w:tcPr>
                <w:p w14:paraId="182754D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污染物排放管控</w:t>
                  </w:r>
                </w:p>
              </w:tc>
              <w:tc>
                <w:tcPr>
                  <w:tcW w:w="551" w:type="pct"/>
                  <w:vMerge w:val="restart"/>
                  <w:tcBorders>
                    <w:tl2br w:val="nil"/>
                    <w:tr2bl w:val="nil"/>
                  </w:tcBorders>
                  <w:vAlign w:val="center"/>
                </w:tcPr>
                <w:p w14:paraId="111DF3F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1.执行锡林郭勒盟总体准入要求中第二条关于污染物排放管控的准入要求。</w:t>
                  </w:r>
                </w:p>
              </w:tc>
              <w:tc>
                <w:tcPr>
                  <w:tcW w:w="2532" w:type="pct"/>
                  <w:tcBorders>
                    <w:tl2br w:val="nil"/>
                    <w:tr2bl w:val="nil"/>
                  </w:tcBorders>
                  <w:vAlign w:val="center"/>
                </w:tcPr>
                <w:p w14:paraId="40D680B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严格落实污染物排放总量控制制度，把主要污染物排放总量指标作为环评审批的前置条件。对未完成上一年度主要污染物总量减排目标的地区或企业、环境质量未达到环境功能区划要求、被实施区域限批的地区及未进行排污权交易的工业企业建设项目暂停新增主要污染物排放建设项目的总量审批。</w:t>
                  </w:r>
                </w:p>
              </w:tc>
              <w:tc>
                <w:tcPr>
                  <w:tcW w:w="1020" w:type="pct"/>
                  <w:tcBorders>
                    <w:tl2br w:val="nil"/>
                    <w:tr2bl w:val="nil"/>
                  </w:tcBorders>
                  <w:vAlign w:val="center"/>
                </w:tcPr>
                <w:p w14:paraId="7C18269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本项目不涉及总量排放指标</w:t>
                  </w:r>
                </w:p>
              </w:tc>
              <w:tc>
                <w:tcPr>
                  <w:tcW w:w="503" w:type="pct"/>
                  <w:tcBorders>
                    <w:tl2br w:val="nil"/>
                    <w:tr2bl w:val="nil"/>
                  </w:tcBorders>
                  <w:vAlign w:val="center"/>
                </w:tcPr>
                <w:p w14:paraId="0A3482A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43234F7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3CCB3EC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none"/>
                    </w:rPr>
                  </w:pPr>
                </w:p>
              </w:tc>
              <w:tc>
                <w:tcPr>
                  <w:tcW w:w="551" w:type="pct"/>
                  <w:vMerge w:val="continue"/>
                  <w:tcBorders>
                    <w:tl2br w:val="nil"/>
                    <w:tr2bl w:val="nil"/>
                  </w:tcBorders>
                  <w:vAlign w:val="center"/>
                </w:tcPr>
                <w:p w14:paraId="3CB89AE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none"/>
                    </w:rPr>
                  </w:pPr>
                </w:p>
              </w:tc>
              <w:tc>
                <w:tcPr>
                  <w:tcW w:w="2532" w:type="pct"/>
                  <w:tcBorders>
                    <w:tl2br w:val="nil"/>
                    <w:tr2bl w:val="nil"/>
                  </w:tcBorders>
                  <w:vAlign w:val="center"/>
                </w:tcPr>
                <w:p w14:paraId="345FF19E">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45米以上高架源纳入自治区重点污染源在线监控并实现与生态环境部门联网。</w:t>
                  </w:r>
                </w:p>
              </w:tc>
              <w:tc>
                <w:tcPr>
                  <w:tcW w:w="1020" w:type="pct"/>
                  <w:tcBorders>
                    <w:tl2br w:val="nil"/>
                    <w:tr2bl w:val="nil"/>
                  </w:tcBorders>
                  <w:vAlign w:val="center"/>
                </w:tcPr>
                <w:p w14:paraId="141F428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67D8C03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42FC4EC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082D38E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51" w:type="pct"/>
                  <w:vMerge w:val="continue"/>
                  <w:tcBorders>
                    <w:tl2br w:val="nil"/>
                    <w:tr2bl w:val="nil"/>
                  </w:tcBorders>
                  <w:vAlign w:val="center"/>
                </w:tcPr>
                <w:p w14:paraId="15E036D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532" w:type="pct"/>
                  <w:tcBorders>
                    <w:tl2br w:val="nil"/>
                    <w:tr2bl w:val="nil"/>
                  </w:tcBorders>
                  <w:vAlign w:val="center"/>
                </w:tcPr>
                <w:p w14:paraId="47A7DF8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加强矿山开采污染治理。强化矿山开采、储存、装卸、运输过程的污染防治，确保粉尘达标排放。</w:t>
                  </w:r>
                </w:p>
              </w:tc>
              <w:tc>
                <w:tcPr>
                  <w:tcW w:w="1020" w:type="pct"/>
                  <w:tcBorders>
                    <w:tl2br w:val="nil"/>
                    <w:tr2bl w:val="nil"/>
                  </w:tcBorders>
                  <w:vAlign w:val="center"/>
                </w:tcPr>
                <w:p w14:paraId="71AE943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5B52DC3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B9624B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08C061C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0D84D33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3B3C4A4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w:t>
                  </w:r>
                  <w:r>
                    <w:rPr>
                      <w:rFonts w:hint="default" w:ascii="Times New Roman" w:hAnsi="Times New Roman" w:eastAsia="宋体" w:cs="Times New Roman"/>
                      <w:color w:val="auto"/>
                      <w:sz w:val="21"/>
                      <w:szCs w:val="21"/>
                      <w:highlight w:val="none"/>
                      <w:vertAlign w:val="baseline"/>
                      <w:lang w:val="en-US" w:eastAsia="zh-CN"/>
                    </w:rPr>
                    <w:t>重点行业粉状物料堆场必须进行全封闭，块状物料必须安装抑尘设施。</w:t>
                  </w:r>
                </w:p>
              </w:tc>
              <w:tc>
                <w:tcPr>
                  <w:tcW w:w="1020" w:type="pct"/>
                  <w:tcBorders>
                    <w:tl2br w:val="nil"/>
                    <w:tr2bl w:val="nil"/>
                  </w:tcBorders>
                  <w:vAlign w:val="center"/>
                </w:tcPr>
                <w:p w14:paraId="0E6A127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本项目不属于重点行业</w:t>
                  </w:r>
                </w:p>
              </w:tc>
              <w:tc>
                <w:tcPr>
                  <w:tcW w:w="503" w:type="pct"/>
                  <w:tcBorders>
                    <w:tl2br w:val="nil"/>
                    <w:tr2bl w:val="nil"/>
                  </w:tcBorders>
                  <w:vAlign w:val="center"/>
                </w:tcPr>
                <w:p w14:paraId="05ECC8E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5633387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74511CE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1E40BE4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52AB5E2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w:t>
                  </w:r>
                  <w:r>
                    <w:rPr>
                      <w:rFonts w:hint="default" w:ascii="Times New Roman" w:hAnsi="Times New Roman" w:eastAsia="宋体" w:cs="Times New Roman"/>
                      <w:color w:val="auto"/>
                      <w:sz w:val="21"/>
                      <w:szCs w:val="21"/>
                      <w:highlight w:val="none"/>
                      <w:vertAlign w:val="baseline"/>
                      <w:lang w:val="en-US" w:eastAsia="zh-CN"/>
                    </w:rPr>
                    <w:t>所有新建城镇污水处理设施要执行一级A排放标准。</w:t>
                  </w:r>
                </w:p>
              </w:tc>
              <w:tc>
                <w:tcPr>
                  <w:tcW w:w="1020" w:type="pct"/>
                  <w:tcBorders>
                    <w:tl2br w:val="nil"/>
                    <w:tr2bl w:val="nil"/>
                  </w:tcBorders>
                  <w:vAlign w:val="center"/>
                </w:tcPr>
                <w:p w14:paraId="4E5E198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0F79DFD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0D60555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50CC155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517DD38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06B6296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w:t>
                  </w:r>
                  <w:r>
                    <w:rPr>
                      <w:rFonts w:hint="default" w:ascii="Times New Roman" w:hAnsi="Times New Roman" w:eastAsia="宋体" w:cs="Times New Roman"/>
                      <w:color w:val="auto"/>
                      <w:sz w:val="21"/>
                      <w:szCs w:val="21"/>
                      <w:highlight w:val="none"/>
                      <w:vertAlign w:val="baseline"/>
                      <w:lang w:val="en-US" w:eastAsia="zh-CN"/>
                    </w:rPr>
                    <w:t>加大对纯凝机组和热电联产机组技术改造力度，加快供热管网建设，推进老旧管网改造，降低系统能耗，充分释放和提高供热能力，淘汰管网覆盖范围内的燃煤锅炉和散煤。</w:t>
                  </w:r>
                </w:p>
              </w:tc>
              <w:tc>
                <w:tcPr>
                  <w:tcW w:w="1020" w:type="pct"/>
                  <w:tcBorders>
                    <w:tl2br w:val="nil"/>
                    <w:tr2bl w:val="nil"/>
                  </w:tcBorders>
                  <w:vAlign w:val="center"/>
                </w:tcPr>
                <w:p w14:paraId="1CABAD4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5BD5B4F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5F07C35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0EA6208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28734D1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77C7ABA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w:t>
                  </w:r>
                  <w:r>
                    <w:rPr>
                      <w:rFonts w:hint="default" w:ascii="Times New Roman" w:hAnsi="Times New Roman" w:eastAsia="宋体" w:cs="Times New Roman"/>
                      <w:color w:val="auto"/>
                      <w:sz w:val="21"/>
                      <w:szCs w:val="21"/>
                      <w:highlight w:val="none"/>
                      <w:vertAlign w:val="baseline"/>
                      <w:lang w:val="en-US" w:eastAsia="zh-CN"/>
                    </w:rPr>
                    <w:t>对新发现的小型造纸、制革、印染、染料、炼焦、炼硫、炼砷、炼油、电镀、农药等严重污染水环境的</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十小</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企业坚决依法予以取缔。</w:t>
                  </w:r>
                </w:p>
              </w:tc>
              <w:tc>
                <w:tcPr>
                  <w:tcW w:w="1020" w:type="pct"/>
                  <w:tcBorders>
                    <w:tl2br w:val="nil"/>
                    <w:tr2bl w:val="nil"/>
                  </w:tcBorders>
                  <w:vAlign w:val="center"/>
                </w:tcPr>
                <w:p w14:paraId="4D90B43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本项目不属于</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十小</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企业</w:t>
                  </w:r>
                </w:p>
              </w:tc>
              <w:tc>
                <w:tcPr>
                  <w:tcW w:w="503" w:type="pct"/>
                  <w:tcBorders>
                    <w:tl2br w:val="nil"/>
                    <w:tr2bl w:val="nil"/>
                  </w:tcBorders>
                  <w:vAlign w:val="center"/>
                </w:tcPr>
                <w:p w14:paraId="506D057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79900FB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4113777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5CEF4D1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36A2141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8.贮存煤炭、煤矸石、煤渣、煤灰等易产生煤尘的物料应当密闭；不能密闭的，应当设置不低于堆放物高度的严密围挡，并采取有效覆盖措施防治煤尘污染。</w:t>
                  </w:r>
                </w:p>
              </w:tc>
              <w:tc>
                <w:tcPr>
                  <w:tcW w:w="1020" w:type="pct"/>
                  <w:tcBorders>
                    <w:tl2br w:val="nil"/>
                    <w:tr2bl w:val="nil"/>
                  </w:tcBorders>
                  <w:vAlign w:val="center"/>
                </w:tcPr>
                <w:p w14:paraId="1273EBB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5AF35C9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9F7346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0A05433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1DF307D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067EF3D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9.禁止露天焚烧沥青、油毡、橡胶、塑料、皮革、垃圾以及其他产生有毒有害烟尘和恶臭气体的物质；确需焚烧处理的，应当采用专用焚烧装置。</w:t>
                  </w:r>
                </w:p>
              </w:tc>
              <w:tc>
                <w:tcPr>
                  <w:tcW w:w="1020" w:type="pct"/>
                  <w:tcBorders>
                    <w:tl2br w:val="nil"/>
                    <w:tr2bl w:val="nil"/>
                  </w:tcBorders>
                  <w:vAlign w:val="center"/>
                </w:tcPr>
                <w:p w14:paraId="063EBEA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7311406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F67AD4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15862B7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6A3502F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6B055B9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10.禁止在居民住宅楼、未配套设立专用烟道的商住综合楼以及商住综合楼内与居住层相邻的商业楼层内新建、改建、扩建产生油烟、异味、废气的餐饮服务项目。</w:t>
                  </w:r>
                </w:p>
              </w:tc>
              <w:tc>
                <w:tcPr>
                  <w:tcW w:w="1020" w:type="pct"/>
                  <w:tcBorders>
                    <w:tl2br w:val="nil"/>
                    <w:tr2bl w:val="nil"/>
                  </w:tcBorders>
                  <w:vAlign w:val="center"/>
                </w:tcPr>
                <w:p w14:paraId="6A40C25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25F8AB3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16A645F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3F2682A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4C123DC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4C452A5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11.排放工业废液的企业应当采取有效措施，收集和处理产生的全部废液，应当达标排放。含有毒有害水污染物的工业废液应当分类收集和处理，禁止稀释排放。</w:t>
                  </w:r>
                </w:p>
              </w:tc>
              <w:tc>
                <w:tcPr>
                  <w:tcW w:w="1020" w:type="pct"/>
                  <w:tcBorders>
                    <w:tl2br w:val="nil"/>
                    <w:tr2bl w:val="nil"/>
                  </w:tcBorders>
                  <w:vAlign w:val="center"/>
                </w:tcPr>
                <w:p w14:paraId="7567F5A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本项目不涉及工业废液排放</w:t>
                  </w:r>
                </w:p>
              </w:tc>
              <w:tc>
                <w:tcPr>
                  <w:tcW w:w="503" w:type="pct"/>
                  <w:tcBorders>
                    <w:tl2br w:val="nil"/>
                    <w:tr2bl w:val="nil"/>
                  </w:tcBorders>
                  <w:vAlign w:val="center"/>
                </w:tcPr>
                <w:p w14:paraId="399C100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14F3B93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000CC51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41EB3CC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724DB2A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12.禁止餐饮、洗浴、洗涤、洗车经营者直接向雨水排放系统、河道等外环境排放污水。</w:t>
                  </w:r>
                </w:p>
              </w:tc>
              <w:tc>
                <w:tcPr>
                  <w:tcW w:w="1020" w:type="pct"/>
                  <w:tcBorders>
                    <w:tl2br w:val="nil"/>
                    <w:tr2bl w:val="nil"/>
                  </w:tcBorders>
                  <w:vAlign w:val="center"/>
                </w:tcPr>
                <w:p w14:paraId="1CE6498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03F63A2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3C4A62D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5396805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693C263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5D4FB64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13.禁止含酚废液作为煤气水封水、冲渣水。</w:t>
                  </w:r>
                </w:p>
              </w:tc>
              <w:tc>
                <w:tcPr>
                  <w:tcW w:w="1020" w:type="pct"/>
                  <w:tcBorders>
                    <w:tl2br w:val="nil"/>
                    <w:tr2bl w:val="nil"/>
                  </w:tcBorders>
                  <w:vAlign w:val="center"/>
                </w:tcPr>
                <w:p w14:paraId="610C695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本项目不涉及含酚废液</w:t>
                  </w:r>
                </w:p>
              </w:tc>
              <w:tc>
                <w:tcPr>
                  <w:tcW w:w="503" w:type="pct"/>
                  <w:tcBorders>
                    <w:tl2br w:val="nil"/>
                    <w:tr2bl w:val="nil"/>
                  </w:tcBorders>
                  <w:vAlign w:val="center"/>
                </w:tcPr>
                <w:p w14:paraId="26A1DCF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0E6520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78979C9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5C787F7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399FE5F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14.禁止生产、销售、使用不符合国家标准的农用薄膜。禁止将危险废物混入生活垃圾或者其他废物贮存、运输。</w:t>
                  </w:r>
                </w:p>
              </w:tc>
              <w:tc>
                <w:tcPr>
                  <w:tcW w:w="1020" w:type="pct"/>
                  <w:tcBorders>
                    <w:tl2br w:val="nil"/>
                    <w:tr2bl w:val="nil"/>
                  </w:tcBorders>
                  <w:vAlign w:val="center"/>
                </w:tcPr>
                <w:p w14:paraId="468BEBF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0A63D58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C45588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91" w:type="pct"/>
                  <w:vMerge w:val="continue"/>
                  <w:tcBorders>
                    <w:tl2br w:val="nil"/>
                    <w:tr2bl w:val="nil"/>
                  </w:tcBorders>
                  <w:vAlign w:val="center"/>
                </w:tcPr>
                <w:p w14:paraId="795C362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51" w:type="pct"/>
                  <w:vMerge w:val="continue"/>
                  <w:tcBorders>
                    <w:tl2br w:val="nil"/>
                    <w:tr2bl w:val="nil"/>
                  </w:tcBorders>
                  <w:vAlign w:val="center"/>
                </w:tcPr>
                <w:p w14:paraId="252B4A0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532" w:type="pct"/>
                  <w:tcBorders>
                    <w:tl2br w:val="nil"/>
                    <w:tr2bl w:val="nil"/>
                  </w:tcBorders>
                  <w:vAlign w:val="center"/>
                </w:tcPr>
                <w:p w14:paraId="7B36FCB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15.禁止以任何方式进口固体废物。禁止境外的固体废物进境倾倒、堆放、处置。</w:t>
                  </w:r>
                </w:p>
              </w:tc>
              <w:tc>
                <w:tcPr>
                  <w:tcW w:w="1020" w:type="pct"/>
                  <w:tcBorders>
                    <w:tl2br w:val="nil"/>
                    <w:tr2bl w:val="nil"/>
                  </w:tcBorders>
                  <w:vAlign w:val="center"/>
                </w:tcPr>
                <w:p w14:paraId="1D66475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3E9BD17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C76008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130FB35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3083" w:type="pct"/>
                  <w:gridSpan w:val="2"/>
                  <w:tcBorders>
                    <w:tl2br w:val="nil"/>
                    <w:tr2bl w:val="nil"/>
                  </w:tcBorders>
                  <w:vAlign w:val="center"/>
                </w:tcPr>
                <w:p w14:paraId="75063E7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2.新建排放重金属污染物的建设项目全面执行重金属重点污染物排放限值要求。</w:t>
                  </w:r>
                </w:p>
              </w:tc>
              <w:tc>
                <w:tcPr>
                  <w:tcW w:w="1020" w:type="pct"/>
                  <w:tcBorders>
                    <w:tl2br w:val="nil"/>
                    <w:tr2bl w:val="nil"/>
                  </w:tcBorders>
                  <w:vAlign w:val="center"/>
                </w:tcPr>
                <w:p w14:paraId="0396259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本项目不涉及重金属污染物</w:t>
                  </w:r>
                </w:p>
              </w:tc>
              <w:tc>
                <w:tcPr>
                  <w:tcW w:w="503" w:type="pct"/>
                  <w:tcBorders>
                    <w:tl2br w:val="nil"/>
                    <w:tr2bl w:val="nil"/>
                  </w:tcBorders>
                  <w:vAlign w:val="center"/>
                </w:tcPr>
                <w:p w14:paraId="10BDFE3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13FDFC5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6FD863D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3083" w:type="pct"/>
                  <w:gridSpan w:val="2"/>
                  <w:tcBorders>
                    <w:tl2br w:val="nil"/>
                    <w:tr2bl w:val="nil"/>
                  </w:tcBorders>
                  <w:vAlign w:val="center"/>
                </w:tcPr>
                <w:p w14:paraId="56285CA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3.入区企业必须采用先进的、密封性能好的生产设备、化学物料存贮容器和输送管道，最大限度减少无组织废气排放；同时还要采用先进的治理和回收技术，严格按照有关规定，实现达标排放。</w:t>
                  </w:r>
                </w:p>
              </w:tc>
              <w:tc>
                <w:tcPr>
                  <w:tcW w:w="1020" w:type="pct"/>
                  <w:tcBorders>
                    <w:tl2br w:val="nil"/>
                    <w:tr2bl w:val="nil"/>
                  </w:tcBorders>
                  <w:vAlign w:val="center"/>
                </w:tcPr>
                <w:p w14:paraId="6DB0A09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43E28B3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314B699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545455C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3083" w:type="pct"/>
                  <w:gridSpan w:val="2"/>
                  <w:tcBorders>
                    <w:tl2br w:val="nil"/>
                    <w:tr2bl w:val="nil"/>
                  </w:tcBorders>
                  <w:vAlign w:val="center"/>
                </w:tcPr>
                <w:p w14:paraId="3110DB2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4.优先引进污染轻、技术先进、生产规模大的项目。</w:t>
                  </w:r>
                </w:p>
              </w:tc>
              <w:tc>
                <w:tcPr>
                  <w:tcW w:w="1020" w:type="pct"/>
                  <w:tcBorders>
                    <w:tl2br w:val="nil"/>
                    <w:tr2bl w:val="nil"/>
                  </w:tcBorders>
                  <w:vAlign w:val="center"/>
                </w:tcPr>
                <w:p w14:paraId="4BF9D8F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77D1AE7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C7D43B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182598A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3083" w:type="pct"/>
                  <w:gridSpan w:val="2"/>
                  <w:tcBorders>
                    <w:tl2br w:val="nil"/>
                    <w:tr2bl w:val="nil"/>
                  </w:tcBorders>
                  <w:vAlign w:val="center"/>
                </w:tcPr>
                <w:p w14:paraId="592DBAD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5.入区企业提出明确的废气污染源治理要求，必须确保其达标排放后才可批准生产。同时确保“三同时”制度的执行，对污染物排放量进行全过程控制。</w:t>
                  </w:r>
                </w:p>
              </w:tc>
              <w:tc>
                <w:tcPr>
                  <w:tcW w:w="1020" w:type="pct"/>
                  <w:tcBorders>
                    <w:tl2br w:val="nil"/>
                    <w:tr2bl w:val="nil"/>
                  </w:tcBorders>
                  <w:vAlign w:val="center"/>
                </w:tcPr>
                <w:p w14:paraId="150D6FE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21CB7D2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034D383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91" w:type="pct"/>
                  <w:vMerge w:val="restart"/>
                  <w:tcBorders>
                    <w:tl2br w:val="nil"/>
                    <w:tr2bl w:val="nil"/>
                  </w:tcBorders>
                  <w:vAlign w:val="center"/>
                </w:tcPr>
                <w:p w14:paraId="748762E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环境风险防控</w:t>
                  </w:r>
                </w:p>
              </w:tc>
              <w:tc>
                <w:tcPr>
                  <w:tcW w:w="3083" w:type="pct"/>
                  <w:gridSpan w:val="2"/>
                  <w:tcBorders>
                    <w:tl2br w:val="nil"/>
                    <w:tr2bl w:val="nil"/>
                  </w:tcBorders>
                  <w:vAlign w:val="center"/>
                </w:tcPr>
                <w:p w14:paraId="28F1C4E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1.园区应建立突发环境事件应急防控体系，增强突发环境事件处置能力。</w:t>
                  </w:r>
                </w:p>
              </w:tc>
              <w:tc>
                <w:tcPr>
                  <w:tcW w:w="1020" w:type="pct"/>
                  <w:tcBorders>
                    <w:tl2br w:val="nil"/>
                    <w:tr2bl w:val="nil"/>
                  </w:tcBorders>
                  <w:vAlign w:val="center"/>
                </w:tcPr>
                <w:p w14:paraId="11D316F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本项目建成后，投产，编制环境风险应急预案，并定期开展环境风险应急演练</w:t>
                  </w:r>
                </w:p>
              </w:tc>
              <w:tc>
                <w:tcPr>
                  <w:tcW w:w="503" w:type="pct"/>
                  <w:tcBorders>
                    <w:tl2br w:val="nil"/>
                    <w:tr2bl w:val="nil"/>
                  </w:tcBorders>
                  <w:vAlign w:val="center"/>
                </w:tcPr>
                <w:p w14:paraId="7C98270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B768C9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91" w:type="pct"/>
                  <w:vMerge w:val="continue"/>
                  <w:tcBorders>
                    <w:tl2br w:val="nil"/>
                    <w:tr2bl w:val="nil"/>
                  </w:tcBorders>
                  <w:vAlign w:val="center"/>
                </w:tcPr>
                <w:p w14:paraId="745D346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083" w:type="pct"/>
                  <w:gridSpan w:val="2"/>
                  <w:tcBorders>
                    <w:tl2br w:val="nil"/>
                    <w:tr2bl w:val="nil"/>
                  </w:tcBorders>
                  <w:vAlign w:val="center"/>
                </w:tcPr>
                <w:p w14:paraId="376DF4C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2.严格落实工业集聚区环境风险各项防控措施。对高风险化学品生产、使用进行严格限制，并逐步淘汰替代。</w:t>
                  </w:r>
                </w:p>
              </w:tc>
              <w:tc>
                <w:tcPr>
                  <w:tcW w:w="1020" w:type="pct"/>
                  <w:tcBorders>
                    <w:tl2br w:val="nil"/>
                    <w:tr2bl w:val="nil"/>
                  </w:tcBorders>
                  <w:vAlign w:val="center"/>
                </w:tcPr>
                <w:p w14:paraId="4954560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12EF3C0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27CC5E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91" w:type="pct"/>
                  <w:vMerge w:val="continue"/>
                  <w:tcBorders>
                    <w:tl2br w:val="nil"/>
                    <w:tr2bl w:val="nil"/>
                  </w:tcBorders>
                  <w:vAlign w:val="center"/>
                </w:tcPr>
                <w:p w14:paraId="2337306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083" w:type="pct"/>
                  <w:gridSpan w:val="2"/>
                  <w:tcBorders>
                    <w:tl2br w:val="nil"/>
                    <w:tr2bl w:val="nil"/>
                  </w:tcBorders>
                  <w:vAlign w:val="center"/>
                </w:tcPr>
                <w:p w14:paraId="4DE1963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3.开展涉危涉化企业、有风险隐患的渣场等风险排查和整改工作，及时消除隐患。</w:t>
                  </w:r>
                </w:p>
              </w:tc>
              <w:tc>
                <w:tcPr>
                  <w:tcW w:w="1020" w:type="pct"/>
                  <w:tcBorders>
                    <w:tl2br w:val="nil"/>
                    <w:tr2bl w:val="nil"/>
                  </w:tcBorders>
                  <w:vAlign w:val="center"/>
                </w:tcPr>
                <w:p w14:paraId="34C96F3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50EEDB0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0051A9A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91" w:type="pct"/>
                  <w:vMerge w:val="continue"/>
                  <w:tcBorders>
                    <w:tl2br w:val="nil"/>
                    <w:tr2bl w:val="nil"/>
                  </w:tcBorders>
                  <w:vAlign w:val="center"/>
                </w:tcPr>
                <w:p w14:paraId="4CE6E81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083" w:type="pct"/>
                  <w:gridSpan w:val="2"/>
                  <w:tcBorders>
                    <w:tl2br w:val="nil"/>
                    <w:tr2bl w:val="nil"/>
                  </w:tcBorders>
                  <w:vAlign w:val="center"/>
                </w:tcPr>
                <w:p w14:paraId="588755CC">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4.按要求建设园区隔离带、绿化防护带等设施。</w:t>
                  </w:r>
                </w:p>
              </w:tc>
              <w:tc>
                <w:tcPr>
                  <w:tcW w:w="1020" w:type="pct"/>
                  <w:tcBorders>
                    <w:tl2br w:val="nil"/>
                    <w:tr2bl w:val="nil"/>
                  </w:tcBorders>
                  <w:vAlign w:val="center"/>
                </w:tcPr>
                <w:p w14:paraId="4E4B4E4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6D52513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6C738CB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189DDCB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083" w:type="pct"/>
                  <w:gridSpan w:val="2"/>
                  <w:tcBorders>
                    <w:tl2br w:val="nil"/>
                    <w:tr2bl w:val="nil"/>
                  </w:tcBorders>
                  <w:vAlign w:val="center"/>
                </w:tcPr>
                <w:p w14:paraId="65868EA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5.建立完备的事故废液调储系统。厂区分区防渗；建立区域土壤及地下水监测监控体系。</w:t>
                  </w:r>
                </w:p>
              </w:tc>
              <w:tc>
                <w:tcPr>
                  <w:tcW w:w="1020" w:type="pct"/>
                  <w:tcBorders>
                    <w:tl2br w:val="nil"/>
                    <w:tr2bl w:val="nil"/>
                  </w:tcBorders>
                  <w:vAlign w:val="center"/>
                </w:tcPr>
                <w:p w14:paraId="42F02E1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2290950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DB188D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restart"/>
                  <w:tcBorders>
                    <w:tl2br w:val="nil"/>
                    <w:tr2bl w:val="nil"/>
                  </w:tcBorders>
                  <w:vAlign w:val="center"/>
                </w:tcPr>
                <w:p w14:paraId="1F55F94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资源利用效率要求</w:t>
                  </w:r>
                </w:p>
              </w:tc>
              <w:tc>
                <w:tcPr>
                  <w:tcW w:w="3083" w:type="pct"/>
                  <w:gridSpan w:val="2"/>
                  <w:tcBorders>
                    <w:tl2br w:val="nil"/>
                    <w:tr2bl w:val="nil"/>
                  </w:tcBorders>
                  <w:vAlign w:val="center"/>
                </w:tcPr>
                <w:p w14:paraId="6C758C9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.实行地下水</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五控</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制度。</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五控</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即严格管控地下水开发利用总量、水位、用途、水质及机电井数量。</w:t>
                  </w:r>
                </w:p>
              </w:tc>
              <w:tc>
                <w:tcPr>
                  <w:tcW w:w="1020" w:type="pct"/>
                  <w:tcBorders>
                    <w:tl2br w:val="nil"/>
                    <w:tr2bl w:val="nil"/>
                  </w:tcBorders>
                  <w:vAlign w:val="center"/>
                </w:tcPr>
                <w:p w14:paraId="2DE6D1C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3D6296B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7F36E3E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42A6E9E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083" w:type="pct"/>
                  <w:gridSpan w:val="2"/>
                  <w:tcBorders>
                    <w:tl2br w:val="nil"/>
                    <w:tr2bl w:val="nil"/>
                  </w:tcBorders>
                  <w:vAlign w:val="center"/>
                </w:tcPr>
                <w:p w14:paraId="03922D70">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2.园区严禁高耗水项目入驻，合理控制产业发展规模；鼓励企业内部中水回用，并使其工艺用水重复利用率达到国家规定的要求。</w:t>
                  </w:r>
                </w:p>
              </w:tc>
              <w:tc>
                <w:tcPr>
                  <w:tcW w:w="1020" w:type="pct"/>
                  <w:tcBorders>
                    <w:tl2br w:val="nil"/>
                    <w:tr2bl w:val="nil"/>
                  </w:tcBorders>
                  <w:vAlign w:val="center"/>
                </w:tcPr>
                <w:p w14:paraId="40CC9E5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034F941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57223CC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1" w:type="pct"/>
                  <w:vMerge w:val="continue"/>
                  <w:tcBorders>
                    <w:tl2br w:val="nil"/>
                    <w:tr2bl w:val="nil"/>
                  </w:tcBorders>
                  <w:vAlign w:val="center"/>
                </w:tcPr>
                <w:p w14:paraId="1BCE359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083" w:type="pct"/>
                  <w:gridSpan w:val="2"/>
                  <w:tcBorders>
                    <w:tl2br w:val="nil"/>
                    <w:tr2bl w:val="nil"/>
                  </w:tcBorders>
                  <w:vAlign w:val="center"/>
                </w:tcPr>
                <w:p w14:paraId="2B362D1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加强工业取用水管理。淘汰落后产能，加快企业改造升级、提高工业用水的循环利用率，加强再生水等非常规水源利用。新建项目的用水定额必须符合《内蒙古自治区行业用水定额标准》。强化用水监控管理，对纳入取水许可管理的单位实行计划用水管理。对各类取用水户定期开展水平衡测试工作，促进取用水户节水水平和用水效率的提高。大力推进节水企业、节水工业园区建设。</w:t>
                  </w:r>
                </w:p>
              </w:tc>
              <w:tc>
                <w:tcPr>
                  <w:tcW w:w="1020" w:type="pct"/>
                  <w:tcBorders>
                    <w:tl2br w:val="nil"/>
                    <w:tr2bl w:val="nil"/>
                  </w:tcBorders>
                  <w:vAlign w:val="center"/>
                </w:tcPr>
                <w:p w14:paraId="2D34910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503" w:type="pct"/>
                  <w:tcBorders>
                    <w:tl2br w:val="nil"/>
                    <w:tr2bl w:val="nil"/>
                  </w:tcBorders>
                  <w:vAlign w:val="center"/>
                </w:tcPr>
                <w:p w14:paraId="1680F32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bl>
          <w:p w14:paraId="6851AB8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经以上分析，本项目与《锡林郭勒盟生态环境保护委员会办公室关于印发锡林郭勒盟</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三线一单</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生态环境分区管控意见修改单和锡林郭勒盟生态环境准入清单的通知（锡环委办发〔2024〕1号）》符合。</w:t>
            </w:r>
          </w:p>
          <w:p w14:paraId="7F4A639F">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ascii="Times New Roman" w:hAnsi="Times New Roman" w:cs="Times New Roman"/>
                <w:b/>
                <w:bCs/>
                <w:color w:val="auto"/>
                <w:highlight w:val="none"/>
              </w:rPr>
            </w:pPr>
            <w:r>
              <w:rPr>
                <w:rFonts w:ascii="Times New Roman" w:hAnsi="Times New Roman" w:cs="Times New Roman"/>
                <w:b/>
                <w:bCs/>
                <w:color w:val="auto"/>
                <w:highlight w:val="none"/>
              </w:rPr>
              <w:t>二、项目选址与产业政策分析</w:t>
            </w:r>
          </w:p>
          <w:p w14:paraId="0F4CBE7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ascii="Times New Roman" w:hAnsi="Times New Roman" w:eastAsia="黑体" w:cs="Times New Roman"/>
                <w:color w:val="auto"/>
                <w:highlight w:val="none"/>
              </w:rPr>
              <w:t>1、产业政策相符性</w:t>
            </w:r>
          </w:p>
          <w:p w14:paraId="3F4EA0B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据《产业结构调整指导目录（2024年本）》，评价对本项目建设与产业政策的相符性进行分析，本项目为危废暂存间建设项目，经查阅，</w:t>
            </w:r>
            <w:r>
              <w:rPr>
                <w:rFonts w:hint="default" w:ascii="Times New Roman" w:hAnsi="Times New Roman" w:eastAsia="宋体" w:cs="Times New Roman"/>
                <w:color w:val="auto"/>
                <w:highlight w:val="none"/>
                <w:lang w:val="en-US" w:eastAsia="zh-CN"/>
              </w:rPr>
              <w:t>本项目</w:t>
            </w:r>
            <w:r>
              <w:rPr>
                <w:rFonts w:hint="eastAsia"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lang w:val="en-US" w:eastAsia="zh-CN"/>
              </w:rPr>
              <w:t>属于</w:t>
            </w:r>
            <w:r>
              <w:rPr>
                <w:rFonts w:hint="eastAsia" w:ascii="Times New Roman" w:hAnsi="Times New Roman" w:eastAsia="宋体" w:cs="Times New Roman"/>
                <w:color w:val="auto"/>
                <w:highlight w:val="none"/>
                <w:lang w:val="en-US" w:eastAsia="zh-CN"/>
              </w:rPr>
              <w:t>《产业结构调整指导目录（2024年本）》</w:t>
            </w:r>
            <w:r>
              <w:rPr>
                <w:rFonts w:hint="default" w:ascii="Times New Roman" w:hAnsi="Times New Roman" w:eastAsia="宋体" w:cs="Times New Roman"/>
                <w:color w:val="auto"/>
                <w:highlight w:val="none"/>
                <w:lang w:val="en-US" w:eastAsia="zh-CN"/>
              </w:rPr>
              <w:t>中</w:t>
            </w:r>
            <w:r>
              <w:rPr>
                <w:rFonts w:hint="eastAsia" w:ascii="Times New Roman" w:hAnsi="Times New Roman" w:eastAsia="宋体" w:cs="Times New Roman"/>
                <w:color w:val="auto"/>
                <w:highlight w:val="none"/>
                <w:lang w:val="en-US" w:eastAsia="zh-CN"/>
              </w:rPr>
              <w:t>的鼓励类、限制类、淘汰类项目</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属于允许类项目，</w:t>
            </w:r>
            <w:r>
              <w:rPr>
                <w:rFonts w:hint="default" w:ascii="Times New Roman" w:hAnsi="Times New Roman" w:eastAsia="宋体" w:cs="Times New Roman"/>
                <w:color w:val="auto"/>
                <w:highlight w:val="none"/>
                <w:lang w:val="en-US" w:eastAsia="zh-CN"/>
              </w:rPr>
              <w:t>符合产业政策。</w:t>
            </w:r>
          </w:p>
          <w:p w14:paraId="6A7CD26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ascii="Times New Roman" w:hAnsi="Times New Roman" w:eastAsia="黑体" w:cs="Times New Roman"/>
                <w:color w:val="auto"/>
                <w:highlight w:val="none"/>
              </w:rPr>
              <w:t>2、选址合理性</w:t>
            </w:r>
            <w:r>
              <w:rPr>
                <w:rFonts w:hint="eastAsia" w:ascii="Times New Roman" w:hAnsi="Times New Roman" w:eastAsia="黑体" w:cs="Times New Roman"/>
                <w:color w:val="auto"/>
                <w:highlight w:val="none"/>
                <w:lang w:eastAsia="zh-CN"/>
              </w:rPr>
              <w:t>分析</w:t>
            </w:r>
          </w:p>
          <w:p w14:paraId="53C3AA0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本项目选址位于内蒙古锡林郭勒盟</w:t>
            </w:r>
            <w:r>
              <w:rPr>
                <w:rFonts w:hint="eastAsia" w:ascii="Times New Roman" w:hAnsi="Times New Roman" w:cs="Times New Roman"/>
                <w:color w:val="auto"/>
                <w:highlight w:val="none"/>
                <w:lang w:val="en-US" w:eastAsia="zh-CN"/>
              </w:rPr>
              <w:t>锡林浩特市远景能源（锡林郭勒）有限公司</w:t>
            </w:r>
            <w:r>
              <w:rPr>
                <w:rFonts w:ascii="Times New Roman" w:hAnsi="Times New Roman" w:cs="Times New Roman"/>
                <w:color w:val="auto"/>
                <w:highlight w:val="none"/>
              </w:rPr>
              <w:t>院内，根据现场踏勘及查阅资料可知，周边无风景名胜区和自然保护区等敏感环境制约因素</w:t>
            </w:r>
            <w:r>
              <w:rPr>
                <w:rFonts w:hint="eastAsia" w:ascii="Times New Roman" w:hAnsi="Times New Roman" w:cs="Times New Roman"/>
                <w:color w:val="auto"/>
                <w:highlight w:val="none"/>
              </w:rPr>
              <w:t>，</w:t>
            </w:r>
            <w:r>
              <w:rPr>
                <w:rFonts w:ascii="Times New Roman" w:hAnsi="Times New Roman" w:cs="Times New Roman"/>
                <w:color w:val="auto"/>
                <w:highlight w:val="none"/>
              </w:rPr>
              <w:t>该项目区地震烈度为6度，</w:t>
            </w:r>
            <w:r>
              <w:rPr>
                <w:rFonts w:hint="eastAsia" w:ascii="Times New Roman" w:hAnsi="Times New Roman" w:cs="Times New Roman"/>
                <w:color w:val="auto"/>
                <w:highlight w:val="none"/>
              </w:rPr>
              <w:t>周围1000m范围内无地表水；位于地面，高于地下水水位；</w:t>
            </w:r>
            <w:r>
              <w:rPr>
                <w:rFonts w:ascii="Times New Roman" w:hAnsi="Times New Roman" w:cs="Times New Roman"/>
                <w:color w:val="auto"/>
                <w:highlight w:val="none"/>
              </w:rPr>
              <w:t>项目区周边无易燃、易爆等危险品</w:t>
            </w:r>
            <w:r>
              <w:rPr>
                <w:rFonts w:hint="eastAsia" w:ascii="Times New Roman" w:hAnsi="Times New Roman" w:cs="Times New Roman"/>
                <w:color w:val="auto"/>
                <w:highlight w:val="none"/>
              </w:rPr>
              <w:t>房间</w:t>
            </w:r>
            <w:r>
              <w:rPr>
                <w:rFonts w:ascii="Times New Roman" w:hAnsi="Times New Roman" w:cs="Times New Roman"/>
                <w:color w:val="auto"/>
                <w:highlight w:val="none"/>
              </w:rPr>
              <w:t>、高压输电线路防护区域</w:t>
            </w:r>
            <w:r>
              <w:rPr>
                <w:rFonts w:hint="eastAsia" w:ascii="Times New Roman" w:hAnsi="Times New Roman" w:cs="Times New Roman"/>
                <w:color w:val="auto"/>
                <w:highlight w:val="none"/>
              </w:rPr>
              <w:t>，与</w:t>
            </w:r>
            <w:r>
              <w:rPr>
                <w:rFonts w:ascii="Times New Roman" w:hAnsi="Times New Roman" w:cs="Times New Roman"/>
                <w:color w:val="auto"/>
                <w:highlight w:val="none"/>
              </w:rPr>
              <w:t>《危险废物贮存污染控制标准》（GB18597-20</w:t>
            </w:r>
            <w:r>
              <w:rPr>
                <w:rFonts w:hint="eastAsia" w:ascii="Times New Roman" w:hAnsi="Times New Roman" w:cs="Times New Roman"/>
                <w:color w:val="auto"/>
                <w:highlight w:val="none"/>
              </w:rPr>
              <w:t>23</w:t>
            </w:r>
            <w:r>
              <w:rPr>
                <w:rFonts w:ascii="Times New Roman" w:hAnsi="Times New Roman" w:cs="Times New Roman"/>
                <w:color w:val="auto"/>
                <w:highlight w:val="none"/>
              </w:rPr>
              <w:t>）中</w:t>
            </w:r>
            <w:r>
              <w:rPr>
                <w:rFonts w:hint="eastAsia" w:ascii="Times New Roman" w:hAnsi="Times New Roman" w:cs="Times New Roman"/>
                <w:color w:val="auto"/>
                <w:highlight w:val="none"/>
              </w:rPr>
              <w:t>选址</w:t>
            </w:r>
            <w:r>
              <w:rPr>
                <w:rFonts w:ascii="Times New Roman" w:hAnsi="Times New Roman" w:cs="Times New Roman"/>
                <w:color w:val="auto"/>
                <w:highlight w:val="none"/>
              </w:rPr>
              <w:t>的</w:t>
            </w:r>
            <w:r>
              <w:rPr>
                <w:rFonts w:hint="eastAsia" w:ascii="Times New Roman" w:hAnsi="Times New Roman" w:cs="Times New Roman"/>
                <w:color w:val="auto"/>
                <w:highlight w:val="none"/>
              </w:rPr>
              <w:t>符合性见表3所示。</w:t>
            </w:r>
          </w:p>
          <w:p w14:paraId="66D96B56">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ascii="Times New Roman" w:hAnsi="Times New Roman" w:cs="Times New Roman"/>
                <w:b/>
                <w:bCs/>
                <w:color w:val="auto"/>
                <w:highlight w:val="none"/>
              </w:rPr>
            </w:pPr>
            <w:r>
              <w:rPr>
                <w:rFonts w:hint="eastAsia" w:ascii="Times New Roman" w:hAnsi="Times New Roman" w:cs="Times New Roman"/>
                <w:b/>
                <w:bCs/>
                <w:color w:val="auto"/>
                <w:highlight w:val="none"/>
              </w:rPr>
              <w:t xml:space="preserve">表3  </w:t>
            </w:r>
            <w:r>
              <w:rPr>
                <w:rFonts w:ascii="Times New Roman" w:hAnsi="Times New Roman" w:cs="Times New Roman"/>
                <w:b/>
                <w:bCs/>
                <w:color w:val="auto"/>
                <w:highlight w:val="none"/>
              </w:rPr>
              <w:t>《危险废物贮存污染控制标准》（GB18597-2023）</w:t>
            </w:r>
            <w:r>
              <w:rPr>
                <w:rFonts w:hint="eastAsia" w:ascii="Times New Roman" w:hAnsi="Times New Roman" w:cs="Times New Roman"/>
                <w:b/>
                <w:bCs/>
                <w:color w:val="auto"/>
                <w:highlight w:val="none"/>
              </w:rPr>
              <w:t>选址要求</w:t>
            </w:r>
          </w:p>
          <w:tbl>
            <w:tblPr>
              <w:tblStyle w:val="25"/>
              <w:tblW w:w="4997"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2820"/>
              <w:gridCol w:w="2595"/>
              <w:gridCol w:w="987"/>
            </w:tblGrid>
            <w:tr w14:paraId="2E5A29B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l2br w:val="nil"/>
                    <w:tr2bl w:val="nil"/>
                  </w:tcBorders>
                  <w:vAlign w:val="center"/>
                </w:tcPr>
                <w:p w14:paraId="7DA34D22">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序号</w:t>
                  </w:r>
                </w:p>
              </w:tc>
              <w:tc>
                <w:tcPr>
                  <w:tcW w:w="2041" w:type="pct"/>
                  <w:tcBorders>
                    <w:tl2br w:val="nil"/>
                    <w:tr2bl w:val="nil"/>
                  </w:tcBorders>
                  <w:vAlign w:val="center"/>
                </w:tcPr>
                <w:p w14:paraId="6A54B338">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标准要求</w:t>
                  </w:r>
                </w:p>
              </w:tc>
              <w:tc>
                <w:tcPr>
                  <w:tcW w:w="1878" w:type="pct"/>
                  <w:tcBorders>
                    <w:tl2br w:val="nil"/>
                    <w:tr2bl w:val="nil"/>
                  </w:tcBorders>
                  <w:vAlign w:val="center"/>
                </w:tcPr>
                <w:p w14:paraId="541B5179">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实际情况</w:t>
                  </w:r>
                </w:p>
              </w:tc>
              <w:tc>
                <w:tcPr>
                  <w:tcW w:w="714" w:type="pct"/>
                  <w:tcBorders>
                    <w:tl2br w:val="nil"/>
                    <w:tr2bl w:val="nil"/>
                  </w:tcBorders>
                  <w:vAlign w:val="center"/>
                </w:tcPr>
                <w:p w14:paraId="4072523D">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符合性</w:t>
                  </w:r>
                </w:p>
              </w:tc>
            </w:tr>
            <w:tr w14:paraId="78BC2D5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l2br w:val="nil"/>
                    <w:tr2bl w:val="nil"/>
                  </w:tcBorders>
                  <w:vAlign w:val="center"/>
                </w:tcPr>
                <w:p w14:paraId="22DD469B">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w:t>
                  </w:r>
                </w:p>
              </w:tc>
              <w:tc>
                <w:tcPr>
                  <w:tcW w:w="2041" w:type="pct"/>
                  <w:tcBorders>
                    <w:tl2br w:val="nil"/>
                    <w:tr2bl w:val="nil"/>
                  </w:tcBorders>
                  <w:vAlign w:val="center"/>
                </w:tcPr>
                <w:p w14:paraId="29F841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贮存设施选址应满足生态环境保护法律法规、规划和“三线一单”生态环境分区管控要求，建设项目应依法进行环境影响评价</w:t>
                  </w:r>
                </w:p>
              </w:tc>
              <w:tc>
                <w:tcPr>
                  <w:tcW w:w="1878" w:type="pct"/>
                  <w:tcBorders>
                    <w:tl2br w:val="nil"/>
                    <w:tr2bl w:val="nil"/>
                  </w:tcBorders>
                  <w:vAlign w:val="center"/>
                </w:tcPr>
                <w:p w14:paraId="05085D3C">
                  <w:pPr>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本项目位于内蒙古锡林郭勒盟</w:t>
                  </w:r>
                  <w:r>
                    <w:rPr>
                      <w:rFonts w:hint="eastAsia" w:ascii="Times New Roman" w:hAnsi="Times New Roman" w:cs="Times New Roman"/>
                      <w:color w:val="auto"/>
                      <w:sz w:val="21"/>
                      <w:szCs w:val="21"/>
                      <w:highlight w:val="none"/>
                      <w:lang w:val="en-US" w:eastAsia="zh-CN"/>
                    </w:rPr>
                    <w:t>锡林浩特市远景能源（锡林郭勒）有限公司</w:t>
                  </w:r>
                  <w:r>
                    <w:rPr>
                      <w:rFonts w:hint="eastAsia" w:ascii="Times New Roman" w:hAnsi="Times New Roman" w:cs="Times New Roman"/>
                      <w:color w:val="auto"/>
                      <w:sz w:val="21"/>
                      <w:szCs w:val="21"/>
                      <w:highlight w:val="none"/>
                    </w:rPr>
                    <w:t>院内，不在生态红线及其他保护区范围内，项目进行环境影响评价，正在编制环境影响评价报告表</w:t>
                  </w:r>
                </w:p>
              </w:tc>
              <w:tc>
                <w:tcPr>
                  <w:tcW w:w="714" w:type="pct"/>
                  <w:tcBorders>
                    <w:tl2br w:val="nil"/>
                    <w:tr2bl w:val="nil"/>
                  </w:tcBorders>
                  <w:vAlign w:val="center"/>
                </w:tcPr>
                <w:p w14:paraId="5C181CBD">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w:t>
                  </w:r>
                </w:p>
              </w:tc>
            </w:tr>
            <w:tr w14:paraId="58A3487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l2br w:val="nil"/>
                    <w:tr2bl w:val="nil"/>
                  </w:tcBorders>
                  <w:vAlign w:val="center"/>
                </w:tcPr>
                <w:p w14:paraId="7B1C55BA">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w:t>
                  </w:r>
                </w:p>
              </w:tc>
              <w:tc>
                <w:tcPr>
                  <w:tcW w:w="2041" w:type="pct"/>
                  <w:tcBorders>
                    <w:tl2br w:val="nil"/>
                    <w:tr2bl w:val="nil"/>
                  </w:tcBorders>
                  <w:vAlign w:val="center"/>
                </w:tcPr>
                <w:p w14:paraId="1B05A4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集中贮存设施不应选在生态保护红线区域、永久基本农田和其他需要特别保护的区域内，不应建在溶洞区或易遭受洪水、滑坡、泥石流、潮汐等严重自然灾害影响的地区</w:t>
                  </w:r>
                </w:p>
              </w:tc>
              <w:tc>
                <w:tcPr>
                  <w:tcW w:w="1878" w:type="pct"/>
                  <w:tcBorders>
                    <w:tl2br w:val="nil"/>
                    <w:tr2bl w:val="nil"/>
                  </w:tcBorders>
                  <w:vAlign w:val="center"/>
                </w:tcPr>
                <w:p w14:paraId="16396E67">
                  <w:pPr>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本项目不在生态红线区域、永久基本农田和其他需要特别保护的区域内，也不在溶洞区或易遭受洪水、滑坡、泥石流、潮汐等严重自然灾害影响的地区</w:t>
                  </w:r>
                </w:p>
              </w:tc>
              <w:tc>
                <w:tcPr>
                  <w:tcW w:w="714" w:type="pct"/>
                  <w:tcBorders>
                    <w:tl2br w:val="nil"/>
                    <w:tr2bl w:val="nil"/>
                  </w:tcBorders>
                  <w:vAlign w:val="center"/>
                </w:tcPr>
                <w:p w14:paraId="60DDF92C">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w:t>
                  </w:r>
                </w:p>
              </w:tc>
            </w:tr>
            <w:tr w14:paraId="179523B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l2br w:val="nil"/>
                    <w:tr2bl w:val="nil"/>
                  </w:tcBorders>
                  <w:vAlign w:val="center"/>
                </w:tcPr>
                <w:p w14:paraId="69064DDC">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w:t>
                  </w:r>
                </w:p>
              </w:tc>
              <w:tc>
                <w:tcPr>
                  <w:tcW w:w="2041" w:type="pct"/>
                  <w:tcBorders>
                    <w:tl2br w:val="nil"/>
                    <w:tr2bl w:val="nil"/>
                  </w:tcBorders>
                  <w:vAlign w:val="center"/>
                </w:tcPr>
                <w:p w14:paraId="7BDE2F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贮存设施不应选在江河、湖泊、运河、渠道、水库及其最高水位线以下的滩地和岸坡，以及法律法规规定禁止贮存危险废物的其他地点</w:t>
                  </w:r>
                </w:p>
              </w:tc>
              <w:tc>
                <w:tcPr>
                  <w:tcW w:w="1878" w:type="pct"/>
                  <w:tcBorders>
                    <w:tl2br w:val="nil"/>
                    <w:tr2bl w:val="nil"/>
                  </w:tcBorders>
                  <w:vAlign w:val="center"/>
                </w:tcPr>
                <w:p w14:paraId="314631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本项目所在场址，不涉及这些区域</w:t>
                  </w:r>
                </w:p>
              </w:tc>
              <w:tc>
                <w:tcPr>
                  <w:tcW w:w="714" w:type="pct"/>
                  <w:tcBorders>
                    <w:tl2br w:val="nil"/>
                    <w:tr2bl w:val="nil"/>
                  </w:tcBorders>
                  <w:vAlign w:val="center"/>
                </w:tcPr>
                <w:p w14:paraId="6086104C">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w:t>
                  </w:r>
                </w:p>
              </w:tc>
            </w:tr>
            <w:tr w14:paraId="13BEAC9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4" w:type="pct"/>
                  <w:tcBorders>
                    <w:tl2br w:val="nil"/>
                    <w:tr2bl w:val="nil"/>
                  </w:tcBorders>
                  <w:vAlign w:val="center"/>
                </w:tcPr>
                <w:p w14:paraId="43B65DD8">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4</w:t>
                  </w:r>
                </w:p>
              </w:tc>
              <w:tc>
                <w:tcPr>
                  <w:tcW w:w="2041" w:type="pct"/>
                  <w:tcBorders>
                    <w:tl2br w:val="nil"/>
                    <w:tr2bl w:val="nil"/>
                  </w:tcBorders>
                  <w:vAlign w:val="center"/>
                </w:tcPr>
                <w:p w14:paraId="3AF604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贮存设施场址的位置以及其与周围环境敏感目标的距离应依据环境影响评价文件确定</w:t>
                  </w:r>
                </w:p>
              </w:tc>
              <w:tc>
                <w:tcPr>
                  <w:tcW w:w="1878" w:type="pct"/>
                  <w:tcBorders>
                    <w:tl2br w:val="nil"/>
                    <w:tr2bl w:val="nil"/>
                  </w:tcBorders>
                  <w:vAlign w:val="center"/>
                </w:tcPr>
                <w:p w14:paraId="4549CC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本项目所在场址，周围没有环境敏感目标</w:t>
                  </w:r>
                </w:p>
              </w:tc>
              <w:tc>
                <w:tcPr>
                  <w:tcW w:w="714" w:type="pct"/>
                  <w:tcBorders>
                    <w:tl2br w:val="nil"/>
                    <w:tr2bl w:val="nil"/>
                  </w:tcBorders>
                  <w:vAlign w:val="center"/>
                </w:tcPr>
                <w:p w14:paraId="42D3F9F7">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w:t>
                  </w:r>
                </w:p>
              </w:tc>
            </w:tr>
          </w:tbl>
          <w:p w14:paraId="4DE3590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rPr>
              <w:t>根据以上分析，本项目选址符合</w:t>
            </w:r>
            <w:r>
              <w:rPr>
                <w:rFonts w:ascii="Times New Roman" w:hAnsi="Times New Roman" w:cs="Times New Roman"/>
                <w:color w:val="auto"/>
                <w:highlight w:val="none"/>
              </w:rPr>
              <w:t>《危险废物贮存污染控制标准》（GB18597-20</w:t>
            </w:r>
            <w:r>
              <w:rPr>
                <w:rFonts w:hint="eastAsia" w:ascii="Times New Roman" w:hAnsi="Times New Roman" w:cs="Times New Roman"/>
                <w:color w:val="auto"/>
                <w:highlight w:val="none"/>
              </w:rPr>
              <w:t>23</w:t>
            </w:r>
            <w:r>
              <w:rPr>
                <w:rFonts w:ascii="Times New Roman" w:hAnsi="Times New Roman" w:cs="Times New Roman"/>
                <w:color w:val="auto"/>
                <w:highlight w:val="none"/>
              </w:rPr>
              <w:t>）中</w:t>
            </w:r>
            <w:r>
              <w:rPr>
                <w:rFonts w:hint="eastAsia" w:ascii="Times New Roman" w:hAnsi="Times New Roman" w:cs="Times New Roman"/>
                <w:color w:val="auto"/>
                <w:highlight w:val="none"/>
              </w:rPr>
              <w:t>选址要求。</w:t>
            </w:r>
          </w:p>
          <w:p w14:paraId="11C8C14B">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ascii="Times New Roman" w:hAnsi="Times New Roman" w:cs="Times New Roman"/>
                <w:b/>
                <w:bCs/>
                <w:color w:val="auto"/>
                <w:highlight w:val="none"/>
              </w:rPr>
            </w:pPr>
            <w:r>
              <w:rPr>
                <w:rFonts w:hint="eastAsia" w:ascii="Times New Roman" w:hAnsi="Times New Roman" w:cs="Times New Roman"/>
                <w:b/>
                <w:bCs/>
                <w:color w:val="auto"/>
                <w:highlight w:val="none"/>
              </w:rPr>
              <w:t>三、与《锡林郭勒盟“十四五”生态环境保护规划》符合性分析</w:t>
            </w:r>
          </w:p>
          <w:p w14:paraId="08B08BF6">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ascii="Times New Roman" w:hAnsi="Times New Roman" w:cs="Times New Roman"/>
                <w:b/>
                <w:bCs/>
                <w:color w:val="auto"/>
                <w:highlight w:val="none"/>
              </w:rPr>
            </w:pPr>
            <w:r>
              <w:rPr>
                <w:rFonts w:hint="eastAsia" w:ascii="Times New Roman" w:hAnsi="Times New Roman" w:cs="Times New Roman"/>
                <w:b/>
                <w:bCs/>
                <w:color w:val="auto"/>
                <w:highlight w:val="none"/>
              </w:rPr>
              <w:t>表4  锡林郭勒盟“十四五”生态环境保护规划</w:t>
            </w:r>
          </w:p>
          <w:tbl>
            <w:tblPr>
              <w:tblStyle w:val="25"/>
              <w:tblW w:w="4997"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691"/>
              <w:gridCol w:w="2514"/>
              <w:gridCol w:w="2115"/>
              <w:gridCol w:w="957"/>
            </w:tblGrid>
            <w:tr w14:paraId="092A584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455" w:type="pct"/>
                  <w:tcBorders>
                    <w:tl2br w:val="nil"/>
                    <w:tr2bl w:val="nil"/>
                  </w:tcBorders>
                  <w:vAlign w:val="center"/>
                </w:tcPr>
                <w:p w14:paraId="675B5CE3">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序号</w:t>
                  </w:r>
                </w:p>
              </w:tc>
              <w:tc>
                <w:tcPr>
                  <w:tcW w:w="2320" w:type="pct"/>
                  <w:gridSpan w:val="2"/>
                  <w:tcBorders>
                    <w:tl2br w:val="nil"/>
                    <w:tr2bl w:val="nil"/>
                  </w:tcBorders>
                  <w:vAlign w:val="center"/>
                </w:tcPr>
                <w:p w14:paraId="2D352F1F">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规划要求</w:t>
                  </w:r>
                </w:p>
              </w:tc>
              <w:tc>
                <w:tcPr>
                  <w:tcW w:w="1531" w:type="pct"/>
                  <w:tcBorders>
                    <w:tl2br w:val="nil"/>
                    <w:tr2bl w:val="nil"/>
                  </w:tcBorders>
                  <w:vAlign w:val="center"/>
                </w:tcPr>
                <w:p w14:paraId="083A725E">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实际情况</w:t>
                  </w:r>
                </w:p>
              </w:tc>
              <w:tc>
                <w:tcPr>
                  <w:tcW w:w="692" w:type="pct"/>
                  <w:tcBorders>
                    <w:tl2br w:val="nil"/>
                    <w:tr2bl w:val="nil"/>
                  </w:tcBorders>
                  <w:vAlign w:val="center"/>
                </w:tcPr>
                <w:p w14:paraId="7FAF661D">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符合性</w:t>
                  </w:r>
                </w:p>
              </w:tc>
            </w:tr>
            <w:tr w14:paraId="6B55ADE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0" w:hRule="atLeast"/>
              </w:trPr>
              <w:tc>
                <w:tcPr>
                  <w:tcW w:w="455" w:type="pct"/>
                  <w:tcBorders>
                    <w:tl2br w:val="nil"/>
                    <w:tr2bl w:val="nil"/>
                  </w:tcBorders>
                  <w:vAlign w:val="center"/>
                </w:tcPr>
                <w:p w14:paraId="62362A4D">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w:t>
                  </w:r>
                </w:p>
              </w:tc>
              <w:tc>
                <w:tcPr>
                  <w:tcW w:w="500" w:type="pct"/>
                  <w:vMerge w:val="restart"/>
                  <w:tcBorders>
                    <w:tl2br w:val="nil"/>
                    <w:tr2bl w:val="nil"/>
                  </w:tcBorders>
                  <w:vAlign w:val="center"/>
                </w:tcPr>
                <w:p w14:paraId="498494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bookmarkStart w:id="2" w:name="_Toc32327"/>
                  <w:r>
                    <w:rPr>
                      <w:rFonts w:hint="eastAsia" w:ascii="Times New Roman" w:hAnsi="Times New Roman" w:cs="Times New Roman"/>
                      <w:color w:val="auto"/>
                      <w:sz w:val="21"/>
                      <w:szCs w:val="21"/>
                      <w:highlight w:val="none"/>
                    </w:rPr>
                    <w:t>第七章 强化生态环境风险</w:t>
                  </w:r>
                  <w:bookmarkEnd w:id="2"/>
                  <w:r>
                    <w:rPr>
                      <w:rFonts w:hint="eastAsia" w:ascii="Times New Roman" w:hAnsi="Times New Roman" w:cs="Times New Roman"/>
                      <w:color w:val="auto"/>
                      <w:sz w:val="21"/>
                      <w:szCs w:val="21"/>
                      <w:highlight w:val="none"/>
                    </w:rPr>
                    <w:t>防控：</w:t>
                  </w:r>
                  <w:bookmarkStart w:id="3" w:name="_Toc15357"/>
                  <w:r>
                    <w:rPr>
                      <w:rFonts w:hint="eastAsia" w:ascii="Times New Roman" w:hAnsi="Times New Roman" w:cs="Times New Roman"/>
                      <w:color w:val="auto"/>
                      <w:sz w:val="21"/>
                      <w:szCs w:val="21"/>
                      <w:highlight w:val="none"/>
                    </w:rPr>
                    <w:t>第一节 推进危险废物处置能力建设</w:t>
                  </w:r>
                  <w:bookmarkEnd w:id="3"/>
                </w:p>
              </w:tc>
              <w:tc>
                <w:tcPr>
                  <w:tcW w:w="1820" w:type="pct"/>
                  <w:tcBorders>
                    <w:tl2br w:val="nil"/>
                    <w:tr2bl w:val="nil"/>
                  </w:tcBorders>
                  <w:vAlign w:val="center"/>
                </w:tcPr>
                <w:p w14:paraId="3D68FCB4">
                  <w:pPr>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推进危险废物利用处置能力提档升级：推进园区、企业建设危险废物集中贮存、预处理和利用处置设施。</w:t>
                  </w:r>
                </w:p>
              </w:tc>
              <w:tc>
                <w:tcPr>
                  <w:tcW w:w="1531" w:type="pct"/>
                  <w:tcBorders>
                    <w:tl2br w:val="nil"/>
                    <w:tr2bl w:val="nil"/>
                  </w:tcBorders>
                  <w:vAlign w:val="center"/>
                </w:tcPr>
                <w:p w14:paraId="6A5E2AFC">
                  <w:pPr>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本项目按照《危险废物贮存污染控制标准》（GB18597-2023）要求新建危废暂存间</w:t>
                  </w:r>
                  <w:r>
                    <w:rPr>
                      <w:rFonts w:hint="default" w:ascii="Times New Roman" w:hAnsi="Times New Roman" w:eastAsia="宋体" w:cs="Times New Roman"/>
                      <w:color w:val="auto"/>
                      <w:sz w:val="21"/>
                      <w:szCs w:val="21"/>
                      <w:highlight w:val="none"/>
                      <w:vertAlign w:val="baseline"/>
                      <w:lang w:val="en-US" w:eastAsia="zh-CN"/>
                    </w:rPr>
                    <w:t>，用于厂区产生的废矿物油</w:t>
                  </w:r>
                  <w:r>
                    <w:rPr>
                      <w:rFonts w:hint="eastAsia" w:ascii="Times New Roman" w:hAnsi="Times New Roman" w:cs="Times New Roman"/>
                      <w:color w:val="auto"/>
                      <w:sz w:val="21"/>
                      <w:szCs w:val="21"/>
                      <w:highlight w:val="none"/>
                      <w:vertAlign w:val="baseline"/>
                      <w:lang w:val="en-US" w:eastAsia="zh-CN"/>
                    </w:rPr>
                    <w:t>和废油桶的存放</w:t>
                  </w:r>
                  <w:r>
                    <w:rPr>
                      <w:rFonts w:hint="default" w:ascii="Times New Roman" w:hAnsi="Times New Roman" w:eastAsia="宋体" w:cs="Times New Roman"/>
                      <w:color w:val="auto"/>
                      <w:sz w:val="21"/>
                      <w:szCs w:val="21"/>
                      <w:highlight w:val="none"/>
                      <w:vertAlign w:val="baseline"/>
                      <w:lang w:val="en-US" w:eastAsia="zh-CN"/>
                    </w:rPr>
                    <w:t>。</w:t>
                  </w:r>
                </w:p>
              </w:tc>
              <w:tc>
                <w:tcPr>
                  <w:tcW w:w="692" w:type="pct"/>
                  <w:tcBorders>
                    <w:tl2br w:val="nil"/>
                    <w:tr2bl w:val="nil"/>
                  </w:tcBorders>
                  <w:vAlign w:val="center"/>
                </w:tcPr>
                <w:p w14:paraId="48712BAE">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w:t>
                  </w:r>
                </w:p>
              </w:tc>
            </w:tr>
            <w:tr w14:paraId="6DBEA05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pct"/>
                  <w:tcBorders>
                    <w:tl2br w:val="nil"/>
                    <w:tr2bl w:val="nil"/>
                  </w:tcBorders>
                  <w:vAlign w:val="center"/>
                </w:tcPr>
                <w:p w14:paraId="04B02D51">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w:t>
                  </w:r>
                </w:p>
              </w:tc>
              <w:tc>
                <w:tcPr>
                  <w:tcW w:w="500" w:type="pct"/>
                  <w:vMerge w:val="continue"/>
                  <w:tcBorders>
                    <w:tl2br w:val="nil"/>
                    <w:tr2bl w:val="nil"/>
                  </w:tcBorders>
                  <w:vAlign w:val="center"/>
                </w:tcPr>
                <w:p w14:paraId="3A3486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p>
              </w:tc>
              <w:tc>
                <w:tcPr>
                  <w:tcW w:w="1820" w:type="pct"/>
                  <w:tcBorders>
                    <w:tl2br w:val="nil"/>
                    <w:tr2bl w:val="nil"/>
                  </w:tcBorders>
                  <w:vAlign w:val="center"/>
                </w:tcPr>
                <w:p w14:paraId="594C90A0">
                  <w:pPr>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强化危险废物全过程监管能力：建立完善环境影响评价文件审批与经营许可证审批的有效衔接机制，对涉危险废物建设项目环评要严格审查审批。实施危险废物全过程环境监管，严厉打击非法转移、倾倒、处置危险废物等环境违法犯罪行为。</w:t>
                  </w:r>
                </w:p>
              </w:tc>
              <w:tc>
                <w:tcPr>
                  <w:tcW w:w="1531" w:type="pct"/>
                  <w:tcBorders>
                    <w:tl2br w:val="nil"/>
                    <w:tr2bl w:val="nil"/>
                  </w:tcBorders>
                  <w:vAlign w:val="center"/>
                </w:tcPr>
                <w:p w14:paraId="77652E80">
                  <w:pPr>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建设单位针对本次新建危废暂存间，编制环境影响评价报告表，并提交生态环境主管部门审批，针对产生的危废，要求建立出入库台账。</w:t>
                  </w:r>
                </w:p>
              </w:tc>
              <w:tc>
                <w:tcPr>
                  <w:tcW w:w="692" w:type="pct"/>
                  <w:tcBorders>
                    <w:tl2br w:val="nil"/>
                    <w:tr2bl w:val="nil"/>
                  </w:tcBorders>
                  <w:vAlign w:val="center"/>
                </w:tcPr>
                <w:p w14:paraId="73F6CBDA">
                  <w:pPr>
                    <w:spacing w:line="480" w:lineRule="exact"/>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符合</w:t>
                  </w:r>
                </w:p>
              </w:tc>
            </w:tr>
          </w:tbl>
          <w:p w14:paraId="2F31AD2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rPr>
              <w:t>根据以上分析，本项目符合《锡林郭勒盟“十四五”生态环境保护规划》相关规定要求。</w:t>
            </w:r>
          </w:p>
          <w:p w14:paraId="6CFAECD1">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四、与行业规范标准的符合性分析</w:t>
            </w:r>
          </w:p>
          <w:p w14:paraId="02F65DB9">
            <w:pPr>
              <w:pStyle w:val="29"/>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color w:val="auto"/>
                <w:lang w:val="en-US" w:eastAsia="zh-CN"/>
              </w:rPr>
            </w:pPr>
            <w:r>
              <w:rPr>
                <w:rFonts w:hint="eastAsia" w:ascii="Times New Roman" w:hAnsi="Times New Roman" w:cs="Times New Roman"/>
                <w:b/>
                <w:bCs/>
                <w:color w:val="auto"/>
                <w:highlight w:val="none"/>
                <w:lang w:val="en-US" w:eastAsia="zh-CN"/>
              </w:rPr>
              <w:t>表5  与</w:t>
            </w:r>
            <w:r>
              <w:rPr>
                <w:rFonts w:hint="default" w:ascii="Times New Roman" w:hAnsi="Times New Roman" w:cs="Times New Roman"/>
                <w:b/>
                <w:bCs/>
                <w:color w:val="auto"/>
                <w:highlight w:val="none"/>
              </w:rPr>
              <w:t>《危险废物贮存污染控制标准》（GB18597-20</w:t>
            </w:r>
            <w:r>
              <w:rPr>
                <w:rFonts w:hint="default" w:ascii="Times New Roman" w:hAnsi="Times New Roman" w:cs="Times New Roman"/>
                <w:b/>
                <w:bCs/>
                <w:color w:val="auto"/>
                <w:highlight w:val="none"/>
                <w:lang w:val="en-US" w:eastAsia="zh-CN"/>
              </w:rPr>
              <w:t>23</w:t>
            </w:r>
            <w:r>
              <w:rPr>
                <w:rFonts w:hint="default" w:ascii="Times New Roman" w:hAnsi="Times New Roman" w:cs="Times New Roman"/>
                <w:b/>
                <w:bCs/>
                <w:color w:val="auto"/>
                <w:highlight w:val="none"/>
              </w:rPr>
              <w:t>）</w:t>
            </w:r>
            <w:r>
              <w:rPr>
                <w:rFonts w:hint="eastAsia" w:ascii="Times New Roman" w:hAnsi="Times New Roman" w:cs="Times New Roman"/>
                <w:b/>
                <w:bCs/>
                <w:color w:val="auto"/>
                <w:highlight w:val="none"/>
                <w:lang w:val="en-US" w:eastAsia="zh-CN"/>
              </w:rPr>
              <w:t>符合性分析</w:t>
            </w:r>
          </w:p>
          <w:tbl>
            <w:tblPr>
              <w:tblStyle w:val="25"/>
              <w:tblW w:w="4999"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3424"/>
              <w:gridCol w:w="2121"/>
              <w:gridCol w:w="717"/>
            </w:tblGrid>
            <w:tr w14:paraId="1DB2D34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trPr>
              <w:tc>
                <w:tcPr>
                  <w:tcW w:w="2946" w:type="pct"/>
                  <w:gridSpan w:val="2"/>
                  <w:tcBorders>
                    <w:tl2br w:val="nil"/>
                    <w:tr2bl w:val="nil"/>
                  </w:tcBorders>
                  <w:vAlign w:val="center"/>
                </w:tcPr>
                <w:p w14:paraId="711483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标准要求</w:t>
                  </w:r>
                </w:p>
              </w:tc>
              <w:tc>
                <w:tcPr>
                  <w:tcW w:w="1534" w:type="pct"/>
                  <w:tcBorders>
                    <w:tl2br w:val="nil"/>
                    <w:tr2bl w:val="nil"/>
                  </w:tcBorders>
                  <w:vAlign w:val="center"/>
                </w:tcPr>
                <w:p w14:paraId="73FCA5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实际</w:t>
                  </w:r>
                  <w:r>
                    <w:rPr>
                      <w:rFonts w:hint="default" w:ascii="Times New Roman" w:hAnsi="Times New Roman" w:eastAsia="宋体" w:cs="Times New Roman"/>
                      <w:color w:val="auto"/>
                      <w:sz w:val="21"/>
                      <w:szCs w:val="21"/>
                      <w:highlight w:val="none"/>
                      <w:vertAlign w:val="baseline"/>
                      <w:lang w:val="en-US" w:eastAsia="zh-CN"/>
                    </w:rPr>
                    <w:t>情况</w:t>
                  </w:r>
                </w:p>
              </w:tc>
              <w:tc>
                <w:tcPr>
                  <w:tcW w:w="519" w:type="pct"/>
                  <w:tcBorders>
                    <w:tl2br w:val="nil"/>
                    <w:tr2bl w:val="nil"/>
                  </w:tcBorders>
                  <w:vAlign w:val="center"/>
                </w:tcPr>
                <w:p w14:paraId="6DCCA7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符合性</w:t>
                  </w:r>
                </w:p>
              </w:tc>
            </w:tr>
            <w:tr w14:paraId="33B5DBC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restart"/>
                  <w:tcBorders>
                    <w:tl2br w:val="nil"/>
                    <w:tr2bl w:val="nil"/>
                  </w:tcBorders>
                  <w:vAlign w:val="center"/>
                </w:tcPr>
                <w:p w14:paraId="42E40A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总体要求</w:t>
                  </w:r>
                </w:p>
              </w:tc>
              <w:tc>
                <w:tcPr>
                  <w:tcW w:w="2478" w:type="pct"/>
                  <w:tcBorders>
                    <w:tl2br w:val="nil"/>
                    <w:tr2bl w:val="nil"/>
                  </w:tcBorders>
                  <w:vAlign w:val="center"/>
                </w:tcPr>
                <w:p w14:paraId="069C3F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产生、收集、贮存、利用、处置危险废物的单位应建造危险废物贮存设施或设置贮存场所，并根据需要选择贮存设施类型。</w:t>
                  </w:r>
                </w:p>
              </w:tc>
              <w:tc>
                <w:tcPr>
                  <w:tcW w:w="1534" w:type="pct"/>
                  <w:tcBorders>
                    <w:tl2br w:val="nil"/>
                    <w:tr2bl w:val="nil"/>
                  </w:tcBorders>
                  <w:vAlign w:val="center"/>
                </w:tcPr>
                <w:p w14:paraId="36E1BB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本项目为危废暂存间项目，储存厂区产生的废矿物油和废油桶。分区进行存放</w:t>
                  </w:r>
                </w:p>
              </w:tc>
              <w:tc>
                <w:tcPr>
                  <w:tcW w:w="519" w:type="pct"/>
                  <w:tcBorders>
                    <w:tl2br w:val="nil"/>
                    <w:tr2bl w:val="nil"/>
                  </w:tcBorders>
                  <w:vAlign w:val="center"/>
                </w:tcPr>
                <w:p w14:paraId="3284A3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1E78C58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0795C1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7B3FED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贮存危险废物应根据危险废物的类别、数量、形态、物理化学性质和环境风险等因素，确定贮存设施或场所类型和规模。</w:t>
                  </w:r>
                </w:p>
              </w:tc>
              <w:tc>
                <w:tcPr>
                  <w:tcW w:w="1534" w:type="pct"/>
                  <w:tcBorders>
                    <w:tl2br w:val="nil"/>
                    <w:tr2bl w:val="nil"/>
                  </w:tcBorders>
                  <w:vAlign w:val="center"/>
                </w:tcPr>
                <w:p w14:paraId="669684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本项目危废暂存间为钢架结构，占地面积50m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vertAlign w:val="baseline"/>
                      <w:lang w:val="en-US" w:eastAsia="zh-CN"/>
                    </w:rPr>
                    <w:t>，储存的危废均与其包装相容，满足厂区危险废物储存需求。</w:t>
                  </w:r>
                </w:p>
              </w:tc>
              <w:tc>
                <w:tcPr>
                  <w:tcW w:w="519" w:type="pct"/>
                  <w:tcBorders>
                    <w:tl2br w:val="nil"/>
                    <w:tr2bl w:val="nil"/>
                  </w:tcBorders>
                  <w:vAlign w:val="center"/>
                </w:tcPr>
                <w:p w14:paraId="58E40D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EB23FA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168D30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6348C8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贮存危险废物应根据危险废物的类别、形态、物理化学性质和污染防治要求进行分类贮存，且应避免危险废物与不相容的物质或材料接触。</w:t>
                  </w:r>
                </w:p>
              </w:tc>
              <w:tc>
                <w:tcPr>
                  <w:tcW w:w="1534" w:type="pct"/>
                  <w:tcBorders>
                    <w:tl2br w:val="nil"/>
                    <w:tr2bl w:val="nil"/>
                  </w:tcBorders>
                  <w:vAlign w:val="center"/>
                </w:tcPr>
                <w:p w14:paraId="030912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分区储存，废矿物油存放于废铁油桶内，加盖密封，放置在防渗漏的托盘上；废油桶加盖密封，并放置防渗漏的托盘上。危废与贮存容器相容。</w:t>
                  </w:r>
                </w:p>
              </w:tc>
              <w:tc>
                <w:tcPr>
                  <w:tcW w:w="519" w:type="pct"/>
                  <w:tcBorders>
                    <w:tl2br w:val="nil"/>
                    <w:tr2bl w:val="nil"/>
                  </w:tcBorders>
                  <w:vAlign w:val="center"/>
                </w:tcPr>
                <w:p w14:paraId="227E2F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DB6089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526A6B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2423DF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危险废物应根据危险废物的形态、物理化学性质、包装形式和污染物迁移途径，采取措施减少渗滤液及其衍生废物、渗漏的液态废物（简称渗漏液）、粉尘、VOCs、酸雾、有毒有害大气污染物和刺激性气味气体等污染物的产生，防止其污染环境。</w:t>
                  </w:r>
                </w:p>
              </w:tc>
              <w:tc>
                <w:tcPr>
                  <w:tcW w:w="1534" w:type="pct"/>
                  <w:tcBorders>
                    <w:tl2br w:val="nil"/>
                    <w:tr2bl w:val="nil"/>
                  </w:tcBorders>
                  <w:vAlign w:val="center"/>
                </w:tcPr>
                <w:p w14:paraId="273ABA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危废暂存间</w:t>
                  </w:r>
                  <w:r>
                    <w:rPr>
                      <w:rFonts w:hint="eastAsia" w:ascii="Times New Roman" w:hAnsi="Times New Roman" w:cs="Times New Roman"/>
                      <w:color w:val="auto"/>
                      <w:sz w:val="21"/>
                      <w:szCs w:val="21"/>
                      <w:highlight w:val="none"/>
                      <w:vertAlign w:val="baseline"/>
                      <w:lang w:val="en-US" w:eastAsia="zh-CN"/>
                    </w:rPr>
                    <w:t>地面、裙角、导流槽及收集池采取HDPE膜防渗，废矿物油存放于废铁油桶内，加盖密封，放置在防渗漏的托盘上；废油桶加盖密封，并放置防渗漏的托盘上。</w:t>
                  </w:r>
                </w:p>
              </w:tc>
              <w:tc>
                <w:tcPr>
                  <w:tcW w:w="519" w:type="pct"/>
                  <w:tcBorders>
                    <w:tl2br w:val="nil"/>
                    <w:tr2bl w:val="nil"/>
                  </w:tcBorders>
                  <w:vAlign w:val="center"/>
                </w:tcPr>
                <w:p w14:paraId="21DEC6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76390DB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30C6B2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5716B8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危险废物贮存过程产生的液态废物和固态废物应分类收集，按其环境管理要求妥善处理。</w:t>
                  </w:r>
                </w:p>
              </w:tc>
              <w:tc>
                <w:tcPr>
                  <w:tcW w:w="1534" w:type="pct"/>
                  <w:tcBorders>
                    <w:tl2br w:val="nil"/>
                    <w:tr2bl w:val="nil"/>
                  </w:tcBorders>
                  <w:vAlign w:val="center"/>
                </w:tcPr>
                <w:p w14:paraId="16867A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本项目固态和液态废物分类、分区储存。</w:t>
                  </w:r>
                </w:p>
              </w:tc>
              <w:tc>
                <w:tcPr>
                  <w:tcW w:w="519" w:type="pct"/>
                  <w:tcBorders>
                    <w:tl2br w:val="nil"/>
                    <w:tr2bl w:val="nil"/>
                  </w:tcBorders>
                  <w:vAlign w:val="center"/>
                </w:tcPr>
                <w:p w14:paraId="001BE7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731EAE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7C9E6C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03555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贮存设施或场所、容器和包装物应按HJ1276要求设置危险废物贮存设施或场所标志、危险废物贮存分区标志和危险废物标签等危险废物识别标志。</w:t>
                  </w:r>
                </w:p>
              </w:tc>
              <w:tc>
                <w:tcPr>
                  <w:tcW w:w="1534" w:type="pct"/>
                  <w:tcBorders>
                    <w:tl2br w:val="nil"/>
                    <w:tr2bl w:val="nil"/>
                  </w:tcBorders>
                  <w:vAlign w:val="center"/>
                </w:tcPr>
                <w:p w14:paraId="00F9E7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本项目危废暂存间设置</w:t>
                  </w:r>
                  <w:r>
                    <w:rPr>
                      <w:rFonts w:hint="default" w:ascii="Times New Roman" w:hAnsi="Times New Roman" w:eastAsia="宋体" w:cs="Times New Roman"/>
                      <w:color w:val="auto"/>
                      <w:sz w:val="21"/>
                      <w:szCs w:val="21"/>
                      <w:highlight w:val="none"/>
                      <w:vertAlign w:val="baseline"/>
                      <w:lang w:val="en-US" w:eastAsia="zh-CN"/>
                    </w:rPr>
                    <w:t>危险废物贮存设施或场所标志、危险废物贮存分区标志和危险废物标签等危险废物识别标志。</w:t>
                  </w:r>
                </w:p>
              </w:tc>
              <w:tc>
                <w:tcPr>
                  <w:tcW w:w="519" w:type="pct"/>
                  <w:tcBorders>
                    <w:tl2br w:val="nil"/>
                    <w:tr2bl w:val="nil"/>
                  </w:tcBorders>
                  <w:vAlign w:val="center"/>
                </w:tcPr>
                <w:p w14:paraId="1EFD0E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7F3E18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6CFFD6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0896FD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HJ1259规定的危险废物环境重点监管单位，应采用电子地磅、电子标签、电子管理台账等技术手段对危险废物贮存过程进行信息化管理，确保数据完整、真实、准确；采用视频监控的应确保监控画面清晰，视频记录保存时间至少为3个月。</w:t>
                  </w:r>
                </w:p>
              </w:tc>
              <w:tc>
                <w:tcPr>
                  <w:tcW w:w="1534" w:type="pct"/>
                  <w:tcBorders>
                    <w:tl2br w:val="nil"/>
                    <w:tr2bl w:val="nil"/>
                  </w:tcBorders>
                  <w:vAlign w:val="center"/>
                </w:tcPr>
                <w:p w14:paraId="514F64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根据</w:t>
                  </w:r>
                  <w:r>
                    <w:rPr>
                      <w:rFonts w:hint="default" w:ascii="Times New Roman" w:hAnsi="Times New Roman" w:eastAsia="宋体" w:cs="Times New Roman"/>
                      <w:color w:val="auto"/>
                      <w:sz w:val="21"/>
                      <w:szCs w:val="21"/>
                      <w:highlight w:val="none"/>
                      <w:vertAlign w:val="baseline"/>
                      <w:lang w:val="en-US" w:eastAsia="zh-CN"/>
                    </w:rPr>
                    <w:t>HJ1259规定</w:t>
                  </w:r>
                  <w:r>
                    <w:rPr>
                      <w:rFonts w:hint="eastAsia" w:ascii="Times New Roman" w:hAnsi="Times New Roman" w:cs="Times New Roman"/>
                      <w:color w:val="auto"/>
                      <w:sz w:val="21"/>
                      <w:szCs w:val="21"/>
                      <w:highlight w:val="none"/>
                      <w:vertAlign w:val="baseline"/>
                      <w:lang w:val="en-US" w:eastAsia="zh-CN"/>
                    </w:rPr>
                    <w:t>本项目危废暂存间不属于危险废物环境重点监管单位，保存完整台账和视频记录</w:t>
                  </w:r>
                </w:p>
              </w:tc>
              <w:tc>
                <w:tcPr>
                  <w:tcW w:w="519" w:type="pct"/>
                  <w:tcBorders>
                    <w:tl2br w:val="nil"/>
                    <w:tr2bl w:val="nil"/>
                  </w:tcBorders>
                  <w:vAlign w:val="center"/>
                </w:tcPr>
                <w:p w14:paraId="169477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0796865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314F15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778A00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tc>
              <w:tc>
                <w:tcPr>
                  <w:tcW w:w="1534" w:type="pct"/>
                  <w:tcBorders>
                    <w:tl2br w:val="nil"/>
                    <w:tr2bl w:val="nil"/>
                  </w:tcBorders>
                  <w:vAlign w:val="center"/>
                </w:tcPr>
                <w:p w14:paraId="665AAF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本项目危废暂存间退役时，按规定进行</w:t>
                  </w:r>
                </w:p>
              </w:tc>
              <w:tc>
                <w:tcPr>
                  <w:tcW w:w="519" w:type="pct"/>
                  <w:tcBorders>
                    <w:tl2br w:val="nil"/>
                    <w:tr2bl w:val="nil"/>
                  </w:tcBorders>
                  <w:vAlign w:val="center"/>
                </w:tcPr>
                <w:p w14:paraId="68A2DF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7C4A9B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79FFE4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0F8BC7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在常温常压下易爆、易燃及排出有毒气体的危险废物应进行预处理，使之稳定后贮存，否则应按易爆、易燃危险品贮存。</w:t>
                  </w:r>
                </w:p>
              </w:tc>
              <w:tc>
                <w:tcPr>
                  <w:tcW w:w="1534" w:type="pct"/>
                  <w:tcBorders>
                    <w:tl2br w:val="nil"/>
                    <w:tr2bl w:val="nil"/>
                  </w:tcBorders>
                  <w:vAlign w:val="center"/>
                </w:tcPr>
                <w:p w14:paraId="5742B7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r>
                    <w:rPr>
                      <w:rFonts w:hint="default" w:ascii="Times New Roman" w:hAnsi="Times New Roman" w:eastAsia="宋体" w:cs="Times New Roman"/>
                      <w:color w:val="auto"/>
                      <w:sz w:val="21"/>
                      <w:szCs w:val="21"/>
                      <w:highlight w:val="none"/>
                      <w:vertAlign w:val="baseline"/>
                      <w:lang w:val="en-US" w:eastAsia="zh-CN"/>
                    </w:rPr>
                    <w:t>常温常压下</w:t>
                  </w:r>
                  <w:r>
                    <w:rPr>
                      <w:rFonts w:hint="eastAsia" w:ascii="Times New Roman" w:hAnsi="Times New Roman" w:cs="Times New Roman"/>
                      <w:color w:val="auto"/>
                      <w:sz w:val="21"/>
                      <w:szCs w:val="21"/>
                      <w:highlight w:val="none"/>
                      <w:vertAlign w:val="baseline"/>
                      <w:lang w:val="en-US" w:eastAsia="zh-CN"/>
                    </w:rPr>
                    <w:t>易爆易燃及排出有毒气体的危险物。</w:t>
                  </w:r>
                </w:p>
              </w:tc>
              <w:tc>
                <w:tcPr>
                  <w:tcW w:w="519" w:type="pct"/>
                  <w:tcBorders>
                    <w:tl2br w:val="nil"/>
                    <w:tr2bl w:val="nil"/>
                  </w:tcBorders>
                  <w:vAlign w:val="center"/>
                </w:tcPr>
                <w:p w14:paraId="6D5AED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75AD16C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67" w:type="pct"/>
                  <w:vMerge w:val="continue"/>
                  <w:tcBorders>
                    <w:tl2br w:val="nil"/>
                    <w:tr2bl w:val="nil"/>
                  </w:tcBorders>
                  <w:vAlign w:val="center"/>
                </w:tcPr>
                <w:p w14:paraId="094A52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99710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危险废物贮存除应满足环境保护相关要求外，还应执行国家安全生产、职业健康、交通运输、消防等法律法规和标准的相关要求</w:t>
                  </w:r>
                  <w:r>
                    <w:rPr>
                      <w:rFonts w:hint="eastAsia" w:ascii="Times New Roman" w:hAnsi="Times New Roman" w:cs="Times New Roman"/>
                      <w:color w:val="auto"/>
                      <w:sz w:val="21"/>
                      <w:szCs w:val="21"/>
                      <w:highlight w:val="none"/>
                      <w:vertAlign w:val="baseline"/>
                      <w:lang w:val="en-US" w:eastAsia="zh-CN"/>
                    </w:rPr>
                    <w:t>。</w:t>
                  </w:r>
                </w:p>
              </w:tc>
              <w:tc>
                <w:tcPr>
                  <w:tcW w:w="1534" w:type="pct"/>
                  <w:tcBorders>
                    <w:tl2br w:val="nil"/>
                    <w:tr2bl w:val="nil"/>
                  </w:tcBorders>
                  <w:vAlign w:val="center"/>
                </w:tcPr>
                <w:p w14:paraId="169865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本项目按要求办理。</w:t>
                  </w:r>
                </w:p>
              </w:tc>
              <w:tc>
                <w:tcPr>
                  <w:tcW w:w="519" w:type="pct"/>
                  <w:tcBorders>
                    <w:tl2br w:val="nil"/>
                    <w:tr2bl w:val="nil"/>
                  </w:tcBorders>
                  <w:vAlign w:val="center"/>
                </w:tcPr>
                <w:p w14:paraId="295385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2FE56BA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467" w:type="pct"/>
                  <w:vMerge w:val="restart"/>
                  <w:tcBorders>
                    <w:tl2br w:val="nil"/>
                    <w:tr2bl w:val="nil"/>
                  </w:tcBorders>
                  <w:vAlign w:val="center"/>
                </w:tcPr>
                <w:p w14:paraId="618FEA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贮存设施选址要求</w:t>
                  </w:r>
                </w:p>
              </w:tc>
              <w:tc>
                <w:tcPr>
                  <w:tcW w:w="2478" w:type="pct"/>
                  <w:tcBorders>
                    <w:tl2br w:val="nil"/>
                    <w:tr2bl w:val="nil"/>
                  </w:tcBorders>
                  <w:vAlign w:val="center"/>
                </w:tcPr>
                <w:p w14:paraId="3A62CC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贮存设施选址应满足生态环境保护法律法规、规划和“三线一单”生态环境分区管控的要求，建设项目应依法进行环境影响评价。</w:t>
                  </w:r>
                </w:p>
              </w:tc>
              <w:tc>
                <w:tcPr>
                  <w:tcW w:w="1534" w:type="pct"/>
                  <w:tcBorders>
                    <w:tl2br w:val="nil"/>
                    <w:tr2bl w:val="nil"/>
                  </w:tcBorders>
                  <w:vAlign w:val="center"/>
                </w:tcPr>
                <w:p w14:paraId="2B33DB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本项目位于内蒙古锡林郭勒盟锡林浩特市远景能源（锡林郭勒）有限公司院内，不在生态红线及其他保护区范围内，项目进行环境影响评价，正在编制环境影响评价报告表</w:t>
                  </w:r>
                </w:p>
              </w:tc>
              <w:tc>
                <w:tcPr>
                  <w:tcW w:w="519" w:type="pct"/>
                  <w:tcBorders>
                    <w:tl2br w:val="nil"/>
                    <w:tr2bl w:val="nil"/>
                  </w:tcBorders>
                  <w:vAlign w:val="center"/>
                </w:tcPr>
                <w:p w14:paraId="285BA7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53E71C8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467" w:type="pct"/>
                  <w:vMerge w:val="continue"/>
                  <w:tcBorders>
                    <w:tl2br w:val="nil"/>
                    <w:tr2bl w:val="nil"/>
                  </w:tcBorders>
                  <w:vAlign w:val="center"/>
                </w:tcPr>
                <w:p w14:paraId="120432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4754DD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集中贮存设施不应选在生态保护红线区域、永久基本农田和其他需要特别保护的区域内，不应建在溶洞区或易遭受洪水、滑坡、泥石流、潮汐等严重自然灾害影响的地区。</w:t>
                  </w:r>
                </w:p>
              </w:tc>
              <w:tc>
                <w:tcPr>
                  <w:tcW w:w="1534" w:type="pct"/>
                  <w:tcBorders>
                    <w:tl2br w:val="nil"/>
                    <w:tr2bl w:val="nil"/>
                  </w:tcBorders>
                  <w:vAlign w:val="center"/>
                </w:tcPr>
                <w:p w14:paraId="5F7ACA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本项目不在生态红线区域、永久基本农田和其他需要特别保护的区域内，也不在溶洞区或易遭受洪水、滑坡、泥石流、潮汐等严重自然灾害影响的地区</w:t>
                  </w:r>
                </w:p>
              </w:tc>
              <w:tc>
                <w:tcPr>
                  <w:tcW w:w="519" w:type="pct"/>
                  <w:tcBorders>
                    <w:tl2br w:val="nil"/>
                    <w:tr2bl w:val="nil"/>
                  </w:tcBorders>
                  <w:vAlign w:val="center"/>
                </w:tcPr>
                <w:p w14:paraId="7ABCF3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D455BA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467" w:type="pct"/>
                  <w:vMerge w:val="continue"/>
                  <w:tcBorders>
                    <w:tl2br w:val="nil"/>
                    <w:tr2bl w:val="nil"/>
                  </w:tcBorders>
                  <w:vAlign w:val="center"/>
                </w:tcPr>
                <w:p w14:paraId="232AE1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2BC589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贮存设施不应选在江河、湖泊、运河、渠道、水库及其最高水位线以下的滩地和岸坡，以及法律法规规定禁止贮存危险废物的其他地点。</w:t>
                  </w:r>
                </w:p>
              </w:tc>
              <w:tc>
                <w:tcPr>
                  <w:tcW w:w="1534" w:type="pct"/>
                  <w:tcBorders>
                    <w:tl2br w:val="nil"/>
                    <w:tr2bl w:val="nil"/>
                  </w:tcBorders>
                  <w:vAlign w:val="center"/>
                </w:tcPr>
                <w:p w14:paraId="544216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本项目所在场址，不涉及这些区域</w:t>
                  </w:r>
                </w:p>
              </w:tc>
              <w:tc>
                <w:tcPr>
                  <w:tcW w:w="519" w:type="pct"/>
                  <w:tcBorders>
                    <w:tl2br w:val="nil"/>
                    <w:tr2bl w:val="nil"/>
                  </w:tcBorders>
                  <w:vAlign w:val="center"/>
                </w:tcPr>
                <w:p w14:paraId="0EDFC6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7B4566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467" w:type="pct"/>
                  <w:vMerge w:val="continue"/>
                  <w:tcBorders>
                    <w:tl2br w:val="nil"/>
                    <w:tr2bl w:val="nil"/>
                  </w:tcBorders>
                  <w:vAlign w:val="center"/>
                </w:tcPr>
                <w:p w14:paraId="37031A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15C254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贮存设施场址的位置以及其与周围环境敏感目标的距离应依据环境影响评价文件确定。</w:t>
                  </w:r>
                </w:p>
              </w:tc>
              <w:tc>
                <w:tcPr>
                  <w:tcW w:w="1534" w:type="pct"/>
                  <w:tcBorders>
                    <w:tl2br w:val="nil"/>
                    <w:tr2bl w:val="nil"/>
                  </w:tcBorders>
                  <w:vAlign w:val="center"/>
                </w:tcPr>
                <w:p w14:paraId="1C3CF4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项目所在地周边1km范围内无环境保护敏感目标</w:t>
                  </w:r>
                </w:p>
              </w:tc>
              <w:tc>
                <w:tcPr>
                  <w:tcW w:w="519" w:type="pct"/>
                  <w:tcBorders>
                    <w:tl2br w:val="nil"/>
                    <w:tr2bl w:val="nil"/>
                  </w:tcBorders>
                  <w:vAlign w:val="center"/>
                </w:tcPr>
                <w:p w14:paraId="57D68C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2DC0A4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trPr>
              <w:tc>
                <w:tcPr>
                  <w:tcW w:w="467" w:type="pct"/>
                  <w:vMerge w:val="restart"/>
                  <w:tcBorders>
                    <w:tl2br w:val="nil"/>
                    <w:tr2bl w:val="nil"/>
                  </w:tcBorders>
                  <w:vAlign w:val="center"/>
                </w:tcPr>
                <w:p w14:paraId="43F19D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贮存设施污染控制要求（一般要求）</w:t>
                  </w:r>
                </w:p>
              </w:tc>
              <w:tc>
                <w:tcPr>
                  <w:tcW w:w="2478" w:type="pct"/>
                  <w:tcBorders>
                    <w:tl2br w:val="nil"/>
                    <w:tr2bl w:val="nil"/>
                  </w:tcBorders>
                  <w:vAlign w:val="center"/>
                </w:tcPr>
                <w:p w14:paraId="3CF2A2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贮存设施应根据危险废物的形态、物理化学性质、包装形式和污染物迁移途径，采取必要的防风、防晒、防雨、防漏、防渗、防腐以及其他环境污染防治措施，不应露天堆放危险废物。</w:t>
                  </w:r>
                </w:p>
              </w:tc>
              <w:tc>
                <w:tcPr>
                  <w:tcW w:w="1534" w:type="pct"/>
                  <w:tcBorders>
                    <w:tl2br w:val="nil"/>
                    <w:tr2bl w:val="nil"/>
                  </w:tcBorders>
                  <w:vAlign w:val="center"/>
                </w:tcPr>
                <w:p w14:paraId="74DBAD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本项目危废暂存间为钢架结构，封闭式结构，危险废物不露天堆放。</w:t>
                  </w:r>
                </w:p>
              </w:tc>
              <w:tc>
                <w:tcPr>
                  <w:tcW w:w="519" w:type="pct"/>
                  <w:tcBorders>
                    <w:tl2br w:val="nil"/>
                    <w:tr2bl w:val="nil"/>
                  </w:tcBorders>
                  <w:vAlign w:val="center"/>
                </w:tcPr>
                <w:p w14:paraId="29EB95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4143FA7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8" w:hRule="atLeast"/>
              </w:trPr>
              <w:tc>
                <w:tcPr>
                  <w:tcW w:w="467" w:type="pct"/>
                  <w:vMerge w:val="continue"/>
                  <w:tcBorders>
                    <w:tl2br w:val="nil"/>
                    <w:tr2bl w:val="nil"/>
                  </w:tcBorders>
                  <w:vAlign w:val="center"/>
                </w:tcPr>
                <w:p w14:paraId="0DE510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1A2B0C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贮存设施应根据危险废物的类别、数量、形态、物理化学性质和污染防治等要求设置必要的贮GB18597—20234存分区，避免不相容的危险废物接触、混合。</w:t>
                  </w:r>
                </w:p>
              </w:tc>
              <w:tc>
                <w:tcPr>
                  <w:tcW w:w="1534" w:type="pct"/>
                  <w:tcBorders>
                    <w:tl2br w:val="nil"/>
                    <w:tr2bl w:val="nil"/>
                  </w:tcBorders>
                  <w:vAlign w:val="center"/>
                </w:tcPr>
                <w:p w14:paraId="0CD421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本项目储存的危险废物设置</w:t>
                  </w:r>
                  <w:r>
                    <w:rPr>
                      <w:rFonts w:hint="default" w:ascii="Times New Roman" w:hAnsi="Times New Roman" w:eastAsia="宋体" w:cs="Times New Roman"/>
                      <w:color w:val="auto"/>
                      <w:sz w:val="21"/>
                      <w:szCs w:val="21"/>
                      <w:highlight w:val="none"/>
                      <w:vertAlign w:val="baseline"/>
                      <w:lang w:val="en-US" w:eastAsia="zh-CN"/>
                    </w:rPr>
                    <w:t>存分区</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避免不相容的危险废物接触、混合。</w:t>
                  </w:r>
                </w:p>
              </w:tc>
              <w:tc>
                <w:tcPr>
                  <w:tcW w:w="519" w:type="pct"/>
                  <w:tcBorders>
                    <w:tl2br w:val="nil"/>
                    <w:tr2bl w:val="nil"/>
                  </w:tcBorders>
                  <w:vAlign w:val="center"/>
                </w:tcPr>
                <w:p w14:paraId="6AE246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EFBA37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trPr>
              <w:tc>
                <w:tcPr>
                  <w:tcW w:w="467" w:type="pct"/>
                  <w:vMerge w:val="continue"/>
                  <w:tcBorders>
                    <w:tl2br w:val="nil"/>
                    <w:tr2bl w:val="nil"/>
                  </w:tcBorders>
                  <w:vAlign w:val="center"/>
                </w:tcPr>
                <w:p w14:paraId="691367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72B347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贮存设施或贮存分区内地面、墙面</w:t>
                  </w:r>
                  <w:r>
                    <w:rPr>
                      <w:rFonts w:hint="eastAsia" w:ascii="Times New Roman" w:hAnsi="Times New Roman" w:cs="Times New Roman"/>
                      <w:color w:val="auto"/>
                      <w:sz w:val="21"/>
                      <w:szCs w:val="21"/>
                      <w:highlight w:val="none"/>
                      <w:vertAlign w:val="baseline"/>
                      <w:lang w:val="en-US" w:eastAsia="zh-CN"/>
                    </w:rPr>
                    <w:t>裙角</w:t>
                  </w:r>
                  <w:r>
                    <w:rPr>
                      <w:rFonts w:hint="default" w:ascii="Times New Roman" w:hAnsi="Times New Roman" w:eastAsia="宋体" w:cs="Times New Roman"/>
                      <w:color w:val="auto"/>
                      <w:sz w:val="21"/>
                      <w:szCs w:val="21"/>
                      <w:highlight w:val="none"/>
                      <w:vertAlign w:val="baseline"/>
                      <w:lang w:val="en-US" w:eastAsia="zh-CN"/>
                    </w:rPr>
                    <w:t>、堵截泄漏的围堰、接触危险废物的隔板和墙体等应采用坚固的材料建造，表面无裂缝。</w:t>
                  </w:r>
                </w:p>
              </w:tc>
              <w:tc>
                <w:tcPr>
                  <w:tcW w:w="1534" w:type="pct"/>
                  <w:tcBorders>
                    <w:tl2br w:val="nil"/>
                    <w:tr2bl w:val="nil"/>
                  </w:tcBorders>
                  <w:vAlign w:val="center"/>
                </w:tcPr>
                <w:p w14:paraId="67DA8F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危废暂存间</w:t>
                  </w:r>
                  <w:r>
                    <w:rPr>
                      <w:rFonts w:hint="eastAsia" w:ascii="Times New Roman" w:hAnsi="Times New Roman" w:cs="Times New Roman"/>
                      <w:color w:val="auto"/>
                      <w:sz w:val="21"/>
                      <w:szCs w:val="21"/>
                      <w:highlight w:val="none"/>
                      <w:vertAlign w:val="baseline"/>
                      <w:lang w:val="en-US" w:eastAsia="zh-CN"/>
                    </w:rPr>
                    <w:t>为砖混结构，地面、裙角、收集池及导流槽表面无裂缝。</w:t>
                  </w:r>
                </w:p>
              </w:tc>
              <w:tc>
                <w:tcPr>
                  <w:tcW w:w="519" w:type="pct"/>
                  <w:tcBorders>
                    <w:tl2br w:val="nil"/>
                    <w:tr2bl w:val="nil"/>
                  </w:tcBorders>
                  <w:vAlign w:val="center"/>
                </w:tcPr>
                <w:p w14:paraId="2BBC35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7368472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trPr>
              <w:tc>
                <w:tcPr>
                  <w:tcW w:w="467" w:type="pct"/>
                  <w:vMerge w:val="continue"/>
                  <w:tcBorders>
                    <w:tl2br w:val="nil"/>
                    <w:tr2bl w:val="nil"/>
                  </w:tcBorders>
                  <w:vAlign w:val="center"/>
                </w:tcPr>
                <w:p w14:paraId="0ECD5E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64B70E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vertAlign w:val="baseline"/>
                      <w:lang w:val="en-US" w:eastAsia="zh-CN"/>
                    </w:rPr>
                    <w:t>cm/s），或至少2mm厚高密度聚乙烯膜等人工防渗材料（渗透系数不大于10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vertAlign w:val="baseline"/>
                      <w:lang w:val="en-US" w:eastAsia="zh-CN"/>
                    </w:rPr>
                    <w:t>cm/s），或其他防渗性能等效的材料。</w:t>
                  </w:r>
                </w:p>
              </w:tc>
              <w:tc>
                <w:tcPr>
                  <w:tcW w:w="1534" w:type="pct"/>
                  <w:tcBorders>
                    <w:tl2br w:val="nil"/>
                    <w:tr2bl w:val="nil"/>
                  </w:tcBorders>
                  <w:vAlign w:val="center"/>
                </w:tcPr>
                <w:p w14:paraId="20CFD4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地面结构为钢板+涂胶+覆2mm厚HDPE膜+胶垫；裙角、收集池及导流槽采取2mm厚HDPE土工膜防渗，渗透系数≤10</w:t>
                  </w:r>
                  <w:r>
                    <w:rPr>
                      <w:rFonts w:hint="default" w:ascii="Times New Roman" w:hAnsi="Times New Roman" w:eastAsia="宋体" w:cs="Times New Roman"/>
                      <w:color w:val="auto"/>
                      <w:sz w:val="21"/>
                      <w:szCs w:val="21"/>
                      <w:highlight w:val="none"/>
                      <w:vertAlign w:val="superscript"/>
                      <w:lang w:val="en-US" w:eastAsia="zh-CN"/>
                    </w:rPr>
                    <w:t>-10c</w:t>
                  </w:r>
                  <w:r>
                    <w:rPr>
                      <w:rFonts w:hint="default" w:ascii="Times New Roman" w:hAnsi="Times New Roman" w:eastAsia="宋体" w:cs="Times New Roman"/>
                      <w:color w:val="auto"/>
                      <w:sz w:val="21"/>
                      <w:szCs w:val="21"/>
                      <w:highlight w:val="none"/>
                      <w:vertAlign w:val="baseline"/>
                      <w:lang w:val="en-US" w:eastAsia="zh-CN"/>
                    </w:rPr>
                    <w:t>m/s。</w:t>
                  </w:r>
                </w:p>
              </w:tc>
              <w:tc>
                <w:tcPr>
                  <w:tcW w:w="519" w:type="pct"/>
                  <w:tcBorders>
                    <w:tl2br w:val="nil"/>
                    <w:tr2bl w:val="nil"/>
                  </w:tcBorders>
                  <w:vAlign w:val="center"/>
                </w:tcPr>
                <w:p w14:paraId="62BE34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29D816F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trPr>
              <w:tc>
                <w:tcPr>
                  <w:tcW w:w="467" w:type="pct"/>
                  <w:vMerge w:val="continue"/>
                  <w:tcBorders>
                    <w:tl2br w:val="nil"/>
                    <w:tr2bl w:val="nil"/>
                  </w:tcBorders>
                  <w:vAlign w:val="center"/>
                </w:tcPr>
                <w:p w14:paraId="1D3042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68C849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同一贮存设施宜采用相同的防渗、防腐工艺（包括防渗、防腐结构或材料），防渗、防腐材料应覆盖所有可能与废物及其渗滤液、渗漏液等接触的构筑物表面；采用不同防渗、防腐工艺应分别建设贮存分区。</w:t>
                  </w:r>
                </w:p>
              </w:tc>
              <w:tc>
                <w:tcPr>
                  <w:tcW w:w="1534" w:type="pct"/>
                  <w:tcBorders>
                    <w:tl2br w:val="nil"/>
                    <w:tr2bl w:val="nil"/>
                  </w:tcBorders>
                  <w:vAlign w:val="center"/>
                </w:tcPr>
                <w:p w14:paraId="400CA1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危废暂存间地面、裙角、导流槽及收集池采取HDPE膜防渗。</w:t>
                  </w:r>
                </w:p>
              </w:tc>
              <w:tc>
                <w:tcPr>
                  <w:tcW w:w="519" w:type="pct"/>
                  <w:tcBorders>
                    <w:tl2br w:val="nil"/>
                    <w:tr2bl w:val="nil"/>
                  </w:tcBorders>
                  <w:vAlign w:val="center"/>
                </w:tcPr>
                <w:p w14:paraId="72DB3C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7DFBA2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467" w:type="pct"/>
                  <w:vMerge w:val="continue"/>
                  <w:tcBorders>
                    <w:tl2br w:val="nil"/>
                    <w:tr2bl w:val="nil"/>
                  </w:tcBorders>
                  <w:vAlign w:val="center"/>
                </w:tcPr>
                <w:p w14:paraId="2FA2DD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437628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贮存设施应采取技术和管理措施防止无关人员进入。</w:t>
                  </w:r>
                </w:p>
              </w:tc>
              <w:tc>
                <w:tcPr>
                  <w:tcW w:w="1534" w:type="pct"/>
                  <w:tcBorders>
                    <w:tl2br w:val="nil"/>
                    <w:tr2bl w:val="nil"/>
                  </w:tcBorders>
                  <w:vAlign w:val="center"/>
                </w:tcPr>
                <w:p w14:paraId="3608E6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本项目危废暂存间设置双人双锁制度。其他无关人员禁止入内</w:t>
                  </w:r>
                </w:p>
              </w:tc>
              <w:tc>
                <w:tcPr>
                  <w:tcW w:w="519" w:type="pct"/>
                  <w:tcBorders>
                    <w:tl2br w:val="nil"/>
                    <w:tr2bl w:val="nil"/>
                  </w:tcBorders>
                  <w:vAlign w:val="center"/>
                </w:tcPr>
                <w:p w14:paraId="4423FE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BDF260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467" w:type="pct"/>
                  <w:vMerge w:val="restart"/>
                  <w:tcBorders>
                    <w:tl2br w:val="nil"/>
                    <w:tr2bl w:val="nil"/>
                  </w:tcBorders>
                  <w:vAlign w:val="center"/>
                </w:tcPr>
                <w:p w14:paraId="147D0A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贮存设施污染控制要求（贮存库）</w:t>
                  </w:r>
                </w:p>
              </w:tc>
              <w:tc>
                <w:tcPr>
                  <w:tcW w:w="2478" w:type="pct"/>
                  <w:tcBorders>
                    <w:tl2br w:val="nil"/>
                    <w:tr2bl w:val="nil"/>
                  </w:tcBorders>
                  <w:vAlign w:val="center"/>
                </w:tcPr>
                <w:p w14:paraId="58B425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贮存库内不同贮存分区之间应采取隔离措施。隔离措施可根据危险废物特性采用过道、隔板或隔墙等方式。</w:t>
                  </w:r>
                </w:p>
              </w:tc>
              <w:tc>
                <w:tcPr>
                  <w:tcW w:w="1534" w:type="pct"/>
                  <w:tcBorders>
                    <w:tl2br w:val="nil"/>
                    <w:tr2bl w:val="nil"/>
                  </w:tcBorders>
                  <w:vAlign w:val="center"/>
                </w:tcPr>
                <w:p w14:paraId="5FAFFC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危废暂存间进行分区存放，</w:t>
                  </w:r>
                  <w:r>
                    <w:rPr>
                      <w:rFonts w:hint="eastAsia" w:ascii="Times New Roman" w:hAnsi="Times New Roman" w:cs="Times New Roman"/>
                      <w:color w:val="auto"/>
                      <w:sz w:val="21"/>
                      <w:szCs w:val="21"/>
                      <w:highlight w:val="none"/>
                      <w:vertAlign w:val="baseline"/>
                      <w:lang w:val="en-US" w:eastAsia="zh-CN"/>
                    </w:rPr>
                    <w:t>隔离措施为隔离栏。</w:t>
                  </w:r>
                </w:p>
              </w:tc>
              <w:tc>
                <w:tcPr>
                  <w:tcW w:w="519" w:type="pct"/>
                  <w:tcBorders>
                    <w:tl2br w:val="nil"/>
                    <w:tr2bl w:val="nil"/>
                  </w:tcBorders>
                  <w:vAlign w:val="center"/>
                </w:tcPr>
                <w:p w14:paraId="672091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5F9C764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6" w:hRule="atLeast"/>
              </w:trPr>
              <w:tc>
                <w:tcPr>
                  <w:tcW w:w="467" w:type="pct"/>
                  <w:vMerge w:val="continue"/>
                  <w:tcBorders>
                    <w:tl2br w:val="nil"/>
                    <w:tr2bl w:val="nil"/>
                  </w:tcBorders>
                  <w:vAlign w:val="center"/>
                </w:tcPr>
                <w:p w14:paraId="421507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6CC466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tc>
              <w:tc>
                <w:tcPr>
                  <w:tcW w:w="1534" w:type="pct"/>
                  <w:tcBorders>
                    <w:tl2br w:val="nil"/>
                    <w:tr2bl w:val="nil"/>
                  </w:tcBorders>
                  <w:vAlign w:val="center"/>
                </w:tcPr>
                <w:p w14:paraId="513EBB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暂存间四周铺设导流槽（导流槽尺寸为宽15cm，深15cm），地面向导流槽方向设3°倾斜，防渗收集池位于危废暂存间西南角地下，收集池容积为0.5m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，收集池内放置一个体积0.3m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的收集桶。</w:t>
                  </w:r>
                </w:p>
              </w:tc>
              <w:tc>
                <w:tcPr>
                  <w:tcW w:w="519" w:type="pct"/>
                  <w:tcBorders>
                    <w:tl2br w:val="nil"/>
                    <w:tr2bl w:val="nil"/>
                  </w:tcBorders>
                  <w:vAlign w:val="center"/>
                </w:tcPr>
                <w:p w14:paraId="324D18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215FDFD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trPr>
              <w:tc>
                <w:tcPr>
                  <w:tcW w:w="467" w:type="pct"/>
                  <w:vMerge w:val="continue"/>
                  <w:tcBorders>
                    <w:tl2br w:val="nil"/>
                    <w:tr2bl w:val="nil"/>
                  </w:tcBorders>
                  <w:vAlign w:val="center"/>
                </w:tcPr>
                <w:p w14:paraId="4FA0E9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0DD3E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贮存易产生粉尘、VOCs、酸雾、有毒有害大气污染物和刺激性气味气体的危险废物贮存库，应设置气体收集装置和气体净化设施；气体净化设施的排气筒高度应符合GB16297要求。</w:t>
                  </w:r>
                </w:p>
              </w:tc>
              <w:tc>
                <w:tcPr>
                  <w:tcW w:w="1534" w:type="pct"/>
                  <w:tcBorders>
                    <w:tl2br w:val="nil"/>
                    <w:tr2bl w:val="nil"/>
                  </w:tcBorders>
                  <w:vAlign w:val="center"/>
                </w:tcPr>
                <w:p w14:paraId="609713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本项目易产生挥发性有机物的废矿物油和废油桶均采用密闭桶装储存，正常工况下，产量极少，且设置轴流风机强制通风；同时</w:t>
                  </w:r>
                  <w:r>
                    <w:rPr>
                      <w:rFonts w:hint="eastAsia" w:ascii="Times New Roman" w:hAnsi="Times New Roman" w:eastAsia="宋体" w:cs="Times New Roman"/>
                      <w:color w:val="auto"/>
                      <w:sz w:val="21"/>
                      <w:szCs w:val="21"/>
                      <w:highlight w:val="none"/>
                      <w:vertAlign w:val="baseline"/>
                      <w:lang w:val="en-US" w:eastAsia="zh-CN"/>
                    </w:rPr>
                    <w:t>通风口安装的活性炭吸附装置处理后以无组织形式排放。</w:t>
                  </w:r>
                </w:p>
              </w:tc>
              <w:tc>
                <w:tcPr>
                  <w:tcW w:w="519" w:type="pct"/>
                  <w:tcBorders>
                    <w:tl2br w:val="nil"/>
                    <w:tr2bl w:val="nil"/>
                  </w:tcBorders>
                  <w:vAlign w:val="center"/>
                </w:tcPr>
                <w:p w14:paraId="64269C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D88F26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467" w:type="pct"/>
                  <w:vMerge w:val="restart"/>
                  <w:tcBorders>
                    <w:tl2br w:val="nil"/>
                    <w:tr2bl w:val="nil"/>
                  </w:tcBorders>
                  <w:vAlign w:val="center"/>
                </w:tcPr>
                <w:p w14:paraId="0923DA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容器和包装物污染控制要求</w:t>
                  </w:r>
                </w:p>
              </w:tc>
              <w:tc>
                <w:tcPr>
                  <w:tcW w:w="2478" w:type="pct"/>
                  <w:tcBorders>
                    <w:tl2br w:val="nil"/>
                    <w:tr2bl w:val="nil"/>
                  </w:tcBorders>
                  <w:vAlign w:val="center"/>
                </w:tcPr>
                <w:p w14:paraId="6497BD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容器和包装物材质、内衬应与盛装的危险废物相容。</w:t>
                  </w:r>
                </w:p>
              </w:tc>
              <w:tc>
                <w:tcPr>
                  <w:tcW w:w="1534" w:type="pct"/>
                  <w:tcBorders>
                    <w:tl2br w:val="nil"/>
                    <w:tr2bl w:val="nil"/>
                  </w:tcBorders>
                  <w:vAlign w:val="center"/>
                </w:tcPr>
                <w:p w14:paraId="3873E6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废矿物油使用完好的废</w:t>
                  </w:r>
                  <w:r>
                    <w:rPr>
                      <w:rFonts w:hint="eastAsia" w:ascii="Times New Roman" w:hAnsi="Times New Roman" w:cs="Times New Roman"/>
                      <w:color w:val="auto"/>
                      <w:sz w:val="21"/>
                      <w:szCs w:val="21"/>
                      <w:highlight w:val="none"/>
                      <w:vertAlign w:val="baseline"/>
                      <w:lang w:val="en-US" w:eastAsia="zh-CN"/>
                    </w:rPr>
                    <w:t>铁</w:t>
                  </w:r>
                  <w:r>
                    <w:rPr>
                      <w:rFonts w:hint="eastAsia" w:ascii="Times New Roman" w:hAnsi="Times New Roman" w:eastAsia="宋体" w:cs="Times New Roman"/>
                      <w:color w:val="auto"/>
                      <w:sz w:val="21"/>
                      <w:szCs w:val="21"/>
                      <w:highlight w:val="none"/>
                      <w:vertAlign w:val="baseline"/>
                      <w:lang w:val="en-US" w:eastAsia="zh-CN"/>
                    </w:rPr>
                    <w:t>油桶储存，废活性炭采用密封耐酸碱容器储存</w:t>
                  </w:r>
                  <w:r>
                    <w:rPr>
                      <w:rFonts w:hint="eastAsia" w:ascii="Times New Roman" w:hAnsi="Times New Roman" w:cs="Times New Roman"/>
                      <w:color w:val="auto"/>
                      <w:sz w:val="21"/>
                      <w:szCs w:val="21"/>
                      <w:highlight w:val="none"/>
                      <w:vertAlign w:val="baseline"/>
                      <w:lang w:val="en-US" w:eastAsia="zh-CN"/>
                    </w:rPr>
                    <w:t>。容器与</w:t>
                  </w:r>
                  <w:r>
                    <w:rPr>
                      <w:rFonts w:hint="default" w:ascii="Times New Roman" w:hAnsi="Times New Roman" w:eastAsia="宋体" w:cs="Times New Roman"/>
                      <w:color w:val="auto"/>
                      <w:sz w:val="21"/>
                      <w:szCs w:val="21"/>
                      <w:highlight w:val="none"/>
                      <w:vertAlign w:val="baseline"/>
                      <w:lang w:val="en-US" w:eastAsia="zh-CN"/>
                    </w:rPr>
                    <w:t>危险废物相容</w:t>
                  </w:r>
                  <w:r>
                    <w:rPr>
                      <w:rFonts w:hint="eastAsia" w:ascii="Times New Roman" w:hAnsi="Times New Roman" w:cs="Times New Roman"/>
                      <w:color w:val="auto"/>
                      <w:sz w:val="21"/>
                      <w:szCs w:val="21"/>
                      <w:highlight w:val="none"/>
                      <w:vertAlign w:val="baseline"/>
                      <w:lang w:val="en-US" w:eastAsia="zh-CN"/>
                    </w:rPr>
                    <w:t>。</w:t>
                  </w:r>
                </w:p>
              </w:tc>
              <w:tc>
                <w:tcPr>
                  <w:tcW w:w="519" w:type="pct"/>
                  <w:tcBorders>
                    <w:tl2br w:val="nil"/>
                    <w:tr2bl w:val="nil"/>
                  </w:tcBorders>
                  <w:vAlign w:val="center"/>
                </w:tcPr>
                <w:p w14:paraId="0C4E4E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054C182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467" w:type="pct"/>
                  <w:vMerge w:val="continue"/>
                  <w:tcBorders>
                    <w:tl2br w:val="nil"/>
                    <w:tr2bl w:val="nil"/>
                  </w:tcBorders>
                  <w:vAlign w:val="center"/>
                </w:tcPr>
                <w:p w14:paraId="05DB76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35C5D4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针对不同类别、形态、物理化学性质的危险废物，其容器和包装物应满足相应的防渗、防漏、防腐和强度等要求。</w:t>
                  </w:r>
                </w:p>
              </w:tc>
              <w:tc>
                <w:tcPr>
                  <w:tcW w:w="1534" w:type="pct"/>
                  <w:tcBorders>
                    <w:tl2br w:val="nil"/>
                    <w:tr2bl w:val="nil"/>
                  </w:tcBorders>
                  <w:vAlign w:val="center"/>
                </w:tcPr>
                <w:p w14:paraId="4871F8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废矿物油使用完好的废</w:t>
                  </w:r>
                  <w:r>
                    <w:rPr>
                      <w:rFonts w:hint="eastAsia" w:ascii="Times New Roman" w:hAnsi="Times New Roman" w:cs="Times New Roman"/>
                      <w:color w:val="auto"/>
                      <w:sz w:val="21"/>
                      <w:szCs w:val="21"/>
                      <w:highlight w:val="none"/>
                      <w:vertAlign w:val="baseline"/>
                      <w:lang w:val="en-US" w:eastAsia="zh-CN"/>
                    </w:rPr>
                    <w:t>铁</w:t>
                  </w:r>
                  <w:r>
                    <w:rPr>
                      <w:rFonts w:hint="eastAsia" w:ascii="Times New Roman" w:hAnsi="Times New Roman" w:eastAsia="宋体" w:cs="Times New Roman"/>
                      <w:color w:val="auto"/>
                      <w:sz w:val="21"/>
                      <w:szCs w:val="21"/>
                      <w:highlight w:val="none"/>
                      <w:vertAlign w:val="baseline"/>
                      <w:lang w:val="en-US" w:eastAsia="zh-CN"/>
                    </w:rPr>
                    <w:t>油桶储存</w:t>
                  </w:r>
                  <w:r>
                    <w:rPr>
                      <w:rFonts w:hint="eastAsia" w:ascii="Times New Roman" w:hAnsi="Times New Roman" w:cs="Times New Roman"/>
                      <w:color w:val="auto"/>
                      <w:sz w:val="21"/>
                      <w:szCs w:val="21"/>
                      <w:highlight w:val="none"/>
                      <w:vertAlign w:val="baseline"/>
                      <w:lang w:val="en-US" w:eastAsia="zh-CN"/>
                    </w:rPr>
                    <w:t>，</w:t>
                  </w:r>
                  <w:r>
                    <w:rPr>
                      <w:rFonts w:hint="eastAsia" w:ascii="Times New Roman" w:hAnsi="Times New Roman" w:eastAsia="宋体" w:cs="Times New Roman"/>
                      <w:color w:val="auto"/>
                      <w:sz w:val="21"/>
                      <w:szCs w:val="21"/>
                      <w:highlight w:val="none"/>
                      <w:vertAlign w:val="baseline"/>
                      <w:lang w:val="en-US" w:eastAsia="zh-CN"/>
                    </w:rPr>
                    <w:t>废活性炭采用密封耐酸碱容器储存</w:t>
                  </w:r>
                  <w:r>
                    <w:rPr>
                      <w:rFonts w:hint="eastAsia" w:ascii="Times New Roman" w:hAnsi="Times New Roman" w:cs="Times New Roman"/>
                      <w:color w:val="auto"/>
                      <w:sz w:val="21"/>
                      <w:szCs w:val="21"/>
                      <w:highlight w:val="none"/>
                      <w:vertAlign w:val="baseline"/>
                      <w:lang w:val="en-US" w:eastAsia="zh-CN"/>
                    </w:rPr>
                    <w:t>。容器完整，不易破损。</w:t>
                  </w:r>
                </w:p>
              </w:tc>
              <w:tc>
                <w:tcPr>
                  <w:tcW w:w="519" w:type="pct"/>
                  <w:tcBorders>
                    <w:tl2br w:val="nil"/>
                    <w:tr2bl w:val="nil"/>
                  </w:tcBorders>
                  <w:vAlign w:val="center"/>
                </w:tcPr>
                <w:p w14:paraId="694768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BBD28A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467" w:type="pct"/>
                  <w:vMerge w:val="continue"/>
                  <w:tcBorders>
                    <w:tl2br w:val="nil"/>
                    <w:tr2bl w:val="nil"/>
                  </w:tcBorders>
                  <w:vAlign w:val="center"/>
                </w:tcPr>
                <w:p w14:paraId="124FEC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E4543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硬质容器和包装物及其支护结构堆叠码放时不应有明显变形，无破损泄漏。</w:t>
                  </w:r>
                </w:p>
              </w:tc>
              <w:tc>
                <w:tcPr>
                  <w:tcW w:w="1534" w:type="pct"/>
                  <w:tcBorders>
                    <w:tl2br w:val="nil"/>
                    <w:tr2bl w:val="nil"/>
                  </w:tcBorders>
                  <w:vAlign w:val="center"/>
                </w:tcPr>
                <w:p w14:paraId="52331A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废矿物油储存过程中废铁油桶无变形和破损。</w:t>
                  </w:r>
                </w:p>
              </w:tc>
              <w:tc>
                <w:tcPr>
                  <w:tcW w:w="519" w:type="pct"/>
                  <w:tcBorders>
                    <w:tl2br w:val="nil"/>
                    <w:tr2bl w:val="nil"/>
                  </w:tcBorders>
                  <w:vAlign w:val="center"/>
                </w:tcPr>
                <w:p w14:paraId="4EFB8D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00EDD7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467" w:type="pct"/>
                  <w:vMerge w:val="continue"/>
                  <w:tcBorders>
                    <w:tl2br w:val="nil"/>
                    <w:tr2bl w:val="nil"/>
                  </w:tcBorders>
                  <w:vAlign w:val="center"/>
                </w:tcPr>
                <w:p w14:paraId="1A0811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24E55B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柔性容器和包装物堆叠码放时应封口严密，无破损泄漏。</w:t>
                  </w:r>
                </w:p>
              </w:tc>
              <w:tc>
                <w:tcPr>
                  <w:tcW w:w="1534" w:type="pct"/>
                  <w:tcBorders>
                    <w:tl2br w:val="nil"/>
                    <w:tr2bl w:val="nil"/>
                  </w:tcBorders>
                  <w:vAlign w:val="center"/>
                </w:tcPr>
                <w:p w14:paraId="615F56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不堆叠码放。</w:t>
                  </w:r>
                </w:p>
              </w:tc>
              <w:tc>
                <w:tcPr>
                  <w:tcW w:w="519" w:type="pct"/>
                  <w:tcBorders>
                    <w:tl2br w:val="nil"/>
                    <w:tr2bl w:val="nil"/>
                  </w:tcBorders>
                  <w:vAlign w:val="center"/>
                </w:tcPr>
                <w:p w14:paraId="78B0DC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677AB04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467" w:type="pct"/>
                  <w:vMerge w:val="continue"/>
                  <w:tcBorders>
                    <w:tl2br w:val="nil"/>
                    <w:tr2bl w:val="nil"/>
                  </w:tcBorders>
                  <w:vAlign w:val="center"/>
                </w:tcPr>
                <w:p w14:paraId="3B8C49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7CD9B8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使用容器盛装液态、半固态危险废物时，容器内部应留有适当的空间，以适应因温度变化等可能引发的收缩和膨胀，防止其导致容器渗漏或永久变形。</w:t>
                  </w:r>
                </w:p>
              </w:tc>
              <w:tc>
                <w:tcPr>
                  <w:tcW w:w="1534" w:type="pct"/>
                  <w:tcBorders>
                    <w:tl2br w:val="nil"/>
                    <w:tr2bl w:val="nil"/>
                  </w:tcBorders>
                  <w:vAlign w:val="center"/>
                </w:tcPr>
                <w:p w14:paraId="6A1D35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本项目废矿物油储存过程中，容器内部留有一定的空间。</w:t>
                  </w:r>
                </w:p>
              </w:tc>
              <w:tc>
                <w:tcPr>
                  <w:tcW w:w="519" w:type="pct"/>
                  <w:tcBorders>
                    <w:tl2br w:val="nil"/>
                    <w:tr2bl w:val="nil"/>
                  </w:tcBorders>
                  <w:vAlign w:val="center"/>
                </w:tcPr>
                <w:p w14:paraId="303081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61BFA7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467" w:type="pct"/>
                  <w:vMerge w:val="continue"/>
                  <w:tcBorders>
                    <w:tl2br w:val="nil"/>
                    <w:tr2bl w:val="nil"/>
                  </w:tcBorders>
                  <w:vAlign w:val="center"/>
                </w:tcPr>
                <w:p w14:paraId="200ACA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5730E9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容器和包装物外表面应保持清洁。</w:t>
                  </w:r>
                </w:p>
              </w:tc>
              <w:tc>
                <w:tcPr>
                  <w:tcW w:w="1534" w:type="pct"/>
                  <w:tcBorders>
                    <w:tl2br w:val="nil"/>
                    <w:tr2bl w:val="nil"/>
                  </w:tcBorders>
                  <w:vAlign w:val="center"/>
                </w:tcPr>
                <w:p w14:paraId="0A74E2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容器和包装物外表面</w:t>
                  </w:r>
                  <w:r>
                    <w:rPr>
                      <w:rFonts w:hint="eastAsia" w:ascii="Times New Roman" w:hAnsi="Times New Roman" w:eastAsia="宋体" w:cs="Times New Roman"/>
                      <w:color w:val="auto"/>
                      <w:sz w:val="21"/>
                      <w:szCs w:val="21"/>
                      <w:highlight w:val="none"/>
                      <w:vertAlign w:val="baseline"/>
                      <w:lang w:val="en-US" w:eastAsia="zh-CN"/>
                    </w:rPr>
                    <w:t>人工</w:t>
                  </w:r>
                  <w:r>
                    <w:rPr>
                      <w:rFonts w:hint="default" w:ascii="Times New Roman" w:hAnsi="Times New Roman" w:eastAsia="宋体" w:cs="Times New Roman"/>
                      <w:color w:val="auto"/>
                      <w:sz w:val="21"/>
                      <w:szCs w:val="21"/>
                      <w:highlight w:val="none"/>
                      <w:vertAlign w:val="baseline"/>
                      <w:lang w:val="en-US" w:eastAsia="zh-CN"/>
                    </w:rPr>
                    <w:t>清洁。</w:t>
                  </w:r>
                </w:p>
              </w:tc>
              <w:tc>
                <w:tcPr>
                  <w:tcW w:w="519" w:type="pct"/>
                  <w:tcBorders>
                    <w:tl2br w:val="nil"/>
                    <w:tr2bl w:val="nil"/>
                  </w:tcBorders>
                  <w:vAlign w:val="center"/>
                </w:tcPr>
                <w:p w14:paraId="466AD4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8BC38E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467" w:type="pct"/>
                  <w:vMerge w:val="restart"/>
                  <w:tcBorders>
                    <w:tl2br w:val="nil"/>
                    <w:tr2bl w:val="nil"/>
                  </w:tcBorders>
                  <w:vAlign w:val="center"/>
                </w:tcPr>
                <w:p w14:paraId="222743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贮存过程污染控制要求（一般规定）</w:t>
                  </w:r>
                </w:p>
              </w:tc>
              <w:tc>
                <w:tcPr>
                  <w:tcW w:w="2478" w:type="pct"/>
                  <w:tcBorders>
                    <w:tl2br w:val="nil"/>
                    <w:tr2bl w:val="nil"/>
                  </w:tcBorders>
                  <w:vAlign w:val="center"/>
                </w:tcPr>
                <w:p w14:paraId="58C62B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在常温常压下不易水解、不易挥发的固态危险废物可分类堆放贮存，其他固态危险废物应装入容器或包装物内贮存。</w:t>
                  </w:r>
                </w:p>
              </w:tc>
              <w:tc>
                <w:tcPr>
                  <w:tcW w:w="1534" w:type="pct"/>
                  <w:tcBorders>
                    <w:tl2br w:val="nil"/>
                    <w:tr2bl w:val="nil"/>
                  </w:tcBorders>
                  <w:vAlign w:val="center"/>
                </w:tcPr>
                <w:p w14:paraId="1E3F24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废矿物油使用完好的废</w:t>
                  </w:r>
                  <w:r>
                    <w:rPr>
                      <w:rFonts w:hint="eastAsia" w:ascii="Times New Roman" w:hAnsi="Times New Roman" w:cs="Times New Roman"/>
                      <w:color w:val="auto"/>
                      <w:sz w:val="21"/>
                      <w:szCs w:val="21"/>
                      <w:highlight w:val="none"/>
                      <w:vertAlign w:val="baseline"/>
                      <w:lang w:val="en-US" w:eastAsia="zh-CN"/>
                    </w:rPr>
                    <w:t>铁</w:t>
                  </w:r>
                  <w:r>
                    <w:rPr>
                      <w:rFonts w:hint="default" w:ascii="Times New Roman" w:hAnsi="Times New Roman" w:eastAsia="宋体" w:cs="Times New Roman"/>
                      <w:color w:val="auto"/>
                      <w:sz w:val="21"/>
                      <w:szCs w:val="21"/>
                      <w:highlight w:val="none"/>
                      <w:vertAlign w:val="baseline"/>
                      <w:lang w:val="en-US" w:eastAsia="zh-CN"/>
                    </w:rPr>
                    <w:t>油桶储存。</w:t>
                  </w:r>
                  <w:r>
                    <w:rPr>
                      <w:rFonts w:hint="eastAsia" w:ascii="Times New Roman" w:hAnsi="Times New Roman" w:cs="Times New Roman"/>
                      <w:color w:val="auto"/>
                      <w:sz w:val="21"/>
                      <w:szCs w:val="21"/>
                      <w:highlight w:val="none"/>
                      <w:vertAlign w:val="baseline"/>
                      <w:lang w:val="en-US" w:eastAsia="zh-CN"/>
                    </w:rPr>
                    <w:t>废活性炭每年更换一次，更换后直接交由有资质单位进行处置，不在厂区内贮存</w:t>
                  </w:r>
                  <w:r>
                    <w:rPr>
                      <w:rFonts w:hint="eastAsia" w:ascii="Times New Roman" w:hAnsi="Times New Roman" w:eastAsia="宋体" w:cs="Times New Roman"/>
                      <w:color w:val="auto"/>
                      <w:sz w:val="21"/>
                      <w:szCs w:val="21"/>
                      <w:highlight w:val="none"/>
                      <w:vertAlign w:val="baseline"/>
                      <w:lang w:val="en-US" w:eastAsia="zh-CN"/>
                    </w:rPr>
                    <w:t>。</w:t>
                  </w:r>
                </w:p>
              </w:tc>
              <w:tc>
                <w:tcPr>
                  <w:tcW w:w="519" w:type="pct"/>
                  <w:tcBorders>
                    <w:tl2br w:val="nil"/>
                    <w:tr2bl w:val="nil"/>
                  </w:tcBorders>
                  <w:vAlign w:val="center"/>
                </w:tcPr>
                <w:p w14:paraId="16F967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1B37108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467" w:type="pct"/>
                  <w:vMerge w:val="continue"/>
                  <w:tcBorders>
                    <w:tl2br w:val="nil"/>
                    <w:tr2bl w:val="nil"/>
                  </w:tcBorders>
                  <w:vAlign w:val="center"/>
                </w:tcPr>
                <w:p w14:paraId="3481D3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40574D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液态危险废物应装入容器内贮存，或直接采用贮存池、贮存罐区贮存。</w:t>
                  </w:r>
                </w:p>
              </w:tc>
              <w:tc>
                <w:tcPr>
                  <w:tcW w:w="1534" w:type="pct"/>
                  <w:tcBorders>
                    <w:tl2br w:val="nil"/>
                    <w:tr2bl w:val="nil"/>
                  </w:tcBorders>
                  <w:vAlign w:val="center"/>
                </w:tcPr>
                <w:p w14:paraId="32B69B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废矿物油使用完好的废</w:t>
                  </w:r>
                  <w:r>
                    <w:rPr>
                      <w:rFonts w:hint="eastAsia" w:ascii="Times New Roman" w:hAnsi="Times New Roman" w:cs="Times New Roman"/>
                      <w:color w:val="auto"/>
                      <w:sz w:val="21"/>
                      <w:szCs w:val="21"/>
                      <w:highlight w:val="none"/>
                      <w:vertAlign w:val="baseline"/>
                      <w:lang w:val="en-US" w:eastAsia="zh-CN"/>
                    </w:rPr>
                    <w:t>铁</w:t>
                  </w:r>
                  <w:r>
                    <w:rPr>
                      <w:rFonts w:hint="default" w:ascii="Times New Roman" w:hAnsi="Times New Roman" w:eastAsia="宋体" w:cs="Times New Roman"/>
                      <w:color w:val="auto"/>
                      <w:sz w:val="21"/>
                      <w:szCs w:val="21"/>
                      <w:highlight w:val="none"/>
                      <w:vertAlign w:val="baseline"/>
                      <w:lang w:val="en-US" w:eastAsia="zh-CN"/>
                    </w:rPr>
                    <w:t>油桶储存。</w:t>
                  </w:r>
                </w:p>
              </w:tc>
              <w:tc>
                <w:tcPr>
                  <w:tcW w:w="519" w:type="pct"/>
                  <w:tcBorders>
                    <w:tl2br w:val="nil"/>
                    <w:tr2bl w:val="nil"/>
                  </w:tcBorders>
                  <w:vAlign w:val="center"/>
                </w:tcPr>
                <w:p w14:paraId="7363BC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7B12498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467" w:type="pct"/>
                  <w:vMerge w:val="continue"/>
                  <w:tcBorders>
                    <w:tl2br w:val="nil"/>
                    <w:tr2bl w:val="nil"/>
                  </w:tcBorders>
                  <w:vAlign w:val="center"/>
                </w:tcPr>
                <w:p w14:paraId="6F2720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0F37AF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半固态危险废物应装入容器或包装袋内贮存，或直接采用贮存池贮存。</w:t>
                  </w:r>
                </w:p>
              </w:tc>
              <w:tc>
                <w:tcPr>
                  <w:tcW w:w="1534" w:type="pct"/>
                  <w:tcBorders>
                    <w:tl2br w:val="nil"/>
                    <w:tr2bl w:val="nil"/>
                  </w:tcBorders>
                  <w:vAlign w:val="center"/>
                </w:tcPr>
                <w:p w14:paraId="143CAA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本项目不涉及半固态危险废物</w:t>
                  </w:r>
                </w:p>
              </w:tc>
              <w:tc>
                <w:tcPr>
                  <w:tcW w:w="519" w:type="pct"/>
                  <w:tcBorders>
                    <w:tl2br w:val="nil"/>
                    <w:tr2bl w:val="nil"/>
                  </w:tcBorders>
                  <w:vAlign w:val="center"/>
                </w:tcPr>
                <w:p w14:paraId="732013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AA7EBB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467" w:type="pct"/>
                  <w:vMerge w:val="continue"/>
                  <w:tcBorders>
                    <w:tl2br w:val="nil"/>
                    <w:tr2bl w:val="nil"/>
                  </w:tcBorders>
                  <w:vAlign w:val="center"/>
                </w:tcPr>
                <w:p w14:paraId="28F1FB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5B2B63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具有热塑性的危险废物应装入容器或包装袋内进行贮存。</w:t>
                  </w:r>
                </w:p>
              </w:tc>
              <w:tc>
                <w:tcPr>
                  <w:tcW w:w="1534" w:type="pct"/>
                  <w:tcBorders>
                    <w:tl2br w:val="nil"/>
                    <w:tr2bl w:val="nil"/>
                  </w:tcBorders>
                  <w:vAlign w:val="center"/>
                </w:tcPr>
                <w:p w14:paraId="393E05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本项目不涉及热塑性的危险废物</w:t>
                  </w:r>
                </w:p>
              </w:tc>
              <w:tc>
                <w:tcPr>
                  <w:tcW w:w="519" w:type="pct"/>
                  <w:tcBorders>
                    <w:tl2br w:val="nil"/>
                    <w:tr2bl w:val="nil"/>
                  </w:tcBorders>
                  <w:vAlign w:val="center"/>
                </w:tcPr>
                <w:p w14:paraId="28D75E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2225AC7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467" w:type="pct"/>
                  <w:vMerge w:val="continue"/>
                  <w:tcBorders>
                    <w:tl2br w:val="nil"/>
                    <w:tr2bl w:val="nil"/>
                  </w:tcBorders>
                  <w:vAlign w:val="center"/>
                </w:tcPr>
                <w:p w14:paraId="2FBEFC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29A33E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易产生粉尘、VOCs、酸雾、有毒有害大气污染物和刺激性气味气体的危险废物应装入闭口容器或包装物内贮存。</w:t>
                  </w:r>
                </w:p>
              </w:tc>
              <w:tc>
                <w:tcPr>
                  <w:tcW w:w="1534" w:type="pct"/>
                  <w:tcBorders>
                    <w:tl2br w:val="nil"/>
                    <w:tr2bl w:val="nil"/>
                  </w:tcBorders>
                  <w:vAlign w:val="center"/>
                </w:tcPr>
                <w:p w14:paraId="795A9E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废矿物油使用完好的废</w:t>
                  </w:r>
                  <w:r>
                    <w:rPr>
                      <w:rFonts w:hint="eastAsia" w:ascii="Times New Roman" w:hAnsi="Times New Roman" w:cs="Times New Roman"/>
                      <w:color w:val="auto"/>
                      <w:sz w:val="21"/>
                      <w:szCs w:val="21"/>
                      <w:highlight w:val="none"/>
                      <w:vertAlign w:val="baseline"/>
                      <w:lang w:val="en-US" w:eastAsia="zh-CN"/>
                    </w:rPr>
                    <w:t>铁</w:t>
                  </w:r>
                  <w:r>
                    <w:rPr>
                      <w:rFonts w:hint="default" w:ascii="Times New Roman" w:hAnsi="Times New Roman" w:eastAsia="宋体" w:cs="Times New Roman"/>
                      <w:color w:val="auto"/>
                      <w:sz w:val="21"/>
                      <w:szCs w:val="21"/>
                      <w:highlight w:val="none"/>
                      <w:vertAlign w:val="baseline"/>
                      <w:lang w:val="en-US" w:eastAsia="zh-CN"/>
                    </w:rPr>
                    <w:t>油桶储存。</w:t>
                  </w:r>
                </w:p>
              </w:tc>
              <w:tc>
                <w:tcPr>
                  <w:tcW w:w="519" w:type="pct"/>
                  <w:tcBorders>
                    <w:tl2br w:val="nil"/>
                    <w:tr2bl w:val="nil"/>
                  </w:tcBorders>
                  <w:vAlign w:val="center"/>
                </w:tcPr>
                <w:p w14:paraId="6038EF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72097B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467" w:type="pct"/>
                  <w:vMerge w:val="continue"/>
                  <w:tcBorders>
                    <w:tl2br w:val="nil"/>
                    <w:tr2bl w:val="nil"/>
                  </w:tcBorders>
                  <w:vAlign w:val="center"/>
                </w:tcPr>
                <w:p w14:paraId="5C5500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7B09CB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危险废物贮存过程中易产生粉尘等无组织排放的，应采取抑尘等有效措施。</w:t>
                  </w:r>
                </w:p>
              </w:tc>
              <w:tc>
                <w:tcPr>
                  <w:tcW w:w="1534" w:type="pct"/>
                  <w:tcBorders>
                    <w:tl2br w:val="nil"/>
                    <w:tr2bl w:val="nil"/>
                  </w:tcBorders>
                  <w:vAlign w:val="center"/>
                </w:tcPr>
                <w:p w14:paraId="0E4797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本项目无易产生粉尘危废贮存</w:t>
                  </w:r>
                  <w:r>
                    <w:rPr>
                      <w:rFonts w:hint="default" w:ascii="Times New Roman" w:hAnsi="Times New Roman" w:eastAsia="宋体" w:cs="Times New Roman"/>
                      <w:color w:val="auto"/>
                      <w:sz w:val="21"/>
                      <w:szCs w:val="21"/>
                      <w:highlight w:val="none"/>
                      <w:vertAlign w:val="baseline"/>
                      <w:lang w:val="en-US" w:eastAsia="zh-CN"/>
                    </w:rPr>
                    <w:t>。</w:t>
                  </w:r>
                </w:p>
              </w:tc>
              <w:tc>
                <w:tcPr>
                  <w:tcW w:w="519" w:type="pct"/>
                  <w:tcBorders>
                    <w:tl2br w:val="nil"/>
                    <w:tr2bl w:val="nil"/>
                  </w:tcBorders>
                  <w:vAlign w:val="center"/>
                </w:tcPr>
                <w:p w14:paraId="59B0D9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25FFFC2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67" w:type="pct"/>
                  <w:vMerge w:val="restart"/>
                  <w:tcBorders>
                    <w:tl2br w:val="nil"/>
                    <w:tr2bl w:val="nil"/>
                  </w:tcBorders>
                  <w:vAlign w:val="center"/>
                </w:tcPr>
                <w:p w14:paraId="791B4E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贮存设施运行环境管理要求</w:t>
                  </w:r>
                </w:p>
              </w:tc>
              <w:tc>
                <w:tcPr>
                  <w:tcW w:w="2478" w:type="pct"/>
                  <w:tcBorders>
                    <w:tl2br w:val="nil"/>
                    <w:tr2bl w:val="nil"/>
                  </w:tcBorders>
                  <w:vAlign w:val="center"/>
                </w:tcPr>
                <w:p w14:paraId="702ED6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危险废物存入贮存设施前应对危险废物类别和特性与危险废物标签等危险废物识别标志的一致性进行核验，不一致的或类别、特性不明的不应存入。</w:t>
                  </w:r>
                </w:p>
              </w:tc>
              <w:tc>
                <w:tcPr>
                  <w:tcW w:w="1534" w:type="pct"/>
                  <w:tcBorders>
                    <w:tl2br w:val="nil"/>
                    <w:tr2bl w:val="nil"/>
                  </w:tcBorders>
                  <w:vAlign w:val="center"/>
                </w:tcPr>
                <w:p w14:paraId="7C8505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本项目危废主要为废矿物油</w:t>
                  </w:r>
                  <w:r>
                    <w:rPr>
                      <w:rFonts w:hint="eastAsia" w:ascii="Times New Roman" w:hAnsi="Times New Roman" w:cs="Times New Roman"/>
                      <w:color w:val="auto"/>
                      <w:sz w:val="21"/>
                      <w:szCs w:val="21"/>
                      <w:highlight w:val="none"/>
                      <w:vertAlign w:val="baseline"/>
                      <w:lang w:val="en-US" w:eastAsia="zh-CN"/>
                    </w:rPr>
                    <w:t>和废油桶</w:t>
                  </w:r>
                  <w:r>
                    <w:rPr>
                      <w:rFonts w:hint="default" w:ascii="Times New Roman" w:hAnsi="Times New Roman" w:eastAsia="宋体"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设置危险废物标识标志，无其他废物存入。</w:t>
                  </w:r>
                </w:p>
              </w:tc>
              <w:tc>
                <w:tcPr>
                  <w:tcW w:w="519" w:type="pct"/>
                  <w:tcBorders>
                    <w:tl2br w:val="nil"/>
                    <w:tr2bl w:val="nil"/>
                  </w:tcBorders>
                  <w:vAlign w:val="center"/>
                </w:tcPr>
                <w:p w14:paraId="08322C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7429A56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67" w:type="pct"/>
                  <w:vMerge w:val="continue"/>
                  <w:tcBorders>
                    <w:tl2br w:val="nil"/>
                    <w:tr2bl w:val="nil"/>
                  </w:tcBorders>
                  <w:vAlign w:val="center"/>
                </w:tcPr>
                <w:p w14:paraId="228A96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4DFF3B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应定期检查危险废物的贮存状况，及时清理贮存设施地面，更换破损泄漏的危险废物贮存容器和包装物，保证堆存危险废物的防雨、防风、防扬尘等设施功能完好。</w:t>
                  </w:r>
                </w:p>
              </w:tc>
              <w:tc>
                <w:tcPr>
                  <w:tcW w:w="1534" w:type="pct"/>
                  <w:tcBorders>
                    <w:tl2br w:val="nil"/>
                    <w:tr2bl w:val="nil"/>
                  </w:tcBorders>
                  <w:vAlign w:val="center"/>
                </w:tcPr>
                <w:p w14:paraId="0CB857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库内安装监控，定期对危废暂存间巡检。</w:t>
                  </w:r>
                </w:p>
              </w:tc>
              <w:tc>
                <w:tcPr>
                  <w:tcW w:w="519" w:type="pct"/>
                  <w:tcBorders>
                    <w:tl2br w:val="nil"/>
                    <w:tr2bl w:val="nil"/>
                  </w:tcBorders>
                  <w:vAlign w:val="center"/>
                </w:tcPr>
                <w:p w14:paraId="31FC91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555A57E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67" w:type="pct"/>
                  <w:vMerge w:val="continue"/>
                  <w:tcBorders>
                    <w:tl2br w:val="nil"/>
                    <w:tr2bl w:val="nil"/>
                  </w:tcBorders>
                  <w:vAlign w:val="center"/>
                </w:tcPr>
                <w:p w14:paraId="6C935E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72F8CB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作业设备及车辆等结束作业离开贮存设施时，应对其残留的危险废物进行清理，清理的废物或清洗废水应收集处理。</w:t>
                  </w:r>
                </w:p>
              </w:tc>
              <w:tc>
                <w:tcPr>
                  <w:tcW w:w="1534" w:type="pct"/>
                  <w:tcBorders>
                    <w:tl2br w:val="nil"/>
                    <w:tr2bl w:val="nil"/>
                  </w:tcBorders>
                  <w:vAlign w:val="center"/>
                </w:tcPr>
                <w:p w14:paraId="18D692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危废收集转运过程中文明装、卸，禁止野蛮操作，严防发生收集桶坠地等事故发生。</w:t>
                  </w:r>
                </w:p>
              </w:tc>
              <w:tc>
                <w:tcPr>
                  <w:tcW w:w="519" w:type="pct"/>
                  <w:tcBorders>
                    <w:tl2br w:val="nil"/>
                    <w:tr2bl w:val="nil"/>
                  </w:tcBorders>
                  <w:vAlign w:val="center"/>
                </w:tcPr>
                <w:p w14:paraId="48AB89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C2F694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67" w:type="pct"/>
                  <w:vMerge w:val="continue"/>
                  <w:tcBorders>
                    <w:tl2br w:val="nil"/>
                    <w:tr2bl w:val="nil"/>
                  </w:tcBorders>
                  <w:vAlign w:val="center"/>
                </w:tcPr>
                <w:p w14:paraId="0CE48C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5E6F66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贮存设施运行期间，应按国家有关标准和规定建立危险废物管理台账并保存。</w:t>
                  </w:r>
                </w:p>
              </w:tc>
              <w:tc>
                <w:tcPr>
                  <w:tcW w:w="1534" w:type="pct"/>
                  <w:tcBorders>
                    <w:tl2br w:val="nil"/>
                    <w:tr2bl w:val="nil"/>
                  </w:tcBorders>
                  <w:vAlign w:val="center"/>
                </w:tcPr>
                <w:p w14:paraId="2838CD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危废暂存间按</w:t>
                  </w:r>
                  <w:r>
                    <w:rPr>
                      <w:rFonts w:hint="default" w:ascii="Times New Roman" w:hAnsi="Times New Roman" w:eastAsia="宋体" w:cs="Times New Roman"/>
                      <w:color w:val="auto"/>
                      <w:sz w:val="21"/>
                      <w:szCs w:val="21"/>
                      <w:highlight w:val="none"/>
                      <w:vertAlign w:val="baseline"/>
                      <w:lang w:val="en-US" w:eastAsia="zh-CN"/>
                    </w:rPr>
                    <w:t>国家有关标准和规定建立危险废物管理台账并保存</w:t>
                  </w:r>
                </w:p>
              </w:tc>
              <w:tc>
                <w:tcPr>
                  <w:tcW w:w="519" w:type="pct"/>
                  <w:tcBorders>
                    <w:tl2br w:val="nil"/>
                    <w:tr2bl w:val="nil"/>
                  </w:tcBorders>
                  <w:vAlign w:val="center"/>
                </w:tcPr>
                <w:p w14:paraId="09B388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4D5C4FB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67" w:type="pct"/>
                  <w:vMerge w:val="continue"/>
                  <w:tcBorders>
                    <w:tl2br w:val="nil"/>
                    <w:tr2bl w:val="nil"/>
                  </w:tcBorders>
                  <w:vAlign w:val="center"/>
                </w:tcPr>
                <w:p w14:paraId="6A1233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5CFCE4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贮存设施所有者或运营者应建立贮存设施环境管理制度、管理人员岗位职责制度、设施运行操作制度、人员岗位培训制度等。</w:t>
                  </w:r>
                </w:p>
              </w:tc>
              <w:tc>
                <w:tcPr>
                  <w:tcW w:w="1534" w:type="pct"/>
                  <w:tcBorders>
                    <w:tl2br w:val="nil"/>
                    <w:tr2bl w:val="nil"/>
                  </w:tcBorders>
                  <w:vAlign w:val="center"/>
                </w:tcPr>
                <w:p w14:paraId="67376D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危废暂存间建立环境管理制度、管理人员岗位职责制度、设施运行操作制度、人员岗位培训制度等。</w:t>
                  </w:r>
                </w:p>
              </w:tc>
              <w:tc>
                <w:tcPr>
                  <w:tcW w:w="519" w:type="pct"/>
                  <w:tcBorders>
                    <w:tl2br w:val="nil"/>
                    <w:tr2bl w:val="nil"/>
                  </w:tcBorders>
                  <w:vAlign w:val="center"/>
                </w:tcPr>
                <w:p w14:paraId="19C7D1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261AF3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67" w:type="pct"/>
                  <w:vMerge w:val="continue"/>
                  <w:tcBorders>
                    <w:tl2br w:val="nil"/>
                    <w:tr2bl w:val="nil"/>
                  </w:tcBorders>
                  <w:vAlign w:val="center"/>
                </w:tcPr>
                <w:p w14:paraId="6EEFF7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7A838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贮存设施所有者或运营者应依据国家土壤和地下水污染防治的有关规定，结合贮存设施特点建立土壤和地下水污染隐患排查制度，并定期开展隐患排查；发现隐患应及时采取措施消除隐患，并建立档案。</w:t>
                  </w:r>
                </w:p>
              </w:tc>
              <w:tc>
                <w:tcPr>
                  <w:tcW w:w="1534" w:type="pct"/>
                  <w:tcBorders>
                    <w:tl2br w:val="nil"/>
                    <w:tr2bl w:val="nil"/>
                  </w:tcBorders>
                  <w:vAlign w:val="center"/>
                </w:tcPr>
                <w:p w14:paraId="289FAD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本项目危废暂存间环评手续正在办理，土壤和地下水污染隐患排查已列入计划。</w:t>
                  </w:r>
                </w:p>
              </w:tc>
              <w:tc>
                <w:tcPr>
                  <w:tcW w:w="519" w:type="pct"/>
                  <w:tcBorders>
                    <w:tl2br w:val="nil"/>
                    <w:tr2bl w:val="nil"/>
                  </w:tcBorders>
                  <w:vAlign w:val="center"/>
                </w:tcPr>
                <w:p w14:paraId="41EFB3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3F8445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467" w:type="pct"/>
                  <w:vMerge w:val="continue"/>
                  <w:tcBorders>
                    <w:tl2br w:val="nil"/>
                    <w:tr2bl w:val="nil"/>
                  </w:tcBorders>
                  <w:vAlign w:val="center"/>
                </w:tcPr>
                <w:p w14:paraId="3C1240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765E87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贮存设施所有者或运营者应建立贮存设施全部档案，包括设计、施工、验收、运行、监测和环境应急等，应按国家有关档案管理的法律法规进行整理和归档。</w:t>
                  </w:r>
                </w:p>
              </w:tc>
              <w:tc>
                <w:tcPr>
                  <w:tcW w:w="1534" w:type="pct"/>
                  <w:tcBorders>
                    <w:tl2br w:val="nil"/>
                    <w:tr2bl w:val="nil"/>
                  </w:tcBorders>
                  <w:vAlign w:val="center"/>
                </w:tcPr>
                <w:p w14:paraId="3BE3A0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危废暂存间建立完整的档案制度。</w:t>
                  </w:r>
                </w:p>
              </w:tc>
              <w:tc>
                <w:tcPr>
                  <w:tcW w:w="519" w:type="pct"/>
                  <w:tcBorders>
                    <w:tl2br w:val="nil"/>
                    <w:tr2bl w:val="nil"/>
                  </w:tcBorders>
                  <w:vAlign w:val="center"/>
                </w:tcPr>
                <w:p w14:paraId="5DAC84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7066B39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467" w:type="pct"/>
                  <w:vMerge w:val="restart"/>
                  <w:tcBorders>
                    <w:tl2br w:val="nil"/>
                    <w:tr2bl w:val="nil"/>
                  </w:tcBorders>
                  <w:vAlign w:val="center"/>
                </w:tcPr>
                <w:p w14:paraId="65493C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贮存点环境管理要求</w:t>
                  </w:r>
                </w:p>
              </w:tc>
              <w:tc>
                <w:tcPr>
                  <w:tcW w:w="2478" w:type="pct"/>
                  <w:tcBorders>
                    <w:tl2br w:val="nil"/>
                    <w:tr2bl w:val="nil"/>
                  </w:tcBorders>
                  <w:vAlign w:val="center"/>
                </w:tcPr>
                <w:p w14:paraId="17576B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贮存点应具有固定的区域边界，并应采取与其他区域进行隔离的措施。</w:t>
                  </w:r>
                </w:p>
              </w:tc>
              <w:tc>
                <w:tcPr>
                  <w:tcW w:w="1534" w:type="pct"/>
                  <w:tcBorders>
                    <w:tl2br w:val="nil"/>
                    <w:tr2bl w:val="nil"/>
                  </w:tcBorders>
                  <w:vAlign w:val="center"/>
                </w:tcPr>
                <w:p w14:paraId="670E8E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本项目危废暂存间不属于贮存点</w:t>
                  </w:r>
                </w:p>
              </w:tc>
              <w:tc>
                <w:tcPr>
                  <w:tcW w:w="519" w:type="pct"/>
                  <w:tcBorders>
                    <w:tl2br w:val="nil"/>
                    <w:tr2bl w:val="nil"/>
                  </w:tcBorders>
                  <w:vAlign w:val="center"/>
                </w:tcPr>
                <w:p w14:paraId="1FC660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1AC220E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467" w:type="pct"/>
                  <w:vMerge w:val="continue"/>
                  <w:tcBorders>
                    <w:tl2br w:val="nil"/>
                    <w:tr2bl w:val="nil"/>
                  </w:tcBorders>
                  <w:vAlign w:val="center"/>
                </w:tcPr>
                <w:p w14:paraId="6A5FC3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60D5B3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贮存点应采取防风、防雨、防晒和防止危险废物流失、扬散等措施。</w:t>
                  </w:r>
                </w:p>
              </w:tc>
              <w:tc>
                <w:tcPr>
                  <w:tcW w:w="1534" w:type="pct"/>
                  <w:tcBorders>
                    <w:tl2br w:val="nil"/>
                    <w:tr2bl w:val="nil"/>
                  </w:tcBorders>
                  <w:vAlign w:val="center"/>
                </w:tcPr>
                <w:p w14:paraId="7F0E2F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危废暂存间为钢架结构，全封闭。</w:t>
                  </w:r>
                </w:p>
              </w:tc>
              <w:tc>
                <w:tcPr>
                  <w:tcW w:w="519" w:type="pct"/>
                  <w:tcBorders>
                    <w:tl2br w:val="nil"/>
                    <w:tr2bl w:val="nil"/>
                  </w:tcBorders>
                  <w:vAlign w:val="center"/>
                </w:tcPr>
                <w:p w14:paraId="3B632B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1231202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467" w:type="pct"/>
                  <w:vMerge w:val="continue"/>
                  <w:tcBorders>
                    <w:tl2br w:val="nil"/>
                    <w:tr2bl w:val="nil"/>
                  </w:tcBorders>
                  <w:vAlign w:val="center"/>
                </w:tcPr>
                <w:p w14:paraId="5DCE7D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5C74B6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贮存点贮存的危险废物应置于容器或包装物中，不应直接散堆。</w:t>
                  </w:r>
                </w:p>
              </w:tc>
              <w:tc>
                <w:tcPr>
                  <w:tcW w:w="1534" w:type="pct"/>
                  <w:tcBorders>
                    <w:tl2br w:val="nil"/>
                    <w:tr2bl w:val="nil"/>
                  </w:tcBorders>
                  <w:vAlign w:val="center"/>
                </w:tcPr>
                <w:p w14:paraId="393F25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本项目危险废物全部分类堆放于危废暂存间内，厂内产生的废矿物油存放于废铁油桶内，加盖密封，放置在防渗漏的托盘上，存放在危废间东北侧；废油桶加盖密封，并放置防渗漏的托盘上，存放在危废间西侧。</w:t>
                  </w:r>
                </w:p>
              </w:tc>
              <w:tc>
                <w:tcPr>
                  <w:tcW w:w="519" w:type="pct"/>
                  <w:tcBorders>
                    <w:tl2br w:val="nil"/>
                    <w:tr2bl w:val="nil"/>
                  </w:tcBorders>
                  <w:vAlign w:val="center"/>
                </w:tcPr>
                <w:p w14:paraId="6901AF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7E5261C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467" w:type="pct"/>
                  <w:vMerge w:val="continue"/>
                  <w:tcBorders>
                    <w:tl2br w:val="nil"/>
                    <w:tr2bl w:val="nil"/>
                  </w:tcBorders>
                  <w:vAlign w:val="center"/>
                </w:tcPr>
                <w:p w14:paraId="7480F6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41928E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贮存点应根据危险废物的形态、物理化学性质、包装形式等，采取防渗、防漏等污染防治措施或采用具有相应功能的装置。</w:t>
                  </w:r>
                </w:p>
              </w:tc>
              <w:tc>
                <w:tcPr>
                  <w:tcW w:w="1534" w:type="pct"/>
                  <w:tcBorders>
                    <w:tl2br w:val="nil"/>
                    <w:tr2bl w:val="nil"/>
                  </w:tcBorders>
                  <w:vAlign w:val="center"/>
                </w:tcPr>
                <w:p w14:paraId="15E1B3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危废暂存间地面、裙角、导流槽及收集池采取HDPE膜防渗。</w:t>
                  </w:r>
                </w:p>
              </w:tc>
              <w:tc>
                <w:tcPr>
                  <w:tcW w:w="519" w:type="pct"/>
                  <w:tcBorders>
                    <w:tl2br w:val="nil"/>
                    <w:tr2bl w:val="nil"/>
                  </w:tcBorders>
                  <w:vAlign w:val="center"/>
                </w:tcPr>
                <w:p w14:paraId="37747E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41D5F45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467" w:type="pct"/>
                  <w:vMerge w:val="continue"/>
                  <w:tcBorders>
                    <w:tl2br w:val="nil"/>
                    <w:tr2bl w:val="nil"/>
                  </w:tcBorders>
                  <w:vAlign w:val="center"/>
                </w:tcPr>
                <w:p w14:paraId="024959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7510E1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贮存点应及时清运贮存的危险废物，实时贮存量不应超过3吨。</w:t>
                  </w:r>
                </w:p>
              </w:tc>
              <w:tc>
                <w:tcPr>
                  <w:tcW w:w="1534" w:type="pct"/>
                  <w:tcBorders>
                    <w:tl2br w:val="nil"/>
                    <w:tr2bl w:val="nil"/>
                  </w:tcBorders>
                  <w:vAlign w:val="center"/>
                </w:tcPr>
                <w:p w14:paraId="5F30DA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危废暂存间</w:t>
                  </w:r>
                  <w:r>
                    <w:rPr>
                      <w:rFonts w:hint="default" w:ascii="Times New Roman" w:hAnsi="Times New Roman" w:eastAsia="宋体" w:cs="Times New Roman"/>
                      <w:color w:val="auto"/>
                      <w:sz w:val="21"/>
                      <w:szCs w:val="21"/>
                      <w:highlight w:val="none"/>
                      <w:vertAlign w:val="baseline"/>
                      <w:lang w:val="en-US" w:eastAsia="zh-CN"/>
                    </w:rPr>
                    <w:t>实时贮存量</w:t>
                  </w:r>
                  <w:r>
                    <w:rPr>
                      <w:rFonts w:hint="eastAsia" w:ascii="Times New Roman" w:hAnsi="Times New Roman" w:eastAsia="宋体" w:cs="Times New Roman"/>
                      <w:color w:val="auto"/>
                      <w:sz w:val="21"/>
                      <w:szCs w:val="21"/>
                      <w:highlight w:val="none"/>
                      <w:vertAlign w:val="baseline"/>
                      <w:lang w:val="en-US" w:eastAsia="zh-CN"/>
                    </w:rPr>
                    <w:t>达到</w:t>
                  </w:r>
                  <w:r>
                    <w:rPr>
                      <w:rFonts w:hint="default" w:ascii="Times New Roman" w:hAnsi="Times New Roman" w:eastAsia="宋体" w:cs="Times New Roman"/>
                      <w:color w:val="auto"/>
                      <w:sz w:val="21"/>
                      <w:szCs w:val="21"/>
                      <w:highlight w:val="none"/>
                      <w:vertAlign w:val="baseline"/>
                      <w:lang w:val="en-US" w:eastAsia="zh-CN"/>
                    </w:rPr>
                    <w:t>3吨</w:t>
                  </w:r>
                  <w:r>
                    <w:rPr>
                      <w:rFonts w:hint="eastAsia" w:ascii="Times New Roman" w:hAnsi="Times New Roman" w:eastAsia="宋体" w:cs="Times New Roman"/>
                      <w:color w:val="auto"/>
                      <w:sz w:val="21"/>
                      <w:szCs w:val="21"/>
                      <w:highlight w:val="none"/>
                      <w:vertAlign w:val="baseline"/>
                      <w:lang w:val="en-US" w:eastAsia="zh-CN"/>
                    </w:rPr>
                    <w:t>时及时委托有资质单位</w:t>
                  </w:r>
                  <w:r>
                    <w:rPr>
                      <w:rFonts w:hint="eastAsia" w:ascii="Times New Roman" w:hAnsi="Times New Roman" w:cs="Times New Roman"/>
                      <w:color w:val="auto"/>
                      <w:sz w:val="21"/>
                      <w:szCs w:val="21"/>
                      <w:highlight w:val="none"/>
                      <w:vertAlign w:val="baseline"/>
                      <w:lang w:val="en-US" w:eastAsia="zh-CN"/>
                    </w:rPr>
                    <w:t>处置</w:t>
                  </w:r>
                  <w:r>
                    <w:rPr>
                      <w:rFonts w:hint="eastAsia" w:ascii="Times New Roman" w:hAnsi="Times New Roman" w:eastAsia="宋体" w:cs="Times New Roman"/>
                      <w:color w:val="auto"/>
                      <w:sz w:val="21"/>
                      <w:szCs w:val="21"/>
                      <w:highlight w:val="none"/>
                      <w:vertAlign w:val="baseline"/>
                      <w:lang w:val="en-US" w:eastAsia="zh-CN"/>
                    </w:rPr>
                    <w:t>。</w:t>
                  </w:r>
                </w:p>
              </w:tc>
              <w:tc>
                <w:tcPr>
                  <w:tcW w:w="519" w:type="pct"/>
                  <w:tcBorders>
                    <w:tl2br w:val="nil"/>
                    <w:tr2bl w:val="nil"/>
                  </w:tcBorders>
                  <w:vAlign w:val="center"/>
                </w:tcPr>
                <w:p w14:paraId="64404D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65D9297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4" w:hRule="atLeast"/>
              </w:trPr>
              <w:tc>
                <w:tcPr>
                  <w:tcW w:w="467" w:type="pct"/>
                  <w:vMerge w:val="restart"/>
                  <w:tcBorders>
                    <w:tl2br w:val="nil"/>
                    <w:tr2bl w:val="nil"/>
                  </w:tcBorders>
                  <w:vAlign w:val="center"/>
                </w:tcPr>
                <w:p w14:paraId="07075B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环境监测要求</w:t>
                  </w:r>
                </w:p>
              </w:tc>
              <w:tc>
                <w:tcPr>
                  <w:tcW w:w="2478" w:type="pct"/>
                  <w:tcBorders>
                    <w:tl2br w:val="nil"/>
                    <w:tr2bl w:val="nil"/>
                  </w:tcBorders>
                  <w:vAlign w:val="center"/>
                </w:tcPr>
                <w:p w14:paraId="5A9F75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贮存设施的环境监测应纳入主体设施的环境监测计划。</w:t>
                  </w:r>
                </w:p>
              </w:tc>
              <w:tc>
                <w:tcPr>
                  <w:tcW w:w="1534" w:type="pct"/>
                  <w:tcBorders>
                    <w:tl2br w:val="nil"/>
                    <w:tr2bl w:val="nil"/>
                  </w:tcBorders>
                  <w:vAlign w:val="center"/>
                </w:tcPr>
                <w:p w14:paraId="13A4DC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按要求制定环境监测计划</w:t>
                  </w:r>
                  <w:r>
                    <w:rPr>
                      <w:rFonts w:hint="eastAsia" w:ascii="Times New Roman" w:hAnsi="Times New Roman" w:cs="Times New Roman"/>
                      <w:color w:val="auto"/>
                      <w:sz w:val="21"/>
                      <w:szCs w:val="21"/>
                      <w:highlight w:val="none"/>
                      <w:vertAlign w:val="baseline"/>
                      <w:lang w:val="en-US" w:eastAsia="zh-CN"/>
                    </w:rPr>
                    <w:t>。</w:t>
                  </w:r>
                </w:p>
              </w:tc>
              <w:tc>
                <w:tcPr>
                  <w:tcW w:w="519" w:type="pct"/>
                  <w:tcBorders>
                    <w:tl2br w:val="nil"/>
                    <w:tr2bl w:val="nil"/>
                  </w:tcBorders>
                  <w:vAlign w:val="center"/>
                </w:tcPr>
                <w:p w14:paraId="1DEF75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4E0C28F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4" w:hRule="atLeast"/>
              </w:trPr>
              <w:tc>
                <w:tcPr>
                  <w:tcW w:w="467" w:type="pct"/>
                  <w:vMerge w:val="continue"/>
                  <w:tcBorders>
                    <w:tl2br w:val="nil"/>
                    <w:tr2bl w:val="nil"/>
                  </w:tcBorders>
                  <w:vAlign w:val="center"/>
                </w:tcPr>
                <w:p w14:paraId="16BCA6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187D00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所有者或运营者应依据《大气污染防治法》《水污染防治法》《土壤污染防治法》等有关法律、《排污许可管理条例》等行政法规和HJ819、HJ1250等规定制订监测方案，对贮存设施污染物排放状况开展自行监测，保存原始监测记录，并公布监测结果。</w:t>
                  </w:r>
                </w:p>
              </w:tc>
              <w:tc>
                <w:tcPr>
                  <w:tcW w:w="1534" w:type="pct"/>
                  <w:tcBorders>
                    <w:tl2br w:val="nil"/>
                    <w:tr2bl w:val="nil"/>
                  </w:tcBorders>
                  <w:vAlign w:val="center"/>
                </w:tcPr>
                <w:p w14:paraId="34779D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厂</w:t>
                  </w:r>
                  <w:r>
                    <w:rPr>
                      <w:rFonts w:hint="default" w:ascii="Times New Roman" w:hAnsi="Times New Roman" w:eastAsia="宋体" w:cs="Times New Roman"/>
                      <w:color w:val="auto"/>
                      <w:sz w:val="21"/>
                      <w:szCs w:val="21"/>
                      <w:highlight w:val="none"/>
                      <w:vertAlign w:val="baseline"/>
                      <w:lang w:val="en-US" w:eastAsia="zh-CN"/>
                    </w:rPr>
                    <w:t>区定期对</w:t>
                  </w:r>
                  <w:r>
                    <w:rPr>
                      <w:rFonts w:hint="eastAsia" w:ascii="Times New Roman" w:hAnsi="Times New Roman" w:cs="Times New Roman"/>
                      <w:color w:val="auto"/>
                      <w:sz w:val="21"/>
                      <w:szCs w:val="21"/>
                      <w:highlight w:val="none"/>
                      <w:vertAlign w:val="baseline"/>
                      <w:lang w:val="en-US" w:eastAsia="zh-CN"/>
                    </w:rPr>
                    <w:t>地下水、土壤、无组织废气和噪声</w:t>
                  </w:r>
                  <w:r>
                    <w:rPr>
                      <w:rFonts w:hint="default" w:ascii="Times New Roman" w:hAnsi="Times New Roman" w:eastAsia="宋体" w:cs="Times New Roman"/>
                      <w:color w:val="auto"/>
                      <w:sz w:val="21"/>
                      <w:szCs w:val="21"/>
                      <w:highlight w:val="none"/>
                      <w:vertAlign w:val="baseline"/>
                      <w:lang w:val="en-US" w:eastAsia="zh-CN"/>
                    </w:rPr>
                    <w:t>开展自行监测</w:t>
                  </w:r>
                  <w:r>
                    <w:rPr>
                      <w:rFonts w:hint="eastAsia" w:ascii="Times New Roman" w:hAnsi="Times New Roman" w:cs="Times New Roman"/>
                      <w:color w:val="auto"/>
                      <w:sz w:val="21"/>
                      <w:szCs w:val="21"/>
                      <w:highlight w:val="none"/>
                      <w:vertAlign w:val="baseline"/>
                      <w:lang w:val="en-US" w:eastAsia="zh-CN"/>
                    </w:rPr>
                    <w:t>。</w:t>
                  </w:r>
                </w:p>
              </w:tc>
              <w:tc>
                <w:tcPr>
                  <w:tcW w:w="519" w:type="pct"/>
                  <w:tcBorders>
                    <w:tl2br w:val="nil"/>
                    <w:tr2bl w:val="nil"/>
                  </w:tcBorders>
                  <w:vAlign w:val="center"/>
                </w:tcPr>
                <w:p w14:paraId="70C1E9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9A9E8A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4" w:hRule="atLeast"/>
              </w:trPr>
              <w:tc>
                <w:tcPr>
                  <w:tcW w:w="467" w:type="pct"/>
                  <w:vMerge w:val="continue"/>
                  <w:tcBorders>
                    <w:tl2br w:val="nil"/>
                    <w:tr2bl w:val="nil"/>
                  </w:tcBorders>
                  <w:vAlign w:val="center"/>
                </w:tcPr>
                <w:p w14:paraId="233E80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9FFE7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贮存设施废水污染物排放的监测方法和监测指标应符合国家相关标准要求。</w:t>
                  </w:r>
                </w:p>
              </w:tc>
              <w:tc>
                <w:tcPr>
                  <w:tcW w:w="1534" w:type="pct"/>
                  <w:tcBorders>
                    <w:tl2br w:val="nil"/>
                    <w:tr2bl w:val="nil"/>
                  </w:tcBorders>
                  <w:vAlign w:val="center"/>
                </w:tcPr>
                <w:p w14:paraId="1D21CD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本项目不产生废水。</w:t>
                  </w:r>
                </w:p>
              </w:tc>
              <w:tc>
                <w:tcPr>
                  <w:tcW w:w="519" w:type="pct"/>
                  <w:tcBorders>
                    <w:tl2br w:val="nil"/>
                    <w:tr2bl w:val="nil"/>
                  </w:tcBorders>
                  <w:vAlign w:val="center"/>
                </w:tcPr>
                <w:p w14:paraId="022C7E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FE27DB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4" w:hRule="atLeast"/>
              </w:trPr>
              <w:tc>
                <w:tcPr>
                  <w:tcW w:w="467" w:type="pct"/>
                  <w:vMerge w:val="continue"/>
                  <w:tcBorders>
                    <w:tl2br w:val="nil"/>
                    <w:tr2bl w:val="nil"/>
                  </w:tcBorders>
                  <w:vAlign w:val="center"/>
                </w:tcPr>
                <w:p w14:paraId="1FAC09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4EAF27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HJ1259规定的危险废物环境重点监管单位贮存设施地下水环境监测点布设应符合HJ164要求，监测因子应根据贮存废物的特性选择具有代表性且能表征危险废物特性的指标，地下水监测因子分析方法按照GB/T14848执行。</w:t>
                  </w:r>
                </w:p>
              </w:tc>
              <w:tc>
                <w:tcPr>
                  <w:tcW w:w="1534" w:type="pct"/>
                  <w:tcBorders>
                    <w:tl2br w:val="nil"/>
                    <w:tr2bl w:val="nil"/>
                  </w:tcBorders>
                  <w:vAlign w:val="center"/>
                </w:tcPr>
                <w:p w14:paraId="18B689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本项目不属于</w:t>
                  </w:r>
                  <w:r>
                    <w:rPr>
                      <w:rFonts w:hint="default" w:ascii="Times New Roman" w:hAnsi="Times New Roman" w:eastAsia="宋体" w:cs="Times New Roman"/>
                      <w:color w:val="auto"/>
                      <w:sz w:val="21"/>
                      <w:szCs w:val="21"/>
                      <w:highlight w:val="none"/>
                      <w:vertAlign w:val="baseline"/>
                      <w:lang w:val="en-US" w:eastAsia="zh-CN"/>
                    </w:rPr>
                    <w:t>危险废物环境重点监管单位</w:t>
                  </w:r>
                  <w:r>
                    <w:rPr>
                      <w:rFonts w:hint="eastAsia" w:ascii="Times New Roman" w:hAnsi="Times New Roman" w:eastAsia="宋体" w:cs="Times New Roman"/>
                      <w:color w:val="auto"/>
                      <w:sz w:val="21"/>
                      <w:szCs w:val="21"/>
                      <w:highlight w:val="none"/>
                      <w:vertAlign w:val="baseline"/>
                      <w:lang w:val="en-US" w:eastAsia="zh-CN"/>
                    </w:rPr>
                    <w:t>。</w:t>
                  </w:r>
                </w:p>
              </w:tc>
              <w:tc>
                <w:tcPr>
                  <w:tcW w:w="519" w:type="pct"/>
                  <w:tcBorders>
                    <w:tl2br w:val="nil"/>
                    <w:tr2bl w:val="nil"/>
                  </w:tcBorders>
                  <w:vAlign w:val="center"/>
                </w:tcPr>
                <w:p w14:paraId="10CCEE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7083615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7" w:type="pct"/>
                  <w:vMerge w:val="continue"/>
                  <w:tcBorders>
                    <w:tl2br w:val="nil"/>
                    <w:tr2bl w:val="nil"/>
                  </w:tcBorders>
                  <w:vAlign w:val="center"/>
                </w:tcPr>
                <w:p w14:paraId="4AA1DC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685051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配有收集净化系统的贮存设施大气污染物排放的监测采样应按GB/T16157、HJ/T397、HJ732的规定执行。</w:t>
                  </w:r>
                </w:p>
              </w:tc>
              <w:tc>
                <w:tcPr>
                  <w:tcW w:w="1534" w:type="pct"/>
                  <w:tcBorders>
                    <w:tl2br w:val="nil"/>
                    <w:tr2bl w:val="nil"/>
                  </w:tcBorders>
                  <w:vAlign w:val="center"/>
                </w:tcPr>
                <w:p w14:paraId="158D4F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危废暂存间安装防爆通风设施和活性炭吸附箱，非甲烷总烃排放量为0.02kg/a。</w:t>
                  </w:r>
                </w:p>
              </w:tc>
              <w:tc>
                <w:tcPr>
                  <w:tcW w:w="519" w:type="pct"/>
                  <w:tcBorders>
                    <w:tl2br w:val="nil"/>
                    <w:tr2bl w:val="nil"/>
                  </w:tcBorders>
                  <w:vAlign w:val="center"/>
                </w:tcPr>
                <w:p w14:paraId="60B5A3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258F857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4" w:hRule="atLeast"/>
              </w:trPr>
              <w:tc>
                <w:tcPr>
                  <w:tcW w:w="467" w:type="pct"/>
                  <w:vMerge w:val="continue"/>
                  <w:tcBorders>
                    <w:tl2br w:val="nil"/>
                    <w:tr2bl w:val="nil"/>
                  </w:tcBorders>
                  <w:vAlign w:val="center"/>
                </w:tcPr>
                <w:p w14:paraId="554577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0C6018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贮存设施无组织气体排放监测因子应根据贮存废物的特性选择具有代表性且能表征危险废物特性的指标；采样点布设、采样及监测方法可按HJ/T55的规定执行，VOCs的无组织排放监测还应符合GB37822的规定。</w:t>
                  </w:r>
                </w:p>
              </w:tc>
              <w:tc>
                <w:tcPr>
                  <w:tcW w:w="1534" w:type="pct"/>
                  <w:tcBorders>
                    <w:tl2br w:val="nil"/>
                    <w:tr2bl w:val="nil"/>
                  </w:tcBorders>
                  <w:vAlign w:val="center"/>
                </w:tcPr>
                <w:p w14:paraId="6AD0C8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厂区定期对无组织废气开展自行监测。</w:t>
                  </w:r>
                </w:p>
              </w:tc>
              <w:tc>
                <w:tcPr>
                  <w:tcW w:w="519" w:type="pct"/>
                  <w:tcBorders>
                    <w:tl2br w:val="nil"/>
                    <w:tr2bl w:val="nil"/>
                  </w:tcBorders>
                  <w:vAlign w:val="center"/>
                </w:tcPr>
                <w:p w14:paraId="2CBE02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30810BF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67" w:type="pct"/>
                  <w:vMerge w:val="continue"/>
                  <w:tcBorders>
                    <w:tl2br w:val="nil"/>
                    <w:tr2bl w:val="nil"/>
                  </w:tcBorders>
                  <w:vAlign w:val="center"/>
                </w:tcPr>
                <w:p w14:paraId="68E9CF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D2194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贮存设施恶臭气体的排放监测应符合GB14554、HJ905的规定。</w:t>
                  </w:r>
                </w:p>
              </w:tc>
              <w:tc>
                <w:tcPr>
                  <w:tcW w:w="1534" w:type="pct"/>
                  <w:tcBorders>
                    <w:tl2br w:val="nil"/>
                    <w:tr2bl w:val="nil"/>
                  </w:tcBorders>
                  <w:vAlign w:val="center"/>
                </w:tcPr>
                <w:p w14:paraId="25FA1D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非甲烷总烃制定监测计划。</w:t>
                  </w:r>
                </w:p>
              </w:tc>
              <w:tc>
                <w:tcPr>
                  <w:tcW w:w="519" w:type="pct"/>
                  <w:tcBorders>
                    <w:tl2br w:val="nil"/>
                    <w:tr2bl w:val="nil"/>
                  </w:tcBorders>
                  <w:vAlign w:val="center"/>
                </w:tcPr>
                <w:p w14:paraId="380D2E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031FFBD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6" w:hRule="atLeast"/>
              </w:trPr>
              <w:tc>
                <w:tcPr>
                  <w:tcW w:w="467" w:type="pct"/>
                  <w:vMerge w:val="restart"/>
                  <w:tcBorders>
                    <w:tl2br w:val="nil"/>
                    <w:tr2bl w:val="nil"/>
                  </w:tcBorders>
                  <w:vAlign w:val="center"/>
                </w:tcPr>
                <w:p w14:paraId="484C3D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环境应急要求</w:t>
                  </w:r>
                </w:p>
              </w:tc>
              <w:tc>
                <w:tcPr>
                  <w:tcW w:w="2478" w:type="pct"/>
                  <w:tcBorders>
                    <w:tl2br w:val="nil"/>
                    <w:tr2bl w:val="nil"/>
                  </w:tcBorders>
                  <w:vAlign w:val="center"/>
                </w:tcPr>
                <w:p w14:paraId="23A2F4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贮存设施所有者或运营者应按照国家有关规定编制突发环境事件应急预案，定期开展必要的培训和环境应急演练，并做好培训、演练记录。</w:t>
                  </w:r>
                </w:p>
              </w:tc>
              <w:tc>
                <w:tcPr>
                  <w:tcW w:w="1534" w:type="pct"/>
                  <w:tcBorders>
                    <w:tl2br w:val="nil"/>
                    <w:tr2bl w:val="nil"/>
                  </w:tcBorders>
                  <w:vAlign w:val="center"/>
                </w:tcPr>
                <w:p w14:paraId="3D5075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企业编制</w:t>
                  </w:r>
                  <w:r>
                    <w:rPr>
                      <w:rFonts w:hint="default" w:ascii="Times New Roman" w:hAnsi="Times New Roman" w:eastAsia="宋体" w:cs="Times New Roman"/>
                      <w:color w:val="auto"/>
                      <w:sz w:val="21"/>
                      <w:szCs w:val="21"/>
                      <w:highlight w:val="none"/>
                      <w:vertAlign w:val="baseline"/>
                      <w:lang w:val="en-US" w:eastAsia="zh-CN"/>
                    </w:rPr>
                    <w:t>突发环境事件应急预案</w:t>
                  </w:r>
                  <w:r>
                    <w:rPr>
                      <w:rFonts w:hint="eastAsia" w:ascii="Times New Roman" w:hAnsi="Times New Roman" w:eastAsia="宋体" w:cs="Times New Roman"/>
                      <w:color w:val="auto"/>
                      <w:sz w:val="21"/>
                      <w:szCs w:val="21"/>
                      <w:highlight w:val="none"/>
                      <w:vertAlign w:val="baseline"/>
                      <w:lang w:val="en-US" w:eastAsia="zh-CN"/>
                    </w:rPr>
                    <w:t>，定期开展培训和环境应急演练。</w:t>
                  </w:r>
                </w:p>
              </w:tc>
              <w:tc>
                <w:tcPr>
                  <w:tcW w:w="519" w:type="pct"/>
                  <w:tcBorders>
                    <w:tl2br w:val="nil"/>
                    <w:tr2bl w:val="nil"/>
                  </w:tcBorders>
                  <w:vAlign w:val="center"/>
                </w:tcPr>
                <w:p w14:paraId="177CD2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符合</w:t>
                  </w:r>
                </w:p>
              </w:tc>
            </w:tr>
            <w:tr w14:paraId="0FA2B93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6" w:hRule="atLeast"/>
              </w:trPr>
              <w:tc>
                <w:tcPr>
                  <w:tcW w:w="467" w:type="pct"/>
                  <w:vMerge w:val="continue"/>
                  <w:tcBorders>
                    <w:tl2br w:val="nil"/>
                    <w:tr2bl w:val="nil"/>
                  </w:tcBorders>
                  <w:vAlign w:val="center"/>
                </w:tcPr>
                <w:p w14:paraId="653DEF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highlight w:val="none"/>
                    </w:rPr>
                  </w:pPr>
                </w:p>
              </w:tc>
              <w:tc>
                <w:tcPr>
                  <w:tcW w:w="2478" w:type="pct"/>
                  <w:tcBorders>
                    <w:tl2br w:val="nil"/>
                    <w:tr2bl w:val="nil"/>
                  </w:tcBorders>
                  <w:vAlign w:val="center"/>
                </w:tcPr>
                <w:p w14:paraId="3A7079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贮存设施所有者或运营者应配备满足其突发环境事件应急要求的应急人员、装备和物资，并应设置应急照明系统。</w:t>
                  </w:r>
                </w:p>
              </w:tc>
              <w:tc>
                <w:tcPr>
                  <w:tcW w:w="1534" w:type="pct"/>
                  <w:tcBorders>
                    <w:tl2br w:val="nil"/>
                    <w:tr2bl w:val="nil"/>
                  </w:tcBorders>
                  <w:vAlign w:val="center"/>
                </w:tcPr>
                <w:p w14:paraId="24351F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危废暂存间</w:t>
                  </w:r>
                  <w:r>
                    <w:rPr>
                      <w:rFonts w:hint="default" w:ascii="Times New Roman" w:hAnsi="Times New Roman" w:eastAsia="宋体" w:cs="Times New Roman"/>
                      <w:color w:val="auto"/>
                      <w:sz w:val="21"/>
                      <w:szCs w:val="21"/>
                      <w:highlight w:val="none"/>
                      <w:vertAlign w:val="baseline"/>
                      <w:lang w:val="en-US" w:eastAsia="zh-CN"/>
                    </w:rPr>
                    <w:t>设置消防沙箱</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灭火器</w:t>
                  </w:r>
                  <w:r>
                    <w:rPr>
                      <w:rFonts w:hint="eastAsia" w:ascii="Times New Roman" w:hAnsi="Times New Roman" w:cs="Times New Roman"/>
                      <w:color w:val="auto"/>
                      <w:sz w:val="21"/>
                      <w:szCs w:val="21"/>
                      <w:highlight w:val="none"/>
                      <w:vertAlign w:val="baseline"/>
                      <w:lang w:val="en-US" w:eastAsia="zh-CN"/>
                    </w:rPr>
                    <w:t>，并设置</w:t>
                  </w:r>
                  <w:r>
                    <w:rPr>
                      <w:rFonts w:hint="default" w:ascii="Times New Roman" w:hAnsi="Times New Roman" w:eastAsia="宋体" w:cs="Times New Roman"/>
                      <w:color w:val="auto"/>
                      <w:sz w:val="21"/>
                      <w:szCs w:val="21"/>
                      <w:highlight w:val="none"/>
                      <w:vertAlign w:val="baseline"/>
                      <w:lang w:val="en-US" w:eastAsia="zh-CN"/>
                    </w:rPr>
                    <w:t>应急照明系统。</w:t>
                  </w:r>
                </w:p>
              </w:tc>
              <w:tc>
                <w:tcPr>
                  <w:tcW w:w="519" w:type="pct"/>
                  <w:tcBorders>
                    <w:tl2br w:val="nil"/>
                    <w:tr2bl w:val="nil"/>
                  </w:tcBorders>
                  <w:vAlign w:val="center"/>
                </w:tcPr>
                <w:p w14:paraId="6CB391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r w14:paraId="6588A14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6" w:hRule="atLeast"/>
              </w:trPr>
              <w:tc>
                <w:tcPr>
                  <w:tcW w:w="467" w:type="pct"/>
                  <w:vMerge w:val="continue"/>
                  <w:tcBorders>
                    <w:tl2br w:val="nil"/>
                    <w:tr2bl w:val="nil"/>
                  </w:tcBorders>
                  <w:vAlign w:val="center"/>
                </w:tcPr>
                <w:p w14:paraId="4A0D21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78" w:type="pct"/>
                  <w:tcBorders>
                    <w:tl2br w:val="nil"/>
                    <w:tr2bl w:val="nil"/>
                  </w:tcBorders>
                  <w:vAlign w:val="center"/>
                </w:tcPr>
                <w:p w14:paraId="359322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相关部门发布自然灾害或恶劣天气预警后，贮存设施所有者或运营者应启动相应防控措施，若有必要可将危险废物转移至其他具有防护条件的地点贮存。</w:t>
                  </w:r>
                </w:p>
              </w:tc>
              <w:tc>
                <w:tcPr>
                  <w:tcW w:w="1534" w:type="pct"/>
                  <w:tcBorders>
                    <w:tl2br w:val="nil"/>
                    <w:tr2bl w:val="nil"/>
                  </w:tcBorders>
                  <w:vAlign w:val="center"/>
                </w:tcPr>
                <w:p w14:paraId="201B78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定期对人员进行培训，确保紧急情况下危废暂存间的风险应急措施有序无误。</w:t>
                  </w:r>
                </w:p>
              </w:tc>
              <w:tc>
                <w:tcPr>
                  <w:tcW w:w="519" w:type="pct"/>
                  <w:tcBorders>
                    <w:tl2br w:val="nil"/>
                    <w:tr2bl w:val="nil"/>
                  </w:tcBorders>
                  <w:vAlign w:val="center"/>
                </w:tcPr>
                <w:p w14:paraId="06C023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符合</w:t>
                  </w:r>
                </w:p>
              </w:tc>
            </w:tr>
          </w:tbl>
          <w:p w14:paraId="7FE8645E">
            <w:pPr>
              <w:spacing w:line="480" w:lineRule="exact"/>
              <w:ind w:firstLine="480" w:firstLineChars="200"/>
              <w:rPr>
                <w:rFonts w:ascii="Times New Roman" w:hAnsi="Times New Roman" w:cs="Times New Roman"/>
                <w:color w:val="auto"/>
                <w:kern w:val="0"/>
                <w:sz w:val="21"/>
                <w:szCs w:val="21"/>
                <w:highlight w:val="yellow"/>
              </w:rPr>
            </w:pPr>
            <w:r>
              <w:rPr>
                <w:rFonts w:hint="eastAsia" w:ascii="Times New Roman" w:hAnsi="Times New Roman" w:eastAsia="宋体" w:cs="Times New Roman"/>
                <w:color w:val="auto"/>
                <w:highlight w:val="none"/>
                <w:lang w:val="en-US" w:eastAsia="zh-CN"/>
              </w:rPr>
              <w:t>综上所述，本项目建设</w:t>
            </w:r>
            <w:r>
              <w:rPr>
                <w:rFonts w:hint="eastAsia" w:ascii="Times New Roman" w:hAnsi="Times New Roman" w:cs="Times New Roman"/>
                <w:color w:val="auto"/>
                <w:highlight w:val="none"/>
                <w:lang w:val="en-US" w:eastAsia="zh-CN"/>
              </w:rPr>
              <w:t>符合</w:t>
            </w:r>
            <w:r>
              <w:rPr>
                <w:rFonts w:hint="default" w:ascii="Times New Roman" w:hAnsi="Times New Roman" w:eastAsia="宋体" w:cs="Times New Roman"/>
                <w:color w:val="auto"/>
                <w:highlight w:val="none"/>
                <w:lang w:val="en-US" w:eastAsia="zh-CN"/>
              </w:rPr>
              <w:t>《危险废物贮存污染控制标准》（GB18597-2023）</w:t>
            </w:r>
            <w:r>
              <w:rPr>
                <w:rFonts w:hint="eastAsia" w:ascii="Times New Roman" w:hAnsi="Times New Roman" w:eastAsia="宋体" w:cs="Times New Roman"/>
                <w:color w:val="auto"/>
                <w:highlight w:val="none"/>
                <w:lang w:val="en-US" w:eastAsia="zh-CN"/>
              </w:rPr>
              <w:t>的相关要求。</w:t>
            </w:r>
          </w:p>
        </w:tc>
      </w:tr>
    </w:tbl>
    <w:p w14:paraId="5D31C408">
      <w:pPr>
        <w:rPr>
          <w:rFonts w:ascii="Times New Roman" w:hAnsi="Times New Roman" w:eastAsia="黑体" w:cs="Times New Roman"/>
          <w:snapToGrid w:val="0"/>
          <w:sz w:val="30"/>
          <w:highlight w:val="yellow"/>
        </w:rPr>
      </w:pPr>
      <w:r>
        <w:rPr>
          <w:rFonts w:ascii="Times New Roman" w:hAnsi="Times New Roman" w:eastAsia="黑体" w:cs="Times New Roman"/>
          <w:snapToGrid w:val="0"/>
          <w:sz w:val="30"/>
          <w:highlight w:val="yellow"/>
        </w:rPr>
        <w:br w:type="page"/>
      </w:r>
    </w:p>
    <w:p w14:paraId="412B91B8">
      <w:pPr>
        <w:pStyle w:val="21"/>
        <w:numPr>
          <w:ilvl w:val="0"/>
          <w:numId w:val="1"/>
        </w:numPr>
        <w:jc w:val="center"/>
        <w:outlineLvl w:val="0"/>
        <w:rPr>
          <w:rFonts w:hint="default" w:ascii="Times New Roman" w:hAnsi="Times New Roman" w:eastAsia="黑体" w:cs="Times New Roman"/>
          <w:snapToGrid w:val="0"/>
          <w:sz w:val="30"/>
        </w:rPr>
      </w:pPr>
      <w:r>
        <w:rPr>
          <w:rFonts w:hint="default" w:ascii="Times New Roman" w:hAnsi="Times New Roman" w:eastAsia="黑体" w:cs="Times New Roman"/>
          <w:snapToGrid w:val="0"/>
          <w:sz w:val="30"/>
        </w:rPr>
        <w:t>建设项目工程分析</w:t>
      </w:r>
    </w:p>
    <w:tbl>
      <w:tblPr>
        <w:tblStyle w:val="24"/>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0"/>
        <w:gridCol w:w="8370"/>
      </w:tblGrid>
      <w:tr w14:paraId="322773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690" w:type="dxa"/>
            <w:tcBorders>
              <w:top w:val="single" w:color="auto" w:sz="8" w:space="0"/>
              <w:left w:val="single" w:color="auto" w:sz="8" w:space="0"/>
              <w:bottom w:val="single" w:color="auto" w:sz="4" w:space="0"/>
              <w:right w:val="single" w:color="auto" w:sz="4" w:space="0"/>
              <w:tl2br w:val="nil"/>
              <w:tr2bl w:val="nil"/>
            </w:tcBorders>
            <w:vAlign w:val="center"/>
          </w:tcPr>
          <w:p w14:paraId="11E86679">
            <w:pPr>
              <w:pStyle w:val="21"/>
              <w:spacing w:beforeAutospacing="0" w:afterAutospacing="0"/>
              <w:jc w:val="center"/>
              <w:outlineLvl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tc>
        <w:tc>
          <w:tcPr>
            <w:tcW w:w="8370" w:type="dxa"/>
            <w:tcBorders>
              <w:top w:val="single" w:color="auto" w:sz="8" w:space="0"/>
              <w:left w:val="single" w:color="auto" w:sz="4" w:space="0"/>
              <w:bottom w:val="single" w:color="auto" w:sz="4" w:space="0"/>
              <w:right w:val="single" w:color="auto" w:sz="8" w:space="0"/>
              <w:tl2br w:val="nil"/>
              <w:tr2bl w:val="nil"/>
            </w:tcBorders>
          </w:tcPr>
          <w:p w14:paraId="07F4C0F0">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ascii="Times New Roman" w:hAnsi="Times New Roman" w:cs="Times New Roman"/>
                <w:b/>
                <w:bCs/>
                <w:color w:val="auto"/>
                <w:highlight w:val="none"/>
              </w:rPr>
            </w:pPr>
            <w:r>
              <w:rPr>
                <w:rFonts w:ascii="Times New Roman" w:hAnsi="Times New Roman" w:cs="Times New Roman"/>
                <w:b/>
                <w:bCs/>
                <w:color w:val="auto"/>
                <w:highlight w:val="none"/>
              </w:rPr>
              <w:t>一、</w:t>
            </w:r>
            <w:r>
              <w:rPr>
                <w:rFonts w:hint="eastAsia" w:ascii="Times New Roman" w:hAnsi="Times New Roman" w:cs="Times New Roman"/>
                <w:b/>
                <w:bCs/>
                <w:color w:val="auto"/>
                <w:highlight w:val="none"/>
              </w:rPr>
              <w:t>项目背景</w:t>
            </w:r>
          </w:p>
          <w:p w14:paraId="1FFDAAC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rPr>
              <w:t>远景能源（锡林郭勒）有限公司，隶属于远景科技集团旗下的远景能源业务板块。总部设在上海的远景科技集团，除风机业务之外，</w:t>
            </w:r>
            <w:r>
              <w:rPr>
                <w:rFonts w:hint="eastAsia" w:ascii="Times New Roman" w:hAnsi="Times New Roman" w:cs="Times New Roman"/>
                <w:color w:val="auto"/>
                <w:highlight w:val="none"/>
                <w:lang w:eastAsia="zh-CN"/>
              </w:rPr>
              <w:t>还涉及</w:t>
            </w:r>
            <w:r>
              <w:rPr>
                <w:rFonts w:hint="eastAsia" w:ascii="Times New Roman" w:hAnsi="Times New Roman" w:cs="Times New Roman"/>
                <w:color w:val="auto"/>
                <w:highlight w:val="none"/>
              </w:rPr>
              <w:t>动力电池、远景储能、远景智能等5大业务板块。</w:t>
            </w:r>
          </w:p>
          <w:p w14:paraId="1336BC1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rPr>
              <w:t>远景能源（锡林郭勒）有限公司，是远景能源在锡林郭勒盟部署建设的风储一体智能装配制造基地，公司成立于2</w:t>
            </w:r>
            <w:r>
              <w:rPr>
                <w:rFonts w:ascii="Times New Roman" w:hAnsi="Times New Roman" w:cs="Times New Roman"/>
                <w:color w:val="auto"/>
                <w:highlight w:val="none"/>
              </w:rPr>
              <w:t>021</w:t>
            </w:r>
            <w:r>
              <w:rPr>
                <w:rFonts w:hint="eastAsia" w:ascii="Times New Roman" w:hAnsi="Times New Roman" w:cs="Times New Roman"/>
                <w:color w:val="auto"/>
                <w:highlight w:val="none"/>
              </w:rPr>
              <w:t>年1</w:t>
            </w:r>
            <w:r>
              <w:rPr>
                <w:rFonts w:ascii="Times New Roman" w:hAnsi="Times New Roman" w:cs="Times New Roman"/>
                <w:color w:val="auto"/>
                <w:highlight w:val="none"/>
              </w:rPr>
              <w:t>0</w:t>
            </w:r>
            <w:r>
              <w:rPr>
                <w:rFonts w:hint="eastAsia" w:ascii="Times New Roman" w:hAnsi="Times New Roman" w:cs="Times New Roman"/>
                <w:color w:val="auto"/>
                <w:highlight w:val="none"/>
              </w:rPr>
              <w:t>月，2</w:t>
            </w:r>
            <w:r>
              <w:rPr>
                <w:rFonts w:ascii="Times New Roman" w:hAnsi="Times New Roman" w:cs="Times New Roman"/>
                <w:color w:val="auto"/>
                <w:highlight w:val="none"/>
              </w:rPr>
              <w:t>2</w:t>
            </w:r>
            <w:r>
              <w:rPr>
                <w:rFonts w:hint="eastAsia" w:ascii="Times New Roman" w:hAnsi="Times New Roman" w:cs="Times New Roman"/>
                <w:color w:val="auto"/>
                <w:highlight w:val="none"/>
              </w:rPr>
              <w:t>年8月中旬开工建设，2</w:t>
            </w:r>
            <w:r>
              <w:rPr>
                <w:rFonts w:ascii="Times New Roman" w:hAnsi="Times New Roman" w:cs="Times New Roman"/>
                <w:color w:val="auto"/>
                <w:highlight w:val="none"/>
              </w:rPr>
              <w:t>3</w:t>
            </w:r>
            <w:r>
              <w:rPr>
                <w:rFonts w:hint="eastAsia" w:ascii="Times New Roman" w:hAnsi="Times New Roman" w:cs="Times New Roman"/>
                <w:color w:val="auto"/>
                <w:highlight w:val="none"/>
              </w:rPr>
              <w:t>年6月投产，占地面积8</w:t>
            </w:r>
            <w:r>
              <w:rPr>
                <w:rFonts w:ascii="Times New Roman" w:hAnsi="Times New Roman" w:cs="Times New Roman"/>
                <w:color w:val="auto"/>
                <w:highlight w:val="none"/>
              </w:rPr>
              <w:t>0</w:t>
            </w:r>
            <w:r>
              <w:rPr>
                <w:rFonts w:hint="eastAsia" w:ascii="Times New Roman" w:hAnsi="Times New Roman" w:cs="Times New Roman"/>
                <w:color w:val="auto"/>
                <w:highlight w:val="none"/>
              </w:rPr>
              <w:t>亩，设有</w:t>
            </w:r>
            <w:r>
              <w:rPr>
                <w:rFonts w:ascii="Times New Roman" w:hAnsi="Times New Roman" w:cs="Times New Roman"/>
                <w:color w:val="auto"/>
                <w:highlight w:val="none"/>
              </w:rPr>
              <w:t>5500</w:t>
            </w:r>
            <w:r>
              <w:rPr>
                <w:rFonts w:hint="eastAsia" w:ascii="Times New Roman" w:hAnsi="Times New Roman" w:cs="Times New Roman"/>
                <w:color w:val="auto"/>
                <w:highlight w:val="none"/>
                <w:lang w:eastAsia="zh-CN"/>
              </w:rPr>
              <w:t>平方米</w:t>
            </w:r>
            <w:r>
              <w:rPr>
                <w:rFonts w:hint="eastAsia" w:ascii="Times New Roman" w:hAnsi="Times New Roman" w:cs="Times New Roman"/>
                <w:color w:val="auto"/>
                <w:highlight w:val="none"/>
              </w:rPr>
              <w:t>大兆瓦智能风机组装生产车间、</w:t>
            </w:r>
            <w:r>
              <w:rPr>
                <w:rFonts w:ascii="Times New Roman" w:hAnsi="Times New Roman" w:cs="Times New Roman"/>
                <w:color w:val="auto"/>
                <w:highlight w:val="none"/>
              </w:rPr>
              <w:t>2600</w:t>
            </w:r>
            <w:r>
              <w:rPr>
                <w:rFonts w:hint="eastAsia" w:ascii="Times New Roman" w:hAnsi="Times New Roman" w:cs="Times New Roman"/>
                <w:color w:val="auto"/>
                <w:highlight w:val="none"/>
                <w:lang w:eastAsia="zh-CN"/>
              </w:rPr>
              <w:t>平方米</w:t>
            </w:r>
            <w:r>
              <w:rPr>
                <w:rFonts w:hint="eastAsia" w:ascii="Times New Roman" w:hAnsi="Times New Roman" w:cs="Times New Roman"/>
                <w:color w:val="auto"/>
                <w:highlight w:val="none"/>
              </w:rPr>
              <w:t>智慧储能生产车间以及</w:t>
            </w:r>
            <w:r>
              <w:rPr>
                <w:rFonts w:ascii="Times New Roman" w:hAnsi="Times New Roman" w:cs="Times New Roman"/>
                <w:color w:val="auto"/>
                <w:highlight w:val="none"/>
              </w:rPr>
              <w:t>1330</w:t>
            </w:r>
            <w:r>
              <w:rPr>
                <w:rFonts w:hint="eastAsia" w:ascii="Times New Roman" w:hAnsi="Times New Roman" w:cs="Times New Roman"/>
                <w:color w:val="auto"/>
                <w:highlight w:val="none"/>
                <w:lang w:eastAsia="zh-CN"/>
              </w:rPr>
              <w:t>平方米</w:t>
            </w:r>
            <w:r>
              <w:rPr>
                <w:rFonts w:hint="eastAsia" w:ascii="Times New Roman" w:hAnsi="Times New Roman" w:cs="Times New Roman"/>
                <w:color w:val="auto"/>
                <w:highlight w:val="none"/>
              </w:rPr>
              <w:t>功能辅房。</w:t>
            </w:r>
          </w:p>
          <w:p w14:paraId="28597F0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rPr>
              <w:t>公司主要生产Model系列大兆瓦级（6~</w:t>
            </w:r>
            <w:r>
              <w:rPr>
                <w:rFonts w:ascii="Times New Roman" w:hAnsi="Times New Roman" w:cs="Times New Roman"/>
                <w:color w:val="auto"/>
                <w:highlight w:val="none"/>
              </w:rPr>
              <w:t>10MW</w:t>
            </w:r>
            <w:r>
              <w:rPr>
                <w:rFonts w:hint="eastAsia" w:ascii="Times New Roman" w:hAnsi="Times New Roman" w:cs="Times New Roman"/>
                <w:color w:val="auto"/>
                <w:highlight w:val="none"/>
              </w:rPr>
              <w:t>）陆上智能风机和储能设备，现具有年产陆上风机</w:t>
            </w:r>
            <w:r>
              <w:rPr>
                <w:rFonts w:ascii="Times New Roman" w:hAnsi="Times New Roman" w:cs="Times New Roman"/>
                <w:color w:val="auto"/>
                <w:highlight w:val="none"/>
              </w:rPr>
              <w:t>700</w:t>
            </w:r>
            <w:r>
              <w:rPr>
                <w:rFonts w:hint="eastAsia" w:ascii="Times New Roman" w:hAnsi="Times New Roman" w:cs="Times New Roman"/>
                <w:color w:val="auto"/>
                <w:highlight w:val="none"/>
              </w:rPr>
              <w:t>套（</w:t>
            </w:r>
            <w:r>
              <w:rPr>
                <w:rFonts w:ascii="Times New Roman" w:hAnsi="Times New Roman" w:cs="Times New Roman"/>
                <w:color w:val="auto"/>
                <w:highlight w:val="none"/>
              </w:rPr>
              <w:t>含主机轮毂</w:t>
            </w:r>
            <w:r>
              <w:rPr>
                <w:rFonts w:hint="eastAsia" w:ascii="Times New Roman" w:hAnsi="Times New Roman" w:cs="Times New Roman"/>
                <w:color w:val="auto"/>
                <w:highlight w:val="none"/>
              </w:rPr>
              <w:t>）和智慧储能设备</w:t>
            </w:r>
            <w:r>
              <w:rPr>
                <w:rFonts w:ascii="Times New Roman" w:hAnsi="Times New Roman" w:cs="Times New Roman"/>
                <w:color w:val="auto"/>
                <w:highlight w:val="none"/>
              </w:rPr>
              <w:t>650</w:t>
            </w:r>
            <w:r>
              <w:rPr>
                <w:rFonts w:hint="eastAsia" w:ascii="Times New Roman" w:hAnsi="Times New Roman" w:cs="Times New Roman"/>
                <w:color w:val="auto"/>
                <w:highlight w:val="none"/>
              </w:rPr>
              <w:t>套（总容量</w:t>
            </w:r>
            <w:r>
              <w:rPr>
                <w:rFonts w:ascii="Times New Roman" w:hAnsi="Times New Roman" w:cs="Times New Roman"/>
                <w:color w:val="auto"/>
                <w:highlight w:val="none"/>
              </w:rPr>
              <w:t>5GWH</w:t>
            </w:r>
            <w:r>
              <w:rPr>
                <w:rFonts w:hint="eastAsia" w:ascii="Times New Roman" w:hAnsi="Times New Roman" w:cs="Times New Roman"/>
                <w:color w:val="auto"/>
                <w:highlight w:val="none"/>
              </w:rPr>
              <w:t>）的生产能力。</w:t>
            </w:r>
          </w:p>
          <w:p w14:paraId="6AE58D4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rPr>
              <w:t>锡盟公司将依托锡林郭勒盟丰富的绿色资源，结合远景能源在行业内先进的技术优势，在锡林郭勒盟深耕绿色能源产业，</w:t>
            </w:r>
            <w:r>
              <w:rPr>
                <w:rFonts w:ascii="Times New Roman" w:hAnsi="Times New Roman" w:cs="Times New Roman"/>
                <w:color w:val="auto"/>
                <w:highlight w:val="none"/>
              </w:rPr>
              <w:t>进一步</w:t>
            </w:r>
            <w:r>
              <w:rPr>
                <w:rFonts w:hint="eastAsia" w:ascii="Times New Roman" w:hAnsi="Times New Roman" w:cs="Times New Roman"/>
                <w:color w:val="auto"/>
                <w:highlight w:val="none"/>
              </w:rPr>
              <w:t>推动</w:t>
            </w:r>
            <w:r>
              <w:rPr>
                <w:rFonts w:ascii="Times New Roman" w:hAnsi="Times New Roman" w:cs="Times New Roman"/>
                <w:color w:val="auto"/>
                <w:highlight w:val="none"/>
              </w:rPr>
              <w:t>风电全产业链</w:t>
            </w:r>
            <w:r>
              <w:rPr>
                <w:rFonts w:hint="eastAsia" w:ascii="Times New Roman" w:hAnsi="Times New Roman" w:cs="Times New Roman"/>
                <w:color w:val="auto"/>
                <w:highlight w:val="none"/>
              </w:rPr>
              <w:t>发展，为助力当地经济高质量发展作出贡献。</w:t>
            </w:r>
          </w:p>
          <w:p w14:paraId="6FBECDB2">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2022年5月20日取得锡林郭勒盟生态环境局锡林浩特分局出具，关于《远景能源（锡林郭勒）有限公司产品是否需要履行环保手续》的回函。</w:t>
            </w:r>
            <w:r>
              <w:rPr>
                <w:rFonts w:hint="eastAsia" w:ascii="Times New Roman" w:hAnsi="Times New Roman" w:cs="Times New Roman"/>
                <w:color w:val="auto"/>
                <w:highlight w:val="none"/>
                <w:lang w:val="en-US" w:eastAsia="zh-CN"/>
              </w:rPr>
              <w:t>回函内容“</w:t>
            </w:r>
            <w:r>
              <w:rPr>
                <w:rFonts w:hint="default" w:ascii="Times New Roman" w:hAnsi="Times New Roman" w:eastAsia="宋体" w:cs="Times New Roman"/>
                <w:color w:val="auto"/>
                <w:highlight w:val="none"/>
                <w:lang w:val="en-US" w:eastAsia="zh-CN"/>
              </w:rPr>
              <w:t>根据你单位所提供的工艺流程，生产项目仅涉及成品部件组装且不涉及喷涂工序。项目</w:t>
            </w:r>
            <w:r>
              <w:rPr>
                <w:rFonts w:hint="eastAsia" w:ascii="Times New Roman" w:hAnsi="Times New Roman" w:cs="Times New Roman"/>
                <w:color w:val="auto"/>
                <w:highlight w:val="none"/>
                <w:lang w:val="en-US" w:eastAsia="zh-CN"/>
              </w:rPr>
              <w:t>场地</w:t>
            </w:r>
            <w:r>
              <w:rPr>
                <w:rFonts w:hint="default" w:ascii="Times New Roman" w:hAnsi="Times New Roman" w:eastAsia="宋体" w:cs="Times New Roman"/>
                <w:color w:val="auto"/>
                <w:highlight w:val="none"/>
                <w:lang w:val="en-US" w:eastAsia="zh-CN"/>
              </w:rPr>
              <w:t>位于装备制造园区内。按照《建设项目环境影响评价分类管理名录</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2021年版</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》的规定，以上项目未纳入名录内，无需履行环境影响评价</w:t>
            </w:r>
            <w:r>
              <w:rPr>
                <w:rFonts w:hint="eastAsia" w:ascii="Times New Roman" w:hAnsi="Times New Roman" w:cs="Times New Roman"/>
                <w:color w:val="auto"/>
                <w:highlight w:val="none"/>
                <w:lang w:val="en-US" w:eastAsia="zh-CN"/>
              </w:rPr>
              <w:t>”</w:t>
            </w:r>
            <w:r>
              <w:rPr>
                <w:rFonts w:hint="eastAsia" w:ascii="Times New Roman" w:hAnsi="Times New Roman" w:eastAsia="宋体" w:cs="Times New Roman"/>
                <w:color w:val="auto"/>
                <w:highlight w:val="none"/>
                <w:lang w:val="en-US" w:eastAsia="zh-CN"/>
              </w:rPr>
              <w:t>。</w:t>
            </w:r>
          </w:p>
          <w:p w14:paraId="07128920">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建设单位于</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023年05月31日日取得固定污染源排污登记回执，证登记编号：91152522MA0RT47A7Y001X</w:t>
            </w:r>
            <w:r>
              <w:rPr>
                <w:rFonts w:hint="eastAsia" w:ascii="Times New Roman" w:hAnsi="Times New Roman" w:eastAsia="宋体" w:cs="Times New Roman"/>
                <w:color w:val="auto"/>
                <w:highlight w:val="none"/>
                <w:lang w:val="en-US" w:eastAsia="zh-CN"/>
              </w:rPr>
              <w:t>，有效期：2023年05月31日至2028年05月30日</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于</w:t>
            </w:r>
            <w:r>
              <w:rPr>
                <w:rFonts w:hint="default" w:ascii="Times New Roman" w:hAnsi="Times New Roman" w:eastAsia="宋体" w:cs="Times New Roman"/>
                <w:color w:val="auto"/>
                <w:highlight w:val="none"/>
                <w:lang w:val="en-US" w:eastAsia="zh-CN"/>
              </w:rPr>
              <w:t>20</w:t>
            </w:r>
            <w:r>
              <w:rPr>
                <w:rFonts w:hint="eastAsia"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lang w:val="en-US" w:eastAsia="zh-CN"/>
              </w:rPr>
              <w:t>年</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月2</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日</w:t>
            </w:r>
            <w:r>
              <w:rPr>
                <w:rFonts w:hint="eastAsia" w:ascii="Times New Roman" w:hAnsi="Times New Roman" w:eastAsia="宋体" w:cs="Times New Roman"/>
                <w:color w:val="auto"/>
                <w:highlight w:val="none"/>
                <w:lang w:val="en-US" w:eastAsia="zh-CN"/>
              </w:rPr>
              <w:t>，取得突发环境事件应急预案备案申请表。</w:t>
            </w:r>
          </w:p>
          <w:p w14:paraId="2DC29BD0">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根据《危险化学品重大危险源辨识》(GB18218-2018)和《建设项目环境风险评价技术导则》(HJ169-2018)的有关规定，结合各种化学品的理化性质毒理毒性及危废暂存间储量，项目存储过程中涉及的物质中，废矿物油</w:t>
            </w:r>
            <w:r>
              <w:rPr>
                <w:rFonts w:hint="eastAsia" w:ascii="Times New Roman" w:hAnsi="Times New Roman" w:cs="Times New Roman"/>
                <w:color w:val="auto"/>
                <w:highlight w:val="none"/>
                <w:lang w:val="en-US" w:eastAsia="zh-CN"/>
              </w:rPr>
              <w:t>和废油桶（废铁油桶、废塑料油桶、废小包装油桶、废气雾罐）</w:t>
            </w:r>
            <w:r>
              <w:rPr>
                <w:rFonts w:hint="default" w:ascii="Times New Roman" w:hAnsi="Times New Roman" w:eastAsia="宋体" w:cs="Times New Roman"/>
                <w:color w:val="auto"/>
                <w:highlight w:val="none"/>
              </w:rPr>
              <w:t>，属于有毒有害物质</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根据《中华人民共和国环境影响评价法</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建设项目环境保护管理条例》和《建设项目环境影响评价分类管理名录》的有关规定，本项目属于</w:t>
            </w:r>
            <w:r>
              <w:rPr>
                <w:rFonts w:hint="eastAsia" w:ascii="Times New Roman" w:hAnsi="Times New Roman" w:eastAsia="宋体" w:cs="Times New Roman"/>
                <w:color w:val="auto"/>
                <w:highlight w:val="none"/>
                <w:lang w:eastAsia="zh-CN"/>
              </w:rPr>
              <w:t>“</w:t>
            </w:r>
            <w:r>
              <w:rPr>
                <w:rFonts w:hint="default" w:ascii="Times New Roman" w:hAnsi="Times New Roman" w:cs="Times New Roman"/>
                <w:color w:val="auto"/>
                <w:sz w:val="24"/>
                <w:szCs w:val="24"/>
                <w:highlight w:val="none"/>
                <w:lang w:val="en-US" w:eastAsia="zh-CN"/>
              </w:rPr>
              <w:t>四十七、生态保护和环境治理业</w:t>
            </w:r>
            <w:r>
              <w:rPr>
                <w:rFonts w:hint="eastAsia" w:ascii="Times New Roman" w:hAnsi="Times New Roman" w:cs="Times New Roman"/>
                <w:color w:val="auto"/>
                <w:sz w:val="24"/>
                <w:szCs w:val="24"/>
                <w:highlight w:val="none"/>
                <w:lang w:val="en-US" w:eastAsia="zh-CN"/>
              </w:rPr>
              <w:t>；</w:t>
            </w:r>
            <w:r>
              <w:rPr>
                <w:rFonts w:hint="eastAsia" w:ascii="Times New Roman" w:hAnsi="Times New Roman" w:cs="Times New Roman"/>
                <w:color w:val="auto"/>
                <w:highlight w:val="none"/>
              </w:rPr>
              <w:t>101危险废物（不含医疗废物）利用及处置中的“其他”类别</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类别，需编制环境影响报告表。因此，远景能源（锡林郭勒）有限公司委托内蒙古</w:t>
            </w:r>
            <w:r>
              <w:rPr>
                <w:rFonts w:hint="eastAsia" w:ascii="Times New Roman" w:hAnsi="Times New Roman" w:eastAsia="宋体" w:cs="Times New Roman"/>
                <w:color w:val="auto"/>
                <w:highlight w:val="none"/>
                <w:lang w:val="en-US" w:eastAsia="zh-CN"/>
              </w:rPr>
              <w:t>筹信环保科技</w:t>
            </w:r>
            <w:r>
              <w:rPr>
                <w:rFonts w:hint="default" w:ascii="Times New Roman" w:hAnsi="Times New Roman" w:eastAsia="宋体" w:cs="Times New Roman"/>
                <w:color w:val="auto"/>
                <w:highlight w:val="none"/>
              </w:rPr>
              <w:t>有限公司承担本项目的环境影响评价工作。我单位在接受委托后，组织相关技术人员进行了现场踏勘、资料收集及工程分析，并依据《环境影响评价技术导则</w:t>
            </w:r>
            <w:r>
              <w:rPr>
                <w:rFonts w:hint="eastAsia" w:ascii="Times New Roman" w:hAnsi="Times New Roman" w:cs="Times New Roman"/>
                <w:color w:val="auto"/>
                <w:highlight w:val="none"/>
                <w:lang w:val="en-US" w:eastAsia="zh-CN"/>
              </w:rPr>
              <w:t>总则</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等</w:t>
            </w:r>
            <w:r>
              <w:rPr>
                <w:rFonts w:hint="default" w:ascii="Times New Roman" w:hAnsi="Times New Roman" w:eastAsia="宋体" w:cs="Times New Roman"/>
                <w:color w:val="auto"/>
                <w:highlight w:val="none"/>
              </w:rPr>
              <w:t>的相关要求，就建设单位在项目建设期及营运期对环境产生的影响及采取的控制措施等方面进行环境影响评价，编制了该项目的环境影响评价报告表。</w:t>
            </w:r>
          </w:p>
          <w:p w14:paraId="5C9B6EC3">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ascii="Times New Roman" w:hAnsi="Times New Roman" w:cs="Times New Roman"/>
                <w:b/>
                <w:bCs/>
                <w:color w:val="auto"/>
                <w:highlight w:val="none"/>
              </w:rPr>
            </w:pPr>
            <w:r>
              <w:rPr>
                <w:rFonts w:hint="eastAsia" w:ascii="Times New Roman" w:hAnsi="Times New Roman" w:cs="Times New Roman"/>
                <w:b/>
                <w:bCs/>
                <w:color w:val="auto"/>
                <w:highlight w:val="none"/>
              </w:rPr>
              <w:t>二</w:t>
            </w:r>
            <w:r>
              <w:rPr>
                <w:rFonts w:ascii="Times New Roman" w:hAnsi="Times New Roman" w:cs="Times New Roman"/>
                <w:b/>
                <w:bCs/>
                <w:color w:val="auto"/>
                <w:highlight w:val="none"/>
              </w:rPr>
              <w:t>、工程概况</w:t>
            </w:r>
          </w:p>
          <w:p w14:paraId="49B6636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olor w:val="auto"/>
                <w:highlight w:val="none"/>
                <w:lang w:val="en-US"/>
              </w:rPr>
            </w:pPr>
            <w:r>
              <w:rPr>
                <w:color w:val="auto"/>
                <w:highlight w:val="none"/>
              </w:rPr>
              <w:t>项目名称：</w:t>
            </w:r>
            <w:r>
              <w:rPr>
                <w:rFonts w:hint="default"/>
                <w:color w:val="auto"/>
                <w:highlight w:val="none"/>
              </w:rPr>
              <w:t>远景能源（锡林郭勒）有限公司</w:t>
            </w:r>
            <w:r>
              <w:rPr>
                <w:rFonts w:hint="eastAsia"/>
                <w:color w:val="auto"/>
                <w:highlight w:val="none"/>
                <w:lang w:val="en-US" w:eastAsia="zh-CN"/>
              </w:rPr>
              <w:t>危废暂存间建设项目</w:t>
            </w:r>
          </w:p>
          <w:p w14:paraId="7620F67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建设单位：</w:t>
            </w:r>
            <w:r>
              <w:rPr>
                <w:rFonts w:hint="default"/>
                <w:color w:val="auto"/>
                <w:highlight w:val="none"/>
              </w:rPr>
              <w:t>远景能源（锡林郭勒）有限公司</w:t>
            </w:r>
          </w:p>
          <w:p w14:paraId="2C338EA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建设性质：新建</w:t>
            </w:r>
          </w:p>
          <w:p w14:paraId="5273FB8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行业类别：</w:t>
            </w:r>
            <w:r>
              <w:rPr>
                <w:rFonts w:hint="eastAsia" w:ascii="Times New Roman" w:hAnsi="Times New Roman" w:cs="Times New Roman"/>
                <w:color w:val="auto"/>
                <w:highlight w:val="none"/>
                <w:lang w:val="en-US" w:eastAsia="zh-CN"/>
              </w:rPr>
              <w:t>N7724危险废物治理</w:t>
            </w:r>
          </w:p>
          <w:p w14:paraId="7A2DC3A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项目总投资：</w:t>
            </w:r>
            <w:r>
              <w:rPr>
                <w:rFonts w:hint="eastAsia" w:ascii="Times New Roman" w:hAnsi="Times New Roman" w:cs="Times New Roman"/>
                <w:color w:val="auto"/>
                <w:highlight w:val="none"/>
                <w:lang w:val="en-US" w:eastAsia="zh-CN"/>
              </w:rPr>
              <w:t>24</w:t>
            </w:r>
            <w:r>
              <w:rPr>
                <w:rFonts w:hint="eastAsia" w:ascii="Times New Roman" w:hAnsi="Times New Roman" w:cs="Times New Roman"/>
                <w:color w:val="auto"/>
                <w:highlight w:val="none"/>
              </w:rPr>
              <w:t>万</w:t>
            </w:r>
            <w:r>
              <w:rPr>
                <w:rFonts w:hint="eastAsia" w:cs="Times New Roman"/>
                <w:color w:val="auto"/>
                <w:highlight w:val="none"/>
              </w:rPr>
              <w:t>元</w:t>
            </w:r>
            <w:r>
              <w:rPr>
                <w:color w:val="auto"/>
                <w:highlight w:val="none"/>
              </w:rPr>
              <w:t>，其中环保投资</w:t>
            </w:r>
            <w:r>
              <w:rPr>
                <w:rFonts w:hint="eastAsia" w:ascii="Times New Roman" w:hAnsi="Times New Roman" w:cs="Times New Roman"/>
                <w:color w:val="auto"/>
                <w:highlight w:val="none"/>
                <w:lang w:val="en-US" w:eastAsia="zh-CN"/>
              </w:rPr>
              <w:t>24</w:t>
            </w:r>
            <w:r>
              <w:rPr>
                <w:rFonts w:hint="eastAsia" w:ascii="Times New Roman" w:hAnsi="Times New Roman" w:cs="Times New Roman"/>
                <w:color w:val="auto"/>
                <w:highlight w:val="none"/>
              </w:rPr>
              <w:t>万</w:t>
            </w:r>
            <w:r>
              <w:rPr>
                <w:rFonts w:hint="eastAsia" w:cs="Times New Roman"/>
                <w:color w:val="auto"/>
                <w:highlight w:val="none"/>
              </w:rPr>
              <w:t>元</w:t>
            </w:r>
            <w:r>
              <w:rPr>
                <w:color w:val="auto"/>
                <w:highlight w:val="none"/>
              </w:rPr>
              <w:t>，环保投资所占为</w:t>
            </w:r>
            <w:r>
              <w:rPr>
                <w:rFonts w:hint="eastAsia" w:ascii="Times New Roman" w:hAnsi="Times New Roman" w:cs="Times New Roman"/>
                <w:color w:val="auto"/>
                <w:highlight w:val="none"/>
              </w:rPr>
              <w:t>100</w:t>
            </w:r>
            <w:r>
              <w:rPr>
                <w:color w:val="auto"/>
                <w:highlight w:val="none"/>
              </w:rPr>
              <w:t>%</w:t>
            </w:r>
          </w:p>
          <w:p w14:paraId="443E2B8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建设地点：内蒙古锡林郭勒盟</w:t>
            </w:r>
            <w:r>
              <w:rPr>
                <w:rFonts w:hint="eastAsia"/>
                <w:color w:val="auto"/>
                <w:highlight w:val="none"/>
                <w:lang w:val="en-US" w:eastAsia="zh-CN"/>
              </w:rPr>
              <w:t>锡林浩特市远景能源（锡林郭勒）有限公司</w:t>
            </w:r>
            <w:r>
              <w:rPr>
                <w:color w:val="auto"/>
                <w:highlight w:val="none"/>
              </w:rPr>
              <w:t>院内</w:t>
            </w:r>
          </w:p>
          <w:p w14:paraId="0FAEC80E">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ascii="Times New Roman" w:hAnsi="Times New Roman" w:cs="Times New Roman"/>
                <w:b/>
                <w:bCs/>
                <w:color w:val="auto"/>
                <w:highlight w:val="none"/>
              </w:rPr>
            </w:pPr>
            <w:r>
              <w:rPr>
                <w:rFonts w:hint="eastAsia" w:ascii="Times New Roman" w:hAnsi="Times New Roman" w:cs="Times New Roman"/>
                <w:b/>
                <w:bCs/>
                <w:color w:val="auto"/>
                <w:highlight w:val="none"/>
              </w:rPr>
              <w:t>三</w:t>
            </w:r>
            <w:r>
              <w:rPr>
                <w:rFonts w:ascii="Times New Roman" w:hAnsi="Times New Roman" w:cs="Times New Roman"/>
                <w:b/>
                <w:bCs/>
                <w:color w:val="auto"/>
                <w:highlight w:val="none"/>
              </w:rPr>
              <w:t>、工程内容及规模</w:t>
            </w:r>
          </w:p>
          <w:p w14:paraId="08ED13AF">
            <w:pPr>
              <w:pStyle w:val="9"/>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rFonts w:ascii="Times New Roman" w:hAnsi="Times New Roman" w:cs="Times New Roman"/>
                <w:color w:val="auto"/>
                <w:highlight w:val="none"/>
              </w:rPr>
              <w:t>本次新建</w:t>
            </w:r>
            <w:r>
              <w:rPr>
                <w:rFonts w:hint="eastAsia" w:ascii="Times New Roman" w:hAnsi="Times New Roman" w:cs="Times New Roman"/>
                <w:color w:val="auto"/>
                <w:highlight w:val="none"/>
                <w:lang w:eastAsia="zh-CN"/>
              </w:rPr>
              <w:t>1间</w:t>
            </w:r>
            <w:r>
              <w:rPr>
                <w:rFonts w:ascii="Times New Roman" w:hAnsi="Times New Roman" w:cs="Times New Roman"/>
                <w:color w:val="auto"/>
                <w:highlight w:val="none"/>
              </w:rPr>
              <w:t>危废暂存间，用于存放</w:t>
            </w:r>
            <w:r>
              <w:rPr>
                <w:rFonts w:hint="eastAsia" w:ascii="Times New Roman" w:hAnsi="Times New Roman" w:cs="Times New Roman"/>
                <w:color w:val="auto"/>
                <w:highlight w:val="none"/>
                <w:lang w:eastAsia="zh-CN"/>
              </w:rPr>
              <w:t>废矿物油</w:t>
            </w:r>
            <w:r>
              <w:rPr>
                <w:rFonts w:hint="eastAsia" w:ascii="Times New Roman" w:hAnsi="Times New Roman" w:cs="Times New Roman"/>
                <w:color w:val="auto"/>
                <w:highlight w:val="none"/>
                <w:lang w:val="en-US" w:eastAsia="zh-CN"/>
              </w:rPr>
              <w:t>和废油桶（废铁油桶</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废塑料油桶、</w:t>
            </w:r>
            <w:r>
              <w:rPr>
                <w:rFonts w:hint="eastAsia"/>
                <w:color w:val="auto"/>
                <w:highlight w:val="none"/>
                <w:lang w:val="en-US" w:eastAsia="zh-CN"/>
              </w:rPr>
              <w:t>废</w:t>
            </w:r>
            <w:r>
              <w:rPr>
                <w:rFonts w:hint="eastAsia" w:ascii="Times New Roman" w:hAnsi="Times New Roman" w:cs="Times New Roman"/>
                <w:color w:val="auto"/>
                <w:highlight w:val="none"/>
                <w:lang w:val="en-US" w:eastAsia="zh-CN"/>
              </w:rPr>
              <w:t>小包装油桶和废气雾罐）</w:t>
            </w:r>
            <w:r>
              <w:rPr>
                <w:rFonts w:ascii="Times New Roman" w:hAnsi="Times New Roman" w:cs="Times New Roman"/>
                <w:color w:val="auto"/>
                <w:highlight w:val="none"/>
              </w:rPr>
              <w:t>，建筑面积</w:t>
            </w:r>
            <w:r>
              <w:rPr>
                <w:rFonts w:hint="eastAsia" w:ascii="Times New Roman" w:hAnsi="Times New Roman" w:cs="Times New Roman"/>
                <w:color w:val="auto"/>
                <w:highlight w:val="none"/>
                <w:lang w:val="en-US" w:eastAsia="zh-CN"/>
              </w:rPr>
              <w:t>50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2</w:t>
            </w:r>
            <w:r>
              <w:rPr>
                <w:rFonts w:ascii="Times New Roman" w:hAnsi="Times New Roman" w:cs="Times New Roman"/>
                <w:color w:val="auto"/>
                <w:highlight w:val="none"/>
              </w:rPr>
              <w:t>，本项目公用工程依托现有，工程组成情况见下表。</w:t>
            </w:r>
          </w:p>
          <w:p w14:paraId="562C62AA">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color w:val="auto"/>
                <w:highlight w:val="none"/>
              </w:rPr>
            </w:pPr>
            <w:r>
              <w:rPr>
                <w:rFonts w:ascii="Times New Roman" w:hAnsi="Times New Roman" w:cs="Times New Roman"/>
                <w:b/>
                <w:color w:val="auto"/>
                <w:highlight w:val="none"/>
              </w:rPr>
              <w:t>表</w:t>
            </w:r>
            <w:r>
              <w:rPr>
                <w:rFonts w:hint="eastAsia" w:ascii="Times New Roman" w:hAnsi="Times New Roman" w:cs="Times New Roman"/>
                <w:b/>
                <w:color w:val="auto"/>
                <w:highlight w:val="none"/>
                <w:lang w:val="en-US" w:eastAsia="zh-CN"/>
              </w:rPr>
              <w:t xml:space="preserve">6  </w:t>
            </w:r>
            <w:r>
              <w:rPr>
                <w:rFonts w:ascii="Times New Roman" w:hAnsi="Times New Roman" w:cs="Times New Roman"/>
                <w:b/>
                <w:color w:val="auto"/>
                <w:highlight w:val="none"/>
              </w:rPr>
              <w:t>工程组成一览表</w:t>
            </w:r>
          </w:p>
          <w:tbl>
            <w:tblPr>
              <w:tblStyle w:val="24"/>
              <w:tblW w:w="5000"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5"/>
              <w:gridCol w:w="705"/>
              <w:gridCol w:w="5880"/>
              <w:gridCol w:w="764"/>
            </w:tblGrid>
            <w:tr w14:paraId="5397BD2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88" w:type="pct"/>
                  <w:tcBorders>
                    <w:tl2br w:val="nil"/>
                    <w:tr2bl w:val="nil"/>
                  </w:tcBorders>
                  <w:noWrap/>
                  <w:vAlign w:val="center"/>
                </w:tcPr>
                <w:p w14:paraId="7DD8FC7F">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工程</w:t>
                  </w:r>
                </w:p>
                <w:p w14:paraId="0C595CAF">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类别</w:t>
                  </w:r>
                </w:p>
              </w:tc>
              <w:tc>
                <w:tcPr>
                  <w:tcW w:w="432" w:type="pct"/>
                  <w:tcBorders>
                    <w:tl2br w:val="nil"/>
                    <w:tr2bl w:val="nil"/>
                  </w:tcBorders>
                  <w:noWrap/>
                  <w:vAlign w:val="center"/>
                </w:tcPr>
                <w:p w14:paraId="15B0875E">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工程名称</w:t>
                  </w:r>
                </w:p>
              </w:tc>
              <w:tc>
                <w:tcPr>
                  <w:tcW w:w="3610" w:type="pct"/>
                  <w:tcBorders>
                    <w:tl2br w:val="nil"/>
                    <w:tr2bl w:val="nil"/>
                  </w:tcBorders>
                  <w:noWrap/>
                  <w:vAlign w:val="center"/>
                </w:tcPr>
                <w:p w14:paraId="2B494674">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工程规模</w:t>
                  </w:r>
                </w:p>
              </w:tc>
              <w:tc>
                <w:tcPr>
                  <w:tcW w:w="469" w:type="pct"/>
                  <w:tcBorders>
                    <w:tl2br w:val="nil"/>
                    <w:tr2bl w:val="nil"/>
                  </w:tcBorders>
                  <w:noWrap/>
                  <w:vAlign w:val="center"/>
                </w:tcPr>
                <w:p w14:paraId="4F17E871">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备注</w:t>
                  </w:r>
                </w:p>
              </w:tc>
            </w:tr>
            <w:tr w14:paraId="37BC85A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7" w:hRule="atLeast"/>
              </w:trPr>
              <w:tc>
                <w:tcPr>
                  <w:tcW w:w="488" w:type="pct"/>
                  <w:tcBorders>
                    <w:tl2br w:val="nil"/>
                    <w:tr2bl w:val="nil"/>
                  </w:tcBorders>
                  <w:noWrap/>
                  <w:vAlign w:val="center"/>
                </w:tcPr>
                <w:p w14:paraId="474370FF">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主体工程</w:t>
                  </w:r>
                </w:p>
              </w:tc>
              <w:tc>
                <w:tcPr>
                  <w:tcW w:w="432" w:type="pct"/>
                  <w:tcBorders>
                    <w:tl2br w:val="nil"/>
                    <w:tr2bl w:val="nil"/>
                  </w:tcBorders>
                  <w:noWrap/>
                  <w:vAlign w:val="center"/>
                </w:tcPr>
                <w:p w14:paraId="5658DD9D">
                  <w:pPr>
                    <w:overflowPunct w:val="0"/>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危废暂存间</w:t>
                  </w:r>
                </w:p>
              </w:tc>
              <w:tc>
                <w:tcPr>
                  <w:tcW w:w="3610" w:type="pct"/>
                  <w:tcBorders>
                    <w:tl2br w:val="nil"/>
                    <w:tr2bl w:val="nil"/>
                  </w:tcBorders>
                  <w:noWrap/>
                  <w:vAlign w:val="center"/>
                </w:tcPr>
                <w:p w14:paraId="75683F15">
                  <w:pPr>
                    <w:overflowPunct w:val="0"/>
                    <w:adjustRightInd w:val="0"/>
                    <w:snapToGrid w:val="0"/>
                    <w:rPr>
                      <w:rFonts w:hint="eastAsia" w:ascii="Times New Roman" w:hAnsi="Times New Roman" w:eastAsia="宋体" w:cs="Times New Roman"/>
                      <w:color w:val="auto"/>
                      <w:sz w:val="21"/>
                      <w:szCs w:val="21"/>
                      <w:highlight w:val="none"/>
                      <w:lang w:val="en-US" w:eastAsia="zh-CN"/>
                    </w:rPr>
                  </w:pPr>
                  <w:r>
                    <w:rPr>
                      <w:rFonts w:ascii="Times New Roman" w:hAnsi="Times New Roman" w:cs="Times New Roman"/>
                      <w:color w:val="auto"/>
                      <w:sz w:val="21"/>
                      <w:szCs w:val="21"/>
                      <w:highlight w:val="none"/>
                    </w:rPr>
                    <w:t>建筑面积</w:t>
                  </w:r>
                  <w:r>
                    <w:rPr>
                      <w:rFonts w:hint="eastAsia" w:ascii="Times New Roman" w:hAnsi="Times New Roman" w:cs="Times New Roman"/>
                      <w:color w:val="auto"/>
                      <w:sz w:val="21"/>
                      <w:szCs w:val="21"/>
                      <w:highlight w:val="none"/>
                      <w:lang w:val="en-US" w:eastAsia="zh-CN"/>
                    </w:rPr>
                    <w:t>为50</w:t>
                  </w: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2</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钢</w:t>
                  </w:r>
                  <w:r>
                    <w:rPr>
                      <w:rFonts w:hint="eastAsia" w:ascii="Times New Roman" w:hAnsi="Times New Roman" w:cs="Times New Roman"/>
                      <w:color w:val="auto"/>
                      <w:sz w:val="21"/>
                      <w:szCs w:val="21"/>
                      <w:highlight w:val="none"/>
                    </w:rPr>
                    <w:t>结构。</w:t>
                  </w:r>
                  <w:r>
                    <w:rPr>
                      <w:rFonts w:ascii="Times New Roman" w:hAnsi="Times New Roman" w:cs="Times New Roman"/>
                      <w:color w:val="auto"/>
                      <w:sz w:val="21"/>
                      <w:szCs w:val="21"/>
                      <w:highlight w:val="none"/>
                    </w:rPr>
                    <w:t>用于存放</w:t>
                  </w:r>
                  <w:r>
                    <w:rPr>
                      <w:rFonts w:hint="eastAsia" w:ascii="Times New Roman" w:hAnsi="Times New Roman" w:cs="Times New Roman"/>
                      <w:color w:val="auto"/>
                      <w:sz w:val="21"/>
                      <w:szCs w:val="21"/>
                      <w:highlight w:val="none"/>
                      <w:lang w:eastAsia="zh-CN"/>
                    </w:rPr>
                    <w:t>废矿物油</w:t>
                  </w:r>
                  <w:r>
                    <w:rPr>
                      <w:rFonts w:hint="eastAsia" w:ascii="Times New Roman" w:hAnsi="Times New Roman" w:cs="Times New Roman"/>
                      <w:color w:val="auto"/>
                      <w:sz w:val="21"/>
                      <w:szCs w:val="21"/>
                      <w:highlight w:val="none"/>
                      <w:lang w:val="en-US" w:eastAsia="zh-CN"/>
                    </w:rPr>
                    <w:t>和废油桶</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暂存间进行分区存放，厂内产生的废矿物油存放于废铁油桶内，加盖密封，放置在防渗漏的托盘上，存放在危废间东北侧；废油桶放置在防渗漏的托盘上，存放在危废间西侧；</w:t>
                  </w:r>
                  <w:r>
                    <w:rPr>
                      <w:rFonts w:ascii="Times New Roman" w:hAnsi="Times New Roman" w:cs="Times New Roman"/>
                      <w:color w:val="auto"/>
                      <w:sz w:val="21"/>
                      <w:szCs w:val="21"/>
                      <w:highlight w:val="none"/>
                    </w:rPr>
                    <w:t>暂存间</w:t>
                  </w:r>
                  <w:r>
                    <w:rPr>
                      <w:rFonts w:hint="eastAsia" w:ascii="Times New Roman" w:hAnsi="Times New Roman" w:cs="Times New Roman"/>
                      <w:color w:val="auto"/>
                      <w:sz w:val="21"/>
                      <w:szCs w:val="21"/>
                      <w:highlight w:val="none"/>
                      <w:lang w:val="en-US" w:eastAsia="zh-CN"/>
                    </w:rPr>
                    <w:t>四周铺设导流槽</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导流槽尺寸为宽15cm，</w:t>
                  </w:r>
                  <w:r>
                    <w:rPr>
                      <w:rFonts w:hint="default" w:ascii="Times New Roman" w:hAnsi="Times New Roman" w:cs="Times New Roman"/>
                      <w:color w:val="auto"/>
                      <w:sz w:val="21"/>
                      <w:szCs w:val="21"/>
                      <w:highlight w:val="none"/>
                      <w:lang w:val="en-US" w:eastAsia="zh-CN"/>
                    </w:rPr>
                    <w:t>深</w:t>
                  </w:r>
                  <w:r>
                    <w:rPr>
                      <w:rFonts w:hint="eastAsia" w:ascii="Times New Roman" w:hAnsi="Times New Roman" w:cs="Times New Roman"/>
                      <w:color w:val="auto"/>
                      <w:sz w:val="21"/>
                      <w:szCs w:val="21"/>
                      <w:highlight w:val="none"/>
                      <w:lang w:val="en-US" w:eastAsia="zh-CN"/>
                    </w:rPr>
                    <w:t>15cm</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地面向导流槽方向设3°倾斜，防渗集液池位于危废暂存间西南角地下，集液池容积为0.5</w:t>
                  </w:r>
                  <w:r>
                    <w:rPr>
                      <w:rFonts w:hint="default" w:ascii="Times New Roman" w:hAnsi="Times New Roman" w:cs="Times New Roman"/>
                      <w:color w:val="auto"/>
                      <w:sz w:val="21"/>
                      <w:szCs w:val="21"/>
                      <w:highlight w:val="no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，集液池内放置一个体积0.3m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的收集桶；</w:t>
                  </w:r>
                  <w:r>
                    <w:rPr>
                      <w:rFonts w:hint="default" w:ascii="Times New Roman" w:hAnsi="Times New Roman" w:eastAsia="宋体" w:cs="Times New Roman"/>
                      <w:color w:val="auto"/>
                      <w:sz w:val="21"/>
                      <w:szCs w:val="21"/>
                      <w:highlight w:val="none"/>
                      <w:lang w:val="en-US" w:eastAsia="zh-CN"/>
                    </w:rPr>
                    <w:t>危废暂存间四周设置</w:t>
                  </w:r>
                  <w:r>
                    <w:rPr>
                      <w:rFonts w:hint="eastAsia" w:ascii="Times New Roman" w:hAnsi="Times New Roman" w:cs="Times New Roman"/>
                      <w:color w:val="auto"/>
                      <w:sz w:val="21"/>
                      <w:szCs w:val="21"/>
                      <w:highlight w:val="none"/>
                      <w:lang w:val="en-US" w:eastAsia="zh-CN"/>
                    </w:rPr>
                    <w:t>50cm高的裙角，</w:t>
                  </w:r>
                  <w:r>
                    <w:rPr>
                      <w:rFonts w:hint="default" w:ascii="Times New Roman" w:hAnsi="Times New Roman" w:eastAsia="宋体" w:cs="Times New Roman"/>
                      <w:color w:val="auto"/>
                      <w:sz w:val="21"/>
                      <w:szCs w:val="21"/>
                      <w:highlight w:val="none"/>
                      <w:lang w:val="en-US" w:eastAsia="zh-CN"/>
                    </w:rPr>
                    <w:t>地面</w:t>
                  </w:r>
                  <w:r>
                    <w:rPr>
                      <w:rFonts w:hint="eastAsia" w:ascii="Times New Roman" w:hAnsi="Times New Roman" w:eastAsia="宋体" w:cs="Times New Roman"/>
                      <w:color w:val="auto"/>
                      <w:sz w:val="21"/>
                      <w:szCs w:val="21"/>
                      <w:highlight w:val="none"/>
                      <w:lang w:val="en-US" w:eastAsia="zh-CN"/>
                    </w:rPr>
                    <w:t>结构为</w:t>
                  </w:r>
                  <w:r>
                    <w:rPr>
                      <w:rFonts w:hint="default" w:ascii="Times New Roman" w:hAnsi="Times New Roman" w:eastAsia="宋体" w:cs="Times New Roman"/>
                      <w:color w:val="auto"/>
                      <w:sz w:val="21"/>
                      <w:szCs w:val="21"/>
                      <w:highlight w:val="none"/>
                      <w:lang w:val="en-US" w:eastAsia="zh-CN"/>
                    </w:rPr>
                    <w:t>钢板</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涂胶</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覆2mm厚</w:t>
                  </w:r>
                  <w:r>
                    <w:rPr>
                      <w:rFonts w:hint="eastAsia" w:ascii="Times New Roman" w:hAnsi="Times New Roman" w:eastAsia="宋体" w:cs="Times New Roman"/>
                      <w:color w:val="auto"/>
                      <w:sz w:val="21"/>
                      <w:szCs w:val="21"/>
                      <w:highlight w:val="none"/>
                      <w:lang w:val="en-US" w:eastAsia="zh-CN"/>
                    </w:rPr>
                    <w:t>HDPE</w:t>
                  </w:r>
                  <w:r>
                    <w:rPr>
                      <w:rFonts w:hint="default" w:ascii="Times New Roman" w:hAnsi="Times New Roman" w:eastAsia="宋体" w:cs="Times New Roman"/>
                      <w:color w:val="auto"/>
                      <w:sz w:val="21"/>
                      <w:szCs w:val="21"/>
                      <w:highlight w:val="none"/>
                      <w:lang w:val="en-US" w:eastAsia="zh-CN"/>
                    </w:rPr>
                    <w:t>膜</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cs="Times New Roman" w:eastAsiaTheme="minorEastAsia"/>
                      <w:color w:val="auto"/>
                      <w:sz w:val="21"/>
                      <w:szCs w:val="21"/>
                      <w:highlight w:val="none"/>
                      <w:lang w:val="en-US" w:eastAsia="zh-CN"/>
                    </w:rPr>
                    <w:t>胶垫；</w:t>
                  </w:r>
                  <w:r>
                    <w:rPr>
                      <w:rFonts w:hint="eastAsia" w:ascii="Times New Roman" w:hAnsi="Times New Roman" w:cs="Times New Roman"/>
                      <w:color w:val="auto"/>
                      <w:sz w:val="21"/>
                      <w:szCs w:val="21"/>
                      <w:highlight w:val="none"/>
                      <w:lang w:val="en-US" w:eastAsia="zh-CN"/>
                    </w:rPr>
                    <w:t>裙角、</w:t>
                  </w:r>
                  <w:r>
                    <w:rPr>
                      <w:rFonts w:hint="default" w:ascii="Times New Roman" w:hAnsi="Times New Roman" w:eastAsia="宋体" w:cs="Times New Roman"/>
                      <w:color w:val="auto"/>
                      <w:sz w:val="21"/>
                      <w:szCs w:val="21"/>
                      <w:highlight w:val="none"/>
                      <w:lang w:val="en-US" w:eastAsia="zh-CN"/>
                    </w:rPr>
                    <w:t>收集池</w:t>
                  </w:r>
                  <w:r>
                    <w:rPr>
                      <w:rFonts w:hint="eastAsia" w:ascii="Times New Roman" w:hAnsi="Times New Roman" w:cs="Times New Roman"/>
                      <w:color w:val="auto"/>
                      <w:sz w:val="21"/>
                      <w:szCs w:val="21"/>
                      <w:highlight w:val="none"/>
                      <w:lang w:val="en-US" w:eastAsia="zh-CN"/>
                    </w:rPr>
                    <w:t>及导流槽采取</w:t>
                  </w:r>
                  <w:r>
                    <w:rPr>
                      <w:rFonts w:hint="default" w:ascii="Times New Roman" w:hAnsi="Times New Roman" w:eastAsia="宋体" w:cs="Times New Roman"/>
                      <w:color w:val="auto"/>
                      <w:sz w:val="21"/>
                      <w:szCs w:val="21"/>
                      <w:highlight w:val="none"/>
                      <w:lang w:val="en-US" w:eastAsia="zh-CN"/>
                    </w:rPr>
                    <w:t>2mm厚HDPE土工膜防渗，渗透系数≤10</w:t>
                  </w:r>
                  <w:r>
                    <w:rPr>
                      <w:rFonts w:hint="default" w:ascii="Times New Roman" w:hAnsi="Times New Roman" w:eastAsia="宋体" w:cs="Times New Roman"/>
                      <w:color w:val="auto"/>
                      <w:sz w:val="21"/>
                      <w:szCs w:val="21"/>
                      <w:highlight w:val="none"/>
                      <w:vertAlign w:val="superscript"/>
                      <w:lang w:val="en-US" w:eastAsia="zh-CN"/>
                    </w:rPr>
                    <w:t>-</w:t>
                  </w:r>
                  <w:r>
                    <w:rPr>
                      <w:rFonts w:hint="eastAsia" w:ascii="Times New Roman" w:hAnsi="Times New Roman"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vertAlign w:val="baseline"/>
                      <w:lang w:val="en-US" w:eastAsia="zh-CN"/>
                    </w:rPr>
                    <w:t>c</w:t>
                  </w:r>
                  <w:r>
                    <w:rPr>
                      <w:rFonts w:hint="default" w:ascii="Times New Roman" w:hAnsi="Times New Roman" w:eastAsia="宋体" w:cs="Times New Roman"/>
                      <w:color w:val="auto"/>
                      <w:sz w:val="21"/>
                      <w:szCs w:val="21"/>
                      <w:highlight w:val="none"/>
                      <w:lang w:val="en-US" w:eastAsia="zh-CN"/>
                    </w:rPr>
                    <w:t>m/s</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危废库设置危废转运台账、强制通风设施、防爆灯、观察窗</w:t>
                  </w:r>
                  <w:r>
                    <w:rPr>
                      <w:rFonts w:hint="eastAsia" w:ascii="Times New Roman" w:hAnsi="Times New Roman" w:cs="Times New Roman"/>
                      <w:color w:val="auto"/>
                      <w:kern w:val="0"/>
                      <w:sz w:val="21"/>
                      <w:szCs w:val="21"/>
                      <w:highlight w:val="none"/>
                      <w:vertAlign w:val="baseline"/>
                      <w:lang w:val="en-US" w:eastAsia="zh-CN"/>
                    </w:rPr>
                    <w:t>。</w:t>
                  </w:r>
                </w:p>
              </w:tc>
              <w:tc>
                <w:tcPr>
                  <w:tcW w:w="469" w:type="pct"/>
                  <w:tcBorders>
                    <w:tl2br w:val="nil"/>
                    <w:tr2bl w:val="nil"/>
                  </w:tcBorders>
                  <w:noWrap/>
                  <w:vAlign w:val="center"/>
                </w:tcPr>
                <w:p w14:paraId="40D4E2D1">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新建</w:t>
                  </w:r>
                </w:p>
              </w:tc>
            </w:tr>
            <w:tr w14:paraId="1942939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4" w:hRule="atLeast"/>
              </w:trPr>
              <w:tc>
                <w:tcPr>
                  <w:tcW w:w="488" w:type="pct"/>
                  <w:vMerge w:val="restart"/>
                  <w:tcBorders>
                    <w:tl2br w:val="nil"/>
                    <w:tr2bl w:val="nil"/>
                  </w:tcBorders>
                  <w:noWrap/>
                  <w:vAlign w:val="center"/>
                </w:tcPr>
                <w:p w14:paraId="7DA87035">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公用工程</w:t>
                  </w:r>
                </w:p>
              </w:tc>
              <w:tc>
                <w:tcPr>
                  <w:tcW w:w="432" w:type="pct"/>
                  <w:tcBorders>
                    <w:tl2br w:val="nil"/>
                    <w:tr2bl w:val="nil"/>
                  </w:tcBorders>
                  <w:noWrap/>
                  <w:vAlign w:val="center"/>
                </w:tcPr>
                <w:p w14:paraId="49049D6E">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供电系统</w:t>
                  </w:r>
                </w:p>
              </w:tc>
              <w:tc>
                <w:tcPr>
                  <w:tcW w:w="3610" w:type="pct"/>
                  <w:tcBorders>
                    <w:tl2br w:val="nil"/>
                    <w:tr2bl w:val="nil"/>
                  </w:tcBorders>
                  <w:noWrap/>
                  <w:vAlign w:val="center"/>
                </w:tcPr>
                <w:p w14:paraId="19419E97">
                  <w:pPr>
                    <w:overflowPunct w:val="0"/>
                    <w:adjustRightInd w:val="0"/>
                    <w:snapToGrid w:val="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由</w:t>
                  </w:r>
                  <w:r>
                    <w:rPr>
                      <w:rFonts w:hint="eastAsia" w:ascii="Times New Roman" w:hAnsi="Times New Roman" w:cs="Times New Roman"/>
                      <w:color w:val="auto"/>
                      <w:sz w:val="21"/>
                      <w:szCs w:val="21"/>
                      <w:highlight w:val="none"/>
                      <w:lang w:val="en-US" w:eastAsia="zh-CN"/>
                    </w:rPr>
                    <w:t>厂区现有供电系统</w:t>
                  </w:r>
                  <w:r>
                    <w:rPr>
                      <w:rFonts w:hint="default" w:ascii="Times New Roman" w:hAnsi="Times New Roman" w:cs="Times New Roman"/>
                      <w:color w:val="auto"/>
                      <w:sz w:val="21"/>
                      <w:szCs w:val="21"/>
                      <w:highlight w:val="none"/>
                      <w:lang w:eastAsia="zh-CN"/>
                    </w:rPr>
                    <w:t>供给</w:t>
                  </w:r>
                </w:p>
              </w:tc>
              <w:tc>
                <w:tcPr>
                  <w:tcW w:w="469" w:type="pct"/>
                  <w:tcBorders>
                    <w:tl2br w:val="nil"/>
                    <w:tr2bl w:val="nil"/>
                  </w:tcBorders>
                  <w:noWrap/>
                  <w:vAlign w:val="center"/>
                </w:tcPr>
                <w:p w14:paraId="1B5867F6">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依托现有</w:t>
                  </w:r>
                </w:p>
              </w:tc>
            </w:tr>
            <w:tr w14:paraId="6FED3F9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4" w:hRule="atLeast"/>
              </w:trPr>
              <w:tc>
                <w:tcPr>
                  <w:tcW w:w="488" w:type="pct"/>
                  <w:vMerge w:val="continue"/>
                  <w:tcBorders>
                    <w:tl2br w:val="nil"/>
                    <w:tr2bl w:val="nil"/>
                  </w:tcBorders>
                  <w:noWrap/>
                  <w:vAlign w:val="center"/>
                </w:tcPr>
                <w:p w14:paraId="17146166">
                  <w:pPr>
                    <w:overflowPunct w:val="0"/>
                    <w:adjustRightInd w:val="0"/>
                    <w:snapToGrid w:val="0"/>
                    <w:jc w:val="center"/>
                    <w:rPr>
                      <w:rFonts w:ascii="Times New Roman" w:hAnsi="Times New Roman" w:cs="Times New Roman"/>
                      <w:color w:val="auto"/>
                      <w:sz w:val="21"/>
                      <w:szCs w:val="21"/>
                      <w:highlight w:val="none"/>
                    </w:rPr>
                  </w:pPr>
                </w:p>
              </w:tc>
              <w:tc>
                <w:tcPr>
                  <w:tcW w:w="432" w:type="pct"/>
                  <w:tcBorders>
                    <w:tl2br w:val="nil"/>
                    <w:tr2bl w:val="nil"/>
                  </w:tcBorders>
                  <w:noWrap/>
                  <w:vAlign w:val="center"/>
                </w:tcPr>
                <w:p w14:paraId="6ABB81F0">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消防系统</w:t>
                  </w:r>
                </w:p>
              </w:tc>
              <w:tc>
                <w:tcPr>
                  <w:tcW w:w="3610" w:type="pct"/>
                  <w:tcBorders>
                    <w:tl2br w:val="nil"/>
                    <w:tr2bl w:val="nil"/>
                  </w:tcBorders>
                  <w:noWrap/>
                  <w:vAlign w:val="center"/>
                </w:tcPr>
                <w:p w14:paraId="5572C85F">
                  <w:pPr>
                    <w:overflowPunct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新增</w:t>
                  </w:r>
                  <w:r>
                    <w:rPr>
                      <w:rFonts w:hint="default" w:ascii="Times New Roman" w:hAnsi="Times New Roman" w:cs="Times New Roman"/>
                      <w:color w:val="auto"/>
                      <w:sz w:val="21"/>
                      <w:szCs w:val="21"/>
                      <w:highlight w:val="none"/>
                      <w:lang w:val="en-US" w:eastAsia="zh-CN"/>
                    </w:rPr>
                    <w:t>消防沙箱及灭火器</w:t>
                  </w:r>
                  <w:r>
                    <w:rPr>
                      <w:rFonts w:hint="eastAsia" w:ascii="Times New Roman" w:hAnsi="Times New Roman" w:cs="Times New Roman"/>
                      <w:color w:val="auto"/>
                      <w:sz w:val="21"/>
                      <w:szCs w:val="21"/>
                      <w:highlight w:val="none"/>
                      <w:lang w:val="en-US" w:eastAsia="zh-CN"/>
                    </w:rPr>
                    <w:t>，其余</w:t>
                  </w:r>
                  <w:r>
                    <w:rPr>
                      <w:rFonts w:hint="default" w:ascii="Times New Roman" w:hAnsi="Times New Roman" w:cs="Times New Roman"/>
                      <w:color w:val="auto"/>
                      <w:sz w:val="21"/>
                      <w:szCs w:val="21"/>
                      <w:highlight w:val="none"/>
                    </w:rPr>
                    <w:t>依托现有厂区消防系统</w:t>
                  </w:r>
                </w:p>
              </w:tc>
              <w:tc>
                <w:tcPr>
                  <w:tcW w:w="469" w:type="pct"/>
                  <w:tcBorders>
                    <w:tl2br w:val="nil"/>
                    <w:tr2bl w:val="nil"/>
                  </w:tcBorders>
                  <w:noWrap/>
                  <w:vAlign w:val="center"/>
                </w:tcPr>
                <w:p w14:paraId="63D0343F">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依托现有</w:t>
                  </w:r>
                </w:p>
              </w:tc>
            </w:tr>
            <w:tr w14:paraId="2F9336A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4" w:hRule="atLeast"/>
              </w:trPr>
              <w:tc>
                <w:tcPr>
                  <w:tcW w:w="488" w:type="pct"/>
                  <w:vMerge w:val="restart"/>
                  <w:tcBorders>
                    <w:tl2br w:val="nil"/>
                    <w:tr2bl w:val="nil"/>
                  </w:tcBorders>
                  <w:noWrap/>
                  <w:vAlign w:val="center"/>
                </w:tcPr>
                <w:p w14:paraId="2A066640">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环保工程</w:t>
                  </w:r>
                </w:p>
              </w:tc>
              <w:tc>
                <w:tcPr>
                  <w:tcW w:w="432" w:type="pct"/>
                  <w:tcBorders>
                    <w:tl2br w:val="nil"/>
                    <w:tr2bl w:val="nil"/>
                  </w:tcBorders>
                  <w:noWrap/>
                  <w:vAlign w:val="center"/>
                </w:tcPr>
                <w:p w14:paraId="7E752B0C">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防渗工程</w:t>
                  </w:r>
                </w:p>
              </w:tc>
              <w:tc>
                <w:tcPr>
                  <w:tcW w:w="3610" w:type="pct"/>
                  <w:tcBorders>
                    <w:tl2br w:val="nil"/>
                    <w:tr2bl w:val="nil"/>
                  </w:tcBorders>
                  <w:noWrap/>
                  <w:vAlign w:val="center"/>
                </w:tcPr>
                <w:p w14:paraId="26CF6802">
                  <w:pPr>
                    <w:overflowPunct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地面结构为钢板+涂胶+覆2mm厚HDPE膜+胶垫；裙角、收集池及导流槽采取2mm厚HDPE土工膜防渗，渗透系数≤10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w:t>
                  </w:r>
                </w:p>
              </w:tc>
              <w:tc>
                <w:tcPr>
                  <w:tcW w:w="469" w:type="pct"/>
                  <w:tcBorders>
                    <w:tl2br w:val="nil"/>
                    <w:tr2bl w:val="nil"/>
                  </w:tcBorders>
                  <w:noWrap/>
                  <w:vAlign w:val="center"/>
                </w:tcPr>
                <w:p w14:paraId="23679E3E">
                  <w:pPr>
                    <w:overflowPunct w:val="0"/>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14:paraId="52CE077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8" w:hRule="atLeast"/>
              </w:trPr>
              <w:tc>
                <w:tcPr>
                  <w:tcW w:w="488" w:type="pct"/>
                  <w:vMerge w:val="continue"/>
                  <w:tcBorders>
                    <w:tl2br w:val="nil"/>
                    <w:tr2bl w:val="nil"/>
                  </w:tcBorders>
                  <w:noWrap/>
                  <w:vAlign w:val="center"/>
                </w:tcPr>
                <w:p w14:paraId="28AA1678">
                  <w:pPr>
                    <w:overflowPunct w:val="0"/>
                    <w:adjustRightInd w:val="0"/>
                    <w:snapToGrid w:val="0"/>
                    <w:jc w:val="center"/>
                    <w:rPr>
                      <w:rFonts w:ascii="Times New Roman" w:hAnsi="Times New Roman" w:cs="Times New Roman"/>
                      <w:color w:val="auto"/>
                      <w:sz w:val="21"/>
                      <w:szCs w:val="21"/>
                      <w:highlight w:val="none"/>
                    </w:rPr>
                  </w:pPr>
                </w:p>
              </w:tc>
              <w:tc>
                <w:tcPr>
                  <w:tcW w:w="432" w:type="pct"/>
                  <w:tcBorders>
                    <w:tl2br w:val="nil"/>
                    <w:tr2bl w:val="nil"/>
                  </w:tcBorders>
                  <w:noWrap/>
                  <w:vAlign w:val="center"/>
                </w:tcPr>
                <w:p w14:paraId="48C53D84">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废气治理工程</w:t>
                  </w:r>
                </w:p>
              </w:tc>
              <w:tc>
                <w:tcPr>
                  <w:tcW w:w="3610" w:type="pct"/>
                  <w:tcBorders>
                    <w:tl2br w:val="nil"/>
                    <w:tr2bl w:val="nil"/>
                  </w:tcBorders>
                  <w:noWrap/>
                  <w:vAlign w:val="center"/>
                </w:tcPr>
                <w:p w14:paraId="7EF75DA4">
                  <w:pPr>
                    <w:overflowPunct w:val="0"/>
                    <w:adjustRightInd w:val="0"/>
                    <w:snapToGrid w:val="0"/>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rPr>
                    <w:t>危废暂存间</w:t>
                  </w:r>
                  <w:r>
                    <w:rPr>
                      <w:rFonts w:hint="eastAsia" w:ascii="Times New Roman" w:hAnsi="Times New Roman" w:cs="Times New Roman"/>
                      <w:color w:val="auto"/>
                      <w:sz w:val="21"/>
                      <w:szCs w:val="21"/>
                      <w:highlight w:val="none"/>
                      <w:lang w:eastAsia="zh-CN"/>
                    </w:rPr>
                    <w:t>废矿物油</w:t>
                  </w:r>
                  <w:r>
                    <w:rPr>
                      <w:rFonts w:hint="eastAsia" w:ascii="Times New Roman" w:hAnsi="Times New Roman" w:cs="Times New Roman"/>
                      <w:color w:val="auto"/>
                      <w:sz w:val="21"/>
                      <w:szCs w:val="21"/>
                      <w:highlight w:val="none"/>
                      <w:lang w:val="en-US" w:eastAsia="zh-CN"/>
                    </w:rPr>
                    <w:t>和废油桶</w:t>
                  </w:r>
                  <w:r>
                    <w:rPr>
                      <w:rFonts w:hint="eastAsia" w:ascii="Times New Roman" w:hAnsi="Times New Roman" w:cs="Times New Roman"/>
                      <w:color w:val="auto"/>
                      <w:sz w:val="21"/>
                      <w:szCs w:val="21"/>
                      <w:highlight w:val="none"/>
                      <w:lang w:eastAsia="zh-CN"/>
                    </w:rPr>
                    <w:t>储存过程中</w:t>
                  </w:r>
                  <w:r>
                    <w:rPr>
                      <w:rFonts w:hint="eastAsia" w:ascii="Times New Roman" w:hAnsi="Times New Roman" w:cs="Times New Roman"/>
                      <w:color w:val="auto"/>
                      <w:sz w:val="21"/>
                      <w:szCs w:val="21"/>
                      <w:highlight w:val="none"/>
                      <w:lang w:val="en-US" w:eastAsia="zh-CN"/>
                    </w:rPr>
                    <w:t>会挥发</w:t>
                  </w:r>
                  <w:r>
                    <w:rPr>
                      <w:rFonts w:hint="eastAsia" w:ascii="Times New Roman" w:hAnsi="Times New Roman" w:cs="Times New Roman"/>
                      <w:color w:val="auto"/>
                      <w:sz w:val="21"/>
                      <w:szCs w:val="21"/>
                      <w:highlight w:val="none"/>
                      <w:lang w:eastAsia="zh-CN"/>
                    </w:rPr>
                    <w:t>产生</w:t>
                  </w:r>
                  <w:r>
                    <w:rPr>
                      <w:rFonts w:hint="eastAsia" w:ascii="Times New Roman" w:hAnsi="Times New Roman" w:cs="Times New Roman"/>
                      <w:color w:val="auto"/>
                      <w:sz w:val="21"/>
                      <w:szCs w:val="21"/>
                      <w:highlight w:val="none"/>
                      <w:lang w:val="en-US" w:eastAsia="zh-CN"/>
                    </w:rPr>
                    <w:t>少量非甲烷总烃</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均采用加盖密封贮存，车间安装防爆换气扇</w:t>
                  </w:r>
                  <w:r>
                    <w:rPr>
                      <w:rFonts w:ascii="Times New Roman" w:hAnsi="Times New Roman" w:cs="Times New Roman"/>
                      <w:color w:val="auto"/>
                      <w:sz w:val="21"/>
                      <w:szCs w:val="21"/>
                      <w:highlight w:val="none"/>
                    </w:rPr>
                    <w:t>，车间安装</w:t>
                  </w:r>
                  <w:r>
                    <w:rPr>
                      <w:rFonts w:hint="eastAsia" w:ascii="Times New Roman" w:hAnsi="Times New Roman" w:cs="Times New Roman"/>
                      <w:color w:val="auto"/>
                      <w:sz w:val="21"/>
                      <w:szCs w:val="21"/>
                      <w:highlight w:val="none"/>
                      <w:lang w:val="en-US" w:eastAsia="zh-CN"/>
                    </w:rPr>
                    <w:t>排</w:t>
                  </w:r>
                  <w:r>
                    <w:rPr>
                      <w:rFonts w:ascii="Times New Roman" w:hAnsi="Times New Roman" w:cs="Times New Roman"/>
                      <w:color w:val="auto"/>
                      <w:sz w:val="21"/>
                      <w:szCs w:val="21"/>
                      <w:highlight w:val="none"/>
                    </w:rPr>
                    <w:t>气扇</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同时在危废暂存间通风口安装活性炭吸附装置，用以去除危废间挥发的有机废气；</w:t>
                  </w:r>
                  <w:r>
                    <w:rPr>
                      <w:rFonts w:ascii="Times New Roman" w:hAnsi="Times New Roman" w:cs="Times New Roman"/>
                      <w:color w:val="auto"/>
                      <w:sz w:val="21"/>
                      <w:szCs w:val="21"/>
                      <w:highlight w:val="none"/>
                    </w:rPr>
                    <w:t>车间无组织非甲烷总烃排放浓度满足《挥发性有机物无组织排放控制标准》（GB37822-2019）附录A中表A.1的限值要求；厂界无组织非甲烷总烃排放浓度满足《大气污染物综合排放标准》（GB16297-1996）表2中无组织排放限值要求。</w:t>
                  </w:r>
                </w:p>
              </w:tc>
              <w:tc>
                <w:tcPr>
                  <w:tcW w:w="469" w:type="pct"/>
                  <w:tcBorders>
                    <w:tl2br w:val="nil"/>
                    <w:tr2bl w:val="nil"/>
                  </w:tcBorders>
                  <w:noWrap/>
                  <w:vAlign w:val="center"/>
                </w:tcPr>
                <w:p w14:paraId="02A2DE51">
                  <w:pPr>
                    <w:overflowPunct w:val="0"/>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14:paraId="1D52006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4" w:hRule="atLeast"/>
              </w:trPr>
              <w:tc>
                <w:tcPr>
                  <w:tcW w:w="488" w:type="pct"/>
                  <w:vMerge w:val="continue"/>
                  <w:tcBorders>
                    <w:tl2br w:val="nil"/>
                    <w:tr2bl w:val="nil"/>
                  </w:tcBorders>
                  <w:noWrap/>
                  <w:vAlign w:val="center"/>
                </w:tcPr>
                <w:p w14:paraId="70670531">
                  <w:pPr>
                    <w:overflowPunct w:val="0"/>
                    <w:adjustRightInd w:val="0"/>
                    <w:snapToGrid w:val="0"/>
                    <w:jc w:val="center"/>
                    <w:rPr>
                      <w:rFonts w:ascii="Times New Roman" w:hAnsi="Times New Roman" w:cs="Times New Roman"/>
                      <w:color w:val="auto"/>
                      <w:sz w:val="21"/>
                      <w:szCs w:val="21"/>
                      <w:highlight w:val="none"/>
                    </w:rPr>
                  </w:pPr>
                </w:p>
              </w:tc>
              <w:tc>
                <w:tcPr>
                  <w:tcW w:w="432" w:type="pct"/>
                  <w:tcBorders>
                    <w:tl2br w:val="nil"/>
                    <w:tr2bl w:val="nil"/>
                  </w:tcBorders>
                  <w:noWrap/>
                  <w:vAlign w:val="center"/>
                </w:tcPr>
                <w:p w14:paraId="712A979D">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废水治理工程</w:t>
                  </w:r>
                </w:p>
              </w:tc>
              <w:tc>
                <w:tcPr>
                  <w:tcW w:w="3610" w:type="pct"/>
                  <w:tcBorders>
                    <w:tl2br w:val="nil"/>
                    <w:tr2bl w:val="nil"/>
                  </w:tcBorders>
                  <w:noWrap/>
                  <w:vAlign w:val="center"/>
                </w:tcPr>
                <w:p w14:paraId="04EBF38F">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本项目无废水产生</w:t>
                  </w:r>
                </w:p>
              </w:tc>
              <w:tc>
                <w:tcPr>
                  <w:tcW w:w="469" w:type="pct"/>
                  <w:tcBorders>
                    <w:tl2br w:val="nil"/>
                    <w:tr2bl w:val="nil"/>
                  </w:tcBorders>
                  <w:noWrap/>
                  <w:vAlign w:val="center"/>
                </w:tcPr>
                <w:p w14:paraId="04791B86">
                  <w:pPr>
                    <w:overflowPunct w:val="0"/>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14:paraId="777E176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9" w:hRule="atLeast"/>
              </w:trPr>
              <w:tc>
                <w:tcPr>
                  <w:tcW w:w="488" w:type="pct"/>
                  <w:vMerge w:val="continue"/>
                  <w:tcBorders>
                    <w:tl2br w:val="nil"/>
                    <w:tr2bl w:val="nil"/>
                  </w:tcBorders>
                  <w:noWrap/>
                  <w:vAlign w:val="center"/>
                </w:tcPr>
                <w:p w14:paraId="36EC4606">
                  <w:pPr>
                    <w:overflowPunct w:val="0"/>
                    <w:adjustRightInd w:val="0"/>
                    <w:snapToGrid w:val="0"/>
                    <w:jc w:val="center"/>
                    <w:rPr>
                      <w:rFonts w:ascii="Times New Roman" w:hAnsi="Times New Roman" w:cs="Times New Roman"/>
                      <w:color w:val="auto"/>
                      <w:sz w:val="21"/>
                      <w:szCs w:val="21"/>
                      <w:highlight w:val="none"/>
                    </w:rPr>
                  </w:pPr>
                </w:p>
              </w:tc>
              <w:tc>
                <w:tcPr>
                  <w:tcW w:w="432" w:type="pct"/>
                  <w:tcBorders>
                    <w:tl2br w:val="nil"/>
                    <w:tr2bl w:val="nil"/>
                  </w:tcBorders>
                  <w:noWrap/>
                  <w:vAlign w:val="center"/>
                </w:tcPr>
                <w:p w14:paraId="545A2314">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噪声治理工程</w:t>
                  </w:r>
                </w:p>
              </w:tc>
              <w:tc>
                <w:tcPr>
                  <w:tcW w:w="3610" w:type="pct"/>
                  <w:tcBorders>
                    <w:tl2br w:val="nil"/>
                    <w:tr2bl w:val="nil"/>
                  </w:tcBorders>
                  <w:noWrap/>
                  <w:vAlign w:val="center"/>
                </w:tcPr>
                <w:p w14:paraId="1CC4B98C">
                  <w:pPr>
                    <w:overflowPunct w:val="0"/>
                    <w:adjustRightInd w:val="0"/>
                    <w:snapToGrid w:val="0"/>
                    <w:jc w:val="center"/>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选用低噪声设备</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限制车速，</w:t>
                  </w:r>
                  <w:r>
                    <w:rPr>
                      <w:rFonts w:hint="default" w:ascii="Times New Roman" w:hAnsi="Times New Roman" w:cs="Times New Roman"/>
                      <w:color w:val="auto"/>
                      <w:sz w:val="21"/>
                      <w:szCs w:val="21"/>
                      <w:highlight w:val="none"/>
                    </w:rPr>
                    <w:t>采用隔声等措施</w:t>
                  </w:r>
                </w:p>
              </w:tc>
              <w:tc>
                <w:tcPr>
                  <w:tcW w:w="469" w:type="pct"/>
                  <w:tcBorders>
                    <w:tl2br w:val="nil"/>
                    <w:tr2bl w:val="nil"/>
                  </w:tcBorders>
                  <w:noWrap/>
                  <w:vAlign w:val="center"/>
                </w:tcPr>
                <w:p w14:paraId="7DD71509">
                  <w:pPr>
                    <w:overflowPunct w:val="0"/>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14:paraId="661E7D3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trPr>
              <w:tc>
                <w:tcPr>
                  <w:tcW w:w="488" w:type="pct"/>
                  <w:vMerge w:val="continue"/>
                  <w:tcBorders>
                    <w:tl2br w:val="nil"/>
                    <w:tr2bl w:val="nil"/>
                  </w:tcBorders>
                  <w:noWrap/>
                  <w:vAlign w:val="center"/>
                </w:tcPr>
                <w:p w14:paraId="7B8D894D">
                  <w:pPr>
                    <w:overflowPunct w:val="0"/>
                    <w:adjustRightInd w:val="0"/>
                    <w:snapToGrid w:val="0"/>
                    <w:jc w:val="center"/>
                    <w:rPr>
                      <w:rFonts w:ascii="Times New Roman" w:hAnsi="Times New Roman" w:cs="Times New Roman"/>
                      <w:color w:val="auto"/>
                      <w:sz w:val="21"/>
                      <w:szCs w:val="21"/>
                      <w:highlight w:val="none"/>
                    </w:rPr>
                  </w:pPr>
                </w:p>
              </w:tc>
              <w:tc>
                <w:tcPr>
                  <w:tcW w:w="432" w:type="pct"/>
                  <w:tcBorders>
                    <w:tl2br w:val="nil"/>
                    <w:tr2bl w:val="nil"/>
                  </w:tcBorders>
                  <w:noWrap/>
                  <w:vAlign w:val="center"/>
                </w:tcPr>
                <w:p w14:paraId="3083BEA4">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固废治理工程</w:t>
                  </w:r>
                </w:p>
              </w:tc>
              <w:tc>
                <w:tcPr>
                  <w:tcW w:w="3610" w:type="pct"/>
                  <w:tcBorders>
                    <w:tl2br w:val="nil"/>
                    <w:tr2bl w:val="nil"/>
                  </w:tcBorders>
                  <w:noWrap/>
                  <w:vAlign w:val="center"/>
                </w:tcPr>
                <w:p w14:paraId="33C7B47E">
                  <w:pPr>
                    <w:overflowPunct w:val="0"/>
                    <w:adjustRightInd w:val="0"/>
                    <w:snapToGrid w:val="0"/>
                    <w:jc w:val="center"/>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w:t>
                  </w:r>
                  <w:r>
                    <w:rPr>
                      <w:rFonts w:hint="eastAsia" w:ascii="Times New Roman" w:hAns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lang w:val="en-US" w:eastAsia="zh-CN"/>
                    </w:rPr>
                    <w:t>危废暂存间，用于存放厂内产生的</w:t>
                  </w:r>
                  <w:r>
                    <w:rPr>
                      <w:rFonts w:hint="eastAsia" w:ascii="Times New Roman" w:hAnsi="Times New Roman" w:cs="Times New Roman"/>
                      <w:color w:val="auto"/>
                      <w:sz w:val="21"/>
                      <w:szCs w:val="21"/>
                      <w:highlight w:val="none"/>
                      <w:lang w:val="en-US" w:eastAsia="zh-CN"/>
                    </w:rPr>
                    <w:t>废矿物油和废油桶</w:t>
                  </w:r>
                  <w:r>
                    <w:rPr>
                      <w:rFonts w:hint="default" w:ascii="Times New Roman" w:hAnsi="Times New Roman" w:cs="Times New Roman"/>
                      <w:color w:val="auto"/>
                      <w:sz w:val="21"/>
                      <w:szCs w:val="21"/>
                      <w:highlight w:val="none"/>
                      <w:lang w:val="en-US" w:eastAsia="zh-CN"/>
                    </w:rPr>
                    <w:t>，桶装，加盖密封，</w:t>
                  </w:r>
                  <w:r>
                    <w:rPr>
                      <w:rFonts w:hint="eastAsia" w:ascii="Times New Roman" w:hAnsi="Times New Roman" w:cs="Times New Roman"/>
                      <w:color w:val="auto"/>
                      <w:sz w:val="21"/>
                      <w:szCs w:val="21"/>
                      <w:highlight w:val="none"/>
                      <w:lang w:val="en-US" w:eastAsia="zh-CN"/>
                    </w:rPr>
                    <w:t>分区</w:t>
                  </w:r>
                  <w:r>
                    <w:rPr>
                      <w:rFonts w:hint="default" w:ascii="Times New Roman" w:hAnsi="Times New Roman" w:cs="Times New Roman"/>
                      <w:color w:val="auto"/>
                      <w:sz w:val="21"/>
                      <w:szCs w:val="21"/>
                      <w:highlight w:val="none"/>
                      <w:lang w:val="en-US" w:eastAsia="zh-CN"/>
                    </w:rPr>
                    <w:t>暂存于</w:t>
                  </w:r>
                  <w:r>
                    <w:rPr>
                      <w:rFonts w:hint="eastAsia" w:ascii="Times New Roman" w:hAnsi="Times New Roman" w:cs="Times New Roman"/>
                      <w:color w:val="auto"/>
                      <w:sz w:val="21"/>
                      <w:szCs w:val="21"/>
                      <w:highlight w:val="none"/>
                      <w:lang w:val="en-US" w:eastAsia="zh-CN"/>
                    </w:rPr>
                    <w:t>危废暂存间内</w:t>
                  </w:r>
                  <w:r>
                    <w:rPr>
                      <w:rFonts w:hint="default" w:ascii="Times New Roman" w:hAnsi="Times New Roman" w:cs="Times New Roman"/>
                      <w:color w:val="auto"/>
                      <w:sz w:val="21"/>
                      <w:szCs w:val="21"/>
                      <w:highlight w:val="none"/>
                      <w:lang w:val="en-US" w:eastAsia="zh-CN"/>
                    </w:rPr>
                    <w:t>，不对其进一步处理，暂存后委托有资质的单位对其进行处置</w:t>
                  </w:r>
                  <w:r>
                    <w:rPr>
                      <w:rFonts w:hint="eastAsia" w:ascii="Times New Roman" w:hAnsi="Times New Roman" w:cs="Times New Roman"/>
                      <w:color w:val="auto"/>
                      <w:sz w:val="21"/>
                      <w:szCs w:val="21"/>
                      <w:highlight w:val="none"/>
                      <w:lang w:val="en-US" w:eastAsia="zh-CN"/>
                    </w:rPr>
                    <w:t>；</w:t>
                  </w:r>
                  <w:r>
                    <w:rPr>
                      <w:rFonts w:hint="eastAsia" w:cstheme="minorBidi"/>
                      <w:color w:val="auto"/>
                      <w:kern w:val="2"/>
                      <w:sz w:val="21"/>
                      <w:szCs w:val="21"/>
                      <w:highlight w:val="none"/>
                      <w:lang w:val="en-US" w:eastAsia="zh-CN" w:bidi="ar-SA"/>
                    </w:rPr>
                    <w:t>废活性炭每年更换一次，更换后直接交由有资质单位进行处置，不在厂区内贮存</w:t>
                  </w:r>
                  <w:r>
                    <w:rPr>
                      <w:rFonts w:hint="eastAsia" w:ascii="Times New Roman" w:hAnsi="Times New Roman" w:cs="Times New Roman"/>
                      <w:color w:val="auto"/>
                      <w:sz w:val="21"/>
                      <w:szCs w:val="21"/>
                      <w:highlight w:val="none"/>
                      <w:lang w:val="en-US" w:eastAsia="zh-CN"/>
                    </w:rPr>
                    <w:t>。</w:t>
                  </w:r>
                </w:p>
              </w:tc>
              <w:tc>
                <w:tcPr>
                  <w:tcW w:w="469" w:type="pct"/>
                  <w:tcBorders>
                    <w:tl2br w:val="nil"/>
                    <w:tr2bl w:val="nil"/>
                  </w:tcBorders>
                  <w:noWrap/>
                  <w:vAlign w:val="center"/>
                </w:tcPr>
                <w:p w14:paraId="33C8D23A">
                  <w:pPr>
                    <w:overflowPunct w:val="0"/>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14:paraId="78519CC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99" w:hRule="atLeast"/>
              </w:trPr>
              <w:tc>
                <w:tcPr>
                  <w:tcW w:w="488" w:type="pct"/>
                  <w:vMerge w:val="continue"/>
                  <w:tcBorders>
                    <w:tl2br w:val="nil"/>
                    <w:tr2bl w:val="nil"/>
                  </w:tcBorders>
                  <w:noWrap/>
                  <w:vAlign w:val="center"/>
                </w:tcPr>
                <w:p w14:paraId="5D6D1FD1">
                  <w:pPr>
                    <w:overflowPunct w:val="0"/>
                    <w:adjustRightInd w:val="0"/>
                    <w:snapToGrid w:val="0"/>
                    <w:jc w:val="center"/>
                    <w:rPr>
                      <w:rFonts w:ascii="Times New Roman" w:hAnsi="Times New Roman" w:cs="Times New Roman"/>
                      <w:color w:val="auto"/>
                      <w:sz w:val="21"/>
                      <w:szCs w:val="21"/>
                      <w:highlight w:val="none"/>
                    </w:rPr>
                  </w:pPr>
                </w:p>
              </w:tc>
              <w:tc>
                <w:tcPr>
                  <w:tcW w:w="432" w:type="pct"/>
                  <w:tcBorders>
                    <w:tl2br w:val="nil"/>
                    <w:tr2bl w:val="nil"/>
                  </w:tcBorders>
                  <w:noWrap/>
                  <w:vAlign w:val="center"/>
                </w:tcPr>
                <w:p w14:paraId="4075C9A5">
                  <w:pPr>
                    <w:overflowPunct w:val="0"/>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环境风险</w:t>
                  </w:r>
                </w:p>
              </w:tc>
              <w:tc>
                <w:tcPr>
                  <w:tcW w:w="3610" w:type="pct"/>
                  <w:tcBorders>
                    <w:tl2br w:val="nil"/>
                    <w:tr2bl w:val="nil"/>
                  </w:tcBorders>
                  <w:noWrap/>
                  <w:vAlign w:val="center"/>
                </w:tcPr>
                <w:p w14:paraId="29B18D43">
                  <w:pPr>
                    <w:overflowPunct w:val="0"/>
                    <w:adjustRightInd w:val="0"/>
                    <w:snapToGrid w:val="0"/>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废矿物油</w:t>
                  </w:r>
                  <w:r>
                    <w:rPr>
                      <w:rFonts w:ascii="Times New Roman" w:hAnsi="Times New Roman" w:cs="Times New Roman"/>
                      <w:color w:val="auto"/>
                      <w:sz w:val="21"/>
                      <w:szCs w:val="21"/>
                      <w:highlight w:val="none"/>
                    </w:rPr>
                    <w:t>包装桶</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密封贮存</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防止事故状态下</w:t>
                  </w:r>
                  <w:r>
                    <w:rPr>
                      <w:rFonts w:hint="eastAsia" w:ascii="Times New Roman" w:hAnsi="Times New Roman" w:cs="Times New Roman"/>
                      <w:color w:val="auto"/>
                      <w:sz w:val="21"/>
                      <w:szCs w:val="21"/>
                      <w:highlight w:val="none"/>
                    </w:rPr>
                    <w:t>废矿物油</w:t>
                  </w:r>
                  <w:r>
                    <w:rPr>
                      <w:rFonts w:hint="eastAsia" w:ascii="Times New Roman" w:hAnsi="Times New Roman" w:cs="Times New Roman"/>
                      <w:color w:val="auto"/>
                      <w:sz w:val="21"/>
                      <w:szCs w:val="21"/>
                      <w:highlight w:val="none"/>
                      <w:lang w:eastAsia="zh-CN"/>
                    </w:rPr>
                    <w:t>泄漏</w:t>
                  </w:r>
                  <w:r>
                    <w:rPr>
                      <w:rFonts w:ascii="Times New Roman" w:hAnsi="Times New Roman" w:cs="Times New Roman"/>
                      <w:color w:val="auto"/>
                      <w:sz w:val="21"/>
                      <w:szCs w:val="21"/>
                      <w:highlight w:val="none"/>
                    </w:rPr>
                    <w:t>至地下水体，存放区设置警示标志，危险废物标识参照《</w:t>
                  </w:r>
                  <w:r>
                    <w:rPr>
                      <w:rFonts w:hint="eastAsia" w:ascii="Times New Roman" w:hAnsi="Times New Roman" w:cs="Times New Roman"/>
                      <w:color w:val="auto"/>
                      <w:sz w:val="21"/>
                      <w:szCs w:val="21"/>
                      <w:highlight w:val="none"/>
                    </w:rPr>
                    <w:t>危险废物识别标志设置技术规范</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HJ 1276-2022</w:t>
                  </w:r>
                  <w:r>
                    <w:rPr>
                      <w:rFonts w:ascii="Times New Roman" w:hAnsi="Times New Roman" w:cs="Times New Roman"/>
                      <w:color w:val="auto"/>
                      <w:sz w:val="21"/>
                      <w:szCs w:val="21"/>
                      <w:highlight w:val="none"/>
                    </w:rPr>
                    <w:t>）附录A危险废物标签</w:t>
                  </w:r>
                  <w:r>
                    <w:rPr>
                      <w:rFonts w:hint="eastAsia" w:ascii="Times New Roman" w:hAnsi="Times New Roman" w:cs="Times New Roman"/>
                      <w:color w:val="auto"/>
                      <w:sz w:val="21"/>
                      <w:szCs w:val="21"/>
                      <w:highlight w:val="none"/>
                    </w:rPr>
                    <w:t>。</w:t>
                  </w:r>
                </w:p>
              </w:tc>
              <w:tc>
                <w:tcPr>
                  <w:tcW w:w="469" w:type="pct"/>
                  <w:tcBorders>
                    <w:tl2br w:val="nil"/>
                    <w:tr2bl w:val="nil"/>
                  </w:tcBorders>
                  <w:noWrap/>
                  <w:vAlign w:val="center"/>
                </w:tcPr>
                <w:p w14:paraId="4AA852EC">
                  <w:pPr>
                    <w:overflowPunct w:val="0"/>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bl>
          <w:p w14:paraId="0FA1E9C1">
            <w:pPr>
              <w:snapToGrid w:val="0"/>
              <w:spacing w:line="360" w:lineRule="auto"/>
              <w:ind w:firstLine="482" w:firstLineChars="200"/>
              <w:rPr>
                <w:rFonts w:ascii="Times New Roman" w:hAnsi="Times New Roman" w:cs="Times New Roman"/>
                <w:b/>
                <w:bCs/>
                <w:color w:val="auto"/>
                <w:highlight w:val="none"/>
              </w:rPr>
            </w:pPr>
            <w:r>
              <w:rPr>
                <w:rFonts w:hint="eastAsia" w:ascii="Times New Roman" w:hAnsi="Times New Roman" w:cs="Times New Roman"/>
                <w:b/>
                <w:bCs/>
                <w:color w:val="auto"/>
                <w:highlight w:val="none"/>
              </w:rPr>
              <w:t>四</w:t>
            </w:r>
            <w:r>
              <w:rPr>
                <w:rFonts w:ascii="Times New Roman" w:hAnsi="Times New Roman" w:cs="Times New Roman"/>
                <w:b/>
                <w:bCs/>
                <w:color w:val="auto"/>
                <w:highlight w:val="none"/>
              </w:rPr>
              <w:t>、主要经济技术指标</w:t>
            </w:r>
          </w:p>
          <w:p w14:paraId="15155ADC">
            <w:pPr>
              <w:snapToGrid w:val="0"/>
              <w:spacing w:line="360" w:lineRule="auto"/>
              <w:ind w:firstLine="480" w:firstLineChars="200"/>
              <w:rPr>
                <w:color w:val="auto"/>
                <w:highlight w:val="none"/>
              </w:rPr>
            </w:pPr>
            <w:r>
              <w:rPr>
                <w:color w:val="auto"/>
                <w:highlight w:val="none"/>
              </w:rPr>
              <w:t>项目主要经济技术指标见下表。</w:t>
            </w:r>
          </w:p>
          <w:p w14:paraId="3A2759A3">
            <w:pPr>
              <w:snapToGrid w:val="0"/>
              <w:spacing w:line="360" w:lineRule="auto"/>
              <w:jc w:val="center"/>
              <w:rPr>
                <w:rFonts w:ascii="Times New Roman" w:hAnsi="Times New Roman" w:cs="Times New Roman"/>
                <w:b/>
                <w:color w:val="auto"/>
                <w:highlight w:val="none"/>
              </w:rPr>
            </w:pPr>
            <w:r>
              <w:rPr>
                <w:rFonts w:ascii="Times New Roman" w:hAnsi="Times New Roman" w:cs="Times New Roman"/>
                <w:b/>
                <w:color w:val="auto"/>
                <w:highlight w:val="none"/>
              </w:rPr>
              <w:t>表</w:t>
            </w:r>
            <w:r>
              <w:rPr>
                <w:rFonts w:hint="eastAsia" w:ascii="Times New Roman" w:hAnsi="Times New Roman" w:cs="Times New Roman"/>
                <w:b/>
                <w:color w:val="auto"/>
                <w:highlight w:val="none"/>
                <w:lang w:val="en-US" w:eastAsia="zh-CN"/>
              </w:rPr>
              <w:t>7</w:t>
            </w:r>
            <w:r>
              <w:rPr>
                <w:rFonts w:ascii="Times New Roman" w:hAnsi="Times New Roman" w:cs="Times New Roman"/>
                <w:b/>
                <w:color w:val="auto"/>
                <w:highlight w:val="none"/>
              </w:rPr>
              <w:t xml:space="preserve">  主要技术经济指标</w:t>
            </w:r>
          </w:p>
          <w:tbl>
            <w:tblPr>
              <w:tblStyle w:val="24"/>
              <w:tblW w:w="4998"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1861"/>
              <w:gridCol w:w="1137"/>
              <w:gridCol w:w="932"/>
              <w:gridCol w:w="3280"/>
            </w:tblGrid>
            <w:tr w14:paraId="5220DA1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72" w:type="pct"/>
                  <w:tcBorders>
                    <w:tl2br w:val="nil"/>
                    <w:tr2bl w:val="nil"/>
                  </w:tcBorders>
                  <w:vAlign w:val="center"/>
                </w:tcPr>
                <w:p w14:paraId="74EA5D88">
                  <w:pPr>
                    <w:overflowPunct w:val="0"/>
                    <w:adjustRightInd w:val="0"/>
                    <w:snapToGrid w:val="0"/>
                    <w:jc w:val="center"/>
                    <w:rPr>
                      <w:color w:val="auto"/>
                      <w:sz w:val="21"/>
                      <w:szCs w:val="21"/>
                      <w:highlight w:val="none"/>
                    </w:rPr>
                  </w:pPr>
                  <w:r>
                    <w:rPr>
                      <w:color w:val="auto"/>
                      <w:sz w:val="21"/>
                      <w:szCs w:val="21"/>
                      <w:highlight w:val="none"/>
                    </w:rPr>
                    <w:t>序号</w:t>
                  </w:r>
                </w:p>
              </w:tc>
              <w:tc>
                <w:tcPr>
                  <w:tcW w:w="1142" w:type="pct"/>
                  <w:tcBorders>
                    <w:tl2br w:val="nil"/>
                    <w:tr2bl w:val="nil"/>
                  </w:tcBorders>
                  <w:vAlign w:val="center"/>
                </w:tcPr>
                <w:p w14:paraId="55381C2C">
                  <w:pPr>
                    <w:overflowPunct w:val="0"/>
                    <w:adjustRightInd w:val="0"/>
                    <w:snapToGrid w:val="0"/>
                    <w:jc w:val="center"/>
                    <w:rPr>
                      <w:color w:val="auto"/>
                      <w:sz w:val="21"/>
                      <w:szCs w:val="21"/>
                      <w:highlight w:val="none"/>
                    </w:rPr>
                  </w:pPr>
                  <w:r>
                    <w:rPr>
                      <w:color w:val="auto"/>
                      <w:sz w:val="21"/>
                      <w:szCs w:val="21"/>
                      <w:highlight w:val="none"/>
                    </w:rPr>
                    <w:t>名称</w:t>
                  </w:r>
                </w:p>
              </w:tc>
              <w:tc>
                <w:tcPr>
                  <w:tcW w:w="698" w:type="pct"/>
                  <w:tcBorders>
                    <w:tl2br w:val="nil"/>
                    <w:tr2bl w:val="nil"/>
                  </w:tcBorders>
                  <w:vAlign w:val="center"/>
                </w:tcPr>
                <w:p w14:paraId="60C911CB">
                  <w:pPr>
                    <w:overflowPunct w:val="0"/>
                    <w:adjustRightInd w:val="0"/>
                    <w:snapToGrid w:val="0"/>
                    <w:jc w:val="center"/>
                    <w:rPr>
                      <w:color w:val="auto"/>
                      <w:sz w:val="21"/>
                      <w:szCs w:val="21"/>
                      <w:highlight w:val="none"/>
                    </w:rPr>
                  </w:pPr>
                  <w:r>
                    <w:rPr>
                      <w:color w:val="auto"/>
                      <w:sz w:val="21"/>
                      <w:szCs w:val="21"/>
                      <w:highlight w:val="none"/>
                    </w:rPr>
                    <w:t>单位</w:t>
                  </w:r>
                </w:p>
              </w:tc>
              <w:tc>
                <w:tcPr>
                  <w:tcW w:w="572" w:type="pct"/>
                  <w:tcBorders>
                    <w:tl2br w:val="nil"/>
                    <w:tr2bl w:val="nil"/>
                  </w:tcBorders>
                  <w:vAlign w:val="center"/>
                </w:tcPr>
                <w:p w14:paraId="66CB1251">
                  <w:pPr>
                    <w:overflowPunct w:val="0"/>
                    <w:adjustRightInd w:val="0"/>
                    <w:snapToGrid w:val="0"/>
                    <w:jc w:val="center"/>
                    <w:rPr>
                      <w:color w:val="auto"/>
                      <w:sz w:val="21"/>
                      <w:szCs w:val="21"/>
                      <w:highlight w:val="none"/>
                    </w:rPr>
                  </w:pPr>
                  <w:r>
                    <w:rPr>
                      <w:color w:val="auto"/>
                      <w:sz w:val="21"/>
                      <w:szCs w:val="21"/>
                      <w:highlight w:val="none"/>
                    </w:rPr>
                    <w:t>数量</w:t>
                  </w:r>
                </w:p>
              </w:tc>
              <w:tc>
                <w:tcPr>
                  <w:tcW w:w="2013" w:type="pct"/>
                  <w:tcBorders>
                    <w:tl2br w:val="nil"/>
                    <w:tr2bl w:val="nil"/>
                  </w:tcBorders>
                  <w:vAlign w:val="center"/>
                </w:tcPr>
                <w:p w14:paraId="421DA38C">
                  <w:pPr>
                    <w:overflowPunct w:val="0"/>
                    <w:adjustRightInd w:val="0"/>
                    <w:snapToGrid w:val="0"/>
                    <w:jc w:val="center"/>
                    <w:rPr>
                      <w:color w:val="auto"/>
                      <w:sz w:val="21"/>
                      <w:szCs w:val="21"/>
                      <w:highlight w:val="none"/>
                    </w:rPr>
                  </w:pPr>
                  <w:r>
                    <w:rPr>
                      <w:color w:val="auto"/>
                      <w:sz w:val="21"/>
                      <w:szCs w:val="21"/>
                      <w:highlight w:val="none"/>
                    </w:rPr>
                    <w:t>备注</w:t>
                  </w:r>
                </w:p>
              </w:tc>
            </w:tr>
            <w:tr w14:paraId="2C2C338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572" w:type="pct"/>
                  <w:tcBorders>
                    <w:tl2br w:val="nil"/>
                    <w:tr2bl w:val="nil"/>
                  </w:tcBorders>
                  <w:vAlign w:val="center"/>
                </w:tcPr>
                <w:p w14:paraId="24A804BD">
                  <w:pPr>
                    <w:overflowPunct w:val="0"/>
                    <w:adjustRightInd w:val="0"/>
                    <w:snapToGrid w:val="0"/>
                    <w:jc w:val="center"/>
                    <w:rPr>
                      <w:color w:val="auto"/>
                      <w:sz w:val="21"/>
                      <w:szCs w:val="21"/>
                      <w:highlight w:val="none"/>
                    </w:rPr>
                  </w:pPr>
                  <w:r>
                    <w:rPr>
                      <w:rFonts w:ascii="Times New Roman" w:hAnsi="Times New Roman" w:cs="Times New Roman"/>
                      <w:color w:val="auto"/>
                      <w:sz w:val="21"/>
                      <w:szCs w:val="21"/>
                      <w:highlight w:val="none"/>
                    </w:rPr>
                    <w:t>1</w:t>
                  </w:r>
                </w:p>
              </w:tc>
              <w:tc>
                <w:tcPr>
                  <w:tcW w:w="1142" w:type="pct"/>
                  <w:tcBorders>
                    <w:tl2br w:val="nil"/>
                    <w:tr2bl w:val="nil"/>
                  </w:tcBorders>
                  <w:vAlign w:val="center"/>
                </w:tcPr>
                <w:p w14:paraId="513D5CBA">
                  <w:pPr>
                    <w:overflowPunct w:val="0"/>
                    <w:adjustRightInd w:val="0"/>
                    <w:snapToGrid w:val="0"/>
                    <w:jc w:val="center"/>
                    <w:rPr>
                      <w:color w:val="auto"/>
                      <w:sz w:val="21"/>
                      <w:szCs w:val="21"/>
                      <w:highlight w:val="none"/>
                    </w:rPr>
                  </w:pPr>
                  <w:r>
                    <w:rPr>
                      <w:color w:val="auto"/>
                      <w:sz w:val="21"/>
                      <w:szCs w:val="21"/>
                      <w:highlight w:val="none"/>
                    </w:rPr>
                    <w:t>占地面积</w:t>
                  </w:r>
                </w:p>
              </w:tc>
              <w:tc>
                <w:tcPr>
                  <w:tcW w:w="698" w:type="pct"/>
                  <w:tcBorders>
                    <w:tl2br w:val="nil"/>
                    <w:tr2bl w:val="nil"/>
                  </w:tcBorders>
                  <w:vAlign w:val="center"/>
                </w:tcPr>
                <w:p w14:paraId="70DF51BA">
                  <w:pPr>
                    <w:overflowPunct w:val="0"/>
                    <w:adjustRightInd w:val="0"/>
                    <w:snapToGrid w:val="0"/>
                    <w:jc w:val="center"/>
                    <w:rPr>
                      <w:color w:val="auto"/>
                      <w:sz w:val="21"/>
                      <w:szCs w:val="21"/>
                      <w:highlight w:val="none"/>
                    </w:rPr>
                  </w:pP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2</w:t>
                  </w:r>
                </w:p>
              </w:tc>
              <w:tc>
                <w:tcPr>
                  <w:tcW w:w="572" w:type="pct"/>
                  <w:tcBorders>
                    <w:tl2br w:val="nil"/>
                    <w:tr2bl w:val="nil"/>
                  </w:tcBorders>
                  <w:vAlign w:val="center"/>
                </w:tcPr>
                <w:p w14:paraId="6F00AB5F">
                  <w:pPr>
                    <w:overflowPunct w:val="0"/>
                    <w:adjustRightInd w:val="0"/>
                    <w:snapToGrid w:val="0"/>
                    <w:jc w:val="center"/>
                    <w:rPr>
                      <w:rFonts w:hint="default" w:eastAsia="宋体"/>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c>
                <w:tcPr>
                  <w:tcW w:w="2013" w:type="pct"/>
                  <w:tcBorders>
                    <w:tl2br w:val="nil"/>
                    <w:tr2bl w:val="nil"/>
                  </w:tcBorders>
                  <w:vAlign w:val="center"/>
                </w:tcPr>
                <w:p w14:paraId="1B34E19D">
                  <w:pPr>
                    <w:overflowPunct w:val="0"/>
                    <w:adjustRightInd w:val="0"/>
                    <w:snapToGrid w:val="0"/>
                    <w:jc w:val="center"/>
                    <w:rPr>
                      <w:rFonts w:hint="default"/>
                      <w:color w:val="auto"/>
                      <w:sz w:val="21"/>
                      <w:szCs w:val="21"/>
                      <w:highlight w:val="none"/>
                      <w:lang w:val="en-US"/>
                    </w:rPr>
                  </w:pPr>
                  <w:r>
                    <w:rPr>
                      <w:color w:val="auto"/>
                      <w:sz w:val="21"/>
                      <w:szCs w:val="21"/>
                      <w:highlight w:val="none"/>
                    </w:rPr>
                    <w:t>用于存放</w:t>
                  </w:r>
                  <w:r>
                    <w:rPr>
                      <w:rFonts w:hint="eastAsia"/>
                      <w:color w:val="auto"/>
                      <w:sz w:val="21"/>
                      <w:szCs w:val="21"/>
                      <w:highlight w:val="none"/>
                      <w:lang w:eastAsia="zh-CN"/>
                    </w:rPr>
                    <w:t>废矿物油</w:t>
                  </w:r>
                  <w:r>
                    <w:rPr>
                      <w:rFonts w:hint="eastAsia"/>
                      <w:color w:val="auto"/>
                      <w:sz w:val="21"/>
                      <w:szCs w:val="21"/>
                      <w:highlight w:val="none"/>
                      <w:lang w:val="en-US" w:eastAsia="zh-CN"/>
                    </w:rPr>
                    <w:t>和废油桶</w:t>
                  </w:r>
                </w:p>
              </w:tc>
            </w:tr>
            <w:tr w14:paraId="4FFC70D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572" w:type="pct"/>
                  <w:tcBorders>
                    <w:tl2br w:val="nil"/>
                    <w:tr2bl w:val="nil"/>
                  </w:tcBorders>
                  <w:vAlign w:val="center"/>
                </w:tcPr>
                <w:p w14:paraId="4F402EB5">
                  <w:pPr>
                    <w:overflowPunct w:val="0"/>
                    <w:adjustRightInd w:val="0"/>
                    <w:snapToGrid w:val="0"/>
                    <w:jc w:val="center"/>
                    <w:rPr>
                      <w:color w:val="auto"/>
                      <w:sz w:val="21"/>
                      <w:szCs w:val="21"/>
                      <w:highlight w:val="none"/>
                    </w:rPr>
                  </w:pPr>
                  <w:r>
                    <w:rPr>
                      <w:rFonts w:ascii="Times New Roman" w:hAnsi="Times New Roman" w:cs="Times New Roman"/>
                      <w:color w:val="auto"/>
                      <w:sz w:val="21"/>
                      <w:szCs w:val="21"/>
                      <w:highlight w:val="none"/>
                    </w:rPr>
                    <w:t>2</w:t>
                  </w:r>
                </w:p>
              </w:tc>
              <w:tc>
                <w:tcPr>
                  <w:tcW w:w="1142" w:type="pct"/>
                  <w:tcBorders>
                    <w:tl2br w:val="nil"/>
                    <w:tr2bl w:val="nil"/>
                  </w:tcBorders>
                  <w:vAlign w:val="center"/>
                </w:tcPr>
                <w:p w14:paraId="282822FB">
                  <w:pPr>
                    <w:overflowPunct w:val="0"/>
                    <w:adjustRightInd w:val="0"/>
                    <w:snapToGrid w:val="0"/>
                    <w:jc w:val="center"/>
                    <w:rPr>
                      <w:color w:val="auto"/>
                      <w:sz w:val="21"/>
                      <w:szCs w:val="21"/>
                      <w:highlight w:val="none"/>
                    </w:rPr>
                  </w:pPr>
                  <w:r>
                    <w:rPr>
                      <w:color w:val="auto"/>
                      <w:sz w:val="21"/>
                      <w:szCs w:val="21"/>
                      <w:highlight w:val="none"/>
                    </w:rPr>
                    <w:t>建筑物结构</w:t>
                  </w:r>
                </w:p>
              </w:tc>
              <w:tc>
                <w:tcPr>
                  <w:tcW w:w="698" w:type="pct"/>
                  <w:tcBorders>
                    <w:tl2br w:val="nil"/>
                    <w:tr2bl w:val="nil"/>
                  </w:tcBorders>
                  <w:vAlign w:val="center"/>
                </w:tcPr>
                <w:p w14:paraId="27397503">
                  <w:pPr>
                    <w:overflowPunct w:val="0"/>
                    <w:adjustRightInd w:val="0"/>
                    <w:snapToGrid w:val="0"/>
                    <w:jc w:val="center"/>
                    <w:rPr>
                      <w:color w:val="auto"/>
                      <w:sz w:val="21"/>
                      <w:szCs w:val="21"/>
                      <w:highlight w:val="none"/>
                    </w:rPr>
                  </w:pPr>
                  <w:r>
                    <w:rPr>
                      <w:rFonts w:ascii="Times New Roman" w:hAnsi="Times New Roman" w:cs="Times New Roman"/>
                      <w:color w:val="auto"/>
                      <w:sz w:val="21"/>
                      <w:szCs w:val="21"/>
                      <w:highlight w:val="none"/>
                    </w:rPr>
                    <w:t>m</w:t>
                  </w:r>
                  <w:r>
                    <w:rPr>
                      <w:rFonts w:ascii="Times New Roman" w:hAnsi="Times New Roman" w:cs="Times New Roman"/>
                      <w:color w:val="auto"/>
                      <w:sz w:val="21"/>
                      <w:szCs w:val="21"/>
                      <w:highlight w:val="none"/>
                      <w:vertAlign w:val="superscript"/>
                    </w:rPr>
                    <w:t>2</w:t>
                  </w:r>
                </w:p>
              </w:tc>
              <w:tc>
                <w:tcPr>
                  <w:tcW w:w="572" w:type="pct"/>
                  <w:tcBorders>
                    <w:tl2br w:val="nil"/>
                    <w:tr2bl w:val="nil"/>
                  </w:tcBorders>
                  <w:vAlign w:val="center"/>
                </w:tcPr>
                <w:p w14:paraId="72389530">
                  <w:pPr>
                    <w:overflowPunct w:val="0"/>
                    <w:adjustRightInd w:val="0"/>
                    <w:snapToGrid w:val="0"/>
                    <w:jc w:val="center"/>
                    <w:rPr>
                      <w:rFonts w:hint="default" w:eastAsia="宋体"/>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c>
                <w:tcPr>
                  <w:tcW w:w="2013" w:type="pct"/>
                  <w:tcBorders>
                    <w:tl2br w:val="nil"/>
                    <w:tr2bl w:val="nil"/>
                  </w:tcBorders>
                  <w:vAlign w:val="center"/>
                </w:tcPr>
                <w:p w14:paraId="34C3F474">
                  <w:pPr>
                    <w:overflowPunct w:val="0"/>
                    <w:adjustRightInd w:val="0"/>
                    <w:snapToGrid w:val="0"/>
                    <w:jc w:val="center"/>
                    <w:rPr>
                      <w:color w:val="auto"/>
                      <w:sz w:val="21"/>
                      <w:szCs w:val="21"/>
                      <w:highlight w:val="none"/>
                    </w:rPr>
                  </w:pPr>
                  <w:r>
                    <w:rPr>
                      <w:rFonts w:hint="eastAsia"/>
                      <w:color w:val="auto"/>
                      <w:sz w:val="21"/>
                      <w:szCs w:val="21"/>
                      <w:highlight w:val="none"/>
                      <w:lang w:val="en-US" w:eastAsia="zh-CN"/>
                    </w:rPr>
                    <w:t>钢</w:t>
                  </w:r>
                  <w:r>
                    <w:rPr>
                      <w:rFonts w:hint="eastAsia"/>
                      <w:color w:val="auto"/>
                      <w:sz w:val="21"/>
                      <w:szCs w:val="21"/>
                      <w:highlight w:val="none"/>
                    </w:rPr>
                    <w:t>结构</w:t>
                  </w:r>
                </w:p>
              </w:tc>
            </w:tr>
            <w:tr w14:paraId="5F48D50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572" w:type="pct"/>
                  <w:tcBorders>
                    <w:tl2br w:val="nil"/>
                    <w:tr2bl w:val="nil"/>
                  </w:tcBorders>
                  <w:vAlign w:val="center"/>
                </w:tcPr>
                <w:p w14:paraId="213517A9">
                  <w:pPr>
                    <w:overflowPunct w:val="0"/>
                    <w:adjustRightInd w:val="0"/>
                    <w:snapToGrid w:val="0"/>
                    <w:jc w:val="center"/>
                    <w:rPr>
                      <w:color w:val="auto"/>
                      <w:sz w:val="21"/>
                      <w:szCs w:val="21"/>
                      <w:highlight w:val="none"/>
                    </w:rPr>
                  </w:pPr>
                  <w:r>
                    <w:rPr>
                      <w:rFonts w:ascii="Times New Roman" w:hAnsi="Times New Roman" w:cs="Times New Roman"/>
                      <w:color w:val="auto"/>
                      <w:sz w:val="21"/>
                      <w:szCs w:val="21"/>
                      <w:highlight w:val="none"/>
                    </w:rPr>
                    <w:t>3</w:t>
                  </w:r>
                </w:p>
              </w:tc>
              <w:tc>
                <w:tcPr>
                  <w:tcW w:w="1142" w:type="pct"/>
                  <w:tcBorders>
                    <w:tl2br w:val="nil"/>
                    <w:tr2bl w:val="nil"/>
                  </w:tcBorders>
                  <w:vAlign w:val="center"/>
                </w:tcPr>
                <w:p w14:paraId="66F42B50">
                  <w:pPr>
                    <w:overflowPunct w:val="0"/>
                    <w:adjustRightInd w:val="0"/>
                    <w:snapToGrid w:val="0"/>
                    <w:jc w:val="center"/>
                    <w:rPr>
                      <w:color w:val="auto"/>
                      <w:sz w:val="21"/>
                      <w:szCs w:val="21"/>
                      <w:highlight w:val="none"/>
                    </w:rPr>
                  </w:pPr>
                  <w:r>
                    <w:rPr>
                      <w:color w:val="auto"/>
                      <w:sz w:val="21"/>
                      <w:szCs w:val="21"/>
                      <w:highlight w:val="none"/>
                    </w:rPr>
                    <w:t>项目总投资</w:t>
                  </w:r>
                </w:p>
              </w:tc>
              <w:tc>
                <w:tcPr>
                  <w:tcW w:w="698" w:type="pct"/>
                  <w:tcBorders>
                    <w:tl2br w:val="nil"/>
                    <w:tr2bl w:val="nil"/>
                  </w:tcBorders>
                  <w:vAlign w:val="center"/>
                </w:tcPr>
                <w:p w14:paraId="4A16E488">
                  <w:pPr>
                    <w:overflowPunct w:val="0"/>
                    <w:adjustRightInd w:val="0"/>
                    <w:snapToGrid w:val="0"/>
                    <w:jc w:val="center"/>
                    <w:rPr>
                      <w:color w:val="auto"/>
                      <w:sz w:val="21"/>
                      <w:szCs w:val="21"/>
                      <w:highlight w:val="none"/>
                    </w:rPr>
                  </w:pPr>
                  <w:r>
                    <w:rPr>
                      <w:rFonts w:hint="eastAsia"/>
                      <w:color w:val="auto"/>
                      <w:sz w:val="21"/>
                      <w:szCs w:val="21"/>
                      <w:highlight w:val="none"/>
                    </w:rPr>
                    <w:t>万</w:t>
                  </w:r>
                  <w:r>
                    <w:rPr>
                      <w:color w:val="auto"/>
                      <w:sz w:val="21"/>
                      <w:szCs w:val="21"/>
                      <w:highlight w:val="none"/>
                    </w:rPr>
                    <w:t>元</w:t>
                  </w:r>
                </w:p>
              </w:tc>
              <w:tc>
                <w:tcPr>
                  <w:tcW w:w="572" w:type="pct"/>
                  <w:tcBorders>
                    <w:tl2br w:val="nil"/>
                    <w:tr2bl w:val="nil"/>
                  </w:tcBorders>
                  <w:vAlign w:val="center"/>
                </w:tcPr>
                <w:p w14:paraId="42E0854D">
                  <w:pPr>
                    <w:overflowPunct w:val="0"/>
                    <w:adjustRightInd w:val="0"/>
                    <w:snapToGrid w:val="0"/>
                    <w:jc w:val="center"/>
                    <w:rPr>
                      <w:rFonts w:hint="default" w:eastAsia="宋体"/>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2013" w:type="pct"/>
                  <w:tcBorders>
                    <w:tl2br w:val="nil"/>
                    <w:tr2bl w:val="nil"/>
                  </w:tcBorders>
                  <w:vAlign w:val="center"/>
                </w:tcPr>
                <w:p w14:paraId="2D8A56B2">
                  <w:pPr>
                    <w:overflowPunct w:val="0"/>
                    <w:adjustRightInd w:val="0"/>
                    <w:snapToGrid w:val="0"/>
                    <w:jc w:val="center"/>
                    <w:rPr>
                      <w:color w:val="auto"/>
                      <w:sz w:val="21"/>
                      <w:szCs w:val="21"/>
                      <w:highlight w:val="none"/>
                    </w:rPr>
                  </w:pPr>
                  <w:r>
                    <w:rPr>
                      <w:color w:val="auto"/>
                      <w:sz w:val="21"/>
                      <w:szCs w:val="21"/>
                      <w:highlight w:val="none"/>
                    </w:rPr>
                    <w:t>—</w:t>
                  </w:r>
                </w:p>
              </w:tc>
            </w:tr>
            <w:tr w14:paraId="076B9FD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572" w:type="pct"/>
                  <w:tcBorders>
                    <w:tl2br w:val="nil"/>
                    <w:tr2bl w:val="nil"/>
                  </w:tcBorders>
                  <w:vAlign w:val="center"/>
                </w:tcPr>
                <w:p w14:paraId="115093F4">
                  <w:pPr>
                    <w:overflowPunct w:val="0"/>
                    <w:adjustRightInd w:val="0"/>
                    <w:snapToGrid w:val="0"/>
                    <w:jc w:val="center"/>
                    <w:rPr>
                      <w:color w:val="auto"/>
                      <w:sz w:val="21"/>
                      <w:szCs w:val="21"/>
                      <w:highlight w:val="none"/>
                    </w:rPr>
                  </w:pPr>
                  <w:r>
                    <w:rPr>
                      <w:rFonts w:ascii="Times New Roman" w:hAnsi="Times New Roman" w:cs="Times New Roman"/>
                      <w:color w:val="auto"/>
                      <w:sz w:val="21"/>
                      <w:szCs w:val="21"/>
                      <w:highlight w:val="none"/>
                    </w:rPr>
                    <w:t>4</w:t>
                  </w:r>
                </w:p>
              </w:tc>
              <w:tc>
                <w:tcPr>
                  <w:tcW w:w="1142" w:type="pct"/>
                  <w:tcBorders>
                    <w:tl2br w:val="nil"/>
                    <w:tr2bl w:val="nil"/>
                  </w:tcBorders>
                  <w:vAlign w:val="center"/>
                </w:tcPr>
                <w:p w14:paraId="7FF0C3D9">
                  <w:pPr>
                    <w:overflowPunct w:val="0"/>
                    <w:adjustRightInd w:val="0"/>
                    <w:snapToGrid w:val="0"/>
                    <w:jc w:val="center"/>
                    <w:rPr>
                      <w:color w:val="auto"/>
                      <w:sz w:val="21"/>
                      <w:szCs w:val="21"/>
                      <w:highlight w:val="none"/>
                    </w:rPr>
                  </w:pPr>
                  <w:r>
                    <w:rPr>
                      <w:color w:val="auto"/>
                      <w:sz w:val="21"/>
                      <w:szCs w:val="21"/>
                      <w:highlight w:val="none"/>
                    </w:rPr>
                    <w:t>环保投资</w:t>
                  </w:r>
                </w:p>
              </w:tc>
              <w:tc>
                <w:tcPr>
                  <w:tcW w:w="698" w:type="pct"/>
                  <w:tcBorders>
                    <w:tl2br w:val="nil"/>
                    <w:tr2bl w:val="nil"/>
                  </w:tcBorders>
                  <w:vAlign w:val="center"/>
                </w:tcPr>
                <w:p w14:paraId="25D66C05">
                  <w:pPr>
                    <w:overflowPunct w:val="0"/>
                    <w:adjustRightInd w:val="0"/>
                    <w:snapToGrid w:val="0"/>
                    <w:jc w:val="center"/>
                    <w:rPr>
                      <w:color w:val="auto"/>
                      <w:sz w:val="21"/>
                      <w:szCs w:val="21"/>
                      <w:highlight w:val="none"/>
                    </w:rPr>
                  </w:pPr>
                  <w:r>
                    <w:rPr>
                      <w:rFonts w:hint="eastAsia"/>
                      <w:color w:val="auto"/>
                      <w:sz w:val="21"/>
                      <w:szCs w:val="21"/>
                      <w:highlight w:val="none"/>
                    </w:rPr>
                    <w:t>万</w:t>
                  </w:r>
                  <w:r>
                    <w:rPr>
                      <w:color w:val="auto"/>
                      <w:sz w:val="21"/>
                      <w:szCs w:val="21"/>
                      <w:highlight w:val="none"/>
                    </w:rPr>
                    <w:t>元</w:t>
                  </w:r>
                </w:p>
              </w:tc>
              <w:tc>
                <w:tcPr>
                  <w:tcW w:w="572" w:type="pct"/>
                  <w:tcBorders>
                    <w:tl2br w:val="nil"/>
                    <w:tr2bl w:val="nil"/>
                  </w:tcBorders>
                  <w:vAlign w:val="center"/>
                </w:tcPr>
                <w:p w14:paraId="07B396C4">
                  <w:pPr>
                    <w:overflowPunct w:val="0"/>
                    <w:adjustRightInd w:val="0"/>
                    <w:snapToGrid w:val="0"/>
                    <w:jc w:val="center"/>
                    <w:rPr>
                      <w:rFonts w:hint="default" w:eastAsia="宋体"/>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2013" w:type="pct"/>
                  <w:tcBorders>
                    <w:tl2br w:val="nil"/>
                    <w:tr2bl w:val="nil"/>
                  </w:tcBorders>
                  <w:vAlign w:val="center"/>
                </w:tcPr>
                <w:p w14:paraId="3CC285C7">
                  <w:pPr>
                    <w:overflowPunct w:val="0"/>
                    <w:adjustRightInd w:val="0"/>
                    <w:snapToGrid w:val="0"/>
                    <w:jc w:val="center"/>
                    <w:rPr>
                      <w:color w:val="auto"/>
                      <w:sz w:val="21"/>
                      <w:szCs w:val="21"/>
                      <w:highlight w:val="none"/>
                    </w:rPr>
                  </w:pPr>
                  <w:r>
                    <w:rPr>
                      <w:color w:val="auto"/>
                      <w:sz w:val="21"/>
                      <w:szCs w:val="21"/>
                      <w:highlight w:val="none"/>
                    </w:rPr>
                    <w:t>占总投资为</w:t>
                  </w:r>
                  <w:r>
                    <w:rPr>
                      <w:rFonts w:hint="eastAsia" w:ascii="Times New Roman" w:hAnsi="Times New Roman" w:cs="Times New Roman"/>
                      <w:color w:val="auto"/>
                      <w:sz w:val="21"/>
                      <w:szCs w:val="21"/>
                      <w:highlight w:val="none"/>
                    </w:rPr>
                    <w:t>100</w:t>
                  </w:r>
                  <w:r>
                    <w:rPr>
                      <w:color w:val="auto"/>
                      <w:sz w:val="21"/>
                      <w:szCs w:val="21"/>
                      <w:highlight w:val="none"/>
                    </w:rPr>
                    <w:t>%</w:t>
                  </w:r>
                </w:p>
              </w:tc>
            </w:tr>
          </w:tbl>
          <w:p w14:paraId="56DF9017">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ascii="Times New Roman" w:hAnsi="Times New Roman" w:cs="Times New Roman"/>
                <w:b/>
                <w:bCs/>
                <w:color w:val="auto"/>
                <w:highlight w:val="none"/>
              </w:rPr>
            </w:pPr>
            <w:r>
              <w:rPr>
                <w:rFonts w:hint="eastAsia" w:ascii="Times New Roman" w:hAnsi="Times New Roman" w:cs="Times New Roman"/>
                <w:b/>
                <w:bCs/>
                <w:color w:val="auto"/>
                <w:highlight w:val="none"/>
              </w:rPr>
              <w:t>五</w:t>
            </w:r>
            <w:r>
              <w:rPr>
                <w:rFonts w:ascii="Times New Roman" w:hAnsi="Times New Roman" w:cs="Times New Roman"/>
                <w:b/>
                <w:bCs/>
                <w:color w:val="auto"/>
                <w:highlight w:val="none"/>
              </w:rPr>
              <w:t>、本项目</w:t>
            </w:r>
            <w:r>
              <w:rPr>
                <w:rFonts w:hint="eastAsia" w:ascii="Times New Roman" w:hAnsi="Times New Roman" w:cs="Times New Roman"/>
                <w:b/>
                <w:bCs/>
                <w:color w:val="auto"/>
                <w:highlight w:val="none"/>
              </w:rPr>
              <w:t>危废间</w:t>
            </w:r>
            <w:r>
              <w:rPr>
                <w:rFonts w:ascii="Times New Roman" w:hAnsi="Times New Roman" w:cs="Times New Roman"/>
                <w:b/>
                <w:bCs/>
                <w:color w:val="auto"/>
                <w:highlight w:val="none"/>
              </w:rPr>
              <w:t>主要存储废物</w:t>
            </w:r>
          </w:p>
          <w:p w14:paraId="36A2068C">
            <w:pPr>
              <w:snapToGrid w:val="0"/>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本项目危废暂存间用于</w:t>
            </w:r>
            <w:r>
              <w:rPr>
                <w:rFonts w:hint="eastAsia" w:ascii="Times New Roman" w:hAnsi="Times New Roman" w:eastAsia="宋体" w:cs="Times New Roman"/>
                <w:color w:val="auto"/>
                <w:highlight w:val="none"/>
                <w:lang w:eastAsia="zh-CN"/>
              </w:rPr>
              <w:t>存放废矿物油</w:t>
            </w:r>
            <w:r>
              <w:rPr>
                <w:rFonts w:hint="eastAsia" w:ascii="Times New Roman" w:hAnsi="Times New Roman" w:cs="Times New Roman"/>
                <w:color w:val="auto"/>
                <w:highlight w:val="none"/>
                <w:lang w:val="en-US" w:eastAsia="zh-CN"/>
              </w:rPr>
              <w:t>和废油桶（废铁油桶、废塑料油桶、废小包装油桶和废气雾罐），其中废气雾罐是除锈剂，主要成分是51%脂肪质蒸馏物、25%石油（基础油）、10%非危险的防锈成分、10%非危险的润滑成分、3%二氧化碳和1%芳香烃，废气雾罐为含油废物，因此废气雾罐属于危险废物（HW49-900-041-49）</w:t>
            </w:r>
            <w:r>
              <w:rPr>
                <w:rFonts w:hint="eastAsia" w:ascii="Times New Roman" w:hAnsi="Times New Roman" w:eastAsia="宋体" w:cs="Times New Roman"/>
                <w:color w:val="auto"/>
                <w:highlight w:val="none"/>
                <w:lang w:val="en-US" w:eastAsia="zh-CN"/>
              </w:rPr>
              <w:t>。</w:t>
            </w:r>
          </w:p>
          <w:p w14:paraId="01FFB18A">
            <w:pPr>
              <w:snapToGrid w:val="0"/>
              <w:spacing w:line="360" w:lineRule="auto"/>
              <w:jc w:val="center"/>
              <w:rPr>
                <w:rFonts w:hint="eastAsia"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表</w:t>
            </w:r>
            <w:r>
              <w:rPr>
                <w:rFonts w:hint="eastAsia" w:ascii="Times New Roman" w:hAnsi="Times New Roman" w:cs="Times New Roman"/>
                <w:b/>
                <w:color w:val="auto"/>
                <w:highlight w:val="none"/>
                <w:lang w:val="en-US" w:eastAsia="zh-CN"/>
              </w:rPr>
              <w:t xml:space="preserve">8 </w:t>
            </w:r>
            <w:r>
              <w:rPr>
                <w:rFonts w:hint="eastAsia" w:ascii="Times New Roman" w:hAnsi="Times New Roman" w:eastAsia="宋体" w:cs="Times New Roman"/>
                <w:b/>
                <w:color w:val="auto"/>
                <w:highlight w:val="none"/>
                <w:lang w:val="en-US" w:eastAsia="zh-CN"/>
              </w:rPr>
              <w:t xml:space="preserve"> 本项目主要存储危险废物情况表</w:t>
            </w:r>
          </w:p>
          <w:tbl>
            <w:tblPr>
              <w:tblStyle w:val="24"/>
              <w:tblW w:w="4996"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9"/>
              <w:gridCol w:w="1336"/>
              <w:gridCol w:w="810"/>
              <w:gridCol w:w="930"/>
              <w:gridCol w:w="967"/>
              <w:gridCol w:w="895"/>
              <w:gridCol w:w="895"/>
              <w:gridCol w:w="668"/>
              <w:gridCol w:w="1279"/>
            </w:tblGrid>
            <w:tr w14:paraId="4917185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220" w:type="pct"/>
                  <w:tcBorders>
                    <w:tl2br w:val="nil"/>
                    <w:tr2bl w:val="nil"/>
                  </w:tcBorders>
                  <w:vAlign w:val="center"/>
                </w:tcPr>
                <w:p w14:paraId="38756001">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820" w:type="pct"/>
                  <w:tcBorders>
                    <w:tl2br w:val="nil"/>
                    <w:tr2bl w:val="nil"/>
                  </w:tcBorders>
                  <w:vAlign w:val="center"/>
                </w:tcPr>
                <w:p w14:paraId="41F68383">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危废编号</w:t>
                  </w:r>
                </w:p>
              </w:tc>
              <w:tc>
                <w:tcPr>
                  <w:tcW w:w="497" w:type="pct"/>
                  <w:tcBorders>
                    <w:tl2br w:val="nil"/>
                    <w:tr2bl w:val="nil"/>
                  </w:tcBorders>
                  <w:vAlign w:val="center"/>
                </w:tcPr>
                <w:p w14:paraId="3E0FA1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危废名称</w:t>
                  </w:r>
                </w:p>
              </w:tc>
              <w:tc>
                <w:tcPr>
                  <w:tcW w:w="571" w:type="pct"/>
                  <w:tcBorders>
                    <w:tl2br w:val="nil"/>
                    <w:tr2bl w:val="nil"/>
                  </w:tcBorders>
                  <w:vAlign w:val="center"/>
                </w:tcPr>
                <w:p w14:paraId="795C837A">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危废来源</w:t>
                  </w:r>
                </w:p>
              </w:tc>
              <w:tc>
                <w:tcPr>
                  <w:tcW w:w="594" w:type="pct"/>
                  <w:tcBorders>
                    <w:tl2br w:val="nil"/>
                    <w:tr2bl w:val="nil"/>
                  </w:tcBorders>
                  <w:vAlign w:val="center"/>
                </w:tcPr>
                <w:p w14:paraId="487C743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危险特性</w:t>
                  </w:r>
                </w:p>
              </w:tc>
              <w:tc>
                <w:tcPr>
                  <w:tcW w:w="549" w:type="pct"/>
                  <w:tcBorders>
                    <w:tl2br w:val="nil"/>
                    <w:tr2bl w:val="nil"/>
                  </w:tcBorders>
                  <w:vAlign w:val="center"/>
                </w:tcPr>
                <w:p w14:paraId="6E4F378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暂存容器</w:t>
                  </w:r>
                </w:p>
              </w:tc>
              <w:tc>
                <w:tcPr>
                  <w:tcW w:w="549" w:type="pct"/>
                  <w:tcBorders>
                    <w:tl2br w:val="nil"/>
                    <w:tr2bl w:val="nil"/>
                  </w:tcBorders>
                  <w:vAlign w:val="center"/>
                </w:tcPr>
                <w:p w14:paraId="005F6D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最大存储量</w:t>
                  </w:r>
                </w:p>
              </w:tc>
              <w:tc>
                <w:tcPr>
                  <w:tcW w:w="410" w:type="pct"/>
                  <w:tcBorders>
                    <w:tl2br w:val="nil"/>
                    <w:tr2bl w:val="nil"/>
                  </w:tcBorders>
                  <w:vAlign w:val="center"/>
                </w:tcPr>
                <w:p w14:paraId="671B8560">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年产生量</w:t>
                  </w:r>
                </w:p>
              </w:tc>
              <w:tc>
                <w:tcPr>
                  <w:tcW w:w="785" w:type="pct"/>
                  <w:tcBorders>
                    <w:tl2br w:val="nil"/>
                    <w:tr2bl w:val="nil"/>
                  </w:tcBorders>
                  <w:vAlign w:val="center"/>
                </w:tcPr>
                <w:p w14:paraId="7C80A45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备注</w:t>
                  </w:r>
                </w:p>
              </w:tc>
            </w:tr>
            <w:tr w14:paraId="4F53A7C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 w:type="pct"/>
                  <w:tcBorders>
                    <w:tl2br w:val="nil"/>
                    <w:tr2bl w:val="nil"/>
                  </w:tcBorders>
                  <w:vAlign w:val="center"/>
                </w:tcPr>
                <w:p w14:paraId="0725FBB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1</w:t>
                  </w:r>
                </w:p>
              </w:tc>
              <w:tc>
                <w:tcPr>
                  <w:tcW w:w="820" w:type="pct"/>
                  <w:tcBorders>
                    <w:tl2br w:val="nil"/>
                    <w:tr2bl w:val="nil"/>
                  </w:tcBorders>
                  <w:vAlign w:val="center"/>
                </w:tcPr>
                <w:p w14:paraId="37799AD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HW08 900-249-08</w:t>
                  </w:r>
                </w:p>
              </w:tc>
              <w:tc>
                <w:tcPr>
                  <w:tcW w:w="497" w:type="pct"/>
                  <w:tcBorders>
                    <w:tl2br w:val="nil"/>
                    <w:tr2bl w:val="nil"/>
                  </w:tcBorders>
                  <w:vAlign w:val="center"/>
                </w:tcPr>
                <w:p w14:paraId="3ECE421A">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废矿物油</w:t>
                  </w:r>
                </w:p>
              </w:tc>
              <w:tc>
                <w:tcPr>
                  <w:tcW w:w="571" w:type="pct"/>
                  <w:tcBorders>
                    <w:tl2br w:val="nil"/>
                    <w:tr2bl w:val="nil"/>
                  </w:tcBorders>
                  <w:vAlign w:val="center"/>
                </w:tcPr>
                <w:p w14:paraId="5F7AFDF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设备维修、养护产生的机油</w:t>
                  </w:r>
                </w:p>
              </w:tc>
              <w:tc>
                <w:tcPr>
                  <w:tcW w:w="594" w:type="pct"/>
                  <w:tcBorders>
                    <w:tl2br w:val="nil"/>
                    <w:tr2bl w:val="nil"/>
                  </w:tcBorders>
                  <w:vAlign w:val="center"/>
                </w:tcPr>
                <w:p w14:paraId="14E5CF0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易燃性、毒性（液态）</w:t>
                  </w:r>
                </w:p>
              </w:tc>
              <w:tc>
                <w:tcPr>
                  <w:tcW w:w="549" w:type="pct"/>
                  <w:tcBorders>
                    <w:tl2br w:val="nil"/>
                    <w:tr2bl w:val="nil"/>
                  </w:tcBorders>
                  <w:vAlign w:val="center"/>
                </w:tcPr>
                <w:p w14:paraId="1CEBFA2E">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桶装，加盖密封，置于防渗漏的托盘</w:t>
                  </w:r>
                </w:p>
              </w:tc>
              <w:tc>
                <w:tcPr>
                  <w:tcW w:w="549" w:type="pct"/>
                  <w:tcBorders>
                    <w:tl2br w:val="nil"/>
                    <w:tr2bl w:val="nil"/>
                  </w:tcBorders>
                  <w:vAlign w:val="center"/>
                </w:tcPr>
                <w:p w14:paraId="1D015B4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2.4t</w:t>
                  </w:r>
                </w:p>
              </w:tc>
              <w:tc>
                <w:tcPr>
                  <w:tcW w:w="410" w:type="pct"/>
                  <w:tcBorders>
                    <w:tl2br w:val="nil"/>
                    <w:tr2bl w:val="nil"/>
                  </w:tcBorders>
                  <w:vAlign w:val="center"/>
                </w:tcPr>
                <w:p w14:paraId="725A41ED">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约3t</w:t>
                  </w:r>
                </w:p>
              </w:tc>
              <w:tc>
                <w:tcPr>
                  <w:tcW w:w="785" w:type="pct"/>
                  <w:vMerge w:val="restart"/>
                  <w:tcBorders>
                    <w:tl2br w:val="nil"/>
                    <w:tr2bl w:val="nil"/>
                  </w:tcBorders>
                  <w:vAlign w:val="center"/>
                </w:tcPr>
                <w:p w14:paraId="0D5689A3">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rPr>
                    <w:t>存放于库内</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年产生量小于3吨，</w:t>
                  </w:r>
                  <w:r>
                    <w:rPr>
                      <w:rFonts w:hint="default" w:ascii="Times New Roman" w:hAnsi="Times New Roman" w:cs="Times New Roman"/>
                      <w:color w:val="auto"/>
                      <w:sz w:val="21"/>
                      <w:szCs w:val="21"/>
                      <w:highlight w:val="none"/>
                      <w:lang w:eastAsia="zh-CN"/>
                    </w:rPr>
                    <w:t>每年委托处理处置</w:t>
                  </w: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次</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年产生量超过3吨后，</w:t>
                  </w:r>
                  <w:r>
                    <w:rPr>
                      <w:rFonts w:hint="default" w:ascii="Times New Roman" w:hAnsi="Times New Roman" w:cs="Times New Roman"/>
                      <w:color w:val="auto"/>
                      <w:sz w:val="21"/>
                      <w:szCs w:val="21"/>
                      <w:highlight w:val="none"/>
                      <w:lang w:eastAsia="zh-CN"/>
                    </w:rPr>
                    <w:t>每年委托处理处置</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次</w:t>
                  </w:r>
                </w:p>
              </w:tc>
            </w:tr>
            <w:tr w14:paraId="20210E6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 w:type="pct"/>
                  <w:tcBorders>
                    <w:tl2br w:val="nil"/>
                    <w:tr2bl w:val="nil"/>
                  </w:tcBorders>
                  <w:vAlign w:val="center"/>
                </w:tcPr>
                <w:p w14:paraId="4DE1F7EA">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820" w:type="pct"/>
                  <w:tcBorders>
                    <w:tl2br w:val="nil"/>
                    <w:tr2bl w:val="nil"/>
                  </w:tcBorders>
                  <w:vAlign w:val="center"/>
                </w:tcPr>
                <w:p w14:paraId="3DC12FD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HW49</w:t>
                  </w:r>
                </w:p>
                <w:p w14:paraId="671A39D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900-041-49</w:t>
                  </w:r>
                </w:p>
              </w:tc>
              <w:tc>
                <w:tcPr>
                  <w:tcW w:w="497" w:type="pct"/>
                  <w:tcBorders>
                    <w:tl2br w:val="nil"/>
                    <w:tr2bl w:val="nil"/>
                  </w:tcBorders>
                  <w:vAlign w:val="center"/>
                </w:tcPr>
                <w:p w14:paraId="6595F81C">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废油桶</w:t>
                  </w:r>
                </w:p>
              </w:tc>
              <w:tc>
                <w:tcPr>
                  <w:tcW w:w="571" w:type="pct"/>
                  <w:tcBorders>
                    <w:tl2br w:val="nil"/>
                    <w:tr2bl w:val="nil"/>
                  </w:tcBorders>
                  <w:vAlign w:val="center"/>
                </w:tcPr>
                <w:p w14:paraId="522B771D">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设备维修、养护产生的废包装桶</w:t>
                  </w:r>
                </w:p>
              </w:tc>
              <w:tc>
                <w:tcPr>
                  <w:tcW w:w="594" w:type="pct"/>
                  <w:tcBorders>
                    <w:tl2br w:val="nil"/>
                    <w:tr2bl w:val="nil"/>
                  </w:tcBorders>
                  <w:vAlign w:val="center"/>
                </w:tcPr>
                <w:p w14:paraId="715DFB3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易燃性、毒性（固态）</w:t>
                  </w:r>
                </w:p>
              </w:tc>
              <w:tc>
                <w:tcPr>
                  <w:tcW w:w="549" w:type="pct"/>
                  <w:tcBorders>
                    <w:tl2br w:val="nil"/>
                    <w:tr2bl w:val="nil"/>
                  </w:tcBorders>
                  <w:vAlign w:val="center"/>
                </w:tcPr>
                <w:p w14:paraId="24EB2EA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加盖密封，置于防渗漏的托盘</w:t>
                  </w:r>
                </w:p>
              </w:tc>
              <w:tc>
                <w:tcPr>
                  <w:tcW w:w="549" w:type="pct"/>
                  <w:tcBorders>
                    <w:tl2br w:val="nil"/>
                    <w:tr2bl w:val="nil"/>
                  </w:tcBorders>
                  <w:vAlign w:val="center"/>
                </w:tcPr>
                <w:p w14:paraId="559CEBE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1.6t</w:t>
                  </w:r>
                </w:p>
              </w:tc>
              <w:tc>
                <w:tcPr>
                  <w:tcW w:w="410" w:type="pct"/>
                  <w:tcBorders>
                    <w:tl2br w:val="nil"/>
                    <w:tr2bl w:val="nil"/>
                  </w:tcBorders>
                  <w:vAlign w:val="center"/>
                </w:tcPr>
                <w:p w14:paraId="68D5C92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约2.0t</w:t>
                  </w:r>
                </w:p>
              </w:tc>
              <w:tc>
                <w:tcPr>
                  <w:tcW w:w="785" w:type="pct"/>
                  <w:vMerge w:val="continue"/>
                  <w:tcBorders>
                    <w:tl2br w:val="nil"/>
                    <w:tr2bl w:val="nil"/>
                  </w:tcBorders>
                  <w:vAlign w:val="center"/>
                </w:tcPr>
                <w:p w14:paraId="56DC1C8D">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p>
              </w:tc>
            </w:tr>
            <w:tr w14:paraId="1565050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0" w:type="pct"/>
                  <w:tcBorders>
                    <w:tl2br w:val="nil"/>
                    <w:tr2bl w:val="nil"/>
                  </w:tcBorders>
                  <w:vAlign w:val="center"/>
                </w:tcPr>
                <w:p w14:paraId="605AC4E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w:t>
                  </w:r>
                </w:p>
              </w:tc>
              <w:tc>
                <w:tcPr>
                  <w:tcW w:w="820" w:type="pct"/>
                  <w:tcBorders>
                    <w:tl2br w:val="nil"/>
                    <w:tr2bl w:val="nil"/>
                  </w:tcBorders>
                  <w:shd w:val="clear" w:color="auto" w:fill="auto"/>
                  <w:vAlign w:val="center"/>
                </w:tcPr>
                <w:p w14:paraId="3AD84AE9">
                  <w:pPr>
                    <w:pStyle w:val="4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HW49 900-039-49</w:t>
                  </w:r>
                </w:p>
              </w:tc>
              <w:tc>
                <w:tcPr>
                  <w:tcW w:w="497" w:type="pct"/>
                  <w:tcBorders>
                    <w:tl2br w:val="nil"/>
                    <w:tr2bl w:val="nil"/>
                  </w:tcBorders>
                  <w:shd w:val="clear" w:color="auto" w:fill="auto"/>
                  <w:vAlign w:val="center"/>
                </w:tcPr>
                <w:p w14:paraId="2A37ECF6">
                  <w:pPr>
                    <w:pStyle w:val="4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eastAsia="宋体" w:cs="Times New Roman" w:asciiTheme="minorAscii" w:hAnsiTheme="minorAscii"/>
                      <w:color w:val="auto"/>
                      <w:kern w:val="2"/>
                      <w:sz w:val="21"/>
                      <w:szCs w:val="21"/>
                      <w:highlight w:val="none"/>
                      <w:lang w:val="en-US" w:eastAsia="zh-CN" w:bidi="ar-SA"/>
                    </w:rPr>
                  </w:pPr>
                  <w:r>
                    <w:rPr>
                      <w:rFonts w:hint="eastAsia" w:cs="Times New Roman"/>
                      <w:color w:val="auto"/>
                      <w:sz w:val="21"/>
                      <w:szCs w:val="21"/>
                      <w:highlight w:val="none"/>
                      <w:lang w:val="en-US" w:eastAsia="zh-CN"/>
                    </w:rPr>
                    <w:t>废活性炭</w:t>
                  </w:r>
                </w:p>
              </w:tc>
              <w:tc>
                <w:tcPr>
                  <w:tcW w:w="571" w:type="pct"/>
                  <w:tcBorders>
                    <w:tl2br w:val="nil"/>
                    <w:tr2bl w:val="nil"/>
                  </w:tcBorders>
                  <w:vAlign w:val="center"/>
                </w:tcPr>
                <w:p w14:paraId="4CC7798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危废暂存间</w:t>
                  </w:r>
                </w:p>
              </w:tc>
              <w:tc>
                <w:tcPr>
                  <w:tcW w:w="594" w:type="pct"/>
                  <w:tcBorders>
                    <w:tl2br w:val="nil"/>
                    <w:tr2bl w:val="nil"/>
                  </w:tcBorders>
                  <w:vAlign w:val="center"/>
                </w:tcPr>
                <w:p w14:paraId="2D8CB08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易燃性、毒性（固态）</w:t>
                  </w:r>
                </w:p>
              </w:tc>
              <w:tc>
                <w:tcPr>
                  <w:tcW w:w="549" w:type="pct"/>
                  <w:tcBorders>
                    <w:tl2br w:val="nil"/>
                    <w:tr2bl w:val="nil"/>
                  </w:tcBorders>
                  <w:vAlign w:val="center"/>
                </w:tcPr>
                <w:p w14:paraId="5909B64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密封耐酸碱腐蚀容器</w:t>
                  </w:r>
                </w:p>
              </w:tc>
              <w:tc>
                <w:tcPr>
                  <w:tcW w:w="549" w:type="pct"/>
                  <w:tcBorders>
                    <w:tl2br w:val="nil"/>
                    <w:tr2bl w:val="nil"/>
                  </w:tcBorders>
                  <w:vAlign w:val="center"/>
                </w:tcPr>
                <w:p w14:paraId="1CA879A2">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0.02</w:t>
                  </w:r>
                </w:p>
              </w:tc>
              <w:tc>
                <w:tcPr>
                  <w:tcW w:w="410" w:type="pct"/>
                  <w:tcBorders>
                    <w:tl2br w:val="nil"/>
                    <w:tr2bl w:val="nil"/>
                  </w:tcBorders>
                  <w:vAlign w:val="center"/>
                </w:tcPr>
                <w:p w14:paraId="7AA2EDC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0.02</w:t>
                  </w:r>
                </w:p>
              </w:tc>
              <w:tc>
                <w:tcPr>
                  <w:tcW w:w="785" w:type="pct"/>
                  <w:tcBorders>
                    <w:tl2br w:val="nil"/>
                    <w:tr2bl w:val="nil"/>
                  </w:tcBorders>
                  <w:vAlign w:val="center"/>
                </w:tcPr>
                <w:p w14:paraId="697D5B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每年更换一次，更换后直接交由有资质单位进行处置，不在厂区内贮存</w:t>
                  </w:r>
                </w:p>
              </w:tc>
            </w:tr>
          </w:tbl>
          <w:p w14:paraId="6AB2AA1A">
            <w:pPr>
              <w:snapToGrid w:val="0"/>
              <w:spacing w:line="360" w:lineRule="auto"/>
              <w:ind w:firstLine="482" w:firstLineChars="200"/>
              <w:rPr>
                <w:rFonts w:ascii="Times New Roman" w:hAnsi="Times New Roman" w:cs="Times New Roman"/>
                <w:b/>
                <w:bCs/>
                <w:color w:val="auto"/>
                <w:highlight w:val="none"/>
              </w:rPr>
            </w:pPr>
            <w:r>
              <w:rPr>
                <w:rFonts w:hint="eastAsia" w:ascii="Times New Roman" w:hAnsi="Times New Roman" w:cs="Times New Roman"/>
                <w:b/>
                <w:bCs/>
                <w:color w:val="auto"/>
                <w:highlight w:val="none"/>
              </w:rPr>
              <w:t>六</w:t>
            </w:r>
            <w:r>
              <w:rPr>
                <w:rFonts w:ascii="Times New Roman" w:hAnsi="Times New Roman" w:cs="Times New Roman"/>
                <w:b/>
                <w:bCs/>
                <w:color w:val="auto"/>
                <w:highlight w:val="none"/>
              </w:rPr>
              <w:t>、动力消耗</w:t>
            </w:r>
          </w:p>
          <w:p w14:paraId="1791B89E">
            <w:pPr>
              <w:snapToGrid w:val="0"/>
              <w:spacing w:line="360" w:lineRule="auto"/>
              <w:ind w:firstLine="480" w:firstLineChars="200"/>
              <w:rPr>
                <w:rFonts w:ascii="黑体" w:hAnsi="黑体" w:eastAsia="黑体" w:cs="黑体"/>
                <w:color w:val="auto"/>
                <w:highlight w:val="none"/>
              </w:rPr>
            </w:pPr>
            <w:r>
              <w:rPr>
                <w:rFonts w:hint="eastAsia" w:ascii="Times New Roman" w:hAnsi="Times New Roman" w:eastAsia="黑体" w:cs="Times New Roman"/>
                <w:color w:val="auto"/>
                <w:highlight w:val="none"/>
              </w:rPr>
              <w:t>1</w:t>
            </w:r>
            <w:r>
              <w:rPr>
                <w:rFonts w:hint="eastAsia" w:ascii="黑体" w:hAnsi="黑体" w:eastAsia="黑体" w:cs="黑体"/>
                <w:color w:val="auto"/>
                <w:highlight w:val="none"/>
              </w:rPr>
              <w:t>、供电</w:t>
            </w:r>
          </w:p>
          <w:p w14:paraId="412E3CB1">
            <w:pPr>
              <w:snapToGrid w:val="0"/>
              <w:spacing w:line="360" w:lineRule="auto"/>
              <w:ind w:firstLine="480" w:firstLineChars="200"/>
              <w:rPr>
                <w:rFonts w:hint="default"/>
                <w:color w:val="auto"/>
                <w:highlight w:val="none"/>
                <w:lang w:val="en-US" w:eastAsia="zh-CN"/>
              </w:rPr>
            </w:pPr>
            <w:r>
              <w:rPr>
                <w:rFonts w:hint="default"/>
                <w:color w:val="auto"/>
                <w:highlight w:val="none"/>
                <w:lang w:val="en-US" w:eastAsia="zh-CN"/>
              </w:rPr>
              <w:t>项目运营期利用</w:t>
            </w:r>
            <w:r>
              <w:rPr>
                <w:rFonts w:hint="eastAsia"/>
                <w:color w:val="auto"/>
                <w:highlight w:val="none"/>
                <w:lang w:val="en-US" w:eastAsia="zh-CN"/>
              </w:rPr>
              <w:t>厂</w:t>
            </w:r>
            <w:r>
              <w:rPr>
                <w:rFonts w:hint="default"/>
                <w:color w:val="auto"/>
                <w:highlight w:val="none"/>
                <w:lang w:val="en-US" w:eastAsia="zh-CN"/>
              </w:rPr>
              <w:t>区现有供电设施供电。</w:t>
            </w:r>
          </w:p>
          <w:p w14:paraId="1DF51DCB">
            <w:pPr>
              <w:snapToGrid w:val="0"/>
              <w:spacing w:line="360" w:lineRule="auto"/>
              <w:ind w:firstLine="480" w:firstLineChars="200"/>
              <w:rPr>
                <w:rFonts w:ascii="黑体" w:hAnsi="黑体" w:eastAsia="黑体" w:cs="黑体"/>
                <w:color w:val="auto"/>
                <w:highlight w:val="none"/>
              </w:rPr>
            </w:pPr>
            <w:r>
              <w:rPr>
                <w:rFonts w:ascii="Times New Roman" w:hAnsi="Times New Roman" w:eastAsia="黑体" w:cs="Times New Roman"/>
                <w:color w:val="auto"/>
                <w:highlight w:val="none"/>
              </w:rPr>
              <w:t>2</w:t>
            </w:r>
            <w:r>
              <w:rPr>
                <w:rFonts w:ascii="黑体" w:hAnsi="黑体" w:eastAsia="黑体" w:cs="黑体"/>
                <w:color w:val="auto"/>
                <w:highlight w:val="none"/>
              </w:rPr>
              <w:t>、供热</w:t>
            </w:r>
          </w:p>
          <w:p w14:paraId="7E439533">
            <w:pPr>
              <w:snapToGrid w:val="0"/>
              <w:spacing w:line="360" w:lineRule="auto"/>
              <w:ind w:firstLine="480" w:firstLineChars="200"/>
              <w:rPr>
                <w:color w:val="auto"/>
                <w:highlight w:val="none"/>
              </w:rPr>
            </w:pPr>
            <w:r>
              <w:rPr>
                <w:color w:val="auto"/>
                <w:highlight w:val="none"/>
              </w:rPr>
              <w:t>项目运营后</w:t>
            </w:r>
            <w:r>
              <w:rPr>
                <w:rFonts w:hint="eastAsia"/>
                <w:color w:val="auto"/>
                <w:highlight w:val="none"/>
              </w:rPr>
              <w:t>危废暂存间</w:t>
            </w:r>
            <w:r>
              <w:rPr>
                <w:color w:val="auto"/>
                <w:highlight w:val="none"/>
              </w:rPr>
              <w:t>内不需要供热。</w:t>
            </w:r>
          </w:p>
          <w:p w14:paraId="3727D863">
            <w:pPr>
              <w:snapToGrid w:val="0"/>
              <w:spacing w:line="360" w:lineRule="auto"/>
              <w:ind w:firstLine="482" w:firstLineChars="200"/>
              <w:rPr>
                <w:rFonts w:ascii="Times New Roman" w:hAnsi="Times New Roman" w:cs="Times New Roman"/>
                <w:b/>
                <w:bCs/>
                <w:color w:val="auto"/>
                <w:highlight w:val="none"/>
              </w:rPr>
            </w:pPr>
            <w:r>
              <w:rPr>
                <w:rFonts w:hint="eastAsia" w:ascii="Times New Roman" w:hAnsi="Times New Roman" w:cs="Times New Roman"/>
                <w:b/>
                <w:bCs/>
                <w:color w:val="auto"/>
                <w:highlight w:val="none"/>
              </w:rPr>
              <w:t>七</w:t>
            </w:r>
            <w:r>
              <w:rPr>
                <w:rFonts w:ascii="Times New Roman" w:hAnsi="Times New Roman" w:cs="Times New Roman"/>
                <w:b/>
                <w:bCs/>
                <w:color w:val="auto"/>
                <w:highlight w:val="none"/>
              </w:rPr>
              <w:t>、给排水</w:t>
            </w:r>
          </w:p>
          <w:p w14:paraId="2ECE0C05">
            <w:pPr>
              <w:snapToGrid w:val="0"/>
              <w:spacing w:line="360" w:lineRule="auto"/>
              <w:ind w:firstLine="480" w:firstLineChars="200"/>
              <w:rPr>
                <w:color w:val="auto"/>
                <w:highlight w:val="none"/>
              </w:rPr>
            </w:pPr>
            <w:r>
              <w:rPr>
                <w:color w:val="auto"/>
                <w:highlight w:val="none"/>
              </w:rPr>
              <w:t>本项目无新增员工，由</w:t>
            </w:r>
            <w:r>
              <w:rPr>
                <w:rFonts w:hint="eastAsia"/>
                <w:color w:val="auto"/>
                <w:highlight w:val="none"/>
                <w:lang w:val="en-US" w:eastAsia="zh-CN"/>
              </w:rPr>
              <w:t>厂</w:t>
            </w:r>
            <w:r>
              <w:rPr>
                <w:color w:val="auto"/>
                <w:highlight w:val="none"/>
              </w:rPr>
              <w:t>内调配，因此无新增生活污水。</w:t>
            </w:r>
          </w:p>
          <w:p w14:paraId="1BAF2C2D">
            <w:pPr>
              <w:snapToGrid w:val="0"/>
              <w:spacing w:line="360" w:lineRule="auto"/>
              <w:ind w:firstLine="482" w:firstLineChars="200"/>
              <w:rPr>
                <w:rFonts w:ascii="Times New Roman" w:hAnsi="Times New Roman" w:cs="Times New Roman"/>
                <w:b/>
                <w:bCs/>
                <w:color w:val="auto"/>
                <w:highlight w:val="none"/>
              </w:rPr>
            </w:pPr>
            <w:r>
              <w:rPr>
                <w:rFonts w:hint="eastAsia" w:ascii="Times New Roman" w:hAnsi="Times New Roman" w:cs="Times New Roman"/>
                <w:b/>
                <w:bCs/>
                <w:color w:val="auto"/>
                <w:highlight w:val="none"/>
              </w:rPr>
              <w:t>八</w:t>
            </w:r>
            <w:r>
              <w:rPr>
                <w:rFonts w:ascii="Times New Roman" w:hAnsi="Times New Roman" w:cs="Times New Roman"/>
                <w:b/>
                <w:bCs/>
                <w:color w:val="auto"/>
                <w:highlight w:val="none"/>
              </w:rPr>
              <w:t>、劳动定员及工作制度</w:t>
            </w:r>
          </w:p>
          <w:p w14:paraId="59D1CFBD">
            <w:pPr>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（1）劳动定员</w:t>
            </w:r>
          </w:p>
          <w:p w14:paraId="3ED4ACF6">
            <w:pPr>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本项目建成后，运行仅需1名管理员以及1名保管员，人员由</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内现有人员调配，无新增工作人员。</w:t>
            </w:r>
          </w:p>
          <w:p w14:paraId="28D11615">
            <w:pPr>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（2）工作制度</w:t>
            </w:r>
          </w:p>
          <w:p w14:paraId="45AE1A28">
            <w:pPr>
              <w:snapToGrid w:val="0"/>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年工作365天，每天连续24小时运行，三班制。</w:t>
            </w:r>
          </w:p>
          <w:p w14:paraId="63F75698">
            <w:pPr>
              <w:snapToGrid w:val="0"/>
              <w:spacing w:line="360" w:lineRule="auto"/>
              <w:ind w:firstLine="482"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九、平面布置及周边关系</w:t>
            </w:r>
          </w:p>
          <w:p w14:paraId="1C9E17D0">
            <w:pPr>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（1）平面布置</w:t>
            </w:r>
          </w:p>
          <w:p w14:paraId="39AEC0C7">
            <w:pPr>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新建危废暂存间位于</w:t>
            </w:r>
            <w:r>
              <w:rPr>
                <w:rFonts w:ascii="Times New Roman" w:hAnsi="Times New Roman" w:cs="Times New Roman"/>
                <w:color w:val="auto"/>
                <w:highlight w:val="none"/>
              </w:rPr>
              <w:t>内蒙古锡林郭勒盟</w:t>
            </w:r>
            <w:r>
              <w:rPr>
                <w:rFonts w:hint="eastAsia" w:ascii="Times New Roman" w:hAnsi="Times New Roman" w:cs="Times New Roman"/>
                <w:color w:val="auto"/>
                <w:highlight w:val="none"/>
                <w:lang w:eastAsia="zh-CN"/>
              </w:rPr>
              <w:t>锡林浩特市远景能源（锡林郭勒）有限公司</w:t>
            </w:r>
            <w:r>
              <w:rPr>
                <w:rFonts w:hint="eastAsia" w:ascii="Times New Roman" w:hAnsi="Times New Roman" w:cs="Times New Roman"/>
                <w:color w:val="auto"/>
                <w:highlight w:val="none"/>
                <w:lang w:val="en-US" w:eastAsia="zh-CN"/>
              </w:rPr>
              <w:t>北侧</w:t>
            </w:r>
            <w:r>
              <w:rPr>
                <w:rFonts w:hint="default" w:ascii="Times New Roman" w:hAnsi="Times New Roman" w:cs="Times New Roman"/>
                <w:color w:val="auto"/>
                <w:highlight w:val="none"/>
              </w:rPr>
              <w:t>，</w:t>
            </w:r>
            <w:r>
              <w:rPr>
                <w:rFonts w:hint="default" w:ascii="Times New Roman" w:hAnsi="Times New Roman" w:cs="Times New Roman"/>
                <w:bCs/>
                <w:color w:val="auto"/>
                <w:szCs w:val="20"/>
                <w:highlight w:val="none"/>
              </w:rPr>
              <w:t>地块呈</w:t>
            </w:r>
            <w:r>
              <w:rPr>
                <w:rFonts w:hint="eastAsia" w:ascii="Times New Roman" w:hAnsi="Times New Roman" w:cs="Times New Roman"/>
                <w:bCs/>
                <w:color w:val="auto"/>
                <w:szCs w:val="20"/>
                <w:highlight w:val="none"/>
                <w:lang w:val="en-US" w:eastAsia="zh-CN"/>
              </w:rPr>
              <w:t>矩形</w:t>
            </w:r>
            <w:r>
              <w:rPr>
                <w:rFonts w:hint="default" w:ascii="Times New Roman" w:hAnsi="Times New Roman" w:cs="Times New Roman"/>
                <w:bCs/>
                <w:color w:val="auto"/>
                <w:szCs w:val="20"/>
                <w:highlight w:val="none"/>
              </w:rPr>
              <w:t>布置</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占地</w:t>
            </w:r>
            <w:r>
              <w:rPr>
                <w:rFonts w:ascii="Times New Roman" w:hAnsi="Times New Roman" w:cs="Times New Roman"/>
                <w:color w:val="auto"/>
                <w:highlight w:val="none"/>
              </w:rPr>
              <w:t>面积</w:t>
            </w:r>
            <w:r>
              <w:rPr>
                <w:rFonts w:hint="eastAsia" w:ascii="Times New Roman" w:hAnsi="Times New Roman" w:cs="Times New Roman"/>
                <w:color w:val="auto"/>
                <w:highlight w:val="none"/>
                <w:lang w:val="en-US" w:eastAsia="zh-CN"/>
              </w:rPr>
              <w:t>50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危废暂存间分区贮存，东北</w:t>
            </w:r>
            <w:r>
              <w:rPr>
                <w:rFonts w:hint="default" w:ascii="Times New Roman" w:hAnsi="Times New Roman" w:cs="Times New Roman"/>
                <w:color w:val="auto"/>
                <w:highlight w:val="none"/>
                <w:lang w:val="en-US" w:eastAsia="zh-CN"/>
              </w:rPr>
              <w:t>侧为废矿物油存放区，西侧为</w:t>
            </w:r>
            <w:r>
              <w:rPr>
                <w:rFonts w:hint="eastAsia" w:ascii="Times New Roman" w:hAnsi="Times New Roman" w:cs="Times New Roman"/>
                <w:color w:val="auto"/>
                <w:highlight w:val="none"/>
                <w:lang w:val="en-US" w:eastAsia="zh-CN"/>
              </w:rPr>
              <w:t>废油桶</w:t>
            </w:r>
            <w:r>
              <w:rPr>
                <w:rFonts w:hint="default" w:ascii="Times New Roman" w:hAnsi="Times New Roman" w:cs="Times New Roman"/>
                <w:color w:val="auto"/>
                <w:highlight w:val="none"/>
                <w:lang w:val="en-US" w:eastAsia="zh-CN"/>
              </w:rPr>
              <w:t>存放区，四周设置导流槽，收集池位于危废暂存间</w:t>
            </w:r>
            <w:r>
              <w:rPr>
                <w:rFonts w:hint="eastAsia" w:ascii="Times New Roman" w:hAnsi="Times New Roman" w:cs="Times New Roman"/>
                <w:color w:val="auto"/>
                <w:highlight w:val="none"/>
                <w:lang w:val="en-US" w:eastAsia="zh-CN"/>
              </w:rPr>
              <w:t>西南</w:t>
            </w:r>
            <w:r>
              <w:rPr>
                <w:rFonts w:hint="default" w:ascii="Times New Roman" w:hAnsi="Times New Roman" w:cs="Times New Roman"/>
                <w:color w:val="auto"/>
                <w:highlight w:val="none"/>
                <w:lang w:val="en-US" w:eastAsia="zh-CN"/>
              </w:rPr>
              <w:t>角</w:t>
            </w:r>
            <w:r>
              <w:rPr>
                <w:rFonts w:hint="eastAsia" w:ascii="Times New Roman" w:hAnsi="Times New Roman" w:cs="Times New Roman"/>
                <w:color w:val="auto"/>
                <w:highlight w:val="none"/>
                <w:lang w:val="en-US" w:eastAsia="zh-CN"/>
              </w:rPr>
              <w:t>地下</w:t>
            </w:r>
            <w:r>
              <w:rPr>
                <w:rFonts w:hint="default" w:ascii="Times New Roman" w:hAnsi="Times New Roman" w:cs="Times New Roman"/>
                <w:color w:val="auto"/>
                <w:highlight w:val="none"/>
                <w:lang w:val="en-US" w:eastAsia="zh-CN"/>
              </w:rPr>
              <w:t>，危废暂存间平面布置图见附图4。</w:t>
            </w:r>
          </w:p>
          <w:p w14:paraId="1FD5EF7B">
            <w:pPr>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（2）周边关系</w:t>
            </w:r>
          </w:p>
          <w:p w14:paraId="2C76A502">
            <w:pPr>
              <w:snapToGrid w:val="0"/>
              <w:spacing w:line="360" w:lineRule="auto"/>
              <w:ind w:firstLine="480" w:firstLineChars="200"/>
              <w:rPr>
                <w:rFonts w:hint="default" w:eastAsia="宋体"/>
                <w:color w:val="auto"/>
                <w:highlight w:val="none"/>
                <w:lang w:val="en-US" w:eastAsia="zh-CN"/>
              </w:rPr>
            </w:pPr>
            <w:r>
              <w:rPr>
                <w:rFonts w:hint="default" w:ascii="Times New Roman" w:hAnsi="Times New Roman" w:cs="Times New Roman"/>
                <w:color w:val="auto"/>
                <w:highlight w:val="none"/>
              </w:rPr>
              <w:t>内蒙古锡林郭勒盟</w:t>
            </w:r>
            <w:r>
              <w:rPr>
                <w:rFonts w:hint="default" w:ascii="Times New Roman" w:hAnsi="Times New Roman" w:cs="Times New Roman"/>
                <w:color w:val="auto"/>
                <w:highlight w:val="none"/>
                <w:lang w:eastAsia="zh-CN"/>
              </w:rPr>
              <w:t>锡林浩特市远景能源（锡林郭勒）有限公司</w:t>
            </w:r>
            <w:r>
              <w:rPr>
                <w:rFonts w:hint="default" w:ascii="Times New Roman" w:hAnsi="Times New Roman" w:cs="Times New Roman"/>
                <w:color w:val="auto"/>
                <w:highlight w:val="none"/>
              </w:rPr>
              <w:t>西侧</w:t>
            </w:r>
            <w:r>
              <w:rPr>
                <w:rFonts w:hint="eastAsia" w:ascii="Times New Roman" w:hAnsi="Times New Roman" w:cs="Times New Roman"/>
                <w:color w:val="auto"/>
                <w:highlight w:val="none"/>
                <w:lang w:val="en-US" w:eastAsia="zh-CN"/>
              </w:rPr>
              <w:t>和南侧为锡林浩特市鑫源盛科技发展有限公司</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北侧为空地，东侧为锡林郭勒盟明阳新能源有限公司</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本项目危废暂存间位于</w:t>
            </w:r>
            <w:r>
              <w:rPr>
                <w:rFonts w:hint="default" w:ascii="Times New Roman" w:hAnsi="Times New Roman" w:cs="Times New Roman"/>
                <w:color w:val="auto"/>
                <w:highlight w:val="none"/>
              </w:rPr>
              <w:t>内蒙古锡林郭勒盟</w:t>
            </w:r>
            <w:r>
              <w:rPr>
                <w:rFonts w:hint="default" w:ascii="Times New Roman" w:hAnsi="Times New Roman" w:cs="Times New Roman"/>
                <w:color w:val="auto"/>
                <w:highlight w:val="none"/>
                <w:lang w:eastAsia="zh-CN"/>
              </w:rPr>
              <w:t>锡林浩特市远景能源（锡林郭勒）有限公司</w:t>
            </w:r>
            <w:r>
              <w:rPr>
                <w:rFonts w:hint="eastAsia" w:ascii="Times New Roman" w:hAnsi="Times New Roman" w:cs="Times New Roman"/>
                <w:color w:val="auto"/>
                <w:highlight w:val="none"/>
                <w:lang w:val="en-US" w:eastAsia="zh-CN"/>
              </w:rPr>
              <w:t>西北侧，危废间东北侧为固废区和保安室，危废间东南侧和西南侧为成品堆场，危废间西北侧为空地，本项目平面布置合理，厂区周边关系布置图见附图5。</w:t>
            </w:r>
          </w:p>
        </w:tc>
      </w:tr>
      <w:tr w14:paraId="42CECA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690" w:type="dxa"/>
            <w:tcBorders>
              <w:top w:val="single" w:color="auto" w:sz="4" w:space="0"/>
              <w:left w:val="single" w:color="auto" w:sz="8" w:space="0"/>
              <w:bottom w:val="single" w:color="auto" w:sz="4" w:space="0"/>
              <w:right w:val="single" w:color="auto" w:sz="4" w:space="0"/>
              <w:tl2br w:val="nil"/>
              <w:tr2bl w:val="nil"/>
            </w:tcBorders>
            <w:vAlign w:val="center"/>
          </w:tcPr>
          <w:p w14:paraId="45A02B67">
            <w:pPr>
              <w:pStyle w:val="21"/>
              <w:adjustRightInd w:val="0"/>
              <w:snapToGrid w:val="0"/>
              <w:spacing w:beforeAutospacing="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tc>
        <w:tc>
          <w:tcPr>
            <w:tcW w:w="8370" w:type="dxa"/>
            <w:tcBorders>
              <w:top w:val="single" w:color="auto" w:sz="4" w:space="0"/>
              <w:left w:val="single" w:color="auto" w:sz="4" w:space="0"/>
              <w:bottom w:val="single" w:color="auto" w:sz="4" w:space="0"/>
              <w:right w:val="single" w:color="auto" w:sz="8" w:space="0"/>
              <w:tl2br w:val="nil"/>
              <w:tr2bl w:val="nil"/>
            </w:tcBorders>
          </w:tcPr>
          <w:p w14:paraId="7840C58D">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ascii="Times New Roman" w:hAnsi="Times New Roman" w:cs="Times New Roman"/>
                <w:b/>
                <w:bCs/>
                <w:color w:val="auto"/>
                <w:highlight w:val="none"/>
              </w:rPr>
            </w:pPr>
            <w:r>
              <w:rPr>
                <w:rFonts w:ascii="Times New Roman" w:hAnsi="Times New Roman" w:cs="Times New Roman"/>
                <w:b/>
                <w:bCs/>
                <w:color w:val="auto"/>
                <w:highlight w:val="none"/>
              </w:rPr>
              <w:t>一、</w:t>
            </w:r>
            <w:r>
              <w:rPr>
                <w:rFonts w:hint="eastAsia"/>
                <w:b/>
                <w:bCs/>
                <w:color w:val="auto"/>
                <w:highlight w:val="none"/>
              </w:rPr>
              <w:t>施工期主要污染工序</w:t>
            </w:r>
          </w:p>
          <w:p w14:paraId="500D534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1、工艺流程</w:t>
            </w:r>
          </w:p>
          <w:p w14:paraId="29FD1F1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rFonts w:hint="default" w:ascii="Times New Roman" w:hAnsi="Times New Roman" w:cs="Times New Roman"/>
                <w:color w:val="auto"/>
                <w:highlight w:val="none"/>
              </w:rPr>
              <w:t>本次新建</w:t>
            </w:r>
            <w:r>
              <w:rPr>
                <w:rFonts w:hint="default" w:ascii="Times New Roman" w:hAnsi="Times New Roman" w:cs="Times New Roman"/>
                <w:color w:val="auto"/>
                <w:highlight w:val="none"/>
                <w:lang w:eastAsia="zh-CN"/>
              </w:rPr>
              <w:t>1间</w:t>
            </w:r>
            <w:r>
              <w:rPr>
                <w:rFonts w:hint="default" w:ascii="Times New Roman" w:hAnsi="Times New Roman" w:cs="Times New Roman"/>
                <w:color w:val="auto"/>
                <w:highlight w:val="none"/>
              </w:rPr>
              <w:t>危废暂存间，用于存放</w:t>
            </w:r>
            <w:r>
              <w:rPr>
                <w:rFonts w:hint="default" w:ascii="Times New Roman" w:hAnsi="Times New Roman" w:cs="Times New Roman"/>
                <w:color w:val="auto"/>
                <w:highlight w:val="none"/>
                <w:lang w:eastAsia="zh-CN"/>
              </w:rPr>
              <w:t>废矿物油</w:t>
            </w:r>
            <w:r>
              <w:rPr>
                <w:rFonts w:hint="eastAsia" w:ascii="Times New Roman" w:hAnsi="Times New Roman" w:cs="Times New Roman"/>
                <w:color w:val="auto"/>
                <w:highlight w:val="none"/>
                <w:lang w:val="en-US" w:eastAsia="zh-CN"/>
              </w:rPr>
              <w:t>和废油桶</w:t>
            </w:r>
            <w:r>
              <w:rPr>
                <w:rFonts w:hint="default" w:ascii="Times New Roman" w:hAnsi="Times New Roman" w:cs="Times New Roman"/>
                <w:color w:val="auto"/>
                <w:highlight w:val="none"/>
              </w:rPr>
              <w:t>，建筑面积</w:t>
            </w:r>
            <w:r>
              <w:rPr>
                <w:rFonts w:hint="eastAsia" w:ascii="Times New Roman" w:hAnsi="Times New Roman" w:cs="Times New Roman"/>
                <w:color w:val="auto"/>
                <w:highlight w:val="none"/>
                <w:lang w:val="en-US" w:eastAsia="zh-CN"/>
              </w:rPr>
              <w:t>50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。施工期工艺流程及产污情况见图1。</w:t>
            </w:r>
          </w:p>
          <w:p w14:paraId="1551B675">
            <w:pPr>
              <w:rPr>
                <w:color w:val="auto"/>
                <w:highlight w:val="none"/>
              </w:rPr>
            </w:pPr>
            <w:r>
              <w:rPr>
                <w:color w:val="auto"/>
                <w:highlight w:val="none"/>
              </w:rPr>
              <w:drawing>
                <wp:inline distT="0" distB="0" distL="114300" distR="114300">
                  <wp:extent cx="5064760" cy="2346960"/>
                  <wp:effectExtent l="0" t="0" r="2540" b="1524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7"/>
                          <a:stretch>
                            <a:fillRect/>
                          </a:stretch>
                        </pic:blipFill>
                        <pic:spPr>
                          <a:xfrm>
                            <a:off x="0" y="0"/>
                            <a:ext cx="5064760" cy="2346960"/>
                          </a:xfrm>
                          <a:prstGeom prst="rect">
                            <a:avLst/>
                          </a:prstGeom>
                          <a:noFill/>
                          <a:ln>
                            <a:noFill/>
                          </a:ln>
                        </pic:spPr>
                      </pic:pic>
                    </a:graphicData>
                  </a:graphic>
                </wp:inline>
              </w:drawing>
            </w:r>
          </w:p>
          <w:p w14:paraId="5369F824">
            <w:pPr>
              <w:snapToGrid w:val="0"/>
              <w:spacing w:line="360" w:lineRule="auto"/>
              <w:jc w:val="center"/>
              <w:rPr>
                <w:color w:val="auto"/>
                <w:highlight w:val="none"/>
              </w:rPr>
            </w:pPr>
            <w:r>
              <w:rPr>
                <w:rFonts w:hint="eastAsia" w:ascii="Times New Roman" w:hAnsi="Times New Roman" w:cs="宋体"/>
                <w:b/>
                <w:color w:val="auto"/>
                <w:highlight w:val="none"/>
              </w:rPr>
              <w:t>图1  施工期工艺流程及产污节点图</w:t>
            </w:r>
          </w:p>
          <w:p w14:paraId="68F31063">
            <w:pPr>
              <w:snapToGrid w:val="0"/>
              <w:spacing w:line="360" w:lineRule="auto"/>
              <w:ind w:firstLine="480" w:firstLineChars="200"/>
              <w:rPr>
                <w:rFonts w:ascii="Times New Roman" w:hAnsi="Times New Roman" w:eastAsia="黑体"/>
                <w:color w:val="auto"/>
                <w:szCs w:val="20"/>
                <w:highlight w:val="none"/>
              </w:rPr>
            </w:pPr>
            <w:r>
              <w:rPr>
                <w:rFonts w:hint="default" w:ascii="Times New Roman" w:hAnsi="Times New Roman" w:cs="Times New Roman"/>
                <w:color w:val="auto"/>
                <w:szCs w:val="20"/>
                <w:highlight w:val="none"/>
              </w:rPr>
              <w:t>2、</w:t>
            </w:r>
            <w:r>
              <w:rPr>
                <w:rFonts w:hint="eastAsia" w:ascii="宋体" w:hAnsi="宋体" w:cs="宋体"/>
                <w:color w:val="auto"/>
                <w:szCs w:val="20"/>
                <w:highlight w:val="none"/>
              </w:rPr>
              <w:t>主要污染工序</w:t>
            </w:r>
          </w:p>
          <w:p w14:paraId="3C6AEB01">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施工过程中产生的污染都是暂时的，随着施工过程的结束，影响也将在短期内消失。施工期污染工序主要从废气产生环节、废水产生环节、噪声产生环节、固体废物产生环节以及生态环境影响环节五方面分析。</w:t>
            </w:r>
          </w:p>
          <w:p w14:paraId="5BFA0047">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（1）大气污染物产生环节</w:t>
            </w:r>
          </w:p>
          <w:p w14:paraId="50DA00BD">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①场地平整、地基开挖过程中产生的粉尘；</w:t>
            </w:r>
          </w:p>
          <w:p w14:paraId="5A6C947C">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②工程建设时，运输车辆的运输过程中产生的粉尘、汽车尾气；</w:t>
            </w:r>
          </w:p>
          <w:p w14:paraId="508FB911">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③施工过程中建筑材料运输、装卸、堆存过程中产生的扬尘。</w:t>
            </w:r>
          </w:p>
          <w:p w14:paraId="4D0759BC">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项目施工过程中所产生的主要大气污染物为扬尘。施工期扬尘多属于无组织排放，扩散浓度受其他因素影响较多，在时间和空间上均较为零散。施工期扬尘的影响范围和施工现场面积、施工管理水平、施工机械化、施工季节、建设区土质以及天气等诸多因素有关，因影响条件不同而差异较大。</w:t>
            </w:r>
          </w:p>
          <w:p w14:paraId="2B1922DA">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施工期对环境空气的影响主要表现为场地平整、土方挖掘、基础建设以及设备安装等一系列施工作业所产生的扬尘和车辆、施工机械往来造成的道路扬尘。</w:t>
            </w:r>
          </w:p>
          <w:p w14:paraId="05409C91">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由于施工的需要，表层土壤需开挖、堆放，在气候干燥又有风的情况下，会产生扬尘。其扬尘可按堆场起尘的经验公式计算：</w:t>
            </w:r>
          </w:p>
          <w:p w14:paraId="41C51FDF">
            <w:pPr>
              <w:snapToGrid w:val="0"/>
              <w:spacing w:line="360" w:lineRule="auto"/>
              <w:jc w:val="center"/>
              <w:rPr>
                <w:rFonts w:ascii="Times New Roman" w:hAnsi="Times New Roman" w:cs="宋体"/>
                <w:color w:val="auto"/>
                <w:highlight w:val="none"/>
              </w:rPr>
            </w:pPr>
            <w:r>
              <w:rPr>
                <w:rFonts w:hint="eastAsia" w:ascii="Times New Roman" w:hAnsi="Times New Roman" w:cs="宋体"/>
                <w:color w:val="auto"/>
                <w:highlight w:val="none"/>
              </w:rPr>
              <w:t>Q=2.1(V</w:t>
            </w:r>
            <w:r>
              <w:rPr>
                <w:rFonts w:hint="eastAsia" w:ascii="Times New Roman" w:hAnsi="Times New Roman" w:cs="宋体"/>
                <w:color w:val="auto"/>
                <w:highlight w:val="none"/>
                <w:vertAlign w:val="subscript"/>
              </w:rPr>
              <w:t>50</w:t>
            </w:r>
            <w:r>
              <w:rPr>
                <w:rFonts w:hint="eastAsia" w:ascii="Times New Roman" w:hAnsi="Times New Roman" w:cs="宋体"/>
                <w:color w:val="auto"/>
                <w:highlight w:val="none"/>
              </w:rPr>
              <w:t>-V</w:t>
            </w:r>
            <w:r>
              <w:rPr>
                <w:rFonts w:hint="eastAsia" w:ascii="Times New Roman" w:hAnsi="Times New Roman" w:cs="宋体"/>
                <w:color w:val="auto"/>
                <w:highlight w:val="none"/>
                <w:vertAlign w:val="subscript"/>
              </w:rPr>
              <w:t>0</w:t>
            </w:r>
            <w:r>
              <w:rPr>
                <w:rFonts w:hint="eastAsia" w:ascii="Times New Roman" w:hAnsi="Times New Roman" w:cs="宋体"/>
                <w:color w:val="auto"/>
                <w:highlight w:val="none"/>
              </w:rPr>
              <w:t>)</w:t>
            </w:r>
            <w:r>
              <w:rPr>
                <w:rFonts w:hint="eastAsia" w:ascii="Times New Roman" w:hAnsi="Times New Roman" w:cs="宋体"/>
                <w:color w:val="auto"/>
                <w:highlight w:val="none"/>
                <w:vertAlign w:val="superscript"/>
              </w:rPr>
              <w:t>3</w:t>
            </w:r>
            <w:r>
              <w:rPr>
                <w:rFonts w:hint="eastAsia" w:ascii="Times New Roman" w:hAnsi="Times New Roman" w:cs="宋体"/>
                <w:color w:val="auto"/>
                <w:highlight w:val="none"/>
              </w:rPr>
              <w:t>e</w:t>
            </w:r>
            <w:r>
              <w:rPr>
                <w:rFonts w:hint="eastAsia" w:ascii="Times New Roman" w:hAnsi="Times New Roman" w:cs="宋体"/>
                <w:color w:val="auto"/>
                <w:highlight w:val="none"/>
                <w:vertAlign w:val="superscript"/>
              </w:rPr>
              <w:t>-1.023W</w:t>
            </w:r>
          </w:p>
          <w:p w14:paraId="4A4674B0">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式中：Q——起尘量，kg/t·年；</w:t>
            </w:r>
          </w:p>
          <w:p w14:paraId="5183791C">
            <w:pPr>
              <w:snapToGrid w:val="0"/>
              <w:spacing w:line="360" w:lineRule="auto"/>
              <w:ind w:firstLine="1200" w:firstLineChars="500"/>
              <w:rPr>
                <w:rFonts w:ascii="Times New Roman" w:hAnsi="Times New Roman" w:cs="宋体"/>
                <w:color w:val="auto"/>
                <w:highlight w:val="none"/>
              </w:rPr>
            </w:pPr>
            <w:r>
              <w:rPr>
                <w:rFonts w:hint="eastAsia" w:ascii="Times New Roman" w:hAnsi="Times New Roman" w:cs="宋体"/>
                <w:color w:val="auto"/>
                <w:highlight w:val="none"/>
              </w:rPr>
              <w:t>V</w:t>
            </w:r>
            <w:r>
              <w:rPr>
                <w:rFonts w:hint="eastAsia" w:ascii="Times New Roman" w:hAnsi="Times New Roman" w:cs="宋体"/>
                <w:color w:val="auto"/>
                <w:highlight w:val="none"/>
                <w:vertAlign w:val="subscript"/>
              </w:rPr>
              <w:t>50</w:t>
            </w:r>
            <w:r>
              <w:rPr>
                <w:rFonts w:hint="eastAsia" w:ascii="Times New Roman" w:hAnsi="Times New Roman" w:cs="宋体"/>
                <w:color w:val="auto"/>
                <w:highlight w:val="none"/>
              </w:rPr>
              <w:t>——距地面50m处风速，m/s；</w:t>
            </w:r>
          </w:p>
          <w:p w14:paraId="25A95BE8">
            <w:pPr>
              <w:snapToGrid w:val="0"/>
              <w:spacing w:line="360" w:lineRule="auto"/>
              <w:ind w:firstLine="1200" w:firstLineChars="500"/>
              <w:rPr>
                <w:rFonts w:ascii="Times New Roman" w:hAnsi="Times New Roman" w:cs="宋体"/>
                <w:color w:val="auto"/>
                <w:highlight w:val="none"/>
              </w:rPr>
            </w:pPr>
            <w:r>
              <w:rPr>
                <w:rFonts w:hint="eastAsia" w:ascii="Times New Roman" w:hAnsi="Times New Roman" w:cs="宋体"/>
                <w:color w:val="auto"/>
                <w:highlight w:val="none"/>
              </w:rPr>
              <w:t>V</w:t>
            </w:r>
            <w:r>
              <w:rPr>
                <w:rFonts w:hint="eastAsia" w:ascii="Times New Roman" w:hAnsi="Times New Roman" w:cs="宋体"/>
                <w:color w:val="auto"/>
                <w:highlight w:val="none"/>
                <w:vertAlign w:val="subscript"/>
              </w:rPr>
              <w:t>0</w:t>
            </w:r>
            <w:r>
              <w:rPr>
                <w:rFonts w:hint="eastAsia" w:ascii="Times New Roman" w:hAnsi="Times New Roman" w:cs="宋体"/>
                <w:color w:val="auto"/>
                <w:highlight w:val="none"/>
              </w:rPr>
              <w:t>——起尘风速，m/s；</w:t>
            </w:r>
          </w:p>
          <w:p w14:paraId="53FB1EC7">
            <w:pPr>
              <w:snapToGrid w:val="0"/>
              <w:spacing w:line="360" w:lineRule="auto"/>
              <w:ind w:firstLine="1200" w:firstLineChars="500"/>
              <w:rPr>
                <w:rFonts w:ascii="Times New Roman" w:hAnsi="Times New Roman" w:cs="宋体"/>
                <w:color w:val="auto"/>
                <w:highlight w:val="none"/>
              </w:rPr>
            </w:pPr>
            <w:r>
              <w:rPr>
                <w:rFonts w:hint="eastAsia" w:ascii="Times New Roman" w:hAnsi="Times New Roman" w:cs="宋体"/>
                <w:color w:val="auto"/>
                <w:highlight w:val="none"/>
              </w:rPr>
              <w:t>W——尘粒的含水率，%。</w:t>
            </w:r>
          </w:p>
          <w:p w14:paraId="7816C271">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V</w:t>
            </w:r>
            <w:r>
              <w:rPr>
                <w:rFonts w:hint="eastAsia" w:ascii="Times New Roman" w:hAnsi="Times New Roman" w:cs="宋体"/>
                <w:color w:val="auto"/>
                <w:highlight w:val="none"/>
                <w:vertAlign w:val="subscript"/>
              </w:rPr>
              <w:t>0</w:t>
            </w:r>
            <w:r>
              <w:rPr>
                <w:rFonts w:hint="eastAsia" w:ascii="Times New Roman" w:hAnsi="Times New Roman" w:cs="宋体"/>
                <w:color w:val="auto"/>
                <w:highlight w:val="none"/>
              </w:rPr>
              <w:t>与粒径和含水率有关，因此减少露天堆放和保证一定的含水率及减少裸露地面是控制风力起尘的有效手段。</w:t>
            </w:r>
          </w:p>
          <w:p w14:paraId="2250C02F">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尘粒在空气中的传播扩散情况与风速等气象条件有关，也与尘粒本身的沉降速度有关。以沙尘为例，不同粒径的尘粒的沉降速度列于表</w:t>
            </w:r>
            <w:r>
              <w:rPr>
                <w:rFonts w:hint="eastAsia" w:ascii="Times New Roman" w:hAnsi="Times New Roman" w:cs="宋体"/>
                <w:color w:val="auto"/>
                <w:highlight w:val="none"/>
                <w:lang w:val="en-US" w:eastAsia="zh-CN"/>
              </w:rPr>
              <w:t>9</w:t>
            </w:r>
            <w:r>
              <w:rPr>
                <w:rFonts w:hint="eastAsia" w:ascii="Times New Roman" w:hAnsi="Times New Roman" w:cs="宋体"/>
                <w:color w:val="auto"/>
                <w:highlight w:val="none"/>
              </w:rPr>
              <w:t>中。</w:t>
            </w:r>
          </w:p>
          <w:p w14:paraId="32D0E409">
            <w:pPr>
              <w:snapToGrid w:val="0"/>
              <w:spacing w:line="360" w:lineRule="auto"/>
              <w:jc w:val="center"/>
              <w:rPr>
                <w:rFonts w:ascii="Times New Roman" w:hAnsi="Times New Roman" w:cs="宋体"/>
                <w:b/>
                <w:color w:val="auto"/>
                <w:highlight w:val="none"/>
              </w:rPr>
            </w:pPr>
            <w:r>
              <w:rPr>
                <w:rFonts w:hint="eastAsia" w:ascii="Times New Roman" w:hAnsi="Times New Roman" w:cs="宋体"/>
                <w:b/>
                <w:color w:val="auto"/>
                <w:highlight w:val="none"/>
              </w:rPr>
              <w:t>表</w:t>
            </w:r>
            <w:r>
              <w:rPr>
                <w:rFonts w:hint="eastAsia" w:ascii="Times New Roman" w:hAnsi="Times New Roman" w:cs="宋体"/>
                <w:b/>
                <w:color w:val="auto"/>
                <w:highlight w:val="none"/>
                <w:lang w:val="en-US" w:eastAsia="zh-CN"/>
              </w:rPr>
              <w:t>9</w:t>
            </w:r>
            <w:r>
              <w:rPr>
                <w:rFonts w:hint="eastAsia" w:ascii="Times New Roman" w:hAnsi="Times New Roman" w:cs="宋体"/>
                <w:b/>
                <w:color w:val="auto"/>
                <w:highlight w:val="none"/>
              </w:rPr>
              <w:t xml:space="preserve">  不同粒径的尘粒的沉降速度</w:t>
            </w:r>
          </w:p>
          <w:tbl>
            <w:tblPr>
              <w:tblStyle w:val="24"/>
              <w:tblW w:w="4995" w:type="pct"/>
              <w:jc w:val="center"/>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15"/>
              <w:gridCol w:w="960"/>
              <w:gridCol w:w="960"/>
              <w:gridCol w:w="960"/>
              <w:gridCol w:w="959"/>
              <w:gridCol w:w="959"/>
              <w:gridCol w:w="959"/>
              <w:gridCol w:w="959"/>
            </w:tblGrid>
            <w:tr w14:paraId="4DCBAD16">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30" w:hRule="atLeast"/>
                <w:jc w:val="center"/>
              </w:trPr>
              <w:tc>
                <w:tcPr>
                  <w:tcW w:w="869" w:type="pct"/>
                  <w:noWrap/>
                  <w:vAlign w:val="center"/>
                </w:tcPr>
                <w:p w14:paraId="4E9C9D88">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粒径，mm</w:t>
                  </w:r>
                </w:p>
              </w:tc>
              <w:tc>
                <w:tcPr>
                  <w:tcW w:w="590" w:type="pct"/>
                  <w:noWrap/>
                  <w:vAlign w:val="center"/>
                </w:tcPr>
                <w:p w14:paraId="05AAA00D">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0.010</w:t>
                  </w:r>
                </w:p>
              </w:tc>
              <w:tc>
                <w:tcPr>
                  <w:tcW w:w="590" w:type="pct"/>
                  <w:noWrap/>
                  <w:vAlign w:val="center"/>
                </w:tcPr>
                <w:p w14:paraId="26DC30F0">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0.020</w:t>
                  </w:r>
                </w:p>
              </w:tc>
              <w:tc>
                <w:tcPr>
                  <w:tcW w:w="590" w:type="pct"/>
                  <w:noWrap/>
                  <w:vAlign w:val="center"/>
                </w:tcPr>
                <w:p w14:paraId="7A434EE5">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0.030</w:t>
                  </w:r>
                </w:p>
              </w:tc>
              <w:tc>
                <w:tcPr>
                  <w:tcW w:w="589" w:type="pct"/>
                  <w:noWrap/>
                  <w:vAlign w:val="center"/>
                </w:tcPr>
                <w:p w14:paraId="45FAA44F">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0.040</w:t>
                  </w:r>
                </w:p>
              </w:tc>
              <w:tc>
                <w:tcPr>
                  <w:tcW w:w="589" w:type="pct"/>
                  <w:noWrap/>
                  <w:vAlign w:val="center"/>
                </w:tcPr>
                <w:p w14:paraId="6B68702A">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0.050</w:t>
                  </w:r>
                </w:p>
              </w:tc>
              <w:tc>
                <w:tcPr>
                  <w:tcW w:w="589" w:type="pct"/>
                  <w:noWrap/>
                  <w:vAlign w:val="center"/>
                </w:tcPr>
                <w:p w14:paraId="625DEA0B">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0.060</w:t>
                  </w:r>
                </w:p>
              </w:tc>
              <w:tc>
                <w:tcPr>
                  <w:tcW w:w="589" w:type="pct"/>
                  <w:noWrap/>
                  <w:vAlign w:val="center"/>
                </w:tcPr>
                <w:p w14:paraId="0EBA9ACE">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0.070</w:t>
                  </w:r>
                </w:p>
              </w:tc>
            </w:tr>
            <w:tr w14:paraId="35207E5C">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869" w:type="pct"/>
                  <w:noWrap/>
                  <w:vAlign w:val="center"/>
                </w:tcPr>
                <w:p w14:paraId="2C6A7A48">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沉降速度，m/s</w:t>
                  </w:r>
                </w:p>
              </w:tc>
              <w:tc>
                <w:tcPr>
                  <w:tcW w:w="590" w:type="pct"/>
                  <w:noWrap/>
                  <w:vAlign w:val="center"/>
                </w:tcPr>
                <w:p w14:paraId="4B23DCDA">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0.003</w:t>
                  </w:r>
                </w:p>
              </w:tc>
              <w:tc>
                <w:tcPr>
                  <w:tcW w:w="590" w:type="pct"/>
                  <w:noWrap/>
                  <w:vAlign w:val="center"/>
                </w:tcPr>
                <w:p w14:paraId="12809348">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0.012</w:t>
                  </w:r>
                </w:p>
              </w:tc>
              <w:tc>
                <w:tcPr>
                  <w:tcW w:w="590" w:type="pct"/>
                  <w:noWrap/>
                  <w:vAlign w:val="center"/>
                </w:tcPr>
                <w:p w14:paraId="6542A40B">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0.027</w:t>
                  </w:r>
                </w:p>
              </w:tc>
              <w:tc>
                <w:tcPr>
                  <w:tcW w:w="589" w:type="pct"/>
                  <w:noWrap/>
                  <w:vAlign w:val="center"/>
                </w:tcPr>
                <w:p w14:paraId="1A5AB0DB">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0.048</w:t>
                  </w:r>
                </w:p>
              </w:tc>
              <w:tc>
                <w:tcPr>
                  <w:tcW w:w="589" w:type="pct"/>
                  <w:noWrap/>
                  <w:vAlign w:val="center"/>
                </w:tcPr>
                <w:p w14:paraId="45C5F397">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0.075</w:t>
                  </w:r>
                </w:p>
              </w:tc>
              <w:tc>
                <w:tcPr>
                  <w:tcW w:w="589" w:type="pct"/>
                  <w:noWrap/>
                  <w:vAlign w:val="center"/>
                </w:tcPr>
                <w:p w14:paraId="301837A8">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0.108</w:t>
                  </w:r>
                </w:p>
              </w:tc>
              <w:tc>
                <w:tcPr>
                  <w:tcW w:w="589" w:type="pct"/>
                  <w:noWrap/>
                  <w:vAlign w:val="center"/>
                </w:tcPr>
                <w:p w14:paraId="4DFCC468">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0.147</w:t>
                  </w:r>
                </w:p>
              </w:tc>
            </w:tr>
            <w:tr w14:paraId="1C63DB2E">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869" w:type="pct"/>
                  <w:noWrap/>
                  <w:vAlign w:val="center"/>
                </w:tcPr>
                <w:p w14:paraId="3996D7EA">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粒径，mm</w:t>
                  </w:r>
                </w:p>
              </w:tc>
              <w:tc>
                <w:tcPr>
                  <w:tcW w:w="590" w:type="pct"/>
                  <w:noWrap/>
                  <w:vAlign w:val="center"/>
                </w:tcPr>
                <w:p w14:paraId="75268A46">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0.080</w:t>
                  </w:r>
                </w:p>
              </w:tc>
              <w:tc>
                <w:tcPr>
                  <w:tcW w:w="590" w:type="pct"/>
                  <w:noWrap/>
                  <w:vAlign w:val="center"/>
                </w:tcPr>
                <w:p w14:paraId="7AE9F2BD">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0.090</w:t>
                  </w:r>
                </w:p>
              </w:tc>
              <w:tc>
                <w:tcPr>
                  <w:tcW w:w="590" w:type="pct"/>
                  <w:noWrap/>
                  <w:vAlign w:val="center"/>
                </w:tcPr>
                <w:p w14:paraId="61546148">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0.100</w:t>
                  </w:r>
                </w:p>
              </w:tc>
              <w:tc>
                <w:tcPr>
                  <w:tcW w:w="589" w:type="pct"/>
                  <w:noWrap/>
                  <w:vAlign w:val="center"/>
                </w:tcPr>
                <w:p w14:paraId="2E95126C">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0.150</w:t>
                  </w:r>
                </w:p>
              </w:tc>
              <w:tc>
                <w:tcPr>
                  <w:tcW w:w="589" w:type="pct"/>
                  <w:noWrap/>
                  <w:vAlign w:val="center"/>
                </w:tcPr>
                <w:p w14:paraId="2557B18A">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0.200</w:t>
                  </w:r>
                </w:p>
              </w:tc>
              <w:tc>
                <w:tcPr>
                  <w:tcW w:w="589" w:type="pct"/>
                  <w:noWrap/>
                  <w:vAlign w:val="center"/>
                </w:tcPr>
                <w:p w14:paraId="5ACA8D42">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0.250</w:t>
                  </w:r>
                </w:p>
              </w:tc>
              <w:tc>
                <w:tcPr>
                  <w:tcW w:w="589" w:type="pct"/>
                  <w:noWrap/>
                  <w:vAlign w:val="center"/>
                </w:tcPr>
                <w:p w14:paraId="1EA4BECD">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0.350</w:t>
                  </w:r>
                </w:p>
              </w:tc>
            </w:tr>
            <w:tr w14:paraId="3AE1C944">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869" w:type="pct"/>
                  <w:noWrap/>
                  <w:vAlign w:val="center"/>
                </w:tcPr>
                <w:p w14:paraId="52557EEA">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沉降速度，m/s</w:t>
                  </w:r>
                </w:p>
              </w:tc>
              <w:tc>
                <w:tcPr>
                  <w:tcW w:w="590" w:type="pct"/>
                  <w:noWrap/>
                  <w:vAlign w:val="center"/>
                </w:tcPr>
                <w:p w14:paraId="609A49EB">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0.158</w:t>
                  </w:r>
                </w:p>
              </w:tc>
              <w:tc>
                <w:tcPr>
                  <w:tcW w:w="590" w:type="pct"/>
                  <w:noWrap/>
                  <w:vAlign w:val="center"/>
                </w:tcPr>
                <w:p w14:paraId="7CE6B9A0">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0.170</w:t>
                  </w:r>
                </w:p>
              </w:tc>
              <w:tc>
                <w:tcPr>
                  <w:tcW w:w="590" w:type="pct"/>
                  <w:noWrap/>
                  <w:vAlign w:val="center"/>
                </w:tcPr>
                <w:p w14:paraId="2E949E3B">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0.182</w:t>
                  </w:r>
                </w:p>
              </w:tc>
              <w:tc>
                <w:tcPr>
                  <w:tcW w:w="589" w:type="pct"/>
                  <w:noWrap/>
                  <w:vAlign w:val="center"/>
                </w:tcPr>
                <w:p w14:paraId="2AFD1832">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0.239</w:t>
                  </w:r>
                </w:p>
              </w:tc>
              <w:tc>
                <w:tcPr>
                  <w:tcW w:w="589" w:type="pct"/>
                  <w:noWrap/>
                  <w:vAlign w:val="center"/>
                </w:tcPr>
                <w:p w14:paraId="283F9492">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0.804</w:t>
                  </w:r>
                </w:p>
              </w:tc>
              <w:tc>
                <w:tcPr>
                  <w:tcW w:w="589" w:type="pct"/>
                  <w:noWrap/>
                  <w:vAlign w:val="center"/>
                </w:tcPr>
                <w:p w14:paraId="20537425">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1.005</w:t>
                  </w:r>
                </w:p>
              </w:tc>
              <w:tc>
                <w:tcPr>
                  <w:tcW w:w="589" w:type="pct"/>
                  <w:noWrap/>
                  <w:vAlign w:val="center"/>
                </w:tcPr>
                <w:p w14:paraId="7CA9C261">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1.829</w:t>
                  </w:r>
                </w:p>
              </w:tc>
            </w:tr>
            <w:tr w14:paraId="3F9A10B7">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869" w:type="pct"/>
                  <w:noWrap/>
                  <w:vAlign w:val="center"/>
                </w:tcPr>
                <w:p w14:paraId="185B1AE2">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粒径，mm</w:t>
                  </w:r>
                </w:p>
              </w:tc>
              <w:tc>
                <w:tcPr>
                  <w:tcW w:w="590" w:type="pct"/>
                  <w:noWrap/>
                  <w:vAlign w:val="center"/>
                </w:tcPr>
                <w:p w14:paraId="34B58985">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0.450</w:t>
                  </w:r>
                </w:p>
              </w:tc>
              <w:tc>
                <w:tcPr>
                  <w:tcW w:w="590" w:type="pct"/>
                  <w:noWrap/>
                  <w:vAlign w:val="center"/>
                </w:tcPr>
                <w:p w14:paraId="093909BC">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0.550</w:t>
                  </w:r>
                </w:p>
              </w:tc>
              <w:tc>
                <w:tcPr>
                  <w:tcW w:w="590" w:type="pct"/>
                  <w:noWrap/>
                  <w:vAlign w:val="center"/>
                </w:tcPr>
                <w:p w14:paraId="63F29CB2">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0.650</w:t>
                  </w:r>
                </w:p>
              </w:tc>
              <w:tc>
                <w:tcPr>
                  <w:tcW w:w="589" w:type="pct"/>
                  <w:noWrap/>
                  <w:vAlign w:val="center"/>
                </w:tcPr>
                <w:p w14:paraId="152E2109">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0.750</w:t>
                  </w:r>
                </w:p>
              </w:tc>
              <w:tc>
                <w:tcPr>
                  <w:tcW w:w="589" w:type="pct"/>
                  <w:noWrap/>
                  <w:vAlign w:val="center"/>
                </w:tcPr>
                <w:p w14:paraId="14FB32F0">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0.850</w:t>
                  </w:r>
                </w:p>
              </w:tc>
              <w:tc>
                <w:tcPr>
                  <w:tcW w:w="589" w:type="pct"/>
                  <w:noWrap/>
                  <w:vAlign w:val="center"/>
                </w:tcPr>
                <w:p w14:paraId="4ED2891A">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0.950</w:t>
                  </w:r>
                </w:p>
              </w:tc>
              <w:tc>
                <w:tcPr>
                  <w:tcW w:w="589" w:type="pct"/>
                  <w:noWrap/>
                  <w:vAlign w:val="center"/>
                </w:tcPr>
                <w:p w14:paraId="199F32B7">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1.050</w:t>
                  </w:r>
                </w:p>
              </w:tc>
            </w:tr>
            <w:tr w14:paraId="6C5C76D5">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869" w:type="pct"/>
                  <w:noWrap/>
                  <w:vAlign w:val="center"/>
                </w:tcPr>
                <w:p w14:paraId="2D00644D">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沉降速度，m/s</w:t>
                  </w:r>
                </w:p>
              </w:tc>
              <w:tc>
                <w:tcPr>
                  <w:tcW w:w="590" w:type="pct"/>
                  <w:noWrap/>
                  <w:vAlign w:val="center"/>
                </w:tcPr>
                <w:p w14:paraId="4B914531">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2.211</w:t>
                  </w:r>
                </w:p>
              </w:tc>
              <w:tc>
                <w:tcPr>
                  <w:tcW w:w="590" w:type="pct"/>
                  <w:noWrap/>
                  <w:vAlign w:val="center"/>
                </w:tcPr>
                <w:p w14:paraId="1DEB0311">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2.614</w:t>
                  </w:r>
                </w:p>
              </w:tc>
              <w:tc>
                <w:tcPr>
                  <w:tcW w:w="590" w:type="pct"/>
                  <w:noWrap/>
                  <w:vAlign w:val="center"/>
                </w:tcPr>
                <w:p w14:paraId="3BD51266">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3.016</w:t>
                  </w:r>
                </w:p>
              </w:tc>
              <w:tc>
                <w:tcPr>
                  <w:tcW w:w="589" w:type="pct"/>
                  <w:noWrap/>
                  <w:vAlign w:val="center"/>
                </w:tcPr>
                <w:p w14:paraId="05F0CB9F">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3.418</w:t>
                  </w:r>
                </w:p>
              </w:tc>
              <w:tc>
                <w:tcPr>
                  <w:tcW w:w="589" w:type="pct"/>
                  <w:noWrap/>
                  <w:vAlign w:val="center"/>
                </w:tcPr>
                <w:p w14:paraId="149C653F">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3.820</w:t>
                  </w:r>
                </w:p>
              </w:tc>
              <w:tc>
                <w:tcPr>
                  <w:tcW w:w="589" w:type="pct"/>
                  <w:noWrap/>
                  <w:vAlign w:val="center"/>
                </w:tcPr>
                <w:p w14:paraId="3CDB5F45">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4.222</w:t>
                  </w:r>
                </w:p>
              </w:tc>
              <w:tc>
                <w:tcPr>
                  <w:tcW w:w="589" w:type="pct"/>
                  <w:noWrap/>
                  <w:vAlign w:val="center"/>
                </w:tcPr>
                <w:p w14:paraId="4704C6A3">
                  <w:pPr>
                    <w:spacing w:line="40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4.624</w:t>
                  </w:r>
                </w:p>
              </w:tc>
            </w:tr>
          </w:tbl>
          <w:p w14:paraId="034052B4">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由表可知，尘粒的沉降速度随粒径的增大而迅速增大。当粒径为0.25mm时，沉降速度为1.005m/s，因此可以认为当尘粒大于0.25mm时，主要影响范围在扬尘点下风向近距离范围内，而真正对外环境产生影响的是一些微小尘粒。现场的气候情况不同，其影响范围也有所不同。</w:t>
            </w:r>
          </w:p>
          <w:p w14:paraId="5A84F1C3">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施工期产生扬尘的另一方面便是道路运输扬尘，其起尘量的大小主要与路面清洁程度及行驶速度有关。在同样路面清洁程度条件下，车速越快，扬尘量越大；而在同样车速情况下，路面越脏，则扬尘量越大。因此限速行驶和保持路面清洁是减少汽车扬尘的有效手段。施工机械和汽车运输时所排放的尾气，主要对作业点周围和运输路线两侧局部范围产生一定影响。由于用车量少、排放量不大，所以不会对当地环境空气质量造成不良影响。</w:t>
            </w:r>
          </w:p>
          <w:p w14:paraId="089E511D">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（2）废水产生环节及影响分析</w:t>
            </w:r>
          </w:p>
          <w:p w14:paraId="2931B6DB">
            <w:pPr>
              <w:snapToGrid w:val="0"/>
              <w:spacing w:line="360" w:lineRule="auto"/>
              <w:ind w:firstLine="480" w:firstLineChars="200"/>
              <w:rPr>
                <w:rFonts w:hint="eastAsia" w:ascii="Times New Roman" w:hAnsi="Times New Roman" w:cs="宋体"/>
                <w:color w:val="auto"/>
                <w:highlight w:val="none"/>
              </w:rPr>
            </w:pPr>
            <w:r>
              <w:rPr>
                <w:rFonts w:hint="eastAsia" w:ascii="Times New Roman" w:hAnsi="Times New Roman" w:cs="宋体"/>
                <w:color w:val="auto"/>
                <w:highlight w:val="none"/>
              </w:rPr>
              <w:t>本项目中施工过程中废水主要为施工人员产生的生活污水。</w:t>
            </w:r>
          </w:p>
          <w:p w14:paraId="0F72356A">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（3）噪声产生环节及影响分析</w:t>
            </w:r>
          </w:p>
          <w:p w14:paraId="6A8FEB39">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施工期噪声主要指建筑工地施工和交通噪声两类。前者为持续性噪声，后者为间歇性噪声。对于每一个施工阶段采用的施工机械不同，对外界环境造成的施工噪声污染水平也不同。据同类机械调查，施工期噪声源主要是施工机械设备产生的噪声，一些施工机械的噪声强度可达75~95dB(A)，由此而产生的噪声对周围区域环境有一定的影响。施工期主要噪声源有挖掘机、开掘机、运输车辆等施工机械设备。</w:t>
            </w:r>
          </w:p>
          <w:p w14:paraId="1928DC56">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由于本工程施工机械产生的噪声主要属于低频噪声，因此在预测其影响时可只考虑其扩散衰减，预测模型可选用：</w:t>
            </w:r>
          </w:p>
          <w:p w14:paraId="5DCCCDCB">
            <w:pPr>
              <w:snapToGrid w:val="0"/>
              <w:spacing w:line="360" w:lineRule="auto"/>
              <w:jc w:val="center"/>
              <w:rPr>
                <w:rFonts w:ascii="Times New Roman" w:hAnsi="Times New Roman" w:cs="宋体"/>
                <w:color w:val="auto"/>
                <w:highlight w:val="none"/>
              </w:rPr>
            </w:pPr>
            <w:r>
              <w:rPr>
                <w:rFonts w:hint="eastAsia" w:ascii="Times New Roman" w:hAnsi="Times New Roman" w:cs="宋体"/>
                <w:color w:val="auto"/>
                <w:highlight w:val="none"/>
              </w:rPr>
              <w:t>L</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=L</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－20lgr</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/r</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 xml:space="preserve">  （r</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&gt;r</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w:t>
            </w:r>
          </w:p>
          <w:p w14:paraId="7199BC3A">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式中：L</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、L</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——距声源r</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、r</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处的等效A声级（dB（A））；</w:t>
            </w:r>
          </w:p>
          <w:p w14:paraId="0DAE5784">
            <w:pPr>
              <w:snapToGrid w:val="0"/>
              <w:spacing w:line="360" w:lineRule="auto"/>
              <w:ind w:firstLine="1200" w:firstLineChars="500"/>
              <w:rPr>
                <w:rFonts w:ascii="Times New Roman" w:hAnsi="Times New Roman" w:cs="宋体"/>
                <w:color w:val="auto"/>
                <w:highlight w:val="none"/>
              </w:rPr>
            </w:pPr>
            <w:r>
              <w:rPr>
                <w:rFonts w:hint="eastAsia" w:ascii="Times New Roman" w:hAnsi="Times New Roman" w:cs="宋体"/>
                <w:color w:val="auto"/>
                <w:highlight w:val="none"/>
              </w:rPr>
              <w:t>r</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、r</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——接受点距声源的距离（m）。</w:t>
            </w:r>
          </w:p>
          <w:p w14:paraId="5C8439B2">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由上式可推出噪声随距离增加而衰减的量ΔL：</w:t>
            </w:r>
          </w:p>
          <w:p w14:paraId="73121B63">
            <w:pPr>
              <w:snapToGrid w:val="0"/>
              <w:spacing w:line="360" w:lineRule="auto"/>
              <w:jc w:val="center"/>
              <w:rPr>
                <w:rFonts w:ascii="Times New Roman" w:hAnsi="Times New Roman" w:cs="宋体"/>
                <w:color w:val="auto"/>
                <w:highlight w:val="none"/>
              </w:rPr>
            </w:pPr>
            <w:r>
              <w:rPr>
                <w:rFonts w:hint="eastAsia" w:ascii="Times New Roman" w:hAnsi="Times New Roman" w:cs="宋体"/>
                <w:color w:val="auto"/>
                <w:highlight w:val="none"/>
              </w:rPr>
              <w:t>ΔL=L</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－L</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=20lgr</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/r</w:t>
            </w:r>
            <w:r>
              <w:rPr>
                <w:rFonts w:hint="eastAsia" w:ascii="Times New Roman" w:hAnsi="Times New Roman" w:cs="宋体"/>
                <w:color w:val="auto"/>
                <w:highlight w:val="none"/>
                <w:vertAlign w:val="subscript"/>
              </w:rPr>
              <w:t>1</w:t>
            </w:r>
          </w:p>
          <w:p w14:paraId="3C57ED42">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由此式可计算出噪声值随距离衰减的情况，结果见表</w:t>
            </w:r>
            <w:r>
              <w:rPr>
                <w:rFonts w:hint="eastAsia" w:ascii="Times New Roman" w:hAnsi="Times New Roman" w:cs="宋体"/>
                <w:color w:val="auto"/>
                <w:highlight w:val="none"/>
                <w:lang w:val="en-US" w:eastAsia="zh-CN"/>
              </w:rPr>
              <w:t>10</w:t>
            </w:r>
            <w:r>
              <w:rPr>
                <w:rFonts w:hint="eastAsia" w:ascii="Times New Roman" w:hAnsi="Times New Roman" w:cs="宋体"/>
                <w:color w:val="auto"/>
                <w:highlight w:val="none"/>
              </w:rPr>
              <w:t>。</w:t>
            </w:r>
          </w:p>
          <w:p w14:paraId="4D33D323">
            <w:pPr>
              <w:snapToGrid w:val="0"/>
              <w:spacing w:line="360" w:lineRule="auto"/>
              <w:jc w:val="center"/>
              <w:rPr>
                <w:rFonts w:ascii="Times New Roman" w:hAnsi="Times New Roman" w:cs="宋体"/>
                <w:color w:val="auto"/>
                <w:highlight w:val="none"/>
              </w:rPr>
            </w:pPr>
            <w:r>
              <w:rPr>
                <w:rFonts w:hint="eastAsia" w:ascii="Times New Roman" w:hAnsi="Times New Roman" w:cs="宋体"/>
                <w:b/>
                <w:bCs/>
                <w:color w:val="auto"/>
                <w:highlight w:val="none"/>
              </w:rPr>
              <w:t>表</w:t>
            </w:r>
            <w:r>
              <w:rPr>
                <w:rFonts w:hint="eastAsia" w:ascii="Times New Roman" w:hAnsi="Times New Roman" w:cs="宋体"/>
                <w:b/>
                <w:bCs/>
                <w:color w:val="auto"/>
                <w:highlight w:val="none"/>
                <w:lang w:val="en-US" w:eastAsia="zh-CN"/>
              </w:rPr>
              <w:t xml:space="preserve">10  </w:t>
            </w:r>
            <w:r>
              <w:rPr>
                <w:rFonts w:hint="eastAsia" w:ascii="Times New Roman" w:hAnsi="Times New Roman" w:cs="宋体"/>
                <w:b/>
                <w:bCs/>
                <w:color w:val="auto"/>
                <w:highlight w:val="none"/>
              </w:rPr>
              <w:t>噪声值随距离的衰减关系</w:t>
            </w:r>
          </w:p>
          <w:tbl>
            <w:tblPr>
              <w:tblStyle w:val="24"/>
              <w:tblW w:w="4997"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530"/>
              <w:gridCol w:w="635"/>
              <w:gridCol w:w="748"/>
              <w:gridCol w:w="795"/>
              <w:gridCol w:w="810"/>
              <w:gridCol w:w="891"/>
              <w:gridCol w:w="948"/>
              <w:gridCol w:w="947"/>
              <w:gridCol w:w="756"/>
            </w:tblGrid>
            <w:tr w14:paraId="7F597F7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62" w:type="pct"/>
                  <w:noWrap/>
                  <w:vAlign w:val="center"/>
                </w:tcPr>
                <w:p w14:paraId="6D71BF86">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距离(m)</w:t>
                  </w:r>
                </w:p>
              </w:tc>
              <w:tc>
                <w:tcPr>
                  <w:tcW w:w="325" w:type="pct"/>
                  <w:noWrap/>
                  <w:vAlign w:val="center"/>
                </w:tcPr>
                <w:p w14:paraId="760CE89B">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1</w:t>
                  </w:r>
                </w:p>
              </w:tc>
              <w:tc>
                <w:tcPr>
                  <w:tcW w:w="390" w:type="pct"/>
                  <w:noWrap/>
                  <w:vAlign w:val="center"/>
                </w:tcPr>
                <w:p w14:paraId="470A7232">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10</w:t>
                  </w:r>
                </w:p>
              </w:tc>
              <w:tc>
                <w:tcPr>
                  <w:tcW w:w="459" w:type="pct"/>
                  <w:noWrap/>
                  <w:vAlign w:val="center"/>
                </w:tcPr>
                <w:p w14:paraId="73B936AB">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50</w:t>
                  </w:r>
                </w:p>
              </w:tc>
              <w:tc>
                <w:tcPr>
                  <w:tcW w:w="488" w:type="pct"/>
                  <w:noWrap/>
                  <w:vAlign w:val="center"/>
                </w:tcPr>
                <w:p w14:paraId="6973E5D7">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100</w:t>
                  </w:r>
                </w:p>
              </w:tc>
              <w:tc>
                <w:tcPr>
                  <w:tcW w:w="497" w:type="pct"/>
                  <w:noWrap/>
                  <w:vAlign w:val="center"/>
                </w:tcPr>
                <w:p w14:paraId="38CA5CF9">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150</w:t>
                  </w:r>
                </w:p>
              </w:tc>
              <w:tc>
                <w:tcPr>
                  <w:tcW w:w="547" w:type="pct"/>
                  <w:noWrap/>
                  <w:vAlign w:val="center"/>
                </w:tcPr>
                <w:p w14:paraId="4962434D">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200</w:t>
                  </w:r>
                </w:p>
              </w:tc>
              <w:tc>
                <w:tcPr>
                  <w:tcW w:w="582" w:type="pct"/>
                  <w:noWrap/>
                  <w:vAlign w:val="center"/>
                </w:tcPr>
                <w:p w14:paraId="71499E85">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250</w:t>
                  </w:r>
                </w:p>
              </w:tc>
              <w:tc>
                <w:tcPr>
                  <w:tcW w:w="581" w:type="pct"/>
                  <w:noWrap/>
                  <w:vAlign w:val="center"/>
                </w:tcPr>
                <w:p w14:paraId="5FA76628">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400</w:t>
                  </w:r>
                </w:p>
              </w:tc>
              <w:tc>
                <w:tcPr>
                  <w:tcW w:w="464" w:type="pct"/>
                  <w:noWrap/>
                  <w:vAlign w:val="center"/>
                </w:tcPr>
                <w:p w14:paraId="5D489E85">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600</w:t>
                  </w:r>
                </w:p>
              </w:tc>
            </w:tr>
            <w:tr w14:paraId="48ED407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62" w:type="pct"/>
                  <w:noWrap/>
                  <w:vAlign w:val="center"/>
                </w:tcPr>
                <w:p w14:paraId="10E8A347">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ΔLdB(A)</w:t>
                  </w:r>
                </w:p>
              </w:tc>
              <w:tc>
                <w:tcPr>
                  <w:tcW w:w="325" w:type="pct"/>
                  <w:noWrap/>
                  <w:vAlign w:val="center"/>
                </w:tcPr>
                <w:p w14:paraId="1F01D4DD">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0</w:t>
                  </w:r>
                </w:p>
              </w:tc>
              <w:tc>
                <w:tcPr>
                  <w:tcW w:w="390" w:type="pct"/>
                  <w:noWrap/>
                  <w:vAlign w:val="center"/>
                </w:tcPr>
                <w:p w14:paraId="599683A7">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20</w:t>
                  </w:r>
                </w:p>
              </w:tc>
              <w:tc>
                <w:tcPr>
                  <w:tcW w:w="459" w:type="pct"/>
                  <w:noWrap/>
                  <w:vAlign w:val="center"/>
                </w:tcPr>
                <w:p w14:paraId="3F1A5919">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34</w:t>
                  </w:r>
                </w:p>
              </w:tc>
              <w:tc>
                <w:tcPr>
                  <w:tcW w:w="488" w:type="pct"/>
                  <w:noWrap/>
                  <w:vAlign w:val="center"/>
                </w:tcPr>
                <w:p w14:paraId="57AD57F4">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40</w:t>
                  </w:r>
                </w:p>
              </w:tc>
              <w:tc>
                <w:tcPr>
                  <w:tcW w:w="497" w:type="pct"/>
                  <w:noWrap/>
                  <w:vAlign w:val="center"/>
                </w:tcPr>
                <w:p w14:paraId="77934964">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43</w:t>
                  </w:r>
                </w:p>
              </w:tc>
              <w:tc>
                <w:tcPr>
                  <w:tcW w:w="547" w:type="pct"/>
                  <w:noWrap/>
                  <w:vAlign w:val="center"/>
                </w:tcPr>
                <w:p w14:paraId="2EF39610">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46</w:t>
                  </w:r>
                </w:p>
              </w:tc>
              <w:tc>
                <w:tcPr>
                  <w:tcW w:w="582" w:type="pct"/>
                  <w:noWrap/>
                  <w:vAlign w:val="center"/>
                </w:tcPr>
                <w:p w14:paraId="76C79249">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48</w:t>
                  </w:r>
                </w:p>
              </w:tc>
              <w:tc>
                <w:tcPr>
                  <w:tcW w:w="581" w:type="pct"/>
                  <w:noWrap/>
                  <w:vAlign w:val="center"/>
                </w:tcPr>
                <w:p w14:paraId="001ADACB">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52</w:t>
                  </w:r>
                </w:p>
              </w:tc>
              <w:tc>
                <w:tcPr>
                  <w:tcW w:w="464" w:type="pct"/>
                  <w:noWrap/>
                  <w:vAlign w:val="center"/>
                </w:tcPr>
                <w:p w14:paraId="01A2B826">
                  <w:pPr>
                    <w:spacing w:before="156" w:line="240" w:lineRule="atLeas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57</w:t>
                  </w:r>
                </w:p>
              </w:tc>
            </w:tr>
          </w:tbl>
          <w:p w14:paraId="6E4C1A04">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若按噪声最高的重型卡车计算，施工噪声随距离衰减后的情况如表</w:t>
            </w:r>
            <w:r>
              <w:rPr>
                <w:rFonts w:hint="eastAsia" w:ascii="Times New Roman" w:hAnsi="Times New Roman" w:cs="宋体"/>
                <w:color w:val="auto"/>
                <w:highlight w:val="none"/>
                <w:lang w:val="en-US" w:eastAsia="zh-CN"/>
              </w:rPr>
              <w:t>11</w:t>
            </w:r>
            <w:r>
              <w:rPr>
                <w:rFonts w:hint="eastAsia" w:ascii="Times New Roman" w:hAnsi="Times New Roman" w:cs="宋体"/>
                <w:color w:val="auto"/>
                <w:highlight w:val="none"/>
              </w:rPr>
              <w:t>所示。</w:t>
            </w:r>
          </w:p>
          <w:p w14:paraId="3BA10A5C">
            <w:pPr>
              <w:snapToGrid w:val="0"/>
              <w:spacing w:line="360" w:lineRule="auto"/>
              <w:jc w:val="center"/>
              <w:rPr>
                <w:rFonts w:ascii="Times New Roman" w:hAnsi="Times New Roman" w:cs="宋体"/>
                <w:b/>
                <w:bCs/>
                <w:color w:val="auto"/>
                <w:highlight w:val="none"/>
              </w:rPr>
            </w:pPr>
            <w:r>
              <w:rPr>
                <w:rFonts w:hint="eastAsia" w:ascii="Times New Roman" w:hAnsi="Times New Roman" w:cs="宋体"/>
                <w:b/>
                <w:bCs/>
                <w:color w:val="auto"/>
                <w:highlight w:val="none"/>
              </w:rPr>
              <w:t>表1</w:t>
            </w:r>
            <w:r>
              <w:rPr>
                <w:rFonts w:hint="eastAsia" w:ascii="Times New Roman" w:hAnsi="Times New Roman" w:cs="宋体"/>
                <w:b/>
                <w:bCs/>
                <w:color w:val="auto"/>
                <w:highlight w:val="none"/>
                <w:lang w:val="en-US" w:eastAsia="zh-CN"/>
              </w:rPr>
              <w:t>1</w:t>
            </w:r>
            <w:r>
              <w:rPr>
                <w:rFonts w:hint="eastAsia" w:ascii="Times New Roman" w:hAnsi="Times New Roman" w:cs="宋体"/>
                <w:b/>
                <w:bCs/>
                <w:color w:val="auto"/>
                <w:highlight w:val="none"/>
              </w:rPr>
              <w:t xml:space="preserve">  施工噪声随距离的衰减值</w:t>
            </w:r>
          </w:p>
          <w:tbl>
            <w:tblPr>
              <w:tblStyle w:val="24"/>
              <w:tblW w:w="4995"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566"/>
              <w:gridCol w:w="719"/>
              <w:gridCol w:w="719"/>
              <w:gridCol w:w="719"/>
              <w:gridCol w:w="719"/>
              <w:gridCol w:w="719"/>
              <w:gridCol w:w="719"/>
              <w:gridCol w:w="717"/>
              <w:gridCol w:w="717"/>
              <w:gridCol w:w="717"/>
            </w:tblGrid>
            <w:tr w14:paraId="262C9A5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9" w:type="pct"/>
                  <w:noWrap/>
                  <w:vAlign w:val="center"/>
                </w:tcPr>
                <w:p w14:paraId="587354E2">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距离(m)</w:t>
                  </w:r>
                </w:p>
              </w:tc>
              <w:tc>
                <w:tcPr>
                  <w:tcW w:w="348" w:type="pct"/>
                  <w:noWrap/>
                  <w:vAlign w:val="center"/>
                </w:tcPr>
                <w:p w14:paraId="76192D4E">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10</w:t>
                  </w:r>
                </w:p>
              </w:tc>
              <w:tc>
                <w:tcPr>
                  <w:tcW w:w="441" w:type="pct"/>
                  <w:noWrap/>
                  <w:vAlign w:val="center"/>
                </w:tcPr>
                <w:p w14:paraId="33364A9E">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50</w:t>
                  </w:r>
                </w:p>
              </w:tc>
              <w:tc>
                <w:tcPr>
                  <w:tcW w:w="441" w:type="pct"/>
                  <w:noWrap/>
                  <w:vAlign w:val="center"/>
                </w:tcPr>
                <w:p w14:paraId="3002221D">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100</w:t>
                  </w:r>
                </w:p>
              </w:tc>
              <w:tc>
                <w:tcPr>
                  <w:tcW w:w="441" w:type="pct"/>
                  <w:noWrap/>
                  <w:vAlign w:val="center"/>
                </w:tcPr>
                <w:p w14:paraId="711676EB">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150</w:t>
                  </w:r>
                </w:p>
              </w:tc>
              <w:tc>
                <w:tcPr>
                  <w:tcW w:w="441" w:type="pct"/>
                  <w:noWrap/>
                  <w:vAlign w:val="center"/>
                </w:tcPr>
                <w:p w14:paraId="5284714C">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200</w:t>
                  </w:r>
                </w:p>
              </w:tc>
              <w:tc>
                <w:tcPr>
                  <w:tcW w:w="441" w:type="pct"/>
                  <w:noWrap/>
                  <w:vAlign w:val="center"/>
                </w:tcPr>
                <w:p w14:paraId="222D5FD0">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250</w:t>
                  </w:r>
                </w:p>
              </w:tc>
              <w:tc>
                <w:tcPr>
                  <w:tcW w:w="441" w:type="pct"/>
                  <w:noWrap/>
                  <w:vAlign w:val="center"/>
                </w:tcPr>
                <w:p w14:paraId="42EA8ADC">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300</w:t>
                  </w:r>
                </w:p>
              </w:tc>
              <w:tc>
                <w:tcPr>
                  <w:tcW w:w="440" w:type="pct"/>
                  <w:noWrap/>
                  <w:vAlign w:val="center"/>
                </w:tcPr>
                <w:p w14:paraId="2DEB6ADA">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400</w:t>
                  </w:r>
                </w:p>
              </w:tc>
              <w:tc>
                <w:tcPr>
                  <w:tcW w:w="440" w:type="pct"/>
                  <w:noWrap/>
                  <w:vAlign w:val="center"/>
                </w:tcPr>
                <w:p w14:paraId="3CCA92BF">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500</w:t>
                  </w:r>
                </w:p>
              </w:tc>
              <w:tc>
                <w:tcPr>
                  <w:tcW w:w="440" w:type="pct"/>
                  <w:noWrap/>
                  <w:vAlign w:val="center"/>
                </w:tcPr>
                <w:p w14:paraId="10DACDF8">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600</w:t>
                  </w:r>
                </w:p>
              </w:tc>
            </w:tr>
            <w:tr w14:paraId="483F9F5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9" w:type="pct"/>
                  <w:noWrap/>
                  <w:vAlign w:val="center"/>
                </w:tcPr>
                <w:p w14:paraId="37B02279">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重型卡车</w:t>
                  </w:r>
                </w:p>
              </w:tc>
              <w:tc>
                <w:tcPr>
                  <w:tcW w:w="348" w:type="pct"/>
                  <w:noWrap/>
                  <w:vAlign w:val="center"/>
                </w:tcPr>
                <w:p w14:paraId="28A07BBA">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82</w:t>
                  </w:r>
                </w:p>
              </w:tc>
              <w:tc>
                <w:tcPr>
                  <w:tcW w:w="441" w:type="pct"/>
                  <w:noWrap/>
                  <w:vAlign w:val="center"/>
                </w:tcPr>
                <w:p w14:paraId="61A92896">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68</w:t>
                  </w:r>
                </w:p>
              </w:tc>
              <w:tc>
                <w:tcPr>
                  <w:tcW w:w="441" w:type="pct"/>
                  <w:noWrap/>
                  <w:vAlign w:val="center"/>
                </w:tcPr>
                <w:p w14:paraId="4C89B9FE">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62</w:t>
                  </w:r>
                </w:p>
              </w:tc>
              <w:tc>
                <w:tcPr>
                  <w:tcW w:w="441" w:type="pct"/>
                  <w:noWrap/>
                  <w:vAlign w:val="center"/>
                </w:tcPr>
                <w:p w14:paraId="0F5753D9">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59</w:t>
                  </w:r>
                </w:p>
              </w:tc>
              <w:tc>
                <w:tcPr>
                  <w:tcW w:w="441" w:type="pct"/>
                  <w:noWrap/>
                  <w:vAlign w:val="center"/>
                </w:tcPr>
                <w:p w14:paraId="52CDAC37">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56</w:t>
                  </w:r>
                </w:p>
              </w:tc>
              <w:tc>
                <w:tcPr>
                  <w:tcW w:w="441" w:type="pct"/>
                  <w:noWrap/>
                  <w:vAlign w:val="center"/>
                </w:tcPr>
                <w:p w14:paraId="6EF42442">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54</w:t>
                  </w:r>
                </w:p>
              </w:tc>
              <w:tc>
                <w:tcPr>
                  <w:tcW w:w="441" w:type="pct"/>
                  <w:noWrap/>
                  <w:vAlign w:val="center"/>
                </w:tcPr>
                <w:p w14:paraId="69A50EF4">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53</w:t>
                  </w:r>
                </w:p>
              </w:tc>
              <w:tc>
                <w:tcPr>
                  <w:tcW w:w="440" w:type="pct"/>
                  <w:noWrap/>
                  <w:vAlign w:val="center"/>
                </w:tcPr>
                <w:p w14:paraId="44AE23A4">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50</w:t>
                  </w:r>
                </w:p>
              </w:tc>
              <w:tc>
                <w:tcPr>
                  <w:tcW w:w="440" w:type="pct"/>
                  <w:noWrap/>
                  <w:vAlign w:val="center"/>
                </w:tcPr>
                <w:p w14:paraId="7B4F7226">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47</w:t>
                  </w:r>
                </w:p>
              </w:tc>
              <w:tc>
                <w:tcPr>
                  <w:tcW w:w="440" w:type="pct"/>
                  <w:noWrap/>
                  <w:vAlign w:val="center"/>
                </w:tcPr>
                <w:p w14:paraId="67323543">
                  <w:pPr>
                    <w:spacing w:before="156" w:line="240" w:lineRule="atLeast"/>
                    <w:jc w:val="center"/>
                    <w:rPr>
                      <w:rFonts w:ascii="Times New Roman" w:hAnsi="Times New Roman"/>
                      <w:color w:val="auto"/>
                      <w:sz w:val="21"/>
                      <w:szCs w:val="21"/>
                      <w:highlight w:val="none"/>
                    </w:rPr>
                  </w:pPr>
                  <w:r>
                    <w:rPr>
                      <w:rFonts w:ascii="Times New Roman" w:hAnsi="Times New Roman"/>
                      <w:color w:val="auto"/>
                      <w:sz w:val="21"/>
                      <w:szCs w:val="21"/>
                      <w:highlight w:val="none"/>
                    </w:rPr>
                    <w:t>45</w:t>
                  </w:r>
                </w:p>
              </w:tc>
            </w:tr>
          </w:tbl>
          <w:p w14:paraId="2111D45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宋体"/>
                <w:color w:val="auto"/>
                <w:highlight w:val="none"/>
              </w:rPr>
            </w:pPr>
            <w:r>
              <w:rPr>
                <w:rFonts w:hint="eastAsia" w:ascii="Times New Roman" w:hAnsi="Times New Roman" w:cs="宋体"/>
                <w:color w:val="auto"/>
                <w:highlight w:val="none"/>
              </w:rPr>
              <w:t>由表计算结果可知，白天施工机械噪声值超标在100米范围内，对100米外的声环境影响较小，所以施工噪声会对项目拟建地周围100米范围内的施工人员产生一定程度的污染影响。此外，由于进入施工区的公路上流动噪声源的增加，还会引起公路沿线两侧地区噪声污染。</w:t>
            </w:r>
          </w:p>
          <w:p w14:paraId="289B291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宋体"/>
                <w:color w:val="auto"/>
                <w:highlight w:val="none"/>
              </w:rPr>
            </w:pPr>
            <w:r>
              <w:rPr>
                <w:rFonts w:hint="eastAsia" w:ascii="Times New Roman" w:hAnsi="Times New Roman" w:cs="宋体"/>
                <w:color w:val="auto"/>
                <w:highlight w:val="none"/>
              </w:rPr>
              <w:t>（4）固体废物产生环节</w:t>
            </w:r>
          </w:p>
          <w:p w14:paraId="108B1F0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宋体"/>
                <w:color w:val="auto"/>
                <w:highlight w:val="none"/>
              </w:rPr>
            </w:pPr>
            <w:r>
              <w:rPr>
                <w:rFonts w:hint="eastAsia" w:ascii="Times New Roman" w:hAnsi="Times New Roman" w:cs="宋体"/>
                <w:color w:val="auto"/>
                <w:highlight w:val="none"/>
              </w:rPr>
              <w:t>①施工过程中产生的建筑垃圾，主要成分为碎石、泥土、混凝土、钢筋头、破砖、包装箱等，来自于楼体贯穿、地基开挖、主体施工和后期安装等阶段。</w:t>
            </w:r>
          </w:p>
          <w:p w14:paraId="7A90291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rFonts w:hint="eastAsia" w:ascii="Times New Roman" w:hAnsi="Times New Roman" w:cs="宋体"/>
                <w:color w:val="auto"/>
                <w:highlight w:val="none"/>
              </w:rPr>
              <w:t>②施工人员产生的生活垃圾。</w:t>
            </w:r>
          </w:p>
          <w:p w14:paraId="1F368937">
            <w:pPr>
              <w:pStyle w:val="23"/>
              <w:keepNext w:val="0"/>
              <w:keepLines w:val="0"/>
              <w:pageBreakBefore w:val="0"/>
              <w:widowControl w:val="0"/>
              <w:kinsoku/>
              <w:wordWrap/>
              <w:overflowPunct/>
              <w:topLinePunct w:val="0"/>
              <w:autoSpaceDE/>
              <w:autoSpaceDN/>
              <w:bidi w:val="0"/>
              <w:adjustRightInd/>
              <w:snapToGrid w:val="0"/>
              <w:spacing w:line="360" w:lineRule="auto"/>
              <w:ind w:left="0" w:leftChars="0" w:firstLine="482"/>
              <w:textAlignment w:val="auto"/>
              <w:rPr>
                <w:b/>
                <w:bCs/>
                <w:color w:val="auto"/>
                <w:highlight w:val="none"/>
              </w:rPr>
            </w:pPr>
            <w:r>
              <w:rPr>
                <w:rFonts w:hint="eastAsia"/>
                <w:b/>
                <w:bCs/>
                <w:color w:val="auto"/>
                <w:highlight w:val="none"/>
              </w:rPr>
              <w:t>二、运营期主要污染工序</w:t>
            </w:r>
          </w:p>
          <w:p w14:paraId="5E13F29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运营期</w:t>
            </w:r>
            <w:r>
              <w:rPr>
                <w:rFonts w:hint="default" w:ascii="Times New Roman" w:hAnsi="Times New Roman" w:cs="Times New Roman"/>
                <w:color w:val="auto"/>
                <w:highlight w:val="none"/>
              </w:rPr>
              <w:t>涉及的工艺及产污环节见图</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p>
          <w:p w14:paraId="326864C6">
            <w:pPr>
              <w:rPr>
                <w:rFonts w:hint="default"/>
                <w:color w:val="auto"/>
                <w:highlight w:val="none"/>
                <w:lang w:eastAsia="zh-CN"/>
              </w:rPr>
            </w:pPr>
            <w:r>
              <w:rPr>
                <w:rFonts w:hint="default"/>
                <w:color w:val="auto"/>
                <w:highlight w:val="none"/>
                <w:lang w:eastAsia="zh-CN"/>
              </w:rPr>
              <mc:AlternateContent>
                <mc:Choice Requires="wps">
                  <w:drawing>
                    <wp:anchor distT="0" distB="0" distL="114300" distR="114300" simplePos="0" relativeHeight="251677696" behindDoc="0" locked="0" layoutInCell="1" allowOverlap="1">
                      <wp:simplePos x="0" y="0"/>
                      <wp:positionH relativeFrom="column">
                        <wp:posOffset>1861820</wp:posOffset>
                      </wp:positionH>
                      <wp:positionV relativeFrom="paragraph">
                        <wp:posOffset>1089660</wp:posOffset>
                      </wp:positionV>
                      <wp:extent cx="1663065" cy="514350"/>
                      <wp:effectExtent l="6350" t="6350" r="6985" b="12700"/>
                      <wp:wrapNone/>
                      <wp:docPr id="50" name="矩形 50"/>
                      <wp:cNvGraphicFramePr/>
                      <a:graphic xmlns:a="http://schemas.openxmlformats.org/drawingml/2006/main">
                        <a:graphicData uri="http://schemas.microsoft.com/office/word/2010/wordprocessingShape">
                          <wps:wsp>
                            <wps:cNvSpPr/>
                            <wps:spPr>
                              <a:xfrm>
                                <a:off x="0" y="0"/>
                                <a:ext cx="1443990" cy="514350"/>
                              </a:xfrm>
                              <a:prstGeom prst="rect">
                                <a:avLst/>
                              </a:prstGeom>
                              <a:noFill/>
                              <a:ln w="12700" cap="flat" cmpd="sng" algn="ctr">
                                <a:solidFill>
                                  <a:srgbClr val="000000"/>
                                </a:solidFill>
                                <a:prstDash val="sysDash"/>
                                <a:miter lim="800000"/>
                                <a:tailEnd type="stealth"/>
                              </a:ln>
                              <a:effectLst/>
                            </wps:spPr>
                            <wps:txbx>
                              <w:txbxContent>
                                <w:p w14:paraId="0DB22EE6">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噪声、少量非甲烷总烃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6pt;margin-top:85.8pt;height:40.5pt;width:130.95pt;z-index:251677696;v-text-anchor:middle;mso-width-relative:page;mso-height-relative:page;" filled="f" stroked="t" coordsize="21600,21600" o:gfxdata="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hn/YA2gAAAAsBAAAP&#10;AAAAAAAAAAEAIAAAACIAAABkcnMvZG93bnJldi54bWxQSwECFAAUAAAACACHTuJAGSMHEogCAAAD&#10;BQAADgAAAAAAAAABACAAAAApAQAAZHJzL2Uyb0RvYy54bWxQSwUGAAAAAAYABgBZAQAAIwYAAAAA&#10;">
                      <v:fill on="f" focussize="0,0"/>
                      <v:stroke weight="1pt" color="#000000" miterlimit="8" joinstyle="miter" dashstyle="3 1" endarrow="classic"/>
                      <v:imagedata o:title=""/>
                      <o:lock v:ext="edit" aspectratio="f"/>
                      <v:textbox>
                        <w:txbxContent>
                          <w:p w14:paraId="0DB22EE6">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噪声、少量非甲烷总烃</w:t>
                            </w:r>
                          </w:p>
                        </w:txbxContent>
                      </v:textbox>
                    </v:rect>
                  </w:pict>
                </mc:Fallback>
              </mc:AlternateContent>
            </w:r>
            <w:r>
              <w:rPr>
                <w:rFonts w:hint="default"/>
                <w:color w:val="auto"/>
                <w:highlight w:val="none"/>
                <w:lang w:eastAsia="zh-CN"/>
              </w:rPr>
              <mc:AlternateContent>
                <mc:Choice Requires="wps">
                  <w:drawing>
                    <wp:anchor distT="0" distB="0" distL="114300" distR="114300" simplePos="0" relativeHeight="251676672" behindDoc="0" locked="0" layoutInCell="1" allowOverlap="1">
                      <wp:simplePos x="0" y="0"/>
                      <wp:positionH relativeFrom="column">
                        <wp:posOffset>2603500</wp:posOffset>
                      </wp:positionH>
                      <wp:positionV relativeFrom="paragraph">
                        <wp:posOffset>795655</wp:posOffset>
                      </wp:positionV>
                      <wp:extent cx="7620" cy="280035"/>
                      <wp:effectExtent l="32385" t="0" r="36195" b="5715"/>
                      <wp:wrapNone/>
                      <wp:docPr id="36" name="直接箭头连接符 40"/>
                      <wp:cNvGraphicFramePr/>
                      <a:graphic xmlns:a="http://schemas.openxmlformats.org/drawingml/2006/main">
                        <a:graphicData uri="http://schemas.microsoft.com/office/word/2010/wordprocessingShape">
                          <wps:wsp>
                            <wps:cNvCnPr/>
                            <wps:spPr>
                              <a:xfrm>
                                <a:off x="3906520" y="6688455"/>
                                <a:ext cx="7620" cy="280035"/>
                              </a:xfrm>
                              <a:prstGeom prst="straightConnector1">
                                <a:avLst/>
                              </a:prstGeom>
                              <a:noFill/>
                              <a:ln w="19050" cap="flat" cmpd="sng" algn="ctr">
                                <a:solidFill>
                                  <a:srgbClr val="000000"/>
                                </a:solidFill>
                                <a:prstDash val="sysDash"/>
                                <a:miter lim="800000"/>
                                <a:tailEnd type="stealth"/>
                              </a:ln>
                              <a:effectLst/>
                            </wps:spPr>
                            <wps:bodyPr/>
                          </wps:wsp>
                        </a:graphicData>
                      </a:graphic>
                    </wp:anchor>
                  </w:drawing>
                </mc:Choice>
                <mc:Fallback>
                  <w:pict>
                    <v:shape id="直接箭头连接符 40" o:spid="_x0000_s1026" o:spt="32" type="#_x0000_t32" style="position:absolute;left:0pt;margin-left:205pt;margin-top:62.65pt;height:22.05pt;width:0.6pt;z-index:251676672;mso-width-relative:page;mso-height-relative:page;" filled="f" stroked="t" coordsize="21600,21600" o:gfxdata="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Yq1FQtgAAAAL&#10;AQAADwAAAAAAAAABACAAAAAiAAAAZHJzL2Rvd25yZXYueG1sUEsBAhQAFAAAAAgAh07iQP5qe3Uc&#10;AgAAAQQAAA4AAAAAAAAAAQAgAAAAJwEAAGRycy9lMm9Eb2MueG1sUEsFBgAAAAAGAAYAWQEAALUF&#10;AAAAAA==&#10;">
                      <v:fill on="f" focussize="0,0"/>
                      <v:stroke weight="1.5pt" color="#000000" miterlimit="8" joinstyle="miter" dashstyle="3 1" endarrow="classic"/>
                      <v:imagedata o:title=""/>
                      <o:lock v:ext="edit" aspectratio="f"/>
                    </v:shape>
                  </w:pict>
                </mc:Fallback>
              </mc:AlternateContent>
            </w:r>
            <w:r>
              <w:rPr>
                <w:rFonts w:hint="default"/>
                <w:color w:val="auto"/>
                <w:highlight w:val="none"/>
                <w:lang w:eastAsia="zh-CN"/>
              </w:rPr>
              <mc:AlternateContent>
                <mc:Choice Requires="wps">
                  <w:drawing>
                    <wp:anchor distT="0" distB="0" distL="114300" distR="114300" simplePos="0" relativeHeight="251675648" behindDoc="0" locked="0" layoutInCell="1" allowOverlap="1">
                      <wp:simplePos x="0" y="0"/>
                      <wp:positionH relativeFrom="column">
                        <wp:posOffset>3133725</wp:posOffset>
                      </wp:positionH>
                      <wp:positionV relativeFrom="paragraph">
                        <wp:posOffset>511175</wp:posOffset>
                      </wp:positionV>
                      <wp:extent cx="768350" cy="324485"/>
                      <wp:effectExtent l="0" t="0" r="0" b="0"/>
                      <wp:wrapNone/>
                      <wp:docPr id="51" name="矩形 51"/>
                      <wp:cNvGraphicFramePr/>
                      <a:graphic xmlns:a="http://schemas.openxmlformats.org/drawingml/2006/main">
                        <a:graphicData uri="http://schemas.microsoft.com/office/word/2010/wordprocessingShape">
                          <wps:wsp>
                            <wps:cNvSpPr/>
                            <wps:spPr>
                              <a:xfrm>
                                <a:off x="0" y="0"/>
                                <a:ext cx="768350" cy="324485"/>
                              </a:xfrm>
                              <a:prstGeom prst="rect">
                                <a:avLst/>
                              </a:prstGeom>
                              <a:noFill/>
                              <a:ln w="22225" cap="flat" cmpd="sng" algn="ctr">
                                <a:noFill/>
                                <a:prstDash val="solid"/>
                                <a:miter lim="800000"/>
                                <a:tailEnd type="stealth"/>
                              </a:ln>
                              <a:effectLst/>
                            </wps:spPr>
                            <wps:txbx>
                              <w:txbxContent>
                                <w:p w14:paraId="56BD8C44">
                                  <w:pPr>
                                    <w:jc w:val="center"/>
                                    <w:rPr>
                                      <w:rFonts w:hint="default" w:eastAsia="宋体"/>
                                      <w:b w:val="0"/>
                                      <w:bCs w:val="0"/>
                                      <w:color w:val="000000" w:themeColor="text1"/>
                                      <w:sz w:val="21"/>
                                      <w:szCs w:val="21"/>
                                      <w:lang w:val="en-US" w:eastAsia="zh-CN"/>
                                      <w14:textFill>
                                        <w14:solidFill>
                                          <w14:schemeClr w14:val="tx1"/>
                                        </w14:solidFill>
                                      </w14:textFill>
                                    </w:rPr>
                                  </w:pPr>
                                  <w:r>
                                    <w:rPr>
                                      <w:rFonts w:hint="eastAsia" w:eastAsia="宋体"/>
                                      <w:b w:val="0"/>
                                      <w:bCs w:val="0"/>
                                      <w:color w:val="000000" w:themeColor="text1"/>
                                      <w:sz w:val="21"/>
                                      <w:szCs w:val="21"/>
                                      <w:lang w:val="en-US" w:eastAsia="zh-CN"/>
                                      <w14:textFill>
                                        <w14:solidFill>
                                          <w14:schemeClr w14:val="tx1"/>
                                        </w14:solidFill>
                                      </w14:textFill>
                                    </w:rPr>
                                    <w:t>转移出厂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6.75pt;margin-top:40.25pt;height:25.55pt;width:60.5pt;z-index:251675648;v-text-anchor:middle;mso-width-relative:page;mso-height-relative:page;" filled="f" stroked="f" coordsize="21600,21600" o:gfxdata="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rH+JiNoAAAAKAQAADwAAAAAAAAABACAAAAAiAAAAZHJz&#10;L2Rvd25yZXYueG1sUEsBAhQAFAAAAAgAh07iQNTOIRF0AgAA1wQAAA4AAAAAAAAAAQAgAAAAKQEA&#10;AGRycy9lMm9Eb2MueG1sUEsFBgAAAAAGAAYAWQEAAA8GAAAAAA==&#10;">
                      <v:fill on="f" focussize="0,0"/>
                      <v:stroke on="f" weight="1.75pt" miterlimit="8" joinstyle="miter" endarrow="classic"/>
                      <v:imagedata o:title=""/>
                      <o:lock v:ext="edit" aspectratio="f"/>
                      <v:textbox>
                        <w:txbxContent>
                          <w:p w14:paraId="56BD8C44">
                            <w:pPr>
                              <w:jc w:val="center"/>
                              <w:rPr>
                                <w:rFonts w:hint="default" w:eastAsia="宋体"/>
                                <w:b w:val="0"/>
                                <w:bCs w:val="0"/>
                                <w:color w:val="000000" w:themeColor="text1"/>
                                <w:sz w:val="21"/>
                                <w:szCs w:val="21"/>
                                <w:lang w:val="en-US" w:eastAsia="zh-CN"/>
                                <w14:textFill>
                                  <w14:solidFill>
                                    <w14:schemeClr w14:val="tx1"/>
                                  </w14:solidFill>
                                </w14:textFill>
                              </w:rPr>
                            </w:pPr>
                            <w:r>
                              <w:rPr>
                                <w:rFonts w:hint="eastAsia" w:eastAsia="宋体"/>
                                <w:b w:val="0"/>
                                <w:bCs w:val="0"/>
                                <w:color w:val="000000" w:themeColor="text1"/>
                                <w:sz w:val="21"/>
                                <w:szCs w:val="21"/>
                                <w:lang w:val="en-US" w:eastAsia="zh-CN"/>
                                <w14:textFill>
                                  <w14:solidFill>
                                    <w14:schemeClr w14:val="tx1"/>
                                  </w14:solidFill>
                                </w14:textFill>
                              </w:rPr>
                              <w:t>转移出厂</w:t>
                            </w:r>
                          </w:p>
                        </w:txbxContent>
                      </v:textbox>
                    </v:rect>
                  </w:pict>
                </mc:Fallback>
              </mc:AlternateContent>
            </w:r>
            <w:r>
              <w:rPr>
                <w:rFonts w:hint="default"/>
                <w:color w:val="auto"/>
                <w:highlight w:val="none"/>
                <w:lang w:eastAsia="zh-CN"/>
              </w:rPr>
              <mc:AlternateContent>
                <mc:Choice Requires="wps">
                  <w:drawing>
                    <wp:anchor distT="0" distB="0" distL="114300" distR="114300" simplePos="0" relativeHeight="251672576" behindDoc="0" locked="0" layoutInCell="1" allowOverlap="1">
                      <wp:simplePos x="0" y="0"/>
                      <wp:positionH relativeFrom="column">
                        <wp:posOffset>3933190</wp:posOffset>
                      </wp:positionH>
                      <wp:positionV relativeFrom="paragraph">
                        <wp:posOffset>295910</wp:posOffset>
                      </wp:positionV>
                      <wp:extent cx="1213485" cy="499745"/>
                      <wp:effectExtent l="10795" t="10795" r="13970" b="22860"/>
                      <wp:wrapNone/>
                      <wp:docPr id="52" name="矩形 52"/>
                      <wp:cNvGraphicFramePr/>
                      <a:graphic xmlns:a="http://schemas.openxmlformats.org/drawingml/2006/main">
                        <a:graphicData uri="http://schemas.microsoft.com/office/word/2010/wordprocessingShape">
                          <wps:wsp>
                            <wps:cNvSpPr/>
                            <wps:spPr>
                              <a:xfrm>
                                <a:off x="0" y="0"/>
                                <a:ext cx="1213485" cy="499745"/>
                              </a:xfrm>
                              <a:prstGeom prst="rect">
                                <a:avLst/>
                              </a:prstGeom>
                              <a:noFill/>
                              <a:ln w="22225" cap="flat" cmpd="sng" algn="ctr">
                                <a:solidFill>
                                  <a:srgbClr val="000000"/>
                                </a:solidFill>
                                <a:prstDash val="solid"/>
                                <a:miter lim="800000"/>
                                <a:tailEnd type="stealth"/>
                              </a:ln>
                              <a:effectLst/>
                            </wps:spPr>
                            <wps:txbx>
                              <w:txbxContent>
                                <w:p w14:paraId="755DCA56">
                                  <w:pPr>
                                    <w:jc w:val="center"/>
                                    <w:rPr>
                                      <w:rFonts w:hint="default" w:eastAsia="宋体"/>
                                      <w:b w:val="0"/>
                                      <w:bCs w:val="0"/>
                                      <w:color w:val="000000" w:themeColor="text1"/>
                                      <w:sz w:val="21"/>
                                      <w:szCs w:val="21"/>
                                      <w:lang w:val="en-US" w:eastAsia="zh-CN"/>
                                      <w14:textFill>
                                        <w14:solidFill>
                                          <w14:schemeClr w14:val="tx1"/>
                                        </w14:solidFill>
                                      </w14:textFill>
                                    </w:rPr>
                                  </w:pPr>
                                  <w:r>
                                    <w:rPr>
                                      <w:rFonts w:hint="eastAsia" w:eastAsia="宋体"/>
                                      <w:b w:val="0"/>
                                      <w:bCs w:val="0"/>
                                      <w:color w:val="000000" w:themeColor="text1"/>
                                      <w:sz w:val="21"/>
                                      <w:szCs w:val="21"/>
                                      <w:lang w:val="en-US" w:eastAsia="zh-CN"/>
                                      <w14:textFill>
                                        <w14:solidFill>
                                          <w14:schemeClr w14:val="tx1"/>
                                        </w14:solidFill>
                                      </w14:textFill>
                                    </w:rPr>
                                    <w:t>危险废物处置资质的单位处置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7pt;margin-top:23.3pt;height:39.35pt;width:95.55pt;z-index:251672576;v-text-anchor:middle;mso-width-relative:page;mso-height-relative:page;" filled="f" stroked="t" coordsize="21600,21600" o:gfxdata="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wQoBz2AAAAAoBAAAPAAAA&#10;AAAAAAEAIAAAACIAAABkcnMvZG93bnJldi54bWxQSwECFAAUAAAACACHTuJAEU9u8YcCAAABBQAA&#10;DgAAAAAAAAABACAAAAAnAQAAZHJzL2Uyb0RvYy54bWxQSwUGAAAAAAYABgBZAQAAIAYAAAAA&#10;">
                      <v:fill on="f" focussize="0,0"/>
                      <v:stroke weight="1.75pt" color="#000000" miterlimit="8" joinstyle="miter" endarrow="classic"/>
                      <v:imagedata o:title=""/>
                      <o:lock v:ext="edit" aspectratio="f"/>
                      <v:textbox>
                        <w:txbxContent>
                          <w:p w14:paraId="755DCA56">
                            <w:pPr>
                              <w:jc w:val="center"/>
                              <w:rPr>
                                <w:rFonts w:hint="default" w:eastAsia="宋体"/>
                                <w:b w:val="0"/>
                                <w:bCs w:val="0"/>
                                <w:color w:val="000000" w:themeColor="text1"/>
                                <w:sz w:val="21"/>
                                <w:szCs w:val="21"/>
                                <w:lang w:val="en-US" w:eastAsia="zh-CN"/>
                                <w14:textFill>
                                  <w14:solidFill>
                                    <w14:schemeClr w14:val="tx1"/>
                                  </w14:solidFill>
                                </w14:textFill>
                              </w:rPr>
                            </w:pPr>
                            <w:r>
                              <w:rPr>
                                <w:rFonts w:hint="eastAsia" w:eastAsia="宋体"/>
                                <w:b w:val="0"/>
                                <w:bCs w:val="0"/>
                                <w:color w:val="000000" w:themeColor="text1"/>
                                <w:sz w:val="21"/>
                                <w:szCs w:val="21"/>
                                <w:lang w:val="en-US" w:eastAsia="zh-CN"/>
                                <w14:textFill>
                                  <w14:solidFill>
                                    <w14:schemeClr w14:val="tx1"/>
                                  </w14:solidFill>
                                </w14:textFill>
                              </w:rPr>
                              <w:t>危险废物处置资质的单位处置</w:t>
                            </w:r>
                          </w:p>
                        </w:txbxContent>
                      </v:textbox>
                    </v:rect>
                  </w:pict>
                </mc:Fallback>
              </mc:AlternateContent>
            </w:r>
            <w:r>
              <w:rPr>
                <w:rFonts w:hint="default"/>
                <w:color w:val="auto"/>
                <w:highlight w:val="none"/>
                <w:lang w:eastAsia="zh-CN"/>
              </w:rPr>
              <mc:AlternateContent>
                <mc:Choice Requires="wps">
                  <w:drawing>
                    <wp:anchor distT="0" distB="0" distL="114300" distR="114300" simplePos="0" relativeHeight="251674624" behindDoc="0" locked="0" layoutInCell="1" allowOverlap="1">
                      <wp:simplePos x="0" y="0"/>
                      <wp:positionH relativeFrom="column">
                        <wp:posOffset>3079750</wp:posOffset>
                      </wp:positionH>
                      <wp:positionV relativeFrom="paragraph">
                        <wp:posOffset>546100</wp:posOffset>
                      </wp:positionV>
                      <wp:extent cx="853440" cy="0"/>
                      <wp:effectExtent l="0" t="38100" r="3810" b="38100"/>
                      <wp:wrapNone/>
                      <wp:docPr id="53" name="直接箭头连接符 53"/>
                      <wp:cNvGraphicFramePr/>
                      <a:graphic xmlns:a="http://schemas.openxmlformats.org/drawingml/2006/main">
                        <a:graphicData uri="http://schemas.microsoft.com/office/word/2010/wordprocessingShape">
                          <wps:wsp>
                            <wps:cNvCnPr/>
                            <wps:spPr>
                              <a:xfrm>
                                <a:off x="4382770" y="6438900"/>
                                <a:ext cx="853440" cy="0"/>
                              </a:xfrm>
                              <a:prstGeom prst="straightConnector1">
                                <a:avLst/>
                              </a:prstGeom>
                              <a:noFill/>
                              <a:ln w="22225" cap="flat" cmpd="sng" algn="ctr">
                                <a:solidFill>
                                  <a:srgbClr val="000000"/>
                                </a:solidFill>
                                <a:prstDash val="solid"/>
                                <a:miter lim="800000"/>
                                <a:tailEnd type="stealth"/>
                              </a:ln>
                              <a:effectLst/>
                            </wps:spPr>
                            <wps:bodyPr/>
                          </wps:wsp>
                        </a:graphicData>
                      </a:graphic>
                    </wp:anchor>
                  </w:drawing>
                </mc:Choice>
                <mc:Fallback>
                  <w:pict>
                    <v:shape id="_x0000_s1026" o:spid="_x0000_s1026" o:spt="32" type="#_x0000_t32" style="position:absolute;left:0pt;margin-left:242.5pt;margin-top:43pt;height:0pt;width:67.2pt;z-index:251674624;mso-width-relative:page;mso-height-relative:page;" filled="f" stroked="t" coordsize="21600,21600" o:gfxdata="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U2KH3WAAAACQEAAA8AAAAA&#10;AAAAAQAgAAAAIgAAAGRycy9kb3ducmV2LnhtbFBLAQIUABQAAAAIAIdO4kBNG/qbFgIAAPwDAAAO&#10;AAAAAAAAAAEAIAAAACUBAABkcnMvZTJvRG9jLnhtbFBLBQYAAAAABgAGAFkBAACtBQAAAAA=&#10;">
                      <v:fill on="f" focussize="0,0"/>
                      <v:stroke weight="1.75pt" color="#000000" miterlimit="8" joinstyle="miter" endarrow="classic"/>
                      <v:imagedata o:title=""/>
                      <o:lock v:ext="edit" aspectratio="f"/>
                    </v:shape>
                  </w:pict>
                </mc:Fallback>
              </mc:AlternateContent>
            </w:r>
            <w:r>
              <w:rPr>
                <w:rFonts w:hint="default"/>
                <w:color w:val="auto"/>
                <w:highlight w:val="none"/>
                <w:lang w:eastAsia="zh-CN"/>
              </w:rPr>
              <mc:AlternateContent>
                <mc:Choice Requires="wps">
                  <w:drawing>
                    <wp:anchor distT="0" distB="0" distL="114300" distR="114300" simplePos="0" relativeHeight="251673600" behindDoc="0" locked="0" layoutInCell="1" allowOverlap="1">
                      <wp:simplePos x="0" y="0"/>
                      <wp:positionH relativeFrom="column">
                        <wp:posOffset>1212850</wp:posOffset>
                      </wp:positionH>
                      <wp:positionV relativeFrom="paragraph">
                        <wp:posOffset>546100</wp:posOffset>
                      </wp:positionV>
                      <wp:extent cx="914400" cy="0"/>
                      <wp:effectExtent l="0" t="38100" r="0" b="38100"/>
                      <wp:wrapNone/>
                      <wp:docPr id="54" name="直接箭头连接符 54"/>
                      <wp:cNvGraphicFramePr/>
                      <a:graphic xmlns:a="http://schemas.openxmlformats.org/drawingml/2006/main">
                        <a:graphicData uri="http://schemas.microsoft.com/office/word/2010/wordprocessingShape">
                          <wps:wsp>
                            <wps:cNvCnPr/>
                            <wps:spPr>
                              <a:xfrm>
                                <a:off x="2515870" y="6438900"/>
                                <a:ext cx="914400" cy="0"/>
                              </a:xfrm>
                              <a:prstGeom prst="straightConnector1">
                                <a:avLst/>
                              </a:prstGeom>
                              <a:noFill/>
                              <a:ln w="22225" cap="flat" cmpd="sng" algn="ctr">
                                <a:solidFill>
                                  <a:srgbClr val="000000"/>
                                </a:solidFill>
                                <a:prstDash val="solid"/>
                                <a:miter lim="800000"/>
                                <a:tailEnd type="stealth"/>
                              </a:ln>
                              <a:effectLst/>
                            </wps:spPr>
                            <wps:bodyPr/>
                          </wps:wsp>
                        </a:graphicData>
                      </a:graphic>
                    </wp:anchor>
                  </w:drawing>
                </mc:Choice>
                <mc:Fallback>
                  <w:pict>
                    <v:shape id="_x0000_s1026" o:spid="_x0000_s1026" o:spt="32" type="#_x0000_t32" style="position:absolute;left:0pt;margin-left:95.5pt;margin-top:43pt;height:0pt;width:72pt;z-index:251673600;mso-width-relative:page;mso-height-relative:page;" filled="f" stroked="t" coordsize="21600,21600" o:gfxdata="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IwTl9QAAAAJAQAADwAAAAAA&#10;AAABACAAAAAiAAAAZHJzL2Rvd25yZXYueG1sUEsBAhQAFAAAAAgAh07iQACmxYgXAgAA/AMAAA4A&#10;AAAAAAAAAQAgAAAAIwEAAGRycy9lMm9Eb2MueG1sUEsFBgAAAAAGAAYAWQEAAKwFAAAAAA==&#10;">
                      <v:fill on="f" focussize="0,0"/>
                      <v:stroke weight="1.75pt" color="#000000" miterlimit="8" joinstyle="miter" endarrow="classic"/>
                      <v:imagedata o:title=""/>
                      <o:lock v:ext="edit" aspectratio="f"/>
                    </v:shape>
                  </w:pict>
                </mc:Fallback>
              </mc:AlternateContent>
            </w:r>
            <w:r>
              <w:rPr>
                <w:rFonts w:hint="default"/>
                <w:color w:val="auto"/>
                <w:highlight w:val="none"/>
                <w:lang w:eastAsia="zh-CN"/>
              </w:rPr>
              <mc:AlternateContent>
                <mc:Choice Requires="wps">
                  <w:drawing>
                    <wp:anchor distT="0" distB="0" distL="114300" distR="114300" simplePos="0" relativeHeight="251671552" behindDoc="0" locked="0" layoutInCell="1" allowOverlap="1">
                      <wp:simplePos x="0" y="0"/>
                      <wp:positionH relativeFrom="column">
                        <wp:posOffset>2127250</wp:posOffset>
                      </wp:positionH>
                      <wp:positionV relativeFrom="paragraph">
                        <wp:posOffset>295910</wp:posOffset>
                      </wp:positionV>
                      <wp:extent cx="952500" cy="499745"/>
                      <wp:effectExtent l="10795" t="10795" r="27305" b="22860"/>
                      <wp:wrapNone/>
                      <wp:docPr id="55" name="矩形 55"/>
                      <wp:cNvGraphicFramePr/>
                      <a:graphic xmlns:a="http://schemas.openxmlformats.org/drawingml/2006/main">
                        <a:graphicData uri="http://schemas.microsoft.com/office/word/2010/wordprocessingShape">
                          <wps:wsp>
                            <wps:cNvSpPr/>
                            <wps:spPr>
                              <a:xfrm>
                                <a:off x="0" y="0"/>
                                <a:ext cx="952500" cy="499745"/>
                              </a:xfrm>
                              <a:prstGeom prst="rect">
                                <a:avLst/>
                              </a:prstGeom>
                              <a:noFill/>
                              <a:ln w="22225" cap="flat" cmpd="sng" algn="ctr">
                                <a:solidFill>
                                  <a:srgbClr val="000000"/>
                                </a:solidFill>
                                <a:prstDash val="solid"/>
                                <a:miter lim="800000"/>
                                <a:tailEnd type="stealth"/>
                              </a:ln>
                              <a:effectLst/>
                            </wps:spPr>
                            <wps:txbx>
                              <w:txbxContent>
                                <w:p w14:paraId="3957003F">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7.5pt;margin-top:23.3pt;height:39.35pt;width:75pt;z-index:251671552;v-text-anchor:middle;mso-width-relative:page;mso-height-relative:page;" filled="f" stroked="t" coordsize="21600,21600" o:gfxdata="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Kuyi57YAAAACgEAAA8AAAAA&#10;AAAAAQAgAAAAIgAAAGRycy9kb3ducmV2LnhtbFBLAQIUABQAAAAIAIdO4kAo/+nDhgIAAAAFAAAO&#10;AAAAAAAAAAEAIAAAACcBAABkcnMvZTJvRG9jLnhtbFBLBQYAAAAABgAGAFkBAAAfBgAAAAA=&#10;">
                      <v:fill on="f" focussize="0,0"/>
                      <v:stroke weight="1.75pt" color="#000000" miterlimit="8" joinstyle="miter" endarrow="classic"/>
                      <v:imagedata o:title=""/>
                      <o:lock v:ext="edit" aspectratio="f"/>
                      <v:textbox>
                        <w:txbxContent>
                          <w:p w14:paraId="3957003F">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危废暂存间</w:t>
                            </w:r>
                          </w:p>
                        </w:txbxContent>
                      </v:textbox>
                    </v:rect>
                  </w:pict>
                </mc:Fallback>
              </mc:AlternateContent>
            </w:r>
            <w:r>
              <w:rPr>
                <w:rFonts w:hint="default"/>
                <w:color w:val="auto"/>
                <w:highlight w:val="none"/>
                <w:lang w:eastAsia="zh-CN"/>
              </w:rPr>
              <mc:AlternateContent>
                <mc:Choice Requires="wps">
                  <w:drawing>
                    <wp:anchor distT="0" distB="0" distL="114300" distR="114300" simplePos="0" relativeHeight="251670528" behindDoc="0" locked="0" layoutInCell="1" allowOverlap="1">
                      <wp:simplePos x="0" y="0"/>
                      <wp:positionH relativeFrom="column">
                        <wp:posOffset>260350</wp:posOffset>
                      </wp:positionH>
                      <wp:positionV relativeFrom="paragraph">
                        <wp:posOffset>295910</wp:posOffset>
                      </wp:positionV>
                      <wp:extent cx="952500" cy="499745"/>
                      <wp:effectExtent l="10795" t="10795" r="27305" b="22860"/>
                      <wp:wrapNone/>
                      <wp:docPr id="56" name="矩形 56"/>
                      <wp:cNvGraphicFramePr/>
                      <a:graphic xmlns:a="http://schemas.openxmlformats.org/drawingml/2006/main">
                        <a:graphicData uri="http://schemas.microsoft.com/office/word/2010/wordprocessingShape">
                          <wps:wsp>
                            <wps:cNvSpPr/>
                            <wps:spPr>
                              <a:xfrm>
                                <a:off x="1563370" y="6188710"/>
                                <a:ext cx="952500" cy="499745"/>
                              </a:xfrm>
                              <a:prstGeom prst="rect">
                                <a:avLst/>
                              </a:prstGeom>
                              <a:noFill/>
                              <a:ln w="22225" cap="flat" cmpd="sng" algn="ctr">
                                <a:solidFill>
                                  <a:srgbClr val="000000"/>
                                </a:solidFill>
                                <a:prstDash val="solid"/>
                                <a:miter lim="800000"/>
                                <a:tailEnd type="stealth"/>
                              </a:ln>
                              <a:effectLst/>
                            </wps:spPr>
                            <wps:txbx>
                              <w:txbxContent>
                                <w:p w14:paraId="270A88F2">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厂内产生的危险废物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pt;margin-top:23.3pt;height:39.35pt;width:75pt;z-index:251670528;v-text-anchor:middle;mso-width-relative:page;mso-height-relative:page;" filled="f" stroked="t" coordsize="21600,21600" o:gfxdata="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tscNg9YA&#10;AAAJAQAADwAAAAAAAAABACAAAAAiAAAAZHJzL2Rvd25yZXYueG1sUEsBAhQAFAAAAAgAh07iQBOY&#10;RwWTAgAADAUAAA4AAAAAAAAAAQAgAAAAJQEAAGRycy9lMm9Eb2MueG1sUEsFBgAAAAAGAAYAWQEA&#10;ACoGAAAAAA==&#10;">
                      <v:fill on="f" focussize="0,0"/>
                      <v:stroke weight="1.75pt" color="#000000" miterlimit="8" joinstyle="miter" endarrow="classic"/>
                      <v:imagedata o:title=""/>
                      <o:lock v:ext="edit" aspectratio="f"/>
                      <v:textbox>
                        <w:txbxContent>
                          <w:p w14:paraId="270A88F2">
                            <w:pPr>
                              <w:jc w:val="center"/>
                              <w:rPr>
                                <w:rFonts w:hint="default" w:eastAsia="宋体"/>
                                <w:b w:val="0"/>
                                <w:bCs w:val="0"/>
                                <w:color w:val="000000" w:themeColor="text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厂内产生的危险废物</w:t>
                            </w:r>
                          </w:p>
                        </w:txbxContent>
                      </v:textbox>
                    </v:rect>
                  </w:pict>
                </mc:Fallback>
              </mc:AlternateContent>
            </w:r>
            <w:r>
              <w:rPr>
                <w:rFonts w:hint="default"/>
                <w:color w:val="auto"/>
                <w:highlight w:val="none"/>
                <w:lang w:eastAsia="zh-CN"/>
              </w:rPr>
              <mc:AlternateContent>
                <mc:Choice Requires="wps">
                  <w:drawing>
                    <wp:inline distT="0" distB="0" distL="114300" distR="114300">
                      <wp:extent cx="5323205" cy="1760220"/>
                      <wp:effectExtent l="0" t="0" r="0" b="0"/>
                      <wp:docPr id="57" name="矩形 57"/>
                      <wp:cNvGraphicFramePr/>
                      <a:graphic xmlns:a="http://schemas.openxmlformats.org/drawingml/2006/main">
                        <a:graphicData uri="http://schemas.microsoft.com/office/word/2010/wordprocessingShape">
                          <wps:wsp>
                            <wps:cNvSpPr/>
                            <wps:spPr>
                              <a:xfrm>
                                <a:off x="1260475" y="5291455"/>
                                <a:ext cx="5323205" cy="176022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ect id="_x0000_s1026" o:spid="_x0000_s1026" o:spt="1" style="height:138.6pt;width:419.15pt;v-text-anchor:middle;" filled="f" stroked="f" coordsize="21600,21600" o:gfxdata="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4zbR3UAAAABQEAAA8AAAAAAAAAAQAgAAAAIgAAAGRycy9kb3ducmV2LnhtbFBL&#10;AQIUABQAAAAIAIdO4kAKX/0LbAIAAL8EAAAOAAAAAAAAAAEAIAAAACMBAABkcnMvZTJvRG9jLnht&#10;bFBLBQYAAAAABgAGAFkBAAABBgAAAAA=&#10;">
                      <v:fill on="f" focussize="0,0"/>
                      <v:stroke on="f" weight="1pt" miterlimit="8" joinstyle="miter"/>
                      <v:imagedata o:title=""/>
                      <o:lock v:ext="edit" aspectratio="f"/>
                      <w10:wrap type="none"/>
                      <w10:anchorlock/>
                    </v:rect>
                  </w:pict>
                </mc:Fallback>
              </mc:AlternateContent>
            </w:r>
          </w:p>
          <w:p w14:paraId="11E99718">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color w:val="auto"/>
                <w:highlight w:val="none"/>
                <w:lang w:eastAsia="zh-CN"/>
              </w:rPr>
            </w:pPr>
            <w:r>
              <w:rPr>
                <w:rFonts w:hint="default" w:ascii="Times New Roman" w:hAnsi="Times New Roman" w:cs="Times New Roman"/>
                <w:b/>
                <w:color w:val="auto"/>
                <w:sz w:val="24"/>
                <w:highlight w:val="none"/>
                <w:lang w:eastAsia="zh-CN"/>
              </w:rPr>
              <w:t>图</w:t>
            </w:r>
            <w:r>
              <w:rPr>
                <w:rFonts w:hint="eastAsia" w:ascii="Times New Roman" w:hAnsi="Times New Roman" w:cs="Times New Roman"/>
                <w:b/>
                <w:color w:val="auto"/>
                <w:sz w:val="24"/>
                <w:highlight w:val="none"/>
                <w:lang w:val="en-US" w:eastAsia="zh-CN"/>
              </w:rPr>
              <w:t xml:space="preserve">2 </w:t>
            </w:r>
            <w:r>
              <w:rPr>
                <w:rFonts w:hint="default" w:ascii="Times New Roman" w:hAnsi="Times New Roman" w:cs="Times New Roman"/>
                <w:b/>
                <w:color w:val="auto"/>
                <w:sz w:val="24"/>
                <w:highlight w:val="none"/>
                <w:lang w:eastAsia="zh-CN"/>
              </w:rPr>
              <w:t xml:space="preserve"> </w:t>
            </w:r>
            <w:r>
              <w:rPr>
                <w:rFonts w:hint="default" w:ascii="Times New Roman" w:hAnsi="Times New Roman" w:cs="Times New Roman"/>
                <w:b/>
                <w:color w:val="auto"/>
                <w:sz w:val="24"/>
                <w:highlight w:val="none"/>
                <w:lang w:val="en-US" w:eastAsia="zh-CN"/>
              </w:rPr>
              <w:t>运营期</w:t>
            </w:r>
            <w:r>
              <w:rPr>
                <w:rFonts w:hint="eastAsia" w:ascii="Times New Roman" w:hAnsi="Times New Roman" w:cs="Times New Roman"/>
                <w:b/>
                <w:color w:val="auto"/>
                <w:sz w:val="24"/>
                <w:highlight w:val="none"/>
                <w:lang w:val="en-US" w:eastAsia="zh-CN"/>
              </w:rPr>
              <w:t>危废暂存间</w:t>
            </w:r>
            <w:r>
              <w:rPr>
                <w:rFonts w:hint="default" w:ascii="Times New Roman" w:hAnsi="Times New Roman" w:cs="Times New Roman"/>
                <w:b/>
                <w:color w:val="auto"/>
                <w:sz w:val="24"/>
                <w:highlight w:val="none"/>
                <w:lang w:val="en-US" w:eastAsia="zh-CN"/>
              </w:rPr>
              <w:t>工艺流程</w:t>
            </w:r>
            <w:r>
              <w:rPr>
                <w:rFonts w:hint="default" w:ascii="Times New Roman" w:hAnsi="Times New Roman" w:cs="Times New Roman"/>
                <w:b/>
                <w:color w:val="auto"/>
                <w:sz w:val="24"/>
                <w:highlight w:val="none"/>
                <w:lang w:eastAsia="zh-CN"/>
              </w:rPr>
              <w:t>及产污环节图</w:t>
            </w:r>
          </w:p>
          <w:p w14:paraId="1FD9B66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w:t>
            </w:r>
            <w:r>
              <w:rPr>
                <w:rFonts w:ascii="Times New Roman" w:hAnsi="Times New Roman" w:cs="Times New Roman"/>
                <w:color w:val="auto"/>
                <w:highlight w:val="none"/>
              </w:rPr>
              <w:t>1</w:t>
            </w:r>
            <w:r>
              <w:rPr>
                <w:color w:val="auto"/>
                <w:highlight w:val="none"/>
              </w:rPr>
              <w:t>）废气</w:t>
            </w:r>
          </w:p>
          <w:p w14:paraId="6188051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olor w:val="auto"/>
                <w:highlight w:val="none"/>
                <w:lang w:val="en-US" w:eastAsia="zh-CN"/>
              </w:rPr>
            </w:pPr>
            <w:r>
              <w:rPr>
                <w:rFonts w:hint="eastAsia"/>
                <w:color w:val="auto"/>
                <w:highlight w:val="none"/>
                <w:lang w:val="en-US" w:eastAsia="zh-CN"/>
              </w:rPr>
              <w:t>本</w:t>
            </w:r>
            <w:r>
              <w:rPr>
                <w:rFonts w:hint="default"/>
                <w:color w:val="auto"/>
                <w:highlight w:val="none"/>
              </w:rPr>
              <w:t>项目</w:t>
            </w:r>
            <w:r>
              <w:rPr>
                <w:rFonts w:hint="default"/>
                <w:color w:val="auto"/>
                <w:highlight w:val="none"/>
                <w:lang w:eastAsia="zh-CN"/>
              </w:rPr>
              <w:t>危废暂存间储存的废矿物油</w:t>
            </w:r>
            <w:r>
              <w:rPr>
                <w:rFonts w:hint="eastAsia"/>
                <w:color w:val="auto"/>
                <w:highlight w:val="none"/>
                <w:lang w:val="en-US" w:eastAsia="zh-CN"/>
              </w:rPr>
              <w:t>和废油桶</w:t>
            </w:r>
            <w:r>
              <w:rPr>
                <w:rFonts w:hint="default"/>
                <w:color w:val="auto"/>
                <w:highlight w:val="none"/>
                <w:lang w:val="en-US" w:eastAsia="zh-CN"/>
              </w:rPr>
              <w:t>会挥发</w:t>
            </w:r>
            <w:r>
              <w:rPr>
                <w:rFonts w:hint="default"/>
                <w:color w:val="auto"/>
                <w:highlight w:val="none"/>
                <w:lang w:eastAsia="zh-CN"/>
              </w:rPr>
              <w:t>产生</w:t>
            </w:r>
            <w:r>
              <w:rPr>
                <w:rFonts w:hint="default"/>
                <w:color w:val="auto"/>
                <w:highlight w:val="none"/>
                <w:lang w:val="en-US" w:eastAsia="zh-CN"/>
              </w:rPr>
              <w:t>少量非甲烷总烃</w:t>
            </w:r>
            <w:r>
              <w:rPr>
                <w:rFonts w:hint="default"/>
                <w:color w:val="auto"/>
                <w:highlight w:val="none"/>
                <w:lang w:eastAsia="zh-CN"/>
              </w:rPr>
              <w:t>，</w:t>
            </w:r>
            <w:r>
              <w:rPr>
                <w:rFonts w:hint="default"/>
                <w:color w:val="auto"/>
                <w:highlight w:val="none"/>
                <w:lang w:val="en-US" w:eastAsia="zh-CN"/>
              </w:rPr>
              <w:t>采用加盖密封</w:t>
            </w:r>
            <w:r>
              <w:rPr>
                <w:rFonts w:hint="eastAsia"/>
                <w:color w:val="auto"/>
                <w:highlight w:val="none"/>
                <w:lang w:val="en-US" w:eastAsia="zh-CN"/>
              </w:rPr>
              <w:t>废铁</w:t>
            </w:r>
            <w:r>
              <w:rPr>
                <w:rFonts w:hint="default"/>
                <w:color w:val="auto"/>
                <w:highlight w:val="none"/>
                <w:lang w:val="en-US" w:eastAsia="zh-CN"/>
              </w:rPr>
              <w:t>油桶贮存</w:t>
            </w:r>
            <w:r>
              <w:rPr>
                <w:rFonts w:hint="eastAsia"/>
                <w:color w:val="auto"/>
                <w:highlight w:val="none"/>
                <w:lang w:val="en-US" w:eastAsia="zh-CN"/>
              </w:rPr>
              <w:t>，密封</w:t>
            </w:r>
            <w:r>
              <w:rPr>
                <w:rFonts w:hint="default"/>
                <w:color w:val="auto"/>
                <w:highlight w:val="none"/>
                <w:lang w:val="en-US" w:eastAsia="zh-CN"/>
              </w:rPr>
              <w:t>贮存，</w:t>
            </w:r>
            <w:r>
              <w:rPr>
                <w:rFonts w:hint="eastAsia"/>
                <w:color w:val="auto"/>
                <w:highlight w:val="none"/>
                <w:lang w:val="en-US" w:eastAsia="zh-CN"/>
              </w:rPr>
              <w:t>挥发性极小，</w:t>
            </w:r>
            <w:r>
              <w:rPr>
                <w:rFonts w:hint="default"/>
                <w:color w:val="auto"/>
                <w:highlight w:val="none"/>
                <w:lang w:val="en-US" w:eastAsia="zh-CN"/>
              </w:rPr>
              <w:t>车间安装防爆换气扇</w:t>
            </w:r>
            <w:r>
              <w:rPr>
                <w:rFonts w:hint="eastAsia"/>
                <w:color w:val="auto"/>
                <w:highlight w:val="none"/>
                <w:lang w:val="en-US" w:eastAsia="zh-CN"/>
              </w:rPr>
              <w:t>；同时在危废暂存间通风口安装活性炭吸附装置，用以去除危废间挥发的有机废气。</w:t>
            </w:r>
          </w:p>
          <w:p w14:paraId="009AE9E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w:t>
            </w:r>
            <w:r>
              <w:rPr>
                <w:rFonts w:ascii="Times New Roman" w:hAnsi="Times New Roman" w:cs="Times New Roman"/>
                <w:color w:val="auto"/>
                <w:highlight w:val="none"/>
              </w:rPr>
              <w:t>2</w:t>
            </w:r>
            <w:r>
              <w:rPr>
                <w:color w:val="auto"/>
                <w:highlight w:val="none"/>
              </w:rPr>
              <w:t>）废水</w:t>
            </w:r>
          </w:p>
          <w:p w14:paraId="45947FB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本项目位于内蒙古锡林郭勒盟</w:t>
            </w:r>
            <w:r>
              <w:rPr>
                <w:rFonts w:hint="eastAsia"/>
                <w:color w:val="auto"/>
                <w:highlight w:val="none"/>
                <w:lang w:eastAsia="zh-CN"/>
              </w:rPr>
              <w:t>锡林浩特市远景能源（锡林郭勒）有限公司</w:t>
            </w:r>
            <w:r>
              <w:rPr>
                <w:color w:val="auto"/>
                <w:highlight w:val="none"/>
              </w:rPr>
              <w:t>院内，项目周围</w:t>
            </w:r>
            <w:r>
              <w:rPr>
                <w:rFonts w:ascii="Times New Roman" w:hAnsi="Times New Roman" w:cs="Times New Roman"/>
                <w:color w:val="auto"/>
                <w:highlight w:val="none"/>
              </w:rPr>
              <w:t>1000m</w:t>
            </w:r>
            <w:r>
              <w:rPr>
                <w:color w:val="auto"/>
                <w:highlight w:val="none"/>
              </w:rPr>
              <w:t>范围内无地表水体。而本项目储存的危险废物本身没有废水产生，项目不对地面进行清洗。项目不新增员工，员工由</w:t>
            </w:r>
            <w:r>
              <w:rPr>
                <w:rFonts w:hint="eastAsia"/>
                <w:color w:val="auto"/>
                <w:highlight w:val="none"/>
                <w:lang w:val="en-US" w:eastAsia="zh-CN"/>
              </w:rPr>
              <w:t>厂内</w:t>
            </w:r>
            <w:r>
              <w:rPr>
                <w:color w:val="auto"/>
                <w:highlight w:val="none"/>
              </w:rPr>
              <w:t>统一调动，不新增生活污水。另外不在雨天进行固体危险废物的运输，因此，项目没有废水排放，对地表水没有影响。</w:t>
            </w:r>
          </w:p>
          <w:p w14:paraId="5F1DE71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w:t>
            </w:r>
            <w:r>
              <w:rPr>
                <w:rFonts w:ascii="Times New Roman" w:hAnsi="Times New Roman" w:cs="Times New Roman"/>
                <w:color w:val="auto"/>
                <w:highlight w:val="none"/>
              </w:rPr>
              <w:t>3</w:t>
            </w:r>
            <w:r>
              <w:rPr>
                <w:color w:val="auto"/>
                <w:highlight w:val="none"/>
              </w:rPr>
              <w:t>）噪声</w:t>
            </w:r>
          </w:p>
          <w:p w14:paraId="00DBBED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color w:val="auto"/>
                <w:highlight w:val="none"/>
              </w:rPr>
              <w:t>本项目噪声主要为进出</w:t>
            </w:r>
            <w:r>
              <w:rPr>
                <w:rFonts w:hint="eastAsia"/>
                <w:color w:val="auto"/>
                <w:highlight w:val="none"/>
              </w:rPr>
              <w:t>机务段</w:t>
            </w:r>
            <w:r>
              <w:rPr>
                <w:color w:val="auto"/>
                <w:highlight w:val="none"/>
              </w:rPr>
              <w:t>内运输车辆产生的噪声，其噪声级一般在</w:t>
            </w:r>
            <w:r>
              <w:rPr>
                <w:rFonts w:ascii="Times New Roman" w:hAnsi="Times New Roman" w:cs="Times New Roman"/>
                <w:color w:val="auto"/>
                <w:highlight w:val="none"/>
              </w:rPr>
              <w:t>75</w:t>
            </w:r>
            <w:r>
              <w:rPr>
                <w:color w:val="auto"/>
                <w:highlight w:val="none"/>
              </w:rPr>
              <w:t>-</w:t>
            </w:r>
            <w:r>
              <w:rPr>
                <w:rFonts w:ascii="Times New Roman" w:hAnsi="Times New Roman" w:cs="Times New Roman"/>
                <w:color w:val="auto"/>
                <w:highlight w:val="none"/>
              </w:rPr>
              <w:t>85dB</w:t>
            </w:r>
            <w:r>
              <w:rPr>
                <w:rFonts w:hint="eastAsia"/>
                <w:color w:val="auto"/>
                <w:highlight w:val="none"/>
              </w:rPr>
              <w:t>（</w:t>
            </w:r>
            <w:r>
              <w:rPr>
                <w:rFonts w:ascii="Times New Roman" w:hAnsi="Times New Roman" w:cs="Times New Roman"/>
                <w:color w:val="auto"/>
                <w:highlight w:val="none"/>
              </w:rPr>
              <w:t>A</w:t>
            </w:r>
            <w:r>
              <w:rPr>
                <w:rFonts w:hint="eastAsia"/>
                <w:color w:val="auto"/>
                <w:highlight w:val="none"/>
              </w:rPr>
              <w:t>）</w:t>
            </w:r>
            <w:r>
              <w:rPr>
                <w:color w:val="auto"/>
                <w:highlight w:val="none"/>
              </w:rPr>
              <w:t>之间。通过加强车辆管理，装卸时熄火作业，项目噪声产生情况满足《工业企业厂界环境噪声排放标准》</w:t>
            </w:r>
            <w:r>
              <w:rPr>
                <w:rFonts w:hint="eastAsia"/>
                <w:color w:val="auto"/>
                <w:highlight w:val="none"/>
              </w:rPr>
              <w:t>（</w:t>
            </w:r>
            <w:r>
              <w:rPr>
                <w:rFonts w:ascii="Times New Roman" w:hAnsi="Times New Roman" w:cs="Times New Roman"/>
                <w:color w:val="auto"/>
                <w:highlight w:val="none"/>
              </w:rPr>
              <w:t>GB12348</w:t>
            </w:r>
            <w:r>
              <w:rPr>
                <w:color w:val="auto"/>
                <w:highlight w:val="none"/>
              </w:rPr>
              <w:t>-</w:t>
            </w:r>
            <w:r>
              <w:rPr>
                <w:rFonts w:ascii="Times New Roman" w:hAnsi="Times New Roman" w:cs="Times New Roman"/>
                <w:color w:val="auto"/>
                <w:highlight w:val="none"/>
              </w:rPr>
              <w:t>2008</w:t>
            </w:r>
            <w:r>
              <w:rPr>
                <w:rFonts w:hint="eastAsia"/>
                <w:color w:val="auto"/>
                <w:highlight w:val="none"/>
              </w:rPr>
              <w:t>）</w:t>
            </w:r>
            <w:r>
              <w:rPr>
                <w:rFonts w:hint="eastAsia" w:ascii="Times New Roman" w:hAnsi="Times New Roman" w:cs="Times New Roman"/>
                <w:color w:val="auto"/>
                <w:highlight w:val="none"/>
              </w:rPr>
              <w:t>3</w:t>
            </w:r>
            <w:r>
              <w:rPr>
                <w:color w:val="auto"/>
                <w:highlight w:val="none"/>
              </w:rPr>
              <w:t>类标准。</w:t>
            </w:r>
          </w:p>
          <w:p w14:paraId="5878A471">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ascii="Times New Roman" w:hAnsi="Times New Roman" w:cs="Times New Roman"/>
                <w:b/>
                <w:color w:val="auto"/>
                <w:highlight w:val="none"/>
              </w:rPr>
            </w:pPr>
            <w:r>
              <w:rPr>
                <w:rFonts w:ascii="Times New Roman" w:hAnsi="Times New Roman" w:cs="Times New Roman"/>
                <w:b/>
                <w:color w:val="auto"/>
                <w:highlight w:val="none"/>
              </w:rPr>
              <w:t>表</w:t>
            </w:r>
            <w:r>
              <w:rPr>
                <w:rFonts w:hint="eastAsia" w:ascii="Times New Roman" w:hAnsi="Times New Roman" w:cs="Times New Roman"/>
                <w:b/>
                <w:color w:val="auto"/>
                <w:highlight w:val="none"/>
              </w:rPr>
              <w:t>1</w:t>
            </w:r>
            <w:r>
              <w:rPr>
                <w:rFonts w:hint="eastAsia" w:ascii="Times New Roman" w:hAnsi="Times New Roman" w:cs="Times New Roman"/>
                <w:b/>
                <w:color w:val="auto"/>
                <w:highlight w:val="none"/>
                <w:lang w:val="en-US" w:eastAsia="zh-CN"/>
              </w:rPr>
              <w:t>2</w:t>
            </w:r>
            <w:r>
              <w:rPr>
                <w:rFonts w:ascii="Times New Roman" w:hAnsi="Times New Roman" w:cs="Times New Roman"/>
                <w:b/>
                <w:color w:val="auto"/>
                <w:highlight w:val="none"/>
              </w:rPr>
              <w:t xml:space="preserve">  本项目主要噪声源分布情况</w:t>
            </w:r>
          </w:p>
          <w:tbl>
            <w:tblPr>
              <w:tblStyle w:val="24"/>
              <w:tblW w:w="4994" w:type="pct"/>
              <w:jc w:val="center"/>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03"/>
              <w:gridCol w:w="1147"/>
              <w:gridCol w:w="1331"/>
              <w:gridCol w:w="1316"/>
              <w:gridCol w:w="1461"/>
              <w:gridCol w:w="2271"/>
            </w:tblGrid>
            <w:tr w14:paraId="3525B2FC">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vAlign w:val="center"/>
                </w:tcPr>
                <w:p w14:paraId="309F8B1C">
                  <w:pPr>
                    <w:pStyle w:val="44"/>
                    <w:jc w:val="center"/>
                    <w:rPr>
                      <w:color w:val="auto"/>
                      <w:sz w:val="21"/>
                      <w:szCs w:val="21"/>
                      <w:highlight w:val="none"/>
                    </w:rPr>
                  </w:pPr>
                  <w:r>
                    <w:rPr>
                      <w:color w:val="auto"/>
                      <w:sz w:val="21"/>
                      <w:szCs w:val="21"/>
                      <w:highlight w:val="none"/>
                    </w:rPr>
                    <w:t>序号</w:t>
                  </w:r>
                </w:p>
              </w:tc>
              <w:tc>
                <w:tcPr>
                  <w:tcW w:w="705" w:type="pct"/>
                  <w:tcBorders>
                    <w:tl2br w:val="nil"/>
                    <w:tr2bl w:val="nil"/>
                  </w:tcBorders>
                  <w:vAlign w:val="center"/>
                </w:tcPr>
                <w:p w14:paraId="6A2F8AF1">
                  <w:pPr>
                    <w:pStyle w:val="44"/>
                    <w:jc w:val="center"/>
                    <w:rPr>
                      <w:color w:val="auto"/>
                      <w:sz w:val="21"/>
                      <w:szCs w:val="21"/>
                      <w:highlight w:val="none"/>
                    </w:rPr>
                  </w:pPr>
                  <w:r>
                    <w:rPr>
                      <w:color w:val="auto"/>
                      <w:sz w:val="21"/>
                      <w:szCs w:val="21"/>
                      <w:highlight w:val="none"/>
                    </w:rPr>
                    <w:t>声源名称</w:t>
                  </w:r>
                </w:p>
              </w:tc>
              <w:tc>
                <w:tcPr>
                  <w:tcW w:w="818" w:type="pct"/>
                  <w:tcBorders>
                    <w:tl2br w:val="nil"/>
                    <w:tr2bl w:val="nil"/>
                  </w:tcBorders>
                  <w:vAlign w:val="center"/>
                </w:tcPr>
                <w:p w14:paraId="2C748CC9">
                  <w:pPr>
                    <w:pStyle w:val="44"/>
                    <w:jc w:val="center"/>
                    <w:rPr>
                      <w:color w:val="auto"/>
                      <w:sz w:val="21"/>
                      <w:szCs w:val="21"/>
                      <w:highlight w:val="none"/>
                    </w:rPr>
                  </w:pPr>
                  <w:r>
                    <w:rPr>
                      <w:color w:val="auto"/>
                      <w:sz w:val="21"/>
                      <w:szCs w:val="21"/>
                      <w:highlight w:val="none"/>
                    </w:rPr>
                    <w:t>声级</w:t>
                  </w:r>
                  <w:r>
                    <w:rPr>
                      <w:rFonts w:ascii="Times New Roman" w:hAnsi="Times New Roman"/>
                      <w:color w:val="auto"/>
                      <w:sz w:val="21"/>
                      <w:szCs w:val="21"/>
                      <w:highlight w:val="none"/>
                    </w:rPr>
                    <w:t>dB</w:t>
                  </w:r>
                  <w:r>
                    <w:rPr>
                      <w:color w:val="auto"/>
                      <w:sz w:val="21"/>
                      <w:szCs w:val="21"/>
                      <w:highlight w:val="none"/>
                    </w:rPr>
                    <w:t>（</w:t>
                  </w:r>
                  <w:r>
                    <w:rPr>
                      <w:rFonts w:ascii="Times New Roman" w:hAnsi="Times New Roman"/>
                      <w:color w:val="auto"/>
                      <w:sz w:val="21"/>
                      <w:szCs w:val="21"/>
                      <w:highlight w:val="none"/>
                    </w:rPr>
                    <w:t>A</w:t>
                  </w:r>
                  <w:r>
                    <w:rPr>
                      <w:color w:val="auto"/>
                      <w:sz w:val="21"/>
                      <w:szCs w:val="21"/>
                      <w:highlight w:val="none"/>
                    </w:rPr>
                    <w:t>）</w:t>
                  </w:r>
                </w:p>
              </w:tc>
              <w:tc>
                <w:tcPr>
                  <w:tcW w:w="809" w:type="pct"/>
                  <w:tcBorders>
                    <w:tl2br w:val="nil"/>
                    <w:tr2bl w:val="nil"/>
                  </w:tcBorders>
                  <w:vAlign w:val="center"/>
                </w:tcPr>
                <w:p w14:paraId="7B636964">
                  <w:pPr>
                    <w:pStyle w:val="44"/>
                    <w:jc w:val="center"/>
                    <w:rPr>
                      <w:color w:val="auto"/>
                      <w:sz w:val="21"/>
                      <w:szCs w:val="21"/>
                      <w:highlight w:val="none"/>
                    </w:rPr>
                  </w:pPr>
                  <w:r>
                    <w:rPr>
                      <w:color w:val="auto"/>
                      <w:sz w:val="21"/>
                      <w:szCs w:val="21"/>
                      <w:highlight w:val="none"/>
                    </w:rPr>
                    <w:t>型号规格</w:t>
                  </w:r>
                </w:p>
              </w:tc>
              <w:tc>
                <w:tcPr>
                  <w:tcW w:w="898" w:type="pct"/>
                  <w:tcBorders>
                    <w:tl2br w:val="nil"/>
                    <w:tr2bl w:val="nil"/>
                  </w:tcBorders>
                  <w:tcMar>
                    <w:top w:w="28" w:type="dxa"/>
                    <w:left w:w="28" w:type="dxa"/>
                    <w:bottom w:w="28" w:type="dxa"/>
                    <w:right w:w="28" w:type="dxa"/>
                  </w:tcMar>
                  <w:vAlign w:val="center"/>
                </w:tcPr>
                <w:p w14:paraId="370BBB2F">
                  <w:pPr>
                    <w:pStyle w:val="44"/>
                    <w:jc w:val="center"/>
                    <w:rPr>
                      <w:color w:val="auto"/>
                      <w:sz w:val="21"/>
                      <w:szCs w:val="21"/>
                      <w:highlight w:val="none"/>
                    </w:rPr>
                  </w:pPr>
                  <w:r>
                    <w:rPr>
                      <w:color w:val="auto"/>
                      <w:sz w:val="21"/>
                      <w:szCs w:val="21"/>
                      <w:highlight w:val="none"/>
                    </w:rPr>
                    <w:t>降噪措施</w:t>
                  </w:r>
                </w:p>
              </w:tc>
              <w:tc>
                <w:tcPr>
                  <w:tcW w:w="1396" w:type="pct"/>
                  <w:tcBorders>
                    <w:tl2br w:val="nil"/>
                    <w:tr2bl w:val="nil"/>
                  </w:tcBorders>
                  <w:vAlign w:val="center"/>
                </w:tcPr>
                <w:p w14:paraId="3B331517">
                  <w:pPr>
                    <w:pStyle w:val="44"/>
                    <w:jc w:val="center"/>
                    <w:rPr>
                      <w:color w:val="auto"/>
                      <w:sz w:val="21"/>
                      <w:szCs w:val="21"/>
                      <w:highlight w:val="none"/>
                    </w:rPr>
                  </w:pPr>
                  <w:r>
                    <w:rPr>
                      <w:color w:val="auto"/>
                      <w:sz w:val="21"/>
                      <w:szCs w:val="21"/>
                      <w:highlight w:val="none"/>
                    </w:rPr>
                    <w:t>降噪后噪声值</w:t>
                  </w:r>
                  <w:r>
                    <w:rPr>
                      <w:rFonts w:ascii="Times New Roman" w:hAnsi="Times New Roman"/>
                      <w:color w:val="auto"/>
                      <w:sz w:val="21"/>
                      <w:szCs w:val="21"/>
                      <w:highlight w:val="none"/>
                    </w:rPr>
                    <w:t>dB</w:t>
                  </w:r>
                  <w:r>
                    <w:rPr>
                      <w:color w:val="auto"/>
                      <w:sz w:val="21"/>
                      <w:szCs w:val="21"/>
                      <w:highlight w:val="none"/>
                    </w:rPr>
                    <w:t>（</w:t>
                  </w:r>
                  <w:r>
                    <w:rPr>
                      <w:rFonts w:ascii="Times New Roman" w:hAnsi="Times New Roman"/>
                      <w:color w:val="auto"/>
                      <w:sz w:val="21"/>
                      <w:szCs w:val="21"/>
                      <w:highlight w:val="none"/>
                    </w:rPr>
                    <w:t>A</w:t>
                  </w:r>
                  <w:r>
                    <w:rPr>
                      <w:color w:val="auto"/>
                      <w:sz w:val="21"/>
                      <w:szCs w:val="21"/>
                      <w:highlight w:val="none"/>
                    </w:rPr>
                    <w:t>）</w:t>
                  </w:r>
                </w:p>
              </w:tc>
            </w:tr>
            <w:tr w14:paraId="585713B5">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vAlign w:val="center"/>
                </w:tcPr>
                <w:p w14:paraId="5DA5D2DF">
                  <w:pPr>
                    <w:pStyle w:val="44"/>
                    <w:jc w:val="center"/>
                    <w:rPr>
                      <w:color w:val="auto"/>
                      <w:sz w:val="21"/>
                      <w:szCs w:val="21"/>
                      <w:highlight w:val="none"/>
                    </w:rPr>
                  </w:pPr>
                  <w:r>
                    <w:rPr>
                      <w:rFonts w:ascii="Times New Roman" w:hAnsi="Times New Roman"/>
                      <w:color w:val="auto"/>
                      <w:sz w:val="21"/>
                      <w:szCs w:val="21"/>
                      <w:highlight w:val="none"/>
                    </w:rPr>
                    <w:t>1</w:t>
                  </w:r>
                </w:p>
              </w:tc>
              <w:tc>
                <w:tcPr>
                  <w:tcW w:w="705" w:type="pct"/>
                  <w:tcBorders>
                    <w:tl2br w:val="nil"/>
                    <w:tr2bl w:val="nil"/>
                  </w:tcBorders>
                  <w:vAlign w:val="center"/>
                </w:tcPr>
                <w:p w14:paraId="788A8E58">
                  <w:pPr>
                    <w:pStyle w:val="44"/>
                    <w:jc w:val="center"/>
                    <w:rPr>
                      <w:color w:val="auto"/>
                      <w:sz w:val="21"/>
                      <w:szCs w:val="21"/>
                      <w:highlight w:val="none"/>
                    </w:rPr>
                  </w:pPr>
                  <w:r>
                    <w:rPr>
                      <w:color w:val="auto"/>
                      <w:sz w:val="21"/>
                      <w:szCs w:val="21"/>
                      <w:highlight w:val="none"/>
                    </w:rPr>
                    <w:t>运输车辆</w:t>
                  </w:r>
                </w:p>
              </w:tc>
              <w:tc>
                <w:tcPr>
                  <w:tcW w:w="818" w:type="pct"/>
                  <w:tcBorders>
                    <w:tl2br w:val="nil"/>
                    <w:tr2bl w:val="nil"/>
                  </w:tcBorders>
                  <w:vAlign w:val="center"/>
                </w:tcPr>
                <w:p w14:paraId="667F10E4">
                  <w:pPr>
                    <w:pStyle w:val="44"/>
                    <w:jc w:val="center"/>
                    <w:rPr>
                      <w:color w:val="auto"/>
                      <w:sz w:val="21"/>
                      <w:szCs w:val="21"/>
                      <w:highlight w:val="none"/>
                    </w:rPr>
                  </w:pPr>
                  <w:r>
                    <w:rPr>
                      <w:rFonts w:ascii="Times New Roman" w:hAnsi="Times New Roman"/>
                      <w:color w:val="auto"/>
                      <w:sz w:val="21"/>
                      <w:szCs w:val="21"/>
                      <w:highlight w:val="none"/>
                    </w:rPr>
                    <w:t>75</w:t>
                  </w:r>
                  <w:r>
                    <w:rPr>
                      <w:color w:val="auto"/>
                      <w:sz w:val="21"/>
                      <w:szCs w:val="21"/>
                      <w:highlight w:val="none"/>
                    </w:rPr>
                    <w:t>~</w:t>
                  </w:r>
                  <w:r>
                    <w:rPr>
                      <w:rFonts w:ascii="Times New Roman" w:hAnsi="Times New Roman"/>
                      <w:color w:val="auto"/>
                      <w:sz w:val="21"/>
                      <w:szCs w:val="21"/>
                      <w:highlight w:val="none"/>
                    </w:rPr>
                    <w:t>85</w:t>
                  </w:r>
                </w:p>
              </w:tc>
              <w:tc>
                <w:tcPr>
                  <w:tcW w:w="809" w:type="pct"/>
                  <w:tcBorders>
                    <w:tl2br w:val="nil"/>
                    <w:tr2bl w:val="nil"/>
                  </w:tcBorders>
                  <w:vAlign w:val="center"/>
                </w:tcPr>
                <w:p w14:paraId="53FE62F7">
                  <w:pPr>
                    <w:pStyle w:val="44"/>
                    <w:jc w:val="center"/>
                    <w:rPr>
                      <w:color w:val="auto"/>
                      <w:sz w:val="21"/>
                      <w:szCs w:val="21"/>
                      <w:highlight w:val="none"/>
                    </w:rPr>
                  </w:pPr>
                  <w:r>
                    <w:rPr>
                      <w:color w:val="auto"/>
                      <w:sz w:val="21"/>
                      <w:szCs w:val="21"/>
                      <w:highlight w:val="none"/>
                    </w:rPr>
                    <w:t>/</w:t>
                  </w:r>
                </w:p>
              </w:tc>
              <w:tc>
                <w:tcPr>
                  <w:tcW w:w="898" w:type="pct"/>
                  <w:tcBorders>
                    <w:tl2br w:val="nil"/>
                    <w:tr2bl w:val="nil"/>
                  </w:tcBorders>
                  <w:tcMar>
                    <w:top w:w="28" w:type="dxa"/>
                    <w:left w:w="28" w:type="dxa"/>
                    <w:bottom w:w="28" w:type="dxa"/>
                    <w:right w:w="28" w:type="dxa"/>
                  </w:tcMar>
                  <w:vAlign w:val="center"/>
                </w:tcPr>
                <w:p w14:paraId="4DC1D8AF">
                  <w:pPr>
                    <w:pStyle w:val="44"/>
                    <w:jc w:val="center"/>
                    <w:rPr>
                      <w:color w:val="auto"/>
                      <w:sz w:val="21"/>
                      <w:szCs w:val="21"/>
                      <w:highlight w:val="none"/>
                    </w:rPr>
                  </w:pPr>
                  <w:r>
                    <w:rPr>
                      <w:color w:val="auto"/>
                      <w:sz w:val="21"/>
                      <w:szCs w:val="21"/>
                      <w:highlight w:val="none"/>
                    </w:rPr>
                    <w:t>加强管理，装卸时熄火作业</w:t>
                  </w:r>
                </w:p>
              </w:tc>
              <w:tc>
                <w:tcPr>
                  <w:tcW w:w="1396" w:type="pct"/>
                  <w:tcBorders>
                    <w:tl2br w:val="nil"/>
                    <w:tr2bl w:val="nil"/>
                  </w:tcBorders>
                  <w:vAlign w:val="center"/>
                </w:tcPr>
                <w:p w14:paraId="2B39F92A">
                  <w:pPr>
                    <w:pStyle w:val="44"/>
                    <w:jc w:val="center"/>
                    <w:rPr>
                      <w:color w:val="auto"/>
                      <w:sz w:val="21"/>
                      <w:szCs w:val="21"/>
                      <w:highlight w:val="none"/>
                    </w:rPr>
                  </w:pPr>
                  <w:r>
                    <w:rPr>
                      <w:rFonts w:ascii="Times New Roman" w:hAnsi="Times New Roman"/>
                      <w:color w:val="auto"/>
                      <w:sz w:val="21"/>
                      <w:szCs w:val="21"/>
                      <w:highlight w:val="none"/>
                    </w:rPr>
                    <w:t>30</w:t>
                  </w:r>
                  <w:r>
                    <w:rPr>
                      <w:color w:val="auto"/>
                      <w:sz w:val="21"/>
                      <w:szCs w:val="21"/>
                      <w:highlight w:val="none"/>
                    </w:rPr>
                    <w:t>~</w:t>
                  </w:r>
                  <w:r>
                    <w:rPr>
                      <w:rFonts w:ascii="Times New Roman" w:hAnsi="Times New Roman"/>
                      <w:color w:val="auto"/>
                      <w:sz w:val="21"/>
                      <w:szCs w:val="21"/>
                      <w:highlight w:val="none"/>
                    </w:rPr>
                    <w:t>45</w:t>
                  </w:r>
                </w:p>
              </w:tc>
            </w:tr>
          </w:tbl>
          <w:p w14:paraId="767AE4C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（4）固废</w:t>
            </w:r>
          </w:p>
          <w:p w14:paraId="6A31B46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①生活垃圾</w:t>
            </w:r>
          </w:p>
          <w:p w14:paraId="615871C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本项目运营期无新增工作人员，无新增生活垃圾</w:t>
            </w:r>
            <w:r>
              <w:rPr>
                <w:rFonts w:hint="eastAsia" w:ascii="Times New Roman" w:hAnsi="Times New Roman" w:eastAsia="宋体" w:cs="Times New Roman"/>
                <w:color w:val="auto"/>
                <w:highlight w:val="none"/>
                <w:lang w:eastAsia="zh-CN"/>
              </w:rPr>
              <w:t>。</w:t>
            </w:r>
          </w:p>
          <w:p w14:paraId="6B47EE0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②危险废物</w:t>
            </w:r>
          </w:p>
          <w:p w14:paraId="721A1F7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highlight w:val="none"/>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项目危废暂存间，用于存放厂内产生的废矿物油</w:t>
            </w:r>
            <w:r>
              <w:rPr>
                <w:rFonts w:hint="eastAsia" w:ascii="Times New Roman" w:hAnsi="Times New Roman" w:cs="Times New Roman"/>
                <w:color w:val="auto"/>
                <w:highlight w:val="none"/>
                <w:lang w:val="en-US" w:eastAsia="zh-CN"/>
              </w:rPr>
              <w:t>和废油桶</w:t>
            </w:r>
            <w:r>
              <w:rPr>
                <w:rFonts w:hint="default" w:ascii="Times New Roman" w:hAnsi="Times New Roman" w:cs="Times New Roman"/>
                <w:color w:val="auto"/>
                <w:highlight w:val="none"/>
                <w:lang w:val="en-US" w:eastAsia="zh-CN"/>
              </w:rPr>
              <w:t>，桶装，加盖密封，暂存于库内，不对其进一步处理，暂存后委托有资质的单位对其进行运输处置</w:t>
            </w:r>
            <w:r>
              <w:rPr>
                <w:rFonts w:hint="eastAsia" w:ascii="Times New Roman" w:hAnsi="Times New Roman" w:cs="Times New Roman"/>
                <w:color w:val="auto"/>
                <w:highlight w:val="none"/>
                <w:lang w:val="en-US" w:eastAsia="zh-CN"/>
              </w:rPr>
              <w:t>；废活性炭每年更换一次，更换后直接交由有资质单位进行处置，不在厂区内贮存。</w:t>
            </w:r>
          </w:p>
        </w:tc>
      </w:tr>
      <w:tr w14:paraId="1B07F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90" w:type="dxa"/>
            <w:tcBorders>
              <w:top w:val="single" w:color="auto" w:sz="4" w:space="0"/>
              <w:left w:val="single" w:color="auto" w:sz="8" w:space="0"/>
              <w:bottom w:val="single" w:color="auto" w:sz="8" w:space="0"/>
              <w:right w:val="single" w:color="auto" w:sz="4" w:space="0"/>
              <w:tl2br w:val="nil"/>
              <w:tr2bl w:val="nil"/>
            </w:tcBorders>
            <w:vAlign w:val="center"/>
          </w:tcPr>
          <w:p w14:paraId="4B05E579">
            <w:pPr>
              <w:pStyle w:val="21"/>
              <w:adjustRightInd w:val="0"/>
              <w:snapToGrid w:val="0"/>
              <w:spacing w:beforeAutospacing="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sz w:val="21"/>
                <w:szCs w:val="21"/>
                <w:highlight w:val="none"/>
              </w:rPr>
              <w:t>与项目有关的原有环境污染问题</w:t>
            </w:r>
          </w:p>
        </w:tc>
        <w:tc>
          <w:tcPr>
            <w:tcW w:w="8370" w:type="dxa"/>
            <w:tcBorders>
              <w:top w:val="single" w:color="auto" w:sz="4" w:space="0"/>
              <w:left w:val="single" w:color="auto" w:sz="4" w:space="0"/>
              <w:bottom w:val="single" w:color="auto" w:sz="8" w:space="0"/>
              <w:right w:val="single" w:color="auto" w:sz="8" w:space="0"/>
              <w:tl2br w:val="nil"/>
              <w:tr2bl w:val="nil"/>
            </w:tcBorders>
          </w:tcPr>
          <w:p w14:paraId="25CF580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一、现有项目基本情况</w:t>
            </w:r>
          </w:p>
          <w:p w14:paraId="0823E54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远景能源（锡林郭勒）有限公司，隶属于远景科技集团旗下的远景能源业务板块。总部设在上海的远景科技集团，除风机业务之外，</w:t>
            </w:r>
            <w:r>
              <w:rPr>
                <w:rFonts w:hint="eastAsia" w:ascii="Times New Roman" w:hAnsi="Times New Roman" w:cs="Times New Roman"/>
                <w:color w:val="auto"/>
                <w:highlight w:val="none"/>
                <w:lang w:val="en-US" w:eastAsia="zh-CN"/>
              </w:rPr>
              <w:t>还涉及</w:t>
            </w:r>
            <w:r>
              <w:rPr>
                <w:rFonts w:hint="eastAsia" w:ascii="Times New Roman" w:hAnsi="Times New Roman" w:eastAsia="宋体" w:cs="Times New Roman"/>
                <w:color w:val="auto"/>
                <w:highlight w:val="none"/>
                <w:lang w:val="en-US" w:eastAsia="zh-CN"/>
              </w:rPr>
              <w:t>动力电池、远景储能、远景智能等5大业务板块。</w:t>
            </w:r>
          </w:p>
          <w:p w14:paraId="333B5F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远景能源（锡林郭勒）有限公司，是远景能源在锡林郭勒盟部署建设的风储一体智能装配制造基地，公司成立于2</w:t>
            </w:r>
            <w:r>
              <w:rPr>
                <w:rFonts w:hint="default" w:ascii="Times New Roman" w:hAnsi="Times New Roman" w:eastAsia="宋体" w:cs="Times New Roman"/>
                <w:color w:val="auto"/>
                <w:highlight w:val="none"/>
                <w:lang w:val="en-US" w:eastAsia="zh-CN"/>
              </w:rPr>
              <w:t>021</w:t>
            </w:r>
            <w:r>
              <w:rPr>
                <w:rFonts w:hint="eastAsia" w:ascii="Times New Roman" w:hAnsi="Times New Roman" w:eastAsia="宋体" w:cs="Times New Roman"/>
                <w:color w:val="auto"/>
                <w:highlight w:val="none"/>
                <w:lang w:val="en-US" w:eastAsia="zh-CN"/>
              </w:rPr>
              <w:t>年1</w:t>
            </w:r>
            <w:r>
              <w:rPr>
                <w:rFonts w:hint="default" w:ascii="Times New Roman" w:hAnsi="Times New Roman"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月，2</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年8月中旬开工建设，2</w:t>
            </w:r>
            <w:r>
              <w:rPr>
                <w:rFonts w:hint="default"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年6月投产，占地面积8</w:t>
            </w:r>
            <w:r>
              <w:rPr>
                <w:rFonts w:hint="default" w:ascii="Times New Roman" w:hAnsi="Times New Roman"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亩，设有</w:t>
            </w:r>
            <w:r>
              <w:rPr>
                <w:rFonts w:hint="default" w:ascii="Times New Roman" w:hAnsi="Times New Roman" w:eastAsia="宋体" w:cs="Times New Roman"/>
                <w:color w:val="auto"/>
                <w:highlight w:val="none"/>
                <w:lang w:val="en-US" w:eastAsia="zh-CN"/>
              </w:rPr>
              <w:t>5500</w:t>
            </w:r>
            <w:r>
              <w:rPr>
                <w:rFonts w:hint="eastAsia" w:ascii="Times New Roman" w:hAnsi="Times New Roman" w:cs="Times New Roman"/>
                <w:color w:val="auto"/>
                <w:highlight w:val="none"/>
                <w:lang w:val="en-US" w:eastAsia="zh-CN"/>
              </w:rPr>
              <w:t>平方米</w:t>
            </w:r>
            <w:r>
              <w:rPr>
                <w:rFonts w:hint="eastAsia" w:ascii="Times New Roman" w:hAnsi="Times New Roman" w:eastAsia="宋体" w:cs="Times New Roman"/>
                <w:color w:val="auto"/>
                <w:highlight w:val="none"/>
                <w:lang w:val="en-US" w:eastAsia="zh-CN"/>
              </w:rPr>
              <w:t>大兆瓦智能风机组装生产车间、</w:t>
            </w:r>
            <w:r>
              <w:rPr>
                <w:rFonts w:hint="default" w:ascii="Times New Roman" w:hAnsi="Times New Roman" w:eastAsia="宋体" w:cs="Times New Roman"/>
                <w:color w:val="auto"/>
                <w:highlight w:val="none"/>
                <w:lang w:val="en-US" w:eastAsia="zh-CN"/>
              </w:rPr>
              <w:t>2600</w:t>
            </w:r>
            <w:r>
              <w:rPr>
                <w:rFonts w:hint="eastAsia" w:ascii="Times New Roman" w:hAnsi="Times New Roman" w:cs="Times New Roman"/>
                <w:color w:val="auto"/>
                <w:highlight w:val="none"/>
                <w:lang w:val="en-US" w:eastAsia="zh-CN"/>
              </w:rPr>
              <w:t>平方米</w:t>
            </w:r>
            <w:r>
              <w:rPr>
                <w:rFonts w:hint="eastAsia" w:ascii="Times New Roman" w:hAnsi="Times New Roman" w:eastAsia="宋体" w:cs="Times New Roman"/>
                <w:color w:val="auto"/>
                <w:highlight w:val="none"/>
                <w:lang w:val="en-US" w:eastAsia="zh-CN"/>
              </w:rPr>
              <w:t>智慧储能生产车间以及</w:t>
            </w:r>
            <w:r>
              <w:rPr>
                <w:rFonts w:hint="default" w:ascii="Times New Roman" w:hAnsi="Times New Roman" w:eastAsia="宋体" w:cs="Times New Roman"/>
                <w:color w:val="auto"/>
                <w:highlight w:val="none"/>
                <w:lang w:val="en-US" w:eastAsia="zh-CN"/>
              </w:rPr>
              <w:t>1330</w:t>
            </w:r>
            <w:r>
              <w:rPr>
                <w:rFonts w:hint="eastAsia" w:ascii="Times New Roman" w:hAnsi="Times New Roman" w:cs="Times New Roman"/>
                <w:color w:val="auto"/>
                <w:highlight w:val="none"/>
                <w:lang w:val="en-US" w:eastAsia="zh-CN"/>
              </w:rPr>
              <w:t>平方米</w:t>
            </w:r>
            <w:r>
              <w:rPr>
                <w:rFonts w:hint="eastAsia" w:ascii="Times New Roman" w:hAnsi="Times New Roman" w:eastAsia="宋体" w:cs="Times New Roman"/>
                <w:color w:val="auto"/>
                <w:highlight w:val="none"/>
                <w:lang w:val="en-US" w:eastAsia="zh-CN"/>
              </w:rPr>
              <w:t>功能辅房。</w:t>
            </w:r>
          </w:p>
          <w:p w14:paraId="44F1BA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公司主要生产Model系列大兆瓦级（6~</w:t>
            </w:r>
            <w:r>
              <w:rPr>
                <w:rFonts w:hint="default" w:ascii="Times New Roman" w:hAnsi="Times New Roman" w:eastAsia="宋体" w:cs="Times New Roman"/>
                <w:color w:val="auto"/>
                <w:highlight w:val="none"/>
                <w:lang w:val="en-US" w:eastAsia="zh-CN"/>
              </w:rPr>
              <w:t>10MW</w:t>
            </w:r>
            <w:r>
              <w:rPr>
                <w:rFonts w:hint="eastAsia" w:ascii="Times New Roman" w:hAnsi="Times New Roman" w:eastAsia="宋体" w:cs="Times New Roman"/>
                <w:color w:val="auto"/>
                <w:highlight w:val="none"/>
                <w:lang w:val="en-US" w:eastAsia="zh-CN"/>
              </w:rPr>
              <w:t>）陆上智能风机和储能设备，现具有年产陆上风机</w:t>
            </w:r>
            <w:r>
              <w:rPr>
                <w:rFonts w:hint="default" w:ascii="Times New Roman" w:hAnsi="Times New Roman" w:eastAsia="宋体" w:cs="Times New Roman"/>
                <w:color w:val="auto"/>
                <w:highlight w:val="none"/>
                <w:lang w:val="en-US" w:eastAsia="zh-CN"/>
              </w:rPr>
              <w:t>700</w:t>
            </w:r>
            <w:r>
              <w:rPr>
                <w:rFonts w:hint="eastAsia" w:ascii="Times New Roman" w:hAnsi="Times New Roman" w:eastAsia="宋体" w:cs="Times New Roman"/>
                <w:color w:val="auto"/>
                <w:highlight w:val="none"/>
                <w:lang w:val="en-US" w:eastAsia="zh-CN"/>
              </w:rPr>
              <w:t>套（</w:t>
            </w:r>
            <w:r>
              <w:rPr>
                <w:rFonts w:hint="default" w:ascii="Times New Roman" w:hAnsi="Times New Roman" w:eastAsia="宋体" w:cs="Times New Roman"/>
                <w:color w:val="auto"/>
                <w:highlight w:val="none"/>
                <w:lang w:val="en-US" w:eastAsia="zh-CN"/>
              </w:rPr>
              <w:t>含主机轮毂</w:t>
            </w:r>
            <w:r>
              <w:rPr>
                <w:rFonts w:hint="eastAsia" w:ascii="Times New Roman" w:hAnsi="Times New Roman" w:eastAsia="宋体" w:cs="Times New Roman"/>
                <w:color w:val="auto"/>
                <w:highlight w:val="none"/>
                <w:lang w:val="en-US" w:eastAsia="zh-CN"/>
              </w:rPr>
              <w:t>）和智慧储能设备</w:t>
            </w:r>
            <w:r>
              <w:rPr>
                <w:rFonts w:hint="default" w:ascii="Times New Roman" w:hAnsi="Times New Roman" w:eastAsia="宋体" w:cs="Times New Roman"/>
                <w:color w:val="auto"/>
                <w:highlight w:val="none"/>
                <w:lang w:val="en-US" w:eastAsia="zh-CN"/>
              </w:rPr>
              <w:t>650</w:t>
            </w:r>
            <w:r>
              <w:rPr>
                <w:rFonts w:hint="eastAsia" w:ascii="Times New Roman" w:hAnsi="Times New Roman" w:eastAsia="宋体" w:cs="Times New Roman"/>
                <w:color w:val="auto"/>
                <w:highlight w:val="none"/>
                <w:lang w:val="en-US" w:eastAsia="zh-CN"/>
              </w:rPr>
              <w:t>套（总容量</w:t>
            </w:r>
            <w:r>
              <w:rPr>
                <w:rFonts w:hint="default" w:ascii="Times New Roman" w:hAnsi="Times New Roman" w:eastAsia="宋体" w:cs="Times New Roman"/>
                <w:color w:val="auto"/>
                <w:highlight w:val="none"/>
                <w:lang w:val="en-US" w:eastAsia="zh-CN"/>
              </w:rPr>
              <w:t>5GWH</w:t>
            </w:r>
            <w:r>
              <w:rPr>
                <w:rFonts w:hint="eastAsia" w:ascii="Times New Roman" w:hAnsi="Times New Roman" w:eastAsia="宋体" w:cs="Times New Roman"/>
                <w:color w:val="auto"/>
                <w:highlight w:val="none"/>
                <w:lang w:val="en-US" w:eastAsia="zh-CN"/>
              </w:rPr>
              <w:t>）的生产能力。</w:t>
            </w:r>
          </w:p>
          <w:p w14:paraId="7AF52F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锡盟公司将依托锡林郭勒盟丰富的绿色资源，结合远景能源在行业内先进的技术优势，在锡林郭勒盟深耕绿色能源产业，</w:t>
            </w:r>
            <w:r>
              <w:rPr>
                <w:rFonts w:hint="default" w:ascii="Times New Roman" w:hAnsi="Times New Roman" w:eastAsia="宋体" w:cs="Times New Roman"/>
                <w:color w:val="auto"/>
                <w:highlight w:val="none"/>
                <w:lang w:val="en-US" w:eastAsia="zh-CN"/>
              </w:rPr>
              <w:t>进一步</w:t>
            </w:r>
            <w:r>
              <w:rPr>
                <w:rFonts w:hint="eastAsia" w:ascii="Times New Roman" w:hAnsi="Times New Roman" w:eastAsia="宋体" w:cs="Times New Roman"/>
                <w:color w:val="auto"/>
                <w:highlight w:val="none"/>
                <w:lang w:val="en-US" w:eastAsia="zh-CN"/>
              </w:rPr>
              <w:t>推动</w:t>
            </w:r>
            <w:r>
              <w:rPr>
                <w:rFonts w:hint="default" w:ascii="Times New Roman" w:hAnsi="Times New Roman" w:eastAsia="宋体" w:cs="Times New Roman"/>
                <w:color w:val="auto"/>
                <w:highlight w:val="none"/>
                <w:lang w:val="en-US" w:eastAsia="zh-CN"/>
              </w:rPr>
              <w:t>风电全产业链</w:t>
            </w:r>
            <w:r>
              <w:rPr>
                <w:rFonts w:hint="eastAsia" w:ascii="Times New Roman" w:hAnsi="Times New Roman" w:eastAsia="宋体" w:cs="Times New Roman"/>
                <w:color w:val="auto"/>
                <w:highlight w:val="none"/>
                <w:lang w:val="en-US" w:eastAsia="zh-CN"/>
              </w:rPr>
              <w:t>发展，为助力当地经济高质量发展作出贡献。</w:t>
            </w:r>
          </w:p>
          <w:p w14:paraId="4F0033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二、现有项目环保手续履行情况</w:t>
            </w:r>
          </w:p>
          <w:p w14:paraId="6BADF3C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2022年5月20日取得锡林郭勒盟生态环境局锡林浩特分局出具，关于《远景能源（锡林郭勒）有限公司产品是否需要履行环保手续》的回函。</w:t>
            </w:r>
            <w:r>
              <w:rPr>
                <w:rFonts w:hint="eastAsia" w:ascii="Times New Roman" w:hAnsi="Times New Roman" w:eastAsia="宋体" w:cs="Times New Roman"/>
                <w:color w:val="auto"/>
                <w:highlight w:val="none"/>
                <w:lang w:val="en-US" w:eastAsia="zh-CN"/>
              </w:rPr>
              <w:t>回函内容“</w:t>
            </w:r>
            <w:r>
              <w:rPr>
                <w:rFonts w:hint="default" w:ascii="Times New Roman" w:hAnsi="Times New Roman" w:eastAsia="宋体" w:cs="Times New Roman"/>
                <w:color w:val="auto"/>
                <w:highlight w:val="none"/>
                <w:lang w:val="en-US" w:eastAsia="zh-CN"/>
              </w:rPr>
              <w:t>根据你单位所提供的工艺流程，生产项目仅涉及成品部件组装且不涉及喷涂工序。项目</w:t>
            </w:r>
            <w:r>
              <w:rPr>
                <w:rFonts w:hint="eastAsia" w:ascii="Times New Roman" w:hAnsi="Times New Roman" w:cs="Times New Roman"/>
                <w:color w:val="auto"/>
                <w:highlight w:val="none"/>
                <w:lang w:val="en-US" w:eastAsia="zh-CN"/>
              </w:rPr>
              <w:t>场地</w:t>
            </w:r>
            <w:r>
              <w:rPr>
                <w:rFonts w:hint="default" w:ascii="Times New Roman" w:hAnsi="Times New Roman" w:eastAsia="宋体" w:cs="Times New Roman"/>
                <w:color w:val="auto"/>
                <w:highlight w:val="none"/>
                <w:lang w:val="en-US" w:eastAsia="zh-CN"/>
              </w:rPr>
              <w:t>位于装备制造园区内。按照《建设项目环境影响评价分类管理名录</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2021年版</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》的规定，以上项目未纳入名录内，无需履行环境影响评价</w:t>
            </w:r>
            <w:r>
              <w:rPr>
                <w:rFonts w:hint="eastAsia" w:ascii="Times New Roman" w:hAnsi="Times New Roman" w:eastAsia="宋体" w:cs="Times New Roman"/>
                <w:color w:val="auto"/>
                <w:highlight w:val="none"/>
                <w:lang w:val="en-US" w:eastAsia="zh-CN"/>
              </w:rPr>
              <w:t>”。</w:t>
            </w:r>
          </w:p>
          <w:p w14:paraId="0E0445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建设单位于</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023年05月31日日取得固定污染源排污登记回执，证登记编号：91152522MA0RT47A7Y001X</w:t>
            </w:r>
            <w:r>
              <w:rPr>
                <w:rFonts w:hint="eastAsia" w:ascii="Times New Roman" w:hAnsi="Times New Roman" w:eastAsia="宋体" w:cs="Times New Roman"/>
                <w:color w:val="auto"/>
                <w:highlight w:val="none"/>
                <w:lang w:val="en-US" w:eastAsia="zh-CN"/>
              </w:rPr>
              <w:t>，有效期：2023年05月31日至2028年05月30日</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于</w:t>
            </w:r>
            <w:r>
              <w:rPr>
                <w:rFonts w:hint="default" w:ascii="Times New Roman" w:hAnsi="Times New Roman" w:eastAsia="宋体" w:cs="Times New Roman"/>
                <w:color w:val="auto"/>
                <w:highlight w:val="none"/>
                <w:lang w:val="en-US" w:eastAsia="zh-CN"/>
              </w:rPr>
              <w:t>20</w:t>
            </w:r>
            <w:r>
              <w:rPr>
                <w:rFonts w:hint="eastAsia"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lang w:val="en-US" w:eastAsia="zh-CN"/>
              </w:rPr>
              <w:t>年</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月2</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日</w:t>
            </w:r>
            <w:r>
              <w:rPr>
                <w:rFonts w:hint="eastAsia" w:ascii="Times New Roman" w:hAnsi="Times New Roman" w:eastAsia="宋体" w:cs="Times New Roman"/>
                <w:color w:val="auto"/>
                <w:highlight w:val="none"/>
                <w:lang w:val="en-US" w:eastAsia="zh-CN"/>
              </w:rPr>
              <w:t>，取得突发环境事件应急预案备案申请表。</w:t>
            </w:r>
          </w:p>
          <w:p w14:paraId="678489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三、存在问题</w:t>
            </w:r>
          </w:p>
          <w:p w14:paraId="20D42F68">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jc w:val="left"/>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sz w:val="24"/>
                <w:szCs w:val="24"/>
                <w:highlight w:val="none"/>
                <w:lang w:val="en-US" w:eastAsia="zh-CN"/>
              </w:rPr>
              <w:t>本项目</w:t>
            </w:r>
            <w:r>
              <w:rPr>
                <w:rFonts w:hint="eastAsia" w:ascii="Times New Roman" w:hAnsi="Times New Roman" w:cs="Times New Roman"/>
                <w:color w:val="auto"/>
                <w:sz w:val="24"/>
                <w:szCs w:val="24"/>
                <w:highlight w:val="none"/>
                <w:lang w:val="en-US" w:eastAsia="zh-CN"/>
              </w:rPr>
              <w:t>危废暂存间未做环评，危险废物存放于厂区防渗库房内。</w:t>
            </w:r>
          </w:p>
          <w:p w14:paraId="213CFA7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四、整改措施</w:t>
            </w:r>
          </w:p>
          <w:p w14:paraId="742829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highlight w:val="none"/>
                <w:lang w:val="en-US" w:eastAsia="zh-CN"/>
              </w:rPr>
            </w:pPr>
            <w:r>
              <w:rPr>
                <w:rFonts w:hint="default"/>
                <w:color w:val="auto"/>
                <w:highlight w:val="none"/>
                <w:lang w:val="en-US" w:eastAsia="zh-CN"/>
              </w:rPr>
              <w:t>按照《危险废物贮存污染控制标准》</w:t>
            </w:r>
            <w:r>
              <w:rPr>
                <w:rFonts w:hint="default" w:ascii="Times New Roman" w:hAnsi="Times New Roman" w:cs="Times New Roman"/>
                <w:color w:val="auto"/>
                <w:highlight w:val="none"/>
                <w:lang w:val="en-US" w:eastAsia="zh-CN"/>
              </w:rPr>
              <w:t>（GB18597-2023）</w:t>
            </w:r>
            <w:r>
              <w:rPr>
                <w:rFonts w:hint="default"/>
                <w:color w:val="auto"/>
                <w:highlight w:val="none"/>
                <w:lang w:val="en-US" w:eastAsia="zh-CN"/>
              </w:rPr>
              <w:t>要求</w:t>
            </w:r>
            <w:r>
              <w:rPr>
                <w:rFonts w:hint="eastAsia"/>
                <w:color w:val="auto"/>
                <w:highlight w:val="none"/>
                <w:lang w:val="en-US" w:eastAsia="zh-CN"/>
              </w:rPr>
              <w:t>建设危废暂存间，并委托内蒙古筹信环保科技有限公司编制</w:t>
            </w:r>
            <w:r>
              <w:rPr>
                <w:rFonts w:ascii="Times New Roman" w:hAnsi="Times New Roman" w:cs="Times New Roman"/>
                <w:color w:val="auto"/>
                <w:highlight w:val="none"/>
              </w:rPr>
              <w:t>内蒙古锡林郭勒盟</w:t>
            </w:r>
            <w:r>
              <w:rPr>
                <w:rFonts w:hint="eastAsia" w:ascii="Times New Roman" w:hAnsi="Times New Roman" w:cs="Times New Roman"/>
                <w:color w:val="auto"/>
                <w:highlight w:val="none"/>
                <w:lang w:eastAsia="zh-CN"/>
              </w:rPr>
              <w:t>锡林浩特市远景能源（锡林郭勒）有限公司</w:t>
            </w:r>
            <w:r>
              <w:rPr>
                <w:rFonts w:hint="eastAsia"/>
                <w:color w:val="auto"/>
                <w:highlight w:val="none"/>
                <w:lang w:val="en-US" w:eastAsia="zh-CN"/>
              </w:rPr>
              <w:t>危废暂存间建设项目环境影响评价报告表报送生态环境部门审批。</w:t>
            </w:r>
          </w:p>
          <w:p w14:paraId="07588217">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highlight w:val="none"/>
                <w:lang w:val="en-US" w:eastAsia="zh-CN"/>
              </w:rPr>
            </w:pPr>
          </w:p>
        </w:tc>
      </w:tr>
    </w:tbl>
    <w:p w14:paraId="547D1958">
      <w:pPr>
        <w:rPr>
          <w:rFonts w:ascii="Times New Roman" w:hAnsi="Times New Roman" w:eastAsia="黑体" w:cs="Times New Roman"/>
          <w:snapToGrid w:val="0"/>
          <w:sz w:val="30"/>
          <w:highlight w:val="yellow"/>
        </w:rPr>
      </w:pPr>
      <w:r>
        <w:rPr>
          <w:rFonts w:ascii="Times New Roman" w:hAnsi="Times New Roman" w:eastAsia="黑体" w:cs="Times New Roman"/>
          <w:snapToGrid w:val="0"/>
          <w:sz w:val="30"/>
        </w:rPr>
        <w:br w:type="page"/>
      </w:r>
    </w:p>
    <w:p w14:paraId="08E08730">
      <w:pPr>
        <w:pStyle w:val="21"/>
        <w:jc w:val="center"/>
        <w:outlineLvl w:val="0"/>
        <w:rPr>
          <w:rFonts w:hint="default" w:ascii="Times New Roman" w:hAnsi="Times New Roman" w:eastAsia="黑体" w:cs="Times New Roman"/>
          <w:snapToGrid w:val="0"/>
          <w:sz w:val="30"/>
        </w:rPr>
      </w:pPr>
      <w:r>
        <w:rPr>
          <w:rFonts w:hint="default" w:ascii="Times New Roman" w:hAnsi="Times New Roman" w:eastAsia="黑体" w:cs="Times New Roman"/>
          <w:snapToGrid w:val="0"/>
          <w:sz w:val="30"/>
        </w:rPr>
        <w:t>三、区域环境质量现状、环境保护目标及评价标准</w:t>
      </w:r>
    </w:p>
    <w:tbl>
      <w:tblPr>
        <w:tblStyle w:val="24"/>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0"/>
        <w:gridCol w:w="8220"/>
      </w:tblGrid>
      <w:tr w14:paraId="7AE04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0" w:type="dxa"/>
            <w:tcBorders>
              <w:top w:val="single" w:color="auto" w:sz="8" w:space="0"/>
              <w:left w:val="single" w:color="auto" w:sz="8" w:space="0"/>
              <w:bottom w:val="single" w:color="auto" w:sz="4" w:space="0"/>
              <w:right w:val="single" w:color="auto" w:sz="4" w:space="0"/>
              <w:tl2br w:val="nil"/>
              <w:tr2bl w:val="nil"/>
            </w:tcBorders>
            <w:vAlign w:val="center"/>
          </w:tcPr>
          <w:p w14:paraId="0BDB2D77">
            <w:pPr>
              <w:adjustRightInd w:val="0"/>
              <w:snapToGrid w:val="0"/>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sz w:val="21"/>
                <w:szCs w:val="21"/>
                <w:highlight w:val="none"/>
              </w:rPr>
              <w:t>区域环境质量现状</w:t>
            </w:r>
          </w:p>
        </w:tc>
        <w:tc>
          <w:tcPr>
            <w:tcW w:w="8220" w:type="dxa"/>
            <w:tcBorders>
              <w:top w:val="single" w:color="auto" w:sz="8" w:space="0"/>
              <w:left w:val="single" w:color="auto" w:sz="4" w:space="0"/>
              <w:bottom w:val="single" w:color="auto" w:sz="4" w:space="0"/>
              <w:right w:val="single" w:color="auto" w:sz="8" w:space="0"/>
              <w:tl2br w:val="nil"/>
              <w:tr2bl w:val="nil"/>
            </w:tcBorders>
            <w:vAlign w:val="center"/>
          </w:tcPr>
          <w:p w14:paraId="4A36EB1F">
            <w:pPr>
              <w:snapToGrid w:val="0"/>
              <w:spacing w:line="360" w:lineRule="auto"/>
              <w:ind w:firstLine="482" w:firstLineChars="200"/>
              <w:rPr>
                <w:rFonts w:ascii="Times New Roman" w:hAnsi="Times New Roman" w:cs="Times New Roman"/>
                <w:b/>
                <w:bCs/>
                <w:color w:val="auto"/>
                <w:highlight w:val="none"/>
              </w:rPr>
            </w:pPr>
            <w:r>
              <w:rPr>
                <w:rFonts w:ascii="Times New Roman" w:hAnsi="Times New Roman" w:cs="Times New Roman"/>
                <w:b/>
                <w:bCs/>
                <w:color w:val="auto"/>
                <w:highlight w:val="none"/>
              </w:rPr>
              <w:t>建设项目所在地区域环境质量现状及主要环境问题（环境空气、地表水、地下水、声环境、生态环境等）</w:t>
            </w:r>
          </w:p>
          <w:p w14:paraId="04B2AB07">
            <w:pPr>
              <w:snapToGrid w:val="0"/>
              <w:spacing w:line="360" w:lineRule="auto"/>
              <w:ind w:firstLine="480" w:firstLineChars="200"/>
              <w:rPr>
                <w:rFonts w:ascii="Times New Roman" w:hAnsi="Times New Roman" w:eastAsia="黑体" w:cs="Times New Roman"/>
                <w:color w:val="auto"/>
                <w:highlight w:val="none"/>
              </w:rPr>
            </w:pPr>
            <w:r>
              <w:rPr>
                <w:rFonts w:ascii="Times New Roman" w:hAnsi="Times New Roman" w:eastAsia="黑体" w:cs="Times New Roman"/>
                <w:color w:val="auto"/>
                <w:highlight w:val="none"/>
              </w:rPr>
              <w:t>1、环境空气质量现状</w:t>
            </w:r>
          </w:p>
          <w:p w14:paraId="44842F32">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outlineLvl w:val="9"/>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本项目所在地环境空气质量为二类功能区，因此该地区环境空气质量执行《环境空气质量标准》</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GB3095-2012</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中的二级标准。</w:t>
            </w:r>
          </w:p>
          <w:p w14:paraId="75C0BB5F">
            <w:pPr>
              <w:pStyle w:val="54"/>
              <w:spacing w:line="360" w:lineRule="auto"/>
              <w:ind w:firstLine="480"/>
              <w:jc w:val="left"/>
              <w:rPr>
                <w:rFonts w:ascii="Times New Roman" w:hAnsi="Times New Roman"/>
                <w:color w:val="auto"/>
                <w:kern w:val="0"/>
                <w:szCs w:val="24"/>
                <w:highlight w:val="none"/>
              </w:rPr>
            </w:pPr>
            <w:r>
              <w:rPr>
                <w:rFonts w:hint="default" w:ascii="Times New Roman" w:hAnsi="Times New Roman" w:eastAsia="宋体" w:cs="Times New Roman"/>
                <w:b w:val="0"/>
                <w:bCs w:val="0"/>
                <w:color w:val="auto"/>
                <w:sz w:val="24"/>
                <w:szCs w:val="24"/>
                <w:highlight w:val="none"/>
              </w:rPr>
              <w:t>根据内蒙古自治区环境保护厅20</w:t>
            </w: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rPr>
              <w:t>年</w:t>
            </w:r>
            <w:r>
              <w:rPr>
                <w:rFonts w:hint="default" w:ascii="Times New Roman" w:hAnsi="Times New Roman" w:eastAsia="宋体"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rPr>
              <w:t>月</w:t>
            </w:r>
            <w:r>
              <w:rPr>
                <w:rFonts w:hint="eastAsia" w:ascii="Times New Roman" w:hAnsi="Times New Roman"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rPr>
              <w:t>日发布的</w:t>
            </w:r>
            <w:r>
              <w:rPr>
                <w:rFonts w:hint="default" w:ascii="Times New Roman" w:hAnsi="Times New Roman" w:eastAsia="宋体" w:cs="Times New Roman"/>
                <w:b w:val="0"/>
                <w:bCs w:val="0"/>
                <w:color w:val="auto"/>
                <w:sz w:val="24"/>
                <w:szCs w:val="24"/>
                <w:highlight w:val="none"/>
                <w:lang w:val="en-US" w:eastAsia="zh-CN"/>
              </w:rPr>
              <w:t>202</w:t>
            </w:r>
            <w:r>
              <w:rPr>
                <w:rFonts w:hint="eastAsia" w:ascii="Times New Roman" w:hAnsi="Times New Roman"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年度内蒙古自治区生态环境状况公报，采用国控自动监测站点的监测数据，环境空气评价因子为SO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、NO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、PM</w:t>
            </w:r>
            <w:r>
              <w:rPr>
                <w:rFonts w:hint="default" w:ascii="Times New Roman" w:hAnsi="Times New Roman" w:eastAsia="宋体" w:cs="Times New Roman"/>
                <w:b w:val="0"/>
                <w:bCs w:val="0"/>
                <w:color w:val="auto"/>
                <w:sz w:val="24"/>
                <w:szCs w:val="24"/>
                <w:highlight w:val="none"/>
                <w:vertAlign w:val="subscript"/>
              </w:rPr>
              <w:t>10</w:t>
            </w:r>
            <w:r>
              <w:rPr>
                <w:rFonts w:hint="default" w:ascii="Times New Roman" w:hAnsi="Times New Roman" w:eastAsia="宋体" w:cs="Times New Roman"/>
                <w:b w:val="0"/>
                <w:bCs w:val="0"/>
                <w:color w:val="auto"/>
                <w:sz w:val="24"/>
                <w:szCs w:val="24"/>
                <w:highlight w:val="none"/>
              </w:rPr>
              <w:t>、PM</w:t>
            </w:r>
            <w:r>
              <w:rPr>
                <w:rFonts w:hint="default" w:ascii="Times New Roman" w:hAnsi="Times New Roman" w:eastAsia="宋体" w:cs="Times New Roman"/>
                <w:b w:val="0"/>
                <w:bCs w:val="0"/>
                <w:color w:val="auto"/>
                <w:sz w:val="24"/>
                <w:szCs w:val="24"/>
                <w:highlight w:val="none"/>
                <w:vertAlign w:val="subscript"/>
              </w:rPr>
              <w:t>2.5</w:t>
            </w:r>
            <w:r>
              <w:rPr>
                <w:rFonts w:hint="default" w:ascii="Times New Roman" w:hAnsi="Times New Roman" w:eastAsia="宋体" w:cs="Times New Roman"/>
                <w:b w:val="0"/>
                <w:bCs w:val="0"/>
                <w:color w:val="auto"/>
                <w:sz w:val="24"/>
                <w:szCs w:val="24"/>
                <w:highlight w:val="none"/>
              </w:rPr>
              <w:t>、CO、O</w:t>
            </w:r>
            <w:r>
              <w:rPr>
                <w:rFonts w:hint="default" w:ascii="Times New Roman" w:hAnsi="Times New Roman" w:eastAsia="宋体" w:cs="Times New Roman"/>
                <w:b w:val="0"/>
                <w:bCs w:val="0"/>
                <w:color w:val="auto"/>
                <w:sz w:val="24"/>
                <w:szCs w:val="24"/>
                <w:highlight w:val="none"/>
                <w:vertAlign w:val="subscript"/>
              </w:rPr>
              <w:t>3</w:t>
            </w:r>
            <w:r>
              <w:rPr>
                <w:rFonts w:hint="default" w:ascii="Times New Roman" w:hAnsi="Times New Roman" w:eastAsia="宋体" w:cs="Times New Roman"/>
                <w:b w:val="0"/>
                <w:bCs w:val="0"/>
                <w:color w:val="auto"/>
                <w:sz w:val="24"/>
                <w:szCs w:val="24"/>
                <w:highlight w:val="none"/>
              </w:rPr>
              <w:t>等。</w:t>
            </w:r>
            <w:r>
              <w:rPr>
                <w:rFonts w:hint="eastAsia" w:ascii="Times New Roman" w:hAnsi="Times New Roman" w:cs="Times New Roman"/>
                <w:b w:val="0"/>
                <w:bCs w:val="0"/>
                <w:color w:val="auto"/>
                <w:sz w:val="24"/>
                <w:szCs w:val="24"/>
                <w:highlight w:val="none"/>
                <w:lang w:val="en-US" w:eastAsia="zh-CN"/>
              </w:rPr>
              <w:t>内蒙古自治区</w:t>
            </w:r>
            <w:r>
              <w:rPr>
                <w:rFonts w:ascii="Times New Roman" w:hAnsi="Times New Roman"/>
                <w:color w:val="auto"/>
                <w:szCs w:val="24"/>
                <w:highlight w:val="none"/>
              </w:rPr>
              <w:t>PM</w:t>
            </w:r>
            <w:r>
              <w:rPr>
                <w:rFonts w:ascii="Times New Roman" w:hAnsi="Times New Roman"/>
                <w:color w:val="auto"/>
                <w:szCs w:val="24"/>
                <w:highlight w:val="none"/>
                <w:vertAlign w:val="subscript"/>
              </w:rPr>
              <w:t>2.5</w:t>
            </w:r>
            <w:r>
              <w:rPr>
                <w:rFonts w:ascii="Times New Roman" w:hAnsi="宋体"/>
                <w:color w:val="auto"/>
                <w:szCs w:val="24"/>
                <w:highlight w:val="none"/>
              </w:rPr>
              <w:t>年平均浓度为</w:t>
            </w:r>
            <w:r>
              <w:rPr>
                <w:rFonts w:hint="eastAsia" w:ascii="Times New Roman" w:hAnsi="Times New Roman"/>
                <w:color w:val="auto"/>
                <w:szCs w:val="24"/>
                <w:highlight w:val="none"/>
                <w:lang w:val="en-US" w:eastAsia="zh-CN"/>
              </w:rPr>
              <w:t>23</w:t>
            </w:r>
            <w:r>
              <w:rPr>
                <w:rFonts w:ascii="Times New Roman" w:hAnsi="Times New Roman"/>
                <w:color w:val="auto"/>
                <w:szCs w:val="24"/>
                <w:highlight w:val="none"/>
              </w:rPr>
              <w:t>μg/m</w:t>
            </w:r>
            <w:r>
              <w:rPr>
                <w:rFonts w:ascii="Times New Roman" w:hAnsi="Times New Roman"/>
                <w:color w:val="auto"/>
                <w:szCs w:val="24"/>
                <w:highlight w:val="none"/>
                <w:vertAlign w:val="superscript"/>
              </w:rPr>
              <w:t>3</w:t>
            </w:r>
            <w:r>
              <w:rPr>
                <w:rFonts w:ascii="Times New Roman" w:hAnsi="宋体"/>
                <w:color w:val="auto"/>
                <w:szCs w:val="24"/>
                <w:highlight w:val="none"/>
              </w:rPr>
              <w:t>，</w:t>
            </w:r>
            <w:r>
              <w:rPr>
                <w:rFonts w:ascii="Times New Roman" w:hAnsi="Times New Roman"/>
                <w:color w:val="auto"/>
                <w:szCs w:val="24"/>
                <w:highlight w:val="none"/>
              </w:rPr>
              <w:t>PM</w:t>
            </w:r>
            <w:r>
              <w:rPr>
                <w:rFonts w:ascii="Times New Roman" w:hAnsi="Times New Roman"/>
                <w:color w:val="auto"/>
                <w:szCs w:val="24"/>
                <w:highlight w:val="none"/>
                <w:vertAlign w:val="subscript"/>
              </w:rPr>
              <w:t>10</w:t>
            </w:r>
            <w:r>
              <w:rPr>
                <w:rFonts w:ascii="Times New Roman" w:hAnsi="宋体"/>
                <w:color w:val="auto"/>
                <w:szCs w:val="24"/>
                <w:highlight w:val="none"/>
              </w:rPr>
              <w:t>年平均浓度为</w:t>
            </w:r>
            <w:r>
              <w:rPr>
                <w:rFonts w:hint="eastAsia" w:ascii="Times New Roman" w:hAnsi="Times New Roman"/>
                <w:color w:val="auto"/>
                <w:szCs w:val="24"/>
                <w:highlight w:val="none"/>
                <w:lang w:val="en-US" w:eastAsia="zh-CN"/>
              </w:rPr>
              <w:t>52</w:t>
            </w:r>
            <w:r>
              <w:rPr>
                <w:rFonts w:ascii="Times New Roman" w:hAnsi="Times New Roman"/>
                <w:color w:val="auto"/>
                <w:szCs w:val="24"/>
                <w:highlight w:val="none"/>
              </w:rPr>
              <w:t>μg/m</w:t>
            </w:r>
            <w:r>
              <w:rPr>
                <w:rFonts w:ascii="Times New Roman" w:hAnsi="Times New Roman"/>
                <w:color w:val="auto"/>
                <w:szCs w:val="24"/>
                <w:highlight w:val="none"/>
                <w:vertAlign w:val="superscript"/>
              </w:rPr>
              <w:t>3</w:t>
            </w:r>
            <w:r>
              <w:rPr>
                <w:rFonts w:ascii="Times New Roman" w:hAnsi="宋体"/>
                <w:color w:val="auto"/>
                <w:szCs w:val="24"/>
                <w:highlight w:val="none"/>
              </w:rPr>
              <w:t>，</w:t>
            </w:r>
            <w:r>
              <w:rPr>
                <w:rFonts w:ascii="Times New Roman" w:hAnsi="Times New Roman"/>
                <w:color w:val="auto"/>
                <w:szCs w:val="24"/>
                <w:highlight w:val="none"/>
              </w:rPr>
              <w:t>SO</w:t>
            </w:r>
            <w:r>
              <w:rPr>
                <w:rFonts w:ascii="Times New Roman" w:hAnsi="Times New Roman"/>
                <w:color w:val="auto"/>
                <w:szCs w:val="24"/>
                <w:highlight w:val="none"/>
                <w:vertAlign w:val="subscript"/>
              </w:rPr>
              <w:t>2</w:t>
            </w:r>
            <w:r>
              <w:rPr>
                <w:rFonts w:ascii="Times New Roman" w:hAnsi="宋体"/>
                <w:color w:val="auto"/>
                <w:szCs w:val="24"/>
                <w:highlight w:val="none"/>
              </w:rPr>
              <w:t>年平均浓度为</w:t>
            </w:r>
            <w:r>
              <w:rPr>
                <w:rFonts w:hint="eastAsia" w:ascii="Times New Roman" w:hAnsi="Times New Roman"/>
                <w:color w:val="auto"/>
                <w:szCs w:val="24"/>
                <w:highlight w:val="none"/>
                <w:lang w:val="en-US" w:eastAsia="zh-CN"/>
              </w:rPr>
              <w:t>11</w:t>
            </w:r>
            <w:r>
              <w:rPr>
                <w:rFonts w:ascii="Times New Roman" w:hAnsi="Times New Roman"/>
                <w:color w:val="auto"/>
                <w:szCs w:val="24"/>
                <w:highlight w:val="none"/>
              </w:rPr>
              <w:t>μg/m</w:t>
            </w:r>
            <w:r>
              <w:rPr>
                <w:rFonts w:ascii="Times New Roman" w:hAnsi="Times New Roman"/>
                <w:color w:val="auto"/>
                <w:szCs w:val="24"/>
                <w:highlight w:val="none"/>
                <w:vertAlign w:val="superscript"/>
              </w:rPr>
              <w:t>3</w:t>
            </w:r>
            <w:r>
              <w:rPr>
                <w:rFonts w:ascii="Times New Roman" w:hAnsi="宋体"/>
                <w:color w:val="auto"/>
                <w:szCs w:val="24"/>
                <w:highlight w:val="none"/>
              </w:rPr>
              <w:t>，</w:t>
            </w:r>
            <w:r>
              <w:rPr>
                <w:rFonts w:ascii="Times New Roman" w:hAnsi="Times New Roman"/>
                <w:color w:val="auto"/>
                <w:szCs w:val="24"/>
                <w:highlight w:val="none"/>
              </w:rPr>
              <w:t>NO</w:t>
            </w:r>
            <w:r>
              <w:rPr>
                <w:rFonts w:ascii="Times New Roman" w:hAnsi="Times New Roman"/>
                <w:color w:val="auto"/>
                <w:szCs w:val="24"/>
                <w:highlight w:val="none"/>
                <w:vertAlign w:val="subscript"/>
              </w:rPr>
              <w:t>2</w:t>
            </w:r>
            <w:r>
              <w:rPr>
                <w:rFonts w:ascii="Times New Roman" w:hAnsi="宋体"/>
                <w:color w:val="auto"/>
                <w:szCs w:val="24"/>
                <w:highlight w:val="none"/>
              </w:rPr>
              <w:t>年平均浓度为</w:t>
            </w:r>
            <w:r>
              <w:rPr>
                <w:rFonts w:hint="eastAsia" w:ascii="Times New Roman" w:hAnsi="Times New Roman"/>
                <w:color w:val="auto"/>
                <w:szCs w:val="24"/>
                <w:highlight w:val="none"/>
                <w:lang w:val="en-US" w:eastAsia="zh-CN"/>
              </w:rPr>
              <w:t>21</w:t>
            </w:r>
            <w:r>
              <w:rPr>
                <w:rFonts w:ascii="Times New Roman" w:hAnsi="Times New Roman"/>
                <w:color w:val="auto"/>
                <w:szCs w:val="24"/>
                <w:highlight w:val="none"/>
              </w:rPr>
              <w:t>μg/m</w:t>
            </w:r>
            <w:r>
              <w:rPr>
                <w:rFonts w:ascii="Times New Roman" w:hAnsi="Times New Roman"/>
                <w:color w:val="auto"/>
                <w:szCs w:val="24"/>
                <w:highlight w:val="none"/>
                <w:vertAlign w:val="superscript"/>
              </w:rPr>
              <w:t>3</w:t>
            </w:r>
            <w:r>
              <w:rPr>
                <w:rFonts w:ascii="Times New Roman" w:hAnsi="宋体"/>
                <w:color w:val="auto"/>
                <w:szCs w:val="24"/>
                <w:highlight w:val="none"/>
              </w:rPr>
              <w:t>，</w:t>
            </w:r>
            <w:r>
              <w:rPr>
                <w:rFonts w:ascii="Times New Roman" w:hAnsi="Times New Roman"/>
                <w:color w:val="auto"/>
                <w:szCs w:val="24"/>
                <w:highlight w:val="none"/>
              </w:rPr>
              <w:t>CO24</w:t>
            </w:r>
            <w:r>
              <w:rPr>
                <w:rFonts w:ascii="Times New Roman" w:hAnsi="宋体"/>
                <w:color w:val="auto"/>
                <w:szCs w:val="24"/>
                <w:highlight w:val="none"/>
              </w:rPr>
              <w:t>小时平均百分位浓度为</w:t>
            </w:r>
            <w:r>
              <w:rPr>
                <w:rFonts w:ascii="Times New Roman" w:hAnsi="Times New Roman"/>
                <w:color w:val="auto"/>
                <w:szCs w:val="24"/>
                <w:highlight w:val="none"/>
              </w:rPr>
              <w:t>0.</w:t>
            </w:r>
            <w:r>
              <w:rPr>
                <w:rFonts w:hint="eastAsia" w:ascii="Times New Roman" w:hAnsi="Times New Roman"/>
                <w:color w:val="auto"/>
                <w:szCs w:val="24"/>
                <w:highlight w:val="none"/>
                <w:lang w:val="en-US" w:eastAsia="zh-CN"/>
              </w:rPr>
              <w:t>9</w:t>
            </w:r>
            <w:r>
              <w:rPr>
                <w:rFonts w:ascii="Times New Roman" w:hAnsi="Times New Roman"/>
                <w:color w:val="auto"/>
                <w:szCs w:val="24"/>
                <w:highlight w:val="none"/>
              </w:rPr>
              <w:t>mg/m</w:t>
            </w:r>
            <w:r>
              <w:rPr>
                <w:rFonts w:ascii="Times New Roman" w:hAnsi="Times New Roman"/>
                <w:color w:val="auto"/>
                <w:szCs w:val="24"/>
                <w:highlight w:val="none"/>
                <w:vertAlign w:val="superscript"/>
              </w:rPr>
              <w:t>3</w:t>
            </w:r>
            <w:r>
              <w:rPr>
                <w:rFonts w:ascii="Times New Roman" w:hAnsi="宋体"/>
                <w:color w:val="auto"/>
                <w:szCs w:val="24"/>
                <w:highlight w:val="none"/>
              </w:rPr>
              <w:t>，</w:t>
            </w:r>
            <w:r>
              <w:rPr>
                <w:rFonts w:ascii="Times New Roman" w:hAnsi="Times New Roman"/>
                <w:color w:val="auto"/>
                <w:szCs w:val="24"/>
                <w:highlight w:val="none"/>
              </w:rPr>
              <w:t>O</w:t>
            </w:r>
            <w:r>
              <w:rPr>
                <w:rFonts w:ascii="Times New Roman" w:hAnsi="Times New Roman"/>
                <w:color w:val="auto"/>
                <w:szCs w:val="24"/>
                <w:highlight w:val="none"/>
                <w:vertAlign w:val="subscript"/>
              </w:rPr>
              <w:t>3</w:t>
            </w:r>
            <w:r>
              <w:rPr>
                <w:rFonts w:ascii="Times New Roman" w:hAnsi="宋体"/>
                <w:color w:val="auto"/>
                <w:szCs w:val="24"/>
                <w:highlight w:val="none"/>
              </w:rPr>
              <w:t>日最大</w:t>
            </w:r>
            <w:r>
              <w:rPr>
                <w:rFonts w:ascii="Times New Roman" w:hAnsi="Times New Roman"/>
                <w:color w:val="auto"/>
                <w:szCs w:val="24"/>
                <w:highlight w:val="none"/>
              </w:rPr>
              <w:t>8</w:t>
            </w:r>
            <w:r>
              <w:rPr>
                <w:rFonts w:ascii="Times New Roman" w:hAnsi="宋体"/>
                <w:color w:val="auto"/>
                <w:szCs w:val="24"/>
                <w:highlight w:val="none"/>
              </w:rPr>
              <w:t>小时平均百分位浓度为</w:t>
            </w:r>
            <w:r>
              <w:rPr>
                <w:rFonts w:ascii="Times New Roman" w:hAnsi="Times New Roman"/>
                <w:color w:val="auto"/>
                <w:szCs w:val="24"/>
                <w:highlight w:val="none"/>
              </w:rPr>
              <w:t>1</w:t>
            </w:r>
            <w:r>
              <w:rPr>
                <w:rFonts w:hint="eastAsia" w:ascii="Times New Roman" w:hAnsi="Times New Roman"/>
                <w:color w:val="auto"/>
                <w:szCs w:val="24"/>
                <w:highlight w:val="none"/>
                <w:lang w:val="en-US" w:eastAsia="zh-CN"/>
              </w:rPr>
              <w:t>39</w:t>
            </w:r>
            <w:r>
              <w:rPr>
                <w:rFonts w:ascii="Times New Roman" w:hAnsi="Times New Roman"/>
                <w:color w:val="auto"/>
                <w:szCs w:val="24"/>
                <w:highlight w:val="none"/>
              </w:rPr>
              <w:t>μg/m</w:t>
            </w:r>
            <w:r>
              <w:rPr>
                <w:rFonts w:ascii="Times New Roman" w:hAnsi="Times New Roman"/>
                <w:color w:val="auto"/>
                <w:szCs w:val="24"/>
                <w:highlight w:val="none"/>
                <w:vertAlign w:val="superscript"/>
              </w:rPr>
              <w:t>3</w:t>
            </w:r>
            <w:r>
              <w:rPr>
                <w:rFonts w:ascii="Times New Roman" w:hAnsi="宋体"/>
                <w:color w:val="auto"/>
                <w:szCs w:val="24"/>
                <w:highlight w:val="none"/>
              </w:rPr>
              <w:t>，</w:t>
            </w:r>
            <w:r>
              <w:rPr>
                <w:rFonts w:hint="default" w:ascii="Times New Roman" w:hAnsi="Times New Roman" w:eastAsia="宋体" w:cs="Times New Roman"/>
                <w:b w:val="0"/>
                <w:bCs w:val="0"/>
                <w:color w:val="auto"/>
                <w:sz w:val="24"/>
                <w:szCs w:val="24"/>
                <w:highlight w:val="none"/>
              </w:rPr>
              <w:t>其中SO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、NO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、PM</w:t>
            </w:r>
            <w:r>
              <w:rPr>
                <w:rFonts w:hint="default" w:ascii="Times New Roman" w:hAnsi="Times New Roman" w:eastAsia="宋体" w:cs="Times New Roman"/>
                <w:b w:val="0"/>
                <w:bCs w:val="0"/>
                <w:color w:val="auto"/>
                <w:sz w:val="24"/>
                <w:szCs w:val="24"/>
                <w:highlight w:val="none"/>
                <w:vertAlign w:val="subscript"/>
              </w:rPr>
              <w:t>10</w:t>
            </w:r>
            <w:r>
              <w:rPr>
                <w:rFonts w:hint="default" w:ascii="Times New Roman" w:hAnsi="Times New Roman" w:eastAsia="宋体" w:cs="Times New Roman"/>
                <w:b w:val="0"/>
                <w:bCs w:val="0"/>
                <w:color w:val="auto"/>
                <w:sz w:val="24"/>
                <w:szCs w:val="24"/>
                <w:highlight w:val="none"/>
              </w:rPr>
              <w:t>、PM</w:t>
            </w:r>
            <w:r>
              <w:rPr>
                <w:rFonts w:hint="default" w:ascii="Times New Roman" w:hAnsi="Times New Roman" w:eastAsia="宋体" w:cs="Times New Roman"/>
                <w:b w:val="0"/>
                <w:bCs w:val="0"/>
                <w:color w:val="auto"/>
                <w:sz w:val="24"/>
                <w:szCs w:val="24"/>
                <w:highlight w:val="none"/>
                <w:vertAlign w:val="subscript"/>
              </w:rPr>
              <w:t>2.5</w:t>
            </w:r>
            <w:r>
              <w:rPr>
                <w:rFonts w:hint="default" w:ascii="Times New Roman" w:hAnsi="Times New Roman" w:eastAsia="宋体" w:cs="Times New Roman"/>
                <w:b w:val="0"/>
                <w:bCs w:val="0"/>
                <w:color w:val="auto"/>
                <w:sz w:val="24"/>
                <w:szCs w:val="24"/>
                <w:highlight w:val="none"/>
              </w:rPr>
              <w:t>年均值浓度低于《环境空气质量标准》（GB3095-2012）及其修改单中规定的标准限值，CO24小时均值浓度限值和O</w:t>
            </w:r>
            <w:r>
              <w:rPr>
                <w:rFonts w:hint="default" w:ascii="Times New Roman" w:hAnsi="Times New Roman" w:eastAsia="宋体" w:cs="Times New Roman"/>
                <w:b w:val="0"/>
                <w:bCs w:val="0"/>
                <w:color w:val="auto"/>
                <w:sz w:val="24"/>
                <w:szCs w:val="24"/>
                <w:highlight w:val="none"/>
                <w:vertAlign w:val="subscript"/>
              </w:rPr>
              <w:t>3</w:t>
            </w:r>
            <w:r>
              <w:rPr>
                <w:rFonts w:hint="default" w:ascii="Times New Roman" w:hAnsi="Times New Roman" w:eastAsia="宋体" w:cs="Times New Roman"/>
                <w:b w:val="0"/>
                <w:bCs w:val="0"/>
                <w:color w:val="auto"/>
                <w:sz w:val="24"/>
                <w:szCs w:val="24"/>
                <w:highlight w:val="none"/>
              </w:rPr>
              <w:t>日最大8小时平均浓度低于《环境空气质量标准》（GB3095-2012）及其修改单中规定的标准限值，区域环境质量达标。锡林郭勒盟环境空气质量较好，SO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、NO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、PM</w:t>
            </w:r>
            <w:r>
              <w:rPr>
                <w:rFonts w:hint="default" w:ascii="Times New Roman" w:hAnsi="Times New Roman" w:eastAsia="宋体" w:cs="Times New Roman"/>
                <w:b w:val="0"/>
                <w:bCs w:val="0"/>
                <w:color w:val="auto"/>
                <w:sz w:val="24"/>
                <w:szCs w:val="24"/>
                <w:highlight w:val="none"/>
                <w:vertAlign w:val="subscript"/>
              </w:rPr>
              <w:t>10</w:t>
            </w:r>
            <w:r>
              <w:rPr>
                <w:rFonts w:hint="default" w:ascii="Times New Roman" w:hAnsi="Times New Roman" w:eastAsia="宋体" w:cs="Times New Roman"/>
                <w:b w:val="0"/>
                <w:bCs w:val="0"/>
                <w:color w:val="auto"/>
                <w:sz w:val="24"/>
                <w:szCs w:val="24"/>
                <w:highlight w:val="none"/>
              </w:rPr>
              <w:t>、PM</w:t>
            </w:r>
            <w:r>
              <w:rPr>
                <w:rFonts w:hint="default" w:ascii="Times New Roman" w:hAnsi="Times New Roman" w:eastAsia="宋体" w:cs="Times New Roman"/>
                <w:b w:val="0"/>
                <w:bCs w:val="0"/>
                <w:color w:val="auto"/>
                <w:sz w:val="24"/>
                <w:szCs w:val="24"/>
                <w:highlight w:val="none"/>
                <w:vertAlign w:val="subscript"/>
              </w:rPr>
              <w:t>2.5</w:t>
            </w:r>
            <w:r>
              <w:rPr>
                <w:rFonts w:hint="default" w:ascii="Times New Roman" w:hAnsi="Times New Roman" w:eastAsia="宋体" w:cs="Times New Roman"/>
                <w:b w:val="0"/>
                <w:bCs w:val="0"/>
                <w:color w:val="auto"/>
                <w:sz w:val="24"/>
                <w:szCs w:val="24"/>
                <w:highlight w:val="none"/>
              </w:rPr>
              <w:t>、CO、O</w:t>
            </w:r>
            <w:r>
              <w:rPr>
                <w:rFonts w:hint="default" w:ascii="Times New Roman" w:hAnsi="Times New Roman" w:eastAsia="宋体" w:cs="Times New Roman"/>
                <w:b w:val="0"/>
                <w:bCs w:val="0"/>
                <w:color w:val="auto"/>
                <w:sz w:val="24"/>
                <w:szCs w:val="24"/>
                <w:highlight w:val="none"/>
                <w:vertAlign w:val="subscript"/>
              </w:rPr>
              <w:t>3</w:t>
            </w:r>
            <w:r>
              <w:rPr>
                <w:rFonts w:hint="eastAsia" w:ascii="Times New Roman" w:hAnsi="Times New Roman" w:eastAsia="宋体" w:cs="Times New Roman"/>
                <w:b w:val="0"/>
                <w:bCs w:val="0"/>
                <w:color w:val="auto"/>
                <w:sz w:val="24"/>
                <w:szCs w:val="24"/>
                <w:highlight w:val="none"/>
                <w:vertAlign w:val="baseline"/>
                <w:lang w:val="en-US" w:eastAsia="zh-CN"/>
              </w:rPr>
              <w:t>均低于全区平均值。</w:t>
            </w:r>
          </w:p>
          <w:p w14:paraId="348C26AE">
            <w:pPr>
              <w:pStyle w:val="23"/>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kern w:val="0"/>
                <w:lang w:val="en-US" w:eastAsia="zh-CN"/>
              </w:rPr>
            </w:pPr>
            <w:r>
              <w:rPr>
                <w:rFonts w:hint="eastAsia" w:ascii="Times New Roman" w:hAnsi="Times New Roman" w:cs="Times New Roman"/>
                <w:color w:val="auto"/>
              </w:rPr>
              <w:t>本项目排放的废气特征污染物为非甲烷总烃，</w:t>
            </w:r>
            <w:r>
              <w:rPr>
                <w:rFonts w:hint="eastAsia" w:ascii="Times New Roman" w:hAnsi="Times New Roman" w:cs="Times New Roman"/>
                <w:color w:val="auto"/>
                <w:kern w:val="0"/>
              </w:rPr>
              <w:t>非甲烷总烃现状数据引用《</w:t>
            </w:r>
            <w:r>
              <w:rPr>
                <w:rFonts w:hint="eastAsia" w:ascii="Times New Roman" w:hAnsi="Times New Roman" w:cs="Times New Roman"/>
                <w:color w:val="auto"/>
                <w:kern w:val="0"/>
                <w:lang w:val="en-US" w:eastAsia="zh-CN"/>
              </w:rPr>
              <w:t>内蒙古先导新材料有限公司新型光电子材料产业化项目环境影响报告书</w:t>
            </w:r>
            <w:r>
              <w:rPr>
                <w:rFonts w:hint="eastAsia" w:ascii="Times New Roman" w:hAnsi="Times New Roman" w:cs="Times New Roman"/>
                <w:color w:val="auto"/>
                <w:kern w:val="0"/>
              </w:rPr>
              <w:t>》中的环境质量现状监测数据，</w:t>
            </w:r>
            <w:r>
              <w:rPr>
                <w:rFonts w:hint="eastAsia" w:ascii="Times New Roman" w:hAnsi="Times New Roman" w:cs="Times New Roman"/>
                <w:color w:val="auto"/>
                <w:kern w:val="0"/>
                <w:lang w:val="en-US" w:eastAsia="zh-CN"/>
              </w:rPr>
              <w:t>本项目用的是项目厂址01点位，</w:t>
            </w:r>
            <w:r>
              <w:rPr>
                <w:rFonts w:hint="eastAsia" w:ascii="Times New Roman" w:hAnsi="Times New Roman" w:cs="Times New Roman"/>
                <w:color w:val="auto"/>
                <w:kern w:val="0"/>
              </w:rPr>
              <w:t>监测时间为</w:t>
            </w:r>
            <w:r>
              <w:rPr>
                <w:rFonts w:hint="eastAsia" w:ascii="Times New Roman" w:hAnsi="Times New Roman" w:cs="Times New Roman"/>
                <w:color w:val="auto"/>
              </w:rPr>
              <w:t>202</w:t>
            </w:r>
            <w:r>
              <w:rPr>
                <w:rFonts w:hint="eastAsia" w:ascii="Times New Roman" w:hAnsi="Times New Roman" w:cs="Times New Roman"/>
                <w:color w:val="auto"/>
                <w:lang w:val="en-US" w:eastAsia="zh-CN"/>
              </w:rPr>
              <w:t>4</w:t>
            </w:r>
            <w:r>
              <w:rPr>
                <w:rFonts w:hint="eastAsia" w:ascii="Times New Roman" w:hAnsi="Times New Roman" w:cs="Times New Roman"/>
                <w:color w:val="auto"/>
              </w:rPr>
              <w:t>年</w:t>
            </w:r>
            <w:r>
              <w:rPr>
                <w:rFonts w:hint="eastAsia" w:ascii="Times New Roman" w:hAnsi="Times New Roman" w:cs="Times New Roman"/>
                <w:color w:val="auto"/>
                <w:lang w:val="en-US" w:eastAsia="zh-CN"/>
              </w:rPr>
              <w:t>6</w:t>
            </w:r>
            <w:r>
              <w:rPr>
                <w:rFonts w:hint="eastAsia" w:ascii="Times New Roman" w:hAnsi="Times New Roman" w:cs="Times New Roman"/>
                <w:color w:val="auto"/>
              </w:rPr>
              <w:t>月1</w:t>
            </w:r>
            <w:r>
              <w:rPr>
                <w:rFonts w:hint="eastAsia" w:ascii="Times New Roman" w:hAnsi="Times New Roman" w:cs="Times New Roman"/>
                <w:color w:val="auto"/>
                <w:lang w:val="en-US" w:eastAsia="zh-CN"/>
              </w:rPr>
              <w:t>1</w:t>
            </w:r>
            <w:r>
              <w:rPr>
                <w:rFonts w:hint="eastAsia" w:ascii="Times New Roman" w:hAnsi="Times New Roman" w:cs="Times New Roman"/>
                <w:color w:val="auto"/>
              </w:rPr>
              <w:t>日～</w:t>
            </w:r>
            <w:r>
              <w:rPr>
                <w:rFonts w:hint="eastAsia" w:ascii="Times New Roman" w:hAnsi="Times New Roman" w:cs="Times New Roman"/>
                <w:color w:val="auto"/>
                <w:lang w:val="en-US" w:eastAsia="zh-CN"/>
              </w:rPr>
              <w:t>6</w:t>
            </w:r>
            <w:r>
              <w:rPr>
                <w:rFonts w:hint="eastAsia" w:ascii="Times New Roman" w:hAnsi="Times New Roman" w:cs="Times New Roman"/>
                <w:color w:val="auto"/>
              </w:rPr>
              <w:t>月1</w:t>
            </w:r>
            <w:r>
              <w:rPr>
                <w:rFonts w:hint="eastAsia" w:ascii="Times New Roman" w:hAnsi="Times New Roman" w:cs="Times New Roman"/>
                <w:color w:val="auto"/>
                <w:lang w:val="en-US" w:eastAsia="zh-CN"/>
              </w:rPr>
              <w:t>7</w:t>
            </w:r>
            <w:r>
              <w:rPr>
                <w:rFonts w:hint="eastAsia" w:ascii="Times New Roman" w:hAnsi="Times New Roman" w:cs="Times New Roman"/>
                <w:color w:val="auto"/>
              </w:rPr>
              <w:t>日</w:t>
            </w:r>
            <w:r>
              <w:rPr>
                <w:rFonts w:hint="eastAsia" w:ascii="Times New Roman" w:hAnsi="Times New Roman" w:cs="Times New Roman"/>
                <w:color w:val="auto"/>
                <w:kern w:val="0"/>
              </w:rPr>
              <w:t>，本项目位于《</w:t>
            </w:r>
            <w:r>
              <w:rPr>
                <w:rFonts w:hint="eastAsia" w:ascii="Times New Roman" w:hAnsi="Times New Roman" w:cs="Times New Roman"/>
                <w:color w:val="auto"/>
                <w:kern w:val="0"/>
                <w:lang w:val="en-US" w:eastAsia="zh-CN"/>
              </w:rPr>
              <w:t>内蒙古先导新材料有限公司新型光电子材料产业化项目环境影响报告书</w:t>
            </w:r>
            <w:r>
              <w:rPr>
                <w:rFonts w:hint="eastAsia" w:ascii="Times New Roman" w:hAnsi="Times New Roman" w:cs="Times New Roman"/>
                <w:color w:val="auto"/>
                <w:kern w:val="0"/>
              </w:rPr>
              <w:t>》</w:t>
            </w:r>
            <w:r>
              <w:rPr>
                <w:rFonts w:hint="eastAsia" w:ascii="Times New Roman" w:hAnsi="Times New Roman" w:cs="Times New Roman"/>
                <w:color w:val="auto"/>
                <w:kern w:val="0"/>
                <w:lang w:val="en-US" w:eastAsia="zh-CN"/>
              </w:rPr>
              <w:t>西南800</w:t>
            </w:r>
            <w:r>
              <w:rPr>
                <w:rFonts w:hint="eastAsia" w:ascii="Times New Roman" w:hAnsi="Times New Roman" w:cs="Times New Roman"/>
                <w:color w:val="auto"/>
                <w:kern w:val="0"/>
              </w:rPr>
              <w:t>m处，满足《建设项目环境影响报告表编制技术指南（污染影响类）（试行）》中区域环境质量现状大气环境中项目周边5km范围内近3年现有监测数据要求，可以引用。非甲烷总烃监测结果见表</w:t>
            </w:r>
            <w:r>
              <w:rPr>
                <w:rFonts w:hint="eastAsia" w:ascii="Times New Roman" w:hAnsi="Times New Roman" w:cs="Times New Roman"/>
                <w:color w:val="auto"/>
                <w:kern w:val="0"/>
                <w:lang w:val="en-US" w:eastAsia="zh-CN"/>
              </w:rPr>
              <w:t>13</w:t>
            </w:r>
            <w:r>
              <w:rPr>
                <w:rFonts w:hint="eastAsia" w:ascii="Times New Roman" w:hAnsi="Times New Roman" w:cs="Times New Roman"/>
                <w:color w:val="auto"/>
                <w:kern w:val="0"/>
              </w:rPr>
              <w:t>所示。</w:t>
            </w:r>
            <w:r>
              <w:rPr>
                <w:rFonts w:hint="eastAsia" w:ascii="Times New Roman" w:hAnsi="Times New Roman" w:cs="Times New Roman"/>
                <w:color w:val="auto"/>
                <w:kern w:val="0"/>
                <w:lang w:val="en-US" w:eastAsia="zh-CN"/>
              </w:rPr>
              <w:t>检测报告见附件6。</w:t>
            </w:r>
          </w:p>
          <w:p w14:paraId="188E3166">
            <w:pPr>
              <w:pStyle w:val="23"/>
              <w:keepNext w:val="0"/>
              <w:keepLines w:val="0"/>
              <w:pageBreakBefore w:val="0"/>
              <w:widowControl w:val="0"/>
              <w:kinsoku/>
              <w:wordWrap/>
              <w:overflowPunct/>
              <w:topLinePunct w:val="0"/>
              <w:autoSpaceDE/>
              <w:autoSpaceDN/>
              <w:bidi w:val="0"/>
              <w:adjustRightInd/>
              <w:snapToGrid w:val="0"/>
              <w:spacing w:after="0" w:line="360" w:lineRule="auto"/>
              <w:ind w:left="0" w:leftChars="0" w:firstLine="0" w:firstLineChars="0"/>
              <w:jc w:val="center"/>
              <w:textAlignment w:val="auto"/>
              <w:rPr>
                <w:rFonts w:ascii="Times New Roman" w:hAnsi="Times New Roman" w:cs="Times New Roman"/>
                <w:b/>
                <w:bCs/>
                <w:color w:val="auto"/>
                <w:kern w:val="0"/>
              </w:rPr>
            </w:pPr>
            <w:r>
              <w:rPr>
                <w:rFonts w:hint="eastAsia" w:ascii="Times New Roman" w:hAnsi="Times New Roman" w:cs="Times New Roman"/>
                <w:b/>
                <w:bCs/>
                <w:color w:val="auto"/>
                <w:kern w:val="0"/>
              </w:rPr>
              <w:t>表</w:t>
            </w:r>
            <w:r>
              <w:rPr>
                <w:rFonts w:hint="eastAsia" w:ascii="Times New Roman" w:hAnsi="Times New Roman" w:cs="Times New Roman"/>
                <w:b/>
                <w:bCs/>
                <w:color w:val="auto"/>
                <w:kern w:val="0"/>
                <w:lang w:val="en-US" w:eastAsia="zh-CN"/>
              </w:rPr>
              <w:t>13</w:t>
            </w:r>
            <w:r>
              <w:rPr>
                <w:rFonts w:hint="eastAsia" w:ascii="Times New Roman" w:hAnsi="Times New Roman" w:cs="Times New Roman"/>
                <w:b/>
                <w:bCs/>
                <w:color w:val="auto"/>
                <w:kern w:val="0"/>
              </w:rPr>
              <w:t xml:space="preserve">  非甲烷总烃现状评价表</w:t>
            </w:r>
          </w:p>
          <w:tbl>
            <w:tblPr>
              <w:tblStyle w:val="24"/>
              <w:tblW w:w="4993" w:type="pct"/>
              <w:tblInd w:w="0" w:type="dxa"/>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68"/>
              <w:gridCol w:w="2721"/>
              <w:gridCol w:w="1438"/>
              <w:gridCol w:w="1237"/>
              <w:gridCol w:w="1012"/>
              <w:gridCol w:w="700"/>
            </w:tblGrid>
            <w:tr w14:paraId="61645BA6">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44" w:type="pct"/>
                  <w:tcBorders>
                    <w:tl2br w:val="nil"/>
                    <w:tr2bl w:val="nil"/>
                  </w:tcBorders>
                  <w:noWrap/>
                  <w:vAlign w:val="center"/>
                </w:tcPr>
                <w:p w14:paraId="27BA12A5">
                  <w:pPr>
                    <w:pStyle w:val="43"/>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监测因子</w:t>
                  </w:r>
                </w:p>
              </w:tc>
              <w:tc>
                <w:tcPr>
                  <w:tcW w:w="1705" w:type="pct"/>
                  <w:tcBorders>
                    <w:tl2br w:val="nil"/>
                    <w:tr2bl w:val="nil"/>
                  </w:tcBorders>
                  <w:noWrap/>
                  <w:vAlign w:val="center"/>
                </w:tcPr>
                <w:p w14:paraId="4D329581">
                  <w:pPr>
                    <w:pStyle w:val="43"/>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采样日期</w:t>
                  </w:r>
                </w:p>
              </w:tc>
              <w:tc>
                <w:tcPr>
                  <w:tcW w:w="901" w:type="pct"/>
                  <w:tcBorders>
                    <w:tl2br w:val="nil"/>
                    <w:tr2bl w:val="nil"/>
                  </w:tcBorders>
                  <w:noWrap/>
                  <w:vAlign w:val="center"/>
                </w:tcPr>
                <w:p w14:paraId="75B90F53">
                  <w:pPr>
                    <w:pStyle w:val="43"/>
                    <w:jc w:val="center"/>
                    <w:rPr>
                      <w:rFonts w:ascii="Times New Roman" w:hAnsi="Times New Roman" w:cs="Times New Roman"/>
                      <w:color w:val="auto"/>
                      <w:sz w:val="21"/>
                      <w:szCs w:val="21"/>
                    </w:rPr>
                  </w:pPr>
                  <w:r>
                    <w:rPr>
                      <w:rFonts w:ascii="Times New Roman" w:hAnsi="Times New Roman" w:cs="Times New Roman"/>
                      <w:color w:val="auto"/>
                      <w:sz w:val="21"/>
                      <w:szCs w:val="21"/>
                    </w:rPr>
                    <w:t>现状浓度</w:t>
                  </w:r>
                  <w:r>
                    <w:rPr>
                      <w:rFonts w:hint="eastAsia" w:ascii="Times New Roman" w:hAnsi="Times New Roman" w:cs="Times New Roman"/>
                      <w:color w:val="auto"/>
                      <w:sz w:val="21"/>
                      <w:szCs w:val="21"/>
                    </w:rPr>
                    <w:t>范围</w:t>
                  </w:r>
                  <w:r>
                    <w:rPr>
                      <w:rFonts w:ascii="Times New Roman" w:hAnsi="Times New Roman" w:cs="Times New Roman"/>
                      <w:color w:val="auto"/>
                      <w:sz w:val="21"/>
                      <w:szCs w:val="21"/>
                    </w:rPr>
                    <w:t>（</w:t>
                  </w:r>
                  <w:r>
                    <w:rPr>
                      <w:rFonts w:hint="eastAsia" w:ascii="Times New Roman" w:hAnsi="Times New Roman" w:cs="Times New Roman"/>
                      <w:color w:val="auto"/>
                      <w:sz w:val="21"/>
                      <w:szCs w:val="21"/>
                    </w:rPr>
                    <w:t>m</w:t>
                  </w:r>
                  <w:r>
                    <w:rPr>
                      <w:rFonts w:ascii="Times New Roman" w:hAnsi="Times New Roman" w:cs="Times New Roman"/>
                      <w:color w:val="auto"/>
                      <w:sz w:val="21"/>
                      <w:szCs w:val="21"/>
                    </w:rPr>
                    <w:t>g/m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w:t>
                  </w:r>
                </w:p>
              </w:tc>
              <w:tc>
                <w:tcPr>
                  <w:tcW w:w="775" w:type="pct"/>
                  <w:tcBorders>
                    <w:tl2br w:val="nil"/>
                    <w:tr2bl w:val="nil"/>
                  </w:tcBorders>
                  <w:noWrap/>
                  <w:vAlign w:val="center"/>
                </w:tcPr>
                <w:p w14:paraId="67FA9DA4">
                  <w:pPr>
                    <w:pStyle w:val="43"/>
                    <w:jc w:val="center"/>
                    <w:rPr>
                      <w:rFonts w:ascii="Times New Roman" w:hAnsi="Times New Roman" w:cs="Times New Roman"/>
                      <w:color w:val="auto"/>
                      <w:sz w:val="21"/>
                      <w:szCs w:val="21"/>
                    </w:rPr>
                  </w:pPr>
                  <w:r>
                    <w:rPr>
                      <w:rFonts w:ascii="Times New Roman" w:hAnsi="Times New Roman" w:cs="Times New Roman"/>
                      <w:color w:val="auto"/>
                      <w:sz w:val="21"/>
                      <w:szCs w:val="21"/>
                    </w:rPr>
                    <w:t>标准值（</w:t>
                  </w:r>
                  <w:r>
                    <w:rPr>
                      <w:rFonts w:hint="eastAsia" w:ascii="Times New Roman" w:hAnsi="Times New Roman" w:cs="Times New Roman"/>
                      <w:color w:val="auto"/>
                      <w:sz w:val="21"/>
                      <w:szCs w:val="21"/>
                    </w:rPr>
                    <w:t>m</w:t>
                  </w:r>
                  <w:r>
                    <w:rPr>
                      <w:rFonts w:ascii="Times New Roman" w:hAnsi="Times New Roman" w:cs="Times New Roman"/>
                      <w:color w:val="auto"/>
                      <w:sz w:val="21"/>
                      <w:szCs w:val="21"/>
                    </w:rPr>
                    <w:t>g/m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w:t>
                  </w:r>
                </w:p>
              </w:tc>
              <w:tc>
                <w:tcPr>
                  <w:tcW w:w="634" w:type="pct"/>
                  <w:tcBorders>
                    <w:tl2br w:val="nil"/>
                    <w:tr2bl w:val="nil"/>
                  </w:tcBorders>
                  <w:noWrap/>
                  <w:vAlign w:val="center"/>
                </w:tcPr>
                <w:p w14:paraId="0D539D4B">
                  <w:pPr>
                    <w:pStyle w:val="43"/>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超</w:t>
                  </w:r>
                  <w:r>
                    <w:rPr>
                      <w:rFonts w:ascii="Times New Roman" w:hAnsi="Times New Roman" w:cs="Times New Roman"/>
                      <w:color w:val="auto"/>
                      <w:sz w:val="21"/>
                      <w:szCs w:val="21"/>
                    </w:rPr>
                    <w:t>标率（%）</w:t>
                  </w:r>
                </w:p>
              </w:tc>
              <w:tc>
                <w:tcPr>
                  <w:tcW w:w="438" w:type="pct"/>
                  <w:tcBorders>
                    <w:tl2br w:val="nil"/>
                    <w:tr2bl w:val="nil"/>
                  </w:tcBorders>
                  <w:noWrap/>
                  <w:vAlign w:val="center"/>
                </w:tcPr>
                <w:p w14:paraId="5A5FB75B">
                  <w:pPr>
                    <w:pStyle w:val="43"/>
                    <w:jc w:val="center"/>
                    <w:rPr>
                      <w:rFonts w:ascii="Times New Roman" w:hAnsi="Times New Roman" w:cs="Times New Roman"/>
                      <w:color w:val="auto"/>
                      <w:sz w:val="21"/>
                      <w:szCs w:val="21"/>
                    </w:rPr>
                  </w:pPr>
                  <w:r>
                    <w:rPr>
                      <w:rFonts w:ascii="Times New Roman" w:hAnsi="Times New Roman" w:cs="Times New Roman"/>
                      <w:color w:val="auto"/>
                      <w:sz w:val="21"/>
                      <w:szCs w:val="21"/>
                    </w:rPr>
                    <w:t>达标情况</w:t>
                  </w:r>
                </w:p>
              </w:tc>
            </w:tr>
            <w:tr w14:paraId="7F82B166">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44" w:type="pct"/>
                  <w:vMerge w:val="restart"/>
                  <w:tcBorders>
                    <w:tl2br w:val="nil"/>
                    <w:tr2bl w:val="nil"/>
                  </w:tcBorders>
                  <w:noWrap/>
                  <w:vAlign w:val="center"/>
                </w:tcPr>
                <w:p w14:paraId="7EEBA9F2">
                  <w:pPr>
                    <w:pStyle w:val="43"/>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非甲烷总烃</w:t>
                  </w:r>
                </w:p>
              </w:tc>
              <w:tc>
                <w:tcPr>
                  <w:tcW w:w="1705" w:type="pct"/>
                  <w:tcBorders>
                    <w:tl2br w:val="nil"/>
                    <w:tr2bl w:val="nil"/>
                  </w:tcBorders>
                  <w:noWrap/>
                  <w:vAlign w:val="center"/>
                </w:tcPr>
                <w:p w14:paraId="44315380">
                  <w:pPr>
                    <w:pStyle w:val="43"/>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202</w:t>
                  </w:r>
                  <w:r>
                    <w:rPr>
                      <w:rFonts w:hint="eastAsia" w:ascii="Times New Roman" w:hAnsi="Times New Roman" w:cs="Times New Roman"/>
                      <w:color w:val="auto"/>
                      <w:sz w:val="21"/>
                      <w:szCs w:val="21"/>
                      <w:lang w:val="en-US" w:eastAsia="zh-CN"/>
                    </w:rPr>
                    <w:t>4</w:t>
                  </w:r>
                  <w:r>
                    <w:rPr>
                      <w:rFonts w:hint="eastAsia" w:ascii="Times New Roman" w:hAnsi="Times New Roman" w:cs="Times New Roman"/>
                      <w:color w:val="auto"/>
                      <w:sz w:val="21"/>
                      <w:szCs w:val="21"/>
                    </w:rPr>
                    <w:t>年</w:t>
                  </w:r>
                  <w:r>
                    <w:rPr>
                      <w:rFonts w:hint="eastAsia" w:ascii="Times New Roman" w:hAnsi="Times New Roman" w:cs="Times New Roman"/>
                      <w:color w:val="auto"/>
                      <w:sz w:val="21"/>
                      <w:szCs w:val="21"/>
                      <w:lang w:val="en-US" w:eastAsia="zh-CN"/>
                    </w:rPr>
                    <w:t>6</w:t>
                  </w:r>
                  <w:r>
                    <w:rPr>
                      <w:rFonts w:hint="eastAsia" w:ascii="Times New Roman" w:hAnsi="Times New Roman" w:cs="Times New Roman"/>
                      <w:color w:val="auto"/>
                      <w:sz w:val="21"/>
                      <w:szCs w:val="21"/>
                    </w:rPr>
                    <w:t>月1</w:t>
                  </w:r>
                  <w:r>
                    <w:rPr>
                      <w:rFonts w:hint="eastAsia"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rPr>
                    <w:t>日～</w:t>
                  </w:r>
                  <w:r>
                    <w:rPr>
                      <w:rFonts w:hint="eastAsia" w:ascii="Times New Roman" w:hAnsi="Times New Roman" w:cs="Times New Roman"/>
                      <w:color w:val="auto"/>
                      <w:sz w:val="21"/>
                      <w:szCs w:val="21"/>
                      <w:lang w:val="en-US" w:eastAsia="zh-CN"/>
                    </w:rPr>
                    <w:t>6</w:t>
                  </w:r>
                  <w:r>
                    <w:rPr>
                      <w:rFonts w:hint="eastAsia" w:ascii="Times New Roman" w:hAnsi="Times New Roman" w:cs="Times New Roman"/>
                      <w:color w:val="auto"/>
                      <w:sz w:val="21"/>
                      <w:szCs w:val="21"/>
                    </w:rPr>
                    <w:t>月1</w:t>
                  </w:r>
                  <w:r>
                    <w:rPr>
                      <w:rFonts w:hint="eastAsia" w:ascii="Times New Roman" w:hAnsi="Times New Roman" w:cs="Times New Roman"/>
                      <w:color w:val="auto"/>
                      <w:sz w:val="21"/>
                      <w:szCs w:val="21"/>
                      <w:lang w:val="en-US" w:eastAsia="zh-CN"/>
                    </w:rPr>
                    <w:t>7</w:t>
                  </w:r>
                  <w:r>
                    <w:rPr>
                      <w:rFonts w:hint="eastAsia" w:ascii="Times New Roman" w:hAnsi="Times New Roman" w:cs="Times New Roman"/>
                      <w:color w:val="auto"/>
                      <w:sz w:val="21"/>
                      <w:szCs w:val="21"/>
                    </w:rPr>
                    <w:t>日</w:t>
                  </w:r>
                </w:p>
              </w:tc>
              <w:tc>
                <w:tcPr>
                  <w:tcW w:w="901" w:type="pct"/>
                  <w:tcBorders>
                    <w:tl2br w:val="nil"/>
                    <w:tr2bl w:val="nil"/>
                  </w:tcBorders>
                  <w:noWrap/>
                  <w:vAlign w:val="center"/>
                </w:tcPr>
                <w:p w14:paraId="691DF161">
                  <w:pPr>
                    <w:pStyle w:val="43"/>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32~0.61</w:t>
                  </w:r>
                </w:p>
              </w:tc>
              <w:tc>
                <w:tcPr>
                  <w:tcW w:w="775" w:type="pct"/>
                  <w:tcBorders>
                    <w:tl2br w:val="nil"/>
                    <w:tr2bl w:val="nil"/>
                  </w:tcBorders>
                  <w:noWrap/>
                  <w:vAlign w:val="center"/>
                </w:tcPr>
                <w:p w14:paraId="557EAA0B">
                  <w:pPr>
                    <w:pStyle w:val="43"/>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rPr>
                    <w:t>2</w:t>
                  </w:r>
                  <w:r>
                    <w:rPr>
                      <w:rFonts w:hint="eastAsia" w:ascii="Times New Roman" w:hAnsi="Times New Roman" w:cs="Times New Roman"/>
                      <w:color w:val="auto"/>
                      <w:sz w:val="21"/>
                      <w:szCs w:val="21"/>
                      <w:lang w:val="en-US" w:eastAsia="zh-CN"/>
                    </w:rPr>
                    <w:t>.0</w:t>
                  </w:r>
                </w:p>
              </w:tc>
              <w:tc>
                <w:tcPr>
                  <w:tcW w:w="634" w:type="pct"/>
                  <w:tcBorders>
                    <w:tl2br w:val="nil"/>
                    <w:tr2bl w:val="nil"/>
                  </w:tcBorders>
                  <w:noWrap/>
                  <w:vAlign w:val="center"/>
                </w:tcPr>
                <w:p w14:paraId="0B5C95F1">
                  <w:pPr>
                    <w:pStyle w:val="43"/>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0</w:t>
                  </w:r>
                </w:p>
              </w:tc>
              <w:tc>
                <w:tcPr>
                  <w:tcW w:w="438" w:type="pct"/>
                  <w:tcBorders>
                    <w:tl2br w:val="nil"/>
                    <w:tr2bl w:val="nil"/>
                  </w:tcBorders>
                  <w:noWrap/>
                  <w:vAlign w:val="center"/>
                </w:tcPr>
                <w:p w14:paraId="1FF1BE66">
                  <w:pPr>
                    <w:pStyle w:val="43"/>
                    <w:jc w:val="center"/>
                    <w:rPr>
                      <w:rFonts w:ascii="Times New Roman" w:hAnsi="Times New Roman" w:cs="Times New Roman"/>
                      <w:color w:val="auto"/>
                      <w:sz w:val="21"/>
                      <w:szCs w:val="21"/>
                    </w:rPr>
                  </w:pPr>
                  <w:r>
                    <w:rPr>
                      <w:rFonts w:ascii="Times New Roman" w:hAnsi="Times New Roman" w:cs="Times New Roman"/>
                      <w:color w:val="auto"/>
                      <w:sz w:val="21"/>
                      <w:szCs w:val="21"/>
                    </w:rPr>
                    <w:t>达标</w:t>
                  </w:r>
                </w:p>
              </w:tc>
            </w:tr>
            <w:tr w14:paraId="18A62D52">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44" w:type="pct"/>
                  <w:vMerge w:val="continue"/>
                  <w:tcBorders>
                    <w:tl2br w:val="nil"/>
                    <w:tr2bl w:val="nil"/>
                  </w:tcBorders>
                  <w:noWrap/>
                  <w:vAlign w:val="center"/>
                </w:tcPr>
                <w:p w14:paraId="1F778FD0">
                  <w:pPr>
                    <w:pStyle w:val="43"/>
                    <w:jc w:val="center"/>
                    <w:rPr>
                      <w:rFonts w:ascii="Times New Roman" w:hAnsi="Times New Roman" w:cs="Times New Roman"/>
                      <w:color w:val="auto"/>
                      <w:sz w:val="21"/>
                      <w:szCs w:val="21"/>
                    </w:rPr>
                  </w:pPr>
                </w:p>
              </w:tc>
              <w:tc>
                <w:tcPr>
                  <w:tcW w:w="1705" w:type="pct"/>
                  <w:tcBorders>
                    <w:tl2br w:val="nil"/>
                    <w:tr2bl w:val="nil"/>
                  </w:tcBorders>
                  <w:noWrap/>
                  <w:vAlign w:val="center"/>
                </w:tcPr>
                <w:p w14:paraId="5BCAC53C">
                  <w:pPr>
                    <w:pStyle w:val="43"/>
                    <w:jc w:val="center"/>
                    <w:rPr>
                      <w:rFonts w:ascii="Times New Roman" w:hAnsi="Times New Roman" w:cs="Times New Roman"/>
                      <w:color w:val="auto"/>
                      <w:sz w:val="21"/>
                      <w:szCs w:val="21"/>
                    </w:rPr>
                  </w:pPr>
                  <w:r>
                    <w:rPr>
                      <w:rFonts w:ascii="Times New Roman" w:hAnsi="Times New Roman" w:cs="Times New Roman"/>
                      <w:color w:val="auto"/>
                      <w:sz w:val="21"/>
                      <w:szCs w:val="21"/>
                    </w:rPr>
                    <w:t>综合评价</w:t>
                  </w:r>
                </w:p>
              </w:tc>
              <w:tc>
                <w:tcPr>
                  <w:tcW w:w="2749" w:type="pct"/>
                  <w:gridSpan w:val="4"/>
                  <w:tcBorders>
                    <w:tl2br w:val="nil"/>
                    <w:tr2bl w:val="nil"/>
                  </w:tcBorders>
                  <w:noWrap/>
                  <w:vAlign w:val="center"/>
                </w:tcPr>
                <w:p w14:paraId="32F28EDE">
                  <w:pPr>
                    <w:pStyle w:val="43"/>
                    <w:jc w:val="center"/>
                    <w:rPr>
                      <w:rFonts w:ascii="Times New Roman" w:hAnsi="Times New Roman" w:cs="Times New Roman"/>
                      <w:color w:val="auto"/>
                      <w:sz w:val="21"/>
                      <w:szCs w:val="21"/>
                    </w:rPr>
                  </w:pPr>
                  <w:r>
                    <w:rPr>
                      <w:rFonts w:ascii="Times New Roman" w:hAnsi="Times New Roman" w:cs="Times New Roman"/>
                      <w:color w:val="auto"/>
                      <w:sz w:val="21"/>
                      <w:szCs w:val="21"/>
                    </w:rPr>
                    <w:t>达标</w:t>
                  </w:r>
                </w:p>
              </w:tc>
            </w:tr>
          </w:tbl>
          <w:p w14:paraId="79A6E8B8">
            <w:pPr>
              <w:pStyle w:val="23"/>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eastAsia" w:ascii="Times New Roman" w:hAnsi="Times New Roman" w:eastAsia="黑体" w:cs="Times New Roman"/>
                <w:color w:val="auto"/>
                <w:highlight w:val="none"/>
              </w:rPr>
            </w:pPr>
            <w:r>
              <w:rPr>
                <w:rFonts w:hint="eastAsia" w:ascii="Times New Roman" w:hAnsi="Times New Roman" w:eastAsia="宋体" w:cs="Times New Roman"/>
                <w:color w:val="auto"/>
              </w:rPr>
              <w:t>根据监测结果，非甲烷总烃浓度均满足河北省地方标准《环境空气质量非甲烷总烃限值》（DB13/1577-2012）（2.0mg/m</w:t>
            </w:r>
            <w:r>
              <w:rPr>
                <w:rFonts w:hint="eastAsia" w:ascii="Times New Roman" w:hAnsi="Times New Roman" w:eastAsia="宋体" w:cs="Times New Roman"/>
                <w:color w:val="auto"/>
                <w:vertAlign w:val="superscript"/>
              </w:rPr>
              <w:t>3</w:t>
            </w:r>
            <w:r>
              <w:rPr>
                <w:rFonts w:hint="eastAsia" w:ascii="Times New Roman" w:hAnsi="Times New Roman" w:eastAsia="宋体" w:cs="Times New Roman"/>
                <w:color w:val="auto"/>
              </w:rPr>
              <w:t>）限值要求。</w:t>
            </w:r>
          </w:p>
          <w:p w14:paraId="7C547CA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2</w:t>
            </w:r>
            <w:r>
              <w:rPr>
                <w:rFonts w:ascii="Times New Roman" w:hAnsi="Times New Roman" w:eastAsia="黑体" w:cs="Times New Roman"/>
                <w:color w:val="auto"/>
                <w:highlight w:val="none"/>
              </w:rPr>
              <w:t>、声环境质量现状</w:t>
            </w:r>
          </w:p>
          <w:p w14:paraId="659B144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本项目位于</w:t>
            </w:r>
            <w:r>
              <w:rPr>
                <w:rFonts w:hint="eastAsia" w:ascii="Times New Roman" w:hAnsi="Times New Roman" w:cs="Times New Roman"/>
                <w:color w:val="auto"/>
                <w:highlight w:val="none"/>
              </w:rPr>
              <w:t>内蒙古锡林郭勒盟</w:t>
            </w:r>
            <w:r>
              <w:rPr>
                <w:rFonts w:hint="eastAsia" w:ascii="Times New Roman" w:hAnsi="Times New Roman" w:cs="Times New Roman"/>
                <w:color w:val="auto"/>
                <w:highlight w:val="none"/>
                <w:lang w:eastAsia="zh-CN"/>
              </w:rPr>
              <w:t>锡林浩特市远景能源（锡林郭勒）有限公司</w:t>
            </w:r>
            <w:r>
              <w:rPr>
                <w:rFonts w:hint="eastAsia" w:ascii="Times New Roman" w:hAnsi="Times New Roman" w:cs="Times New Roman"/>
                <w:color w:val="auto"/>
                <w:highlight w:val="none"/>
              </w:rPr>
              <w:t>院内</w:t>
            </w:r>
            <w:r>
              <w:rPr>
                <w:rFonts w:hint="eastAsia" w:ascii="Times New Roman" w:hAnsi="Times New Roman" w:eastAsia="宋体" w:cs="Times New Roman"/>
                <w:snapToGrid w:val="0"/>
                <w:color w:val="auto"/>
                <w:kern w:val="0"/>
                <w:sz w:val="24"/>
                <w:szCs w:val="24"/>
                <w:highlight w:val="none"/>
                <w:lang w:val="en-US" w:eastAsia="zh-CN" w:bidi="ar-SA"/>
              </w:rPr>
              <w:t>，为厂中厂项目，且厂界50m范围内无声环境敏感目标分布，因此未进行声环境质量现状监测。</w:t>
            </w:r>
          </w:p>
          <w:p w14:paraId="26EEE8F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3、地表水质量现状</w:t>
            </w:r>
          </w:p>
          <w:p w14:paraId="123967C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rPr>
              <w:t>本项目周边1000m范围内无地表水分布，且本项目无废水产生，因此未进行地表水环境质量现状</w:t>
            </w:r>
            <w:r>
              <w:rPr>
                <w:rFonts w:hint="eastAsia" w:ascii="Times New Roman" w:hAnsi="Times New Roman" w:cs="Times New Roman"/>
                <w:color w:val="auto"/>
                <w:highlight w:val="none"/>
                <w:lang w:eastAsia="zh-CN"/>
              </w:rPr>
              <w:t>监测</w:t>
            </w:r>
            <w:r>
              <w:rPr>
                <w:rFonts w:hint="eastAsia" w:ascii="Times New Roman" w:hAnsi="Times New Roman" w:cs="Times New Roman"/>
                <w:color w:val="auto"/>
                <w:highlight w:val="none"/>
              </w:rPr>
              <w:t>。</w:t>
            </w:r>
          </w:p>
          <w:p w14:paraId="270DAB2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4、地下水质量现状</w:t>
            </w:r>
          </w:p>
          <w:p w14:paraId="15D8B13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本项目为</w:t>
            </w:r>
            <w:r>
              <w:rPr>
                <w:rFonts w:hint="eastAsia" w:ascii="Times New Roman" w:hAnsi="Times New Roman" w:eastAsia="宋体" w:cs="Times New Roman"/>
                <w:color w:val="auto"/>
                <w:highlight w:val="none"/>
                <w:lang w:val="en-US" w:eastAsia="zh-CN"/>
              </w:rPr>
              <w:t>危险废物暂存</w:t>
            </w:r>
            <w:r>
              <w:rPr>
                <w:rFonts w:hint="default" w:ascii="Times New Roman" w:hAnsi="Times New Roman" w:eastAsia="宋体" w:cs="Times New Roman"/>
                <w:color w:val="auto"/>
                <w:highlight w:val="none"/>
                <w:lang w:val="en-US" w:eastAsia="zh-CN"/>
              </w:rPr>
              <w:t>项目，不涉及处置，无具体的生产工艺，不会有生产性废水排放，且</w:t>
            </w:r>
            <w:r>
              <w:rPr>
                <w:rFonts w:hint="eastAsia" w:ascii="Times New Roman" w:hAnsi="Times New Roman" w:eastAsia="宋体" w:cs="Times New Roman"/>
                <w:color w:val="auto"/>
                <w:highlight w:val="none"/>
                <w:lang w:val="en-US" w:eastAsia="zh-CN"/>
              </w:rPr>
              <w:t>各类危险废物</w:t>
            </w:r>
            <w:r>
              <w:rPr>
                <w:rFonts w:hint="default" w:ascii="Times New Roman" w:hAnsi="Times New Roman" w:eastAsia="宋体" w:cs="Times New Roman"/>
                <w:color w:val="auto"/>
                <w:highlight w:val="none"/>
                <w:lang w:val="en-US" w:eastAsia="zh-CN"/>
              </w:rPr>
              <w:t>均按照标准要求进行贮存并采用专用贮存设施，严格规范操作。企业</w:t>
            </w:r>
            <w:r>
              <w:rPr>
                <w:rFonts w:hint="eastAsia"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lang w:val="en-US" w:eastAsia="zh-CN"/>
              </w:rPr>
              <w:t>照</w:t>
            </w:r>
            <w:r>
              <w:rPr>
                <w:rFonts w:hint="eastAsia" w:ascii="Times New Roman" w:hAnsi="Times New Roman" w:eastAsia="宋体" w:cs="Times New Roman"/>
                <w:color w:val="auto"/>
                <w:highlight w:val="none"/>
                <w:lang w:val="en-US" w:eastAsia="zh-CN"/>
              </w:rPr>
              <w:t>《环境影响评价技术导则地下水环境》(HJ610-2016)</w:t>
            </w:r>
            <w:r>
              <w:rPr>
                <w:rFonts w:hint="default" w:ascii="Times New Roman" w:hAnsi="Times New Roman" w:eastAsia="宋体" w:cs="Times New Roman"/>
                <w:color w:val="auto"/>
                <w:highlight w:val="none"/>
                <w:lang w:val="en-US" w:eastAsia="zh-CN"/>
              </w:rPr>
              <w:t>的相关规定采取较为完善合理的</w:t>
            </w:r>
            <w:r>
              <w:rPr>
                <w:rFonts w:hint="eastAsia" w:ascii="Times New Roman" w:hAnsi="Times New Roman" w:eastAsia="宋体" w:cs="Times New Roman"/>
                <w:color w:val="auto"/>
                <w:highlight w:val="none"/>
                <w:lang w:val="en-US" w:eastAsia="zh-CN"/>
              </w:rPr>
              <w:t>地下水环境保护措施</w:t>
            </w:r>
            <w:r>
              <w:rPr>
                <w:rFonts w:hint="default" w:ascii="Times New Roman" w:hAnsi="Times New Roman" w:eastAsia="宋体" w:cs="Times New Roman"/>
                <w:color w:val="auto"/>
                <w:highlight w:val="none"/>
                <w:lang w:val="en-US" w:eastAsia="zh-CN"/>
              </w:rPr>
              <w:t>，阻断可能引起地下水污染的途径。本项目正常工况下，</w:t>
            </w:r>
            <w:r>
              <w:rPr>
                <w:rFonts w:hint="eastAsia" w:ascii="Times New Roman" w:hAnsi="Times New Roman" w:eastAsia="宋体" w:cs="Times New Roman"/>
                <w:color w:val="auto"/>
                <w:highlight w:val="none"/>
                <w:lang w:val="en-US" w:eastAsia="zh-CN"/>
              </w:rPr>
              <w:t>危险废物</w:t>
            </w:r>
            <w:r>
              <w:rPr>
                <w:rFonts w:hint="default" w:ascii="Times New Roman" w:hAnsi="Times New Roman" w:eastAsia="宋体" w:cs="Times New Roman"/>
                <w:color w:val="auto"/>
                <w:highlight w:val="none"/>
                <w:lang w:val="en-US" w:eastAsia="zh-CN"/>
              </w:rPr>
              <w:t>不会泄漏，</w:t>
            </w:r>
            <w:r>
              <w:rPr>
                <w:rFonts w:hint="eastAsia" w:ascii="Times New Roman" w:hAnsi="Times New Roman" w:cs="Times New Roman"/>
                <w:color w:val="auto"/>
                <w:highlight w:val="none"/>
                <w:lang w:val="en-US" w:eastAsia="zh-CN"/>
              </w:rPr>
              <w:t>本项目危废暂存间和危险化学品库500m范围内无水井，</w:t>
            </w:r>
            <w:r>
              <w:rPr>
                <w:rFonts w:hint="default" w:ascii="Times New Roman" w:hAnsi="Times New Roman" w:eastAsia="宋体" w:cs="Times New Roman"/>
                <w:color w:val="auto"/>
                <w:highlight w:val="none"/>
                <w:lang w:val="en-US" w:eastAsia="zh-CN"/>
              </w:rPr>
              <w:t>因此本项目在落实并加强污染物防治措施的基础上，不会对附近地下水环境造成影响</w:t>
            </w:r>
            <w:r>
              <w:rPr>
                <w:rFonts w:hint="eastAsia" w:ascii="Times New Roman" w:hAnsi="Times New Roman" w:eastAsia="宋体" w:cs="Times New Roman"/>
                <w:color w:val="auto"/>
                <w:highlight w:val="none"/>
                <w:lang w:val="en-US" w:eastAsia="zh-CN"/>
              </w:rPr>
              <w:t>，因此未进行</w:t>
            </w:r>
            <w:r>
              <w:rPr>
                <w:rFonts w:hint="eastAsia" w:ascii="Times New Roman" w:hAnsi="Times New Roman" w:cs="Times New Roman"/>
                <w:color w:val="auto"/>
                <w:highlight w:val="none"/>
                <w:lang w:val="en-US" w:eastAsia="zh-CN"/>
              </w:rPr>
              <w:t>地下水环境监测</w:t>
            </w:r>
            <w:r>
              <w:rPr>
                <w:rFonts w:hint="eastAsia" w:ascii="Times New Roman" w:hAnsi="Times New Roman" w:eastAsia="宋体" w:cs="Times New Roman"/>
                <w:color w:val="auto"/>
                <w:highlight w:val="none"/>
                <w:lang w:val="en-US" w:eastAsia="zh-CN"/>
              </w:rPr>
              <w:t>。</w:t>
            </w:r>
          </w:p>
          <w:p w14:paraId="6990B98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5、土壤质量现状</w:t>
            </w:r>
          </w:p>
          <w:p w14:paraId="4524AFF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本项目为</w:t>
            </w:r>
            <w:r>
              <w:rPr>
                <w:rFonts w:hint="eastAsia" w:ascii="Times New Roman" w:hAnsi="Times New Roman" w:eastAsia="宋体" w:cs="Times New Roman"/>
                <w:color w:val="auto"/>
                <w:highlight w:val="none"/>
                <w:lang w:val="en-US" w:eastAsia="zh-CN"/>
              </w:rPr>
              <w:t>危险废物暂存</w:t>
            </w:r>
            <w:r>
              <w:rPr>
                <w:rFonts w:hint="default" w:ascii="Times New Roman" w:hAnsi="Times New Roman" w:eastAsia="宋体" w:cs="Times New Roman"/>
                <w:color w:val="auto"/>
                <w:highlight w:val="none"/>
                <w:lang w:val="en-US" w:eastAsia="zh-CN"/>
              </w:rPr>
              <w:t>项目，不涉及拆解和处置，无具体的生产工艺，不会有</w:t>
            </w:r>
            <w:r>
              <w:rPr>
                <w:rFonts w:hint="eastAsia" w:ascii="Times New Roman" w:hAnsi="Times New Roman" w:eastAsia="宋体" w:cs="Times New Roman"/>
                <w:color w:val="auto"/>
                <w:highlight w:val="none"/>
                <w:lang w:val="en-US" w:eastAsia="zh-CN"/>
              </w:rPr>
              <w:t>固体废物产生</w:t>
            </w:r>
            <w:r>
              <w:rPr>
                <w:rFonts w:hint="default" w:ascii="Times New Roman" w:hAnsi="Times New Roman" w:eastAsia="宋体" w:cs="Times New Roman"/>
                <w:color w:val="auto"/>
                <w:highlight w:val="none"/>
                <w:lang w:val="en-US" w:eastAsia="zh-CN"/>
              </w:rPr>
              <w:t>，且</w:t>
            </w:r>
            <w:r>
              <w:rPr>
                <w:rFonts w:hint="eastAsia" w:ascii="Times New Roman" w:hAnsi="Times New Roman" w:eastAsia="宋体" w:cs="Times New Roman"/>
                <w:color w:val="auto"/>
                <w:highlight w:val="none"/>
                <w:lang w:val="en-US" w:eastAsia="zh-CN"/>
              </w:rPr>
              <w:t>各类危险废物</w:t>
            </w:r>
            <w:r>
              <w:rPr>
                <w:rFonts w:hint="default" w:ascii="Times New Roman" w:hAnsi="Times New Roman" w:eastAsia="宋体" w:cs="Times New Roman"/>
                <w:color w:val="auto"/>
                <w:highlight w:val="none"/>
                <w:lang w:val="en-US" w:eastAsia="zh-CN"/>
              </w:rPr>
              <w:t>均按照标准要求进行贮存并采用专用贮存设施，严格规范操作。企业应当</w:t>
            </w:r>
            <w:r>
              <w:rPr>
                <w:rFonts w:hint="eastAsia"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lang w:val="en-US" w:eastAsia="zh-CN"/>
              </w:rPr>
              <w:t>照</w:t>
            </w:r>
            <w:r>
              <w:rPr>
                <w:rFonts w:hint="eastAsia" w:ascii="Times New Roman" w:hAnsi="Times New Roman" w:eastAsia="宋体" w:cs="Times New Roman"/>
                <w:color w:val="auto"/>
                <w:highlight w:val="none"/>
                <w:lang w:val="en-US" w:eastAsia="zh-CN"/>
              </w:rPr>
              <w:t>《环境影响评价技术导则土壤环境(试行)》(HJ946-2018)</w:t>
            </w:r>
            <w:r>
              <w:rPr>
                <w:rFonts w:hint="default" w:ascii="Times New Roman" w:hAnsi="Times New Roman" w:eastAsia="宋体" w:cs="Times New Roman"/>
                <w:color w:val="auto"/>
                <w:highlight w:val="none"/>
                <w:lang w:val="en-US" w:eastAsia="zh-CN"/>
              </w:rPr>
              <w:t>的相关规定采取较为完善合理的</w:t>
            </w:r>
            <w:r>
              <w:rPr>
                <w:rFonts w:hint="eastAsia" w:ascii="Times New Roman" w:hAnsi="Times New Roman" w:eastAsia="宋体" w:cs="Times New Roman"/>
                <w:color w:val="auto"/>
                <w:highlight w:val="none"/>
                <w:lang w:val="en-US" w:eastAsia="zh-CN"/>
              </w:rPr>
              <w:t>保护措施</w:t>
            </w:r>
            <w:r>
              <w:rPr>
                <w:rFonts w:hint="default" w:ascii="Times New Roman" w:hAnsi="Times New Roman" w:eastAsia="宋体" w:cs="Times New Roman"/>
                <w:color w:val="auto"/>
                <w:highlight w:val="none"/>
                <w:lang w:val="en-US" w:eastAsia="zh-CN"/>
              </w:rPr>
              <w:t>，阻断可能引起</w:t>
            </w:r>
            <w:r>
              <w:rPr>
                <w:rFonts w:hint="eastAsia" w:ascii="Times New Roman" w:hAnsi="Times New Roman" w:cs="Times New Roman"/>
                <w:color w:val="auto"/>
                <w:highlight w:val="none"/>
                <w:lang w:val="en-US" w:eastAsia="zh-CN"/>
              </w:rPr>
              <w:t>土壤</w:t>
            </w:r>
            <w:r>
              <w:rPr>
                <w:rFonts w:hint="default" w:ascii="Times New Roman" w:hAnsi="Times New Roman" w:eastAsia="宋体" w:cs="Times New Roman"/>
                <w:color w:val="auto"/>
                <w:highlight w:val="none"/>
                <w:lang w:val="en-US" w:eastAsia="zh-CN"/>
              </w:rPr>
              <w:t>污染的途径。本项目正常工况下，</w:t>
            </w:r>
            <w:r>
              <w:rPr>
                <w:rFonts w:hint="eastAsia" w:ascii="Times New Roman" w:hAnsi="Times New Roman" w:eastAsia="宋体" w:cs="Times New Roman"/>
                <w:color w:val="auto"/>
                <w:highlight w:val="none"/>
                <w:lang w:val="en-US" w:eastAsia="zh-CN"/>
              </w:rPr>
              <w:t>危险废物</w:t>
            </w:r>
            <w:r>
              <w:rPr>
                <w:rFonts w:hint="default" w:ascii="Times New Roman" w:hAnsi="Times New Roman" w:eastAsia="宋体" w:cs="Times New Roman"/>
                <w:color w:val="auto"/>
                <w:highlight w:val="none"/>
                <w:lang w:val="en-US" w:eastAsia="zh-CN"/>
              </w:rPr>
              <w:t>不会泄漏，</w:t>
            </w:r>
            <w:r>
              <w:rPr>
                <w:rFonts w:hint="eastAsia" w:ascii="Times New Roman" w:hAnsi="Times New Roman" w:cs="Times New Roman"/>
                <w:color w:val="auto"/>
                <w:highlight w:val="none"/>
                <w:lang w:val="en-US" w:eastAsia="zh-CN"/>
              </w:rPr>
              <w:t>本项目危废暂存间和危险化学品库50m范围内无敏感目标，</w:t>
            </w:r>
            <w:r>
              <w:rPr>
                <w:rFonts w:hint="default" w:ascii="Times New Roman" w:hAnsi="Times New Roman" w:eastAsia="宋体" w:cs="Times New Roman"/>
                <w:color w:val="auto"/>
                <w:highlight w:val="none"/>
                <w:lang w:val="en-US" w:eastAsia="zh-CN"/>
              </w:rPr>
              <w:t>因此本项目在落实并加强污染物防治措施的基础上，不会对附近</w:t>
            </w:r>
            <w:r>
              <w:rPr>
                <w:rFonts w:hint="eastAsia" w:ascii="Times New Roman" w:hAnsi="Times New Roman" w:eastAsia="宋体" w:cs="Times New Roman"/>
                <w:color w:val="auto"/>
                <w:highlight w:val="none"/>
                <w:lang w:val="en-US" w:eastAsia="zh-CN"/>
              </w:rPr>
              <w:t>土壤</w:t>
            </w:r>
            <w:r>
              <w:rPr>
                <w:rFonts w:hint="default" w:ascii="Times New Roman" w:hAnsi="Times New Roman" w:eastAsia="宋体" w:cs="Times New Roman"/>
                <w:color w:val="auto"/>
                <w:highlight w:val="none"/>
                <w:lang w:val="en-US" w:eastAsia="zh-CN"/>
              </w:rPr>
              <w:t>环境造成影响</w:t>
            </w:r>
            <w:r>
              <w:rPr>
                <w:rFonts w:hint="eastAsia" w:ascii="Times New Roman" w:hAnsi="Times New Roman" w:eastAsia="宋体" w:cs="Times New Roman"/>
                <w:color w:val="auto"/>
                <w:highlight w:val="none"/>
                <w:lang w:val="en-US" w:eastAsia="zh-CN"/>
              </w:rPr>
              <w:t>，因此未进行土壤环境</w:t>
            </w:r>
            <w:r>
              <w:rPr>
                <w:rFonts w:hint="eastAsia" w:ascii="Times New Roman" w:hAnsi="Times New Roman" w:cs="Times New Roman"/>
                <w:color w:val="auto"/>
                <w:highlight w:val="none"/>
                <w:lang w:val="en-US" w:eastAsia="zh-CN"/>
              </w:rPr>
              <w:t>监测</w:t>
            </w:r>
            <w:r>
              <w:rPr>
                <w:rFonts w:hint="eastAsia" w:ascii="Times New Roman" w:hAnsi="Times New Roman" w:eastAsia="宋体" w:cs="Times New Roman"/>
                <w:color w:val="auto"/>
                <w:highlight w:val="none"/>
                <w:lang w:val="en-US" w:eastAsia="zh-CN"/>
              </w:rPr>
              <w:t>。</w:t>
            </w:r>
          </w:p>
        </w:tc>
      </w:tr>
      <w:tr w14:paraId="608844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6" w:hRule="atLeast"/>
          <w:jc w:val="center"/>
        </w:trPr>
        <w:tc>
          <w:tcPr>
            <w:tcW w:w="840" w:type="dxa"/>
            <w:tcBorders>
              <w:top w:val="single" w:color="auto" w:sz="4" w:space="0"/>
              <w:left w:val="single" w:color="auto" w:sz="8" w:space="0"/>
              <w:bottom w:val="single" w:color="auto" w:sz="4" w:space="0"/>
              <w:right w:val="single" w:color="auto" w:sz="4" w:space="0"/>
              <w:tl2br w:val="nil"/>
              <w:tr2bl w:val="nil"/>
            </w:tcBorders>
            <w:vAlign w:val="center"/>
          </w:tcPr>
          <w:p w14:paraId="013F26A0">
            <w:pPr>
              <w:adjustRightInd w:val="0"/>
              <w:snapToGrid w:val="0"/>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sz w:val="21"/>
                <w:szCs w:val="21"/>
                <w:highlight w:val="none"/>
              </w:rPr>
              <w:t>环境保护目标</w:t>
            </w:r>
          </w:p>
        </w:tc>
        <w:tc>
          <w:tcPr>
            <w:tcW w:w="8220" w:type="dxa"/>
            <w:tcBorders>
              <w:top w:val="single" w:color="auto" w:sz="4" w:space="0"/>
              <w:left w:val="single" w:color="auto" w:sz="4" w:space="0"/>
              <w:bottom w:val="single" w:color="auto" w:sz="4" w:space="0"/>
              <w:right w:val="single" w:color="auto" w:sz="8" w:space="0"/>
              <w:tl2br w:val="nil"/>
              <w:tr2bl w:val="nil"/>
            </w:tcBorders>
          </w:tcPr>
          <w:p w14:paraId="35EFD381">
            <w:pPr>
              <w:pStyle w:val="51"/>
              <w:snapToGrid w:val="0"/>
              <w:spacing w:line="360" w:lineRule="auto"/>
              <w:ind w:firstLine="480" w:firstLineChars="200"/>
              <w:rPr>
                <w:color w:val="auto"/>
                <w:highlight w:val="none"/>
              </w:rPr>
            </w:pPr>
            <w:r>
              <w:rPr>
                <w:rFonts w:ascii="Times New Roman" w:hAnsi="Times New Roman" w:cs="Times New Roman"/>
                <w:color w:val="auto"/>
                <w:sz w:val="24"/>
                <w:szCs w:val="24"/>
                <w:highlight w:val="none"/>
                <w:lang w:val="en-US" w:eastAsia="zh-CN"/>
              </w:rPr>
              <w:t>根据现场踏勘，评价区域内没有重点文物、自然保护区、珍稀动植物资源等重点保护目标。</w:t>
            </w:r>
            <w:r>
              <w:rPr>
                <w:rFonts w:ascii="Times New Roman" w:hAnsi="Times New Roman" w:cs="Times New Roman"/>
                <w:color w:val="auto"/>
                <w:sz w:val="24"/>
                <w:szCs w:val="24"/>
                <w:highlight w:val="none"/>
              </w:rPr>
              <w:t>项目区没有地表水，没有珍稀动植物及其栖息地等需要特殊保护的目标。</w:t>
            </w:r>
            <w:r>
              <w:rPr>
                <w:rFonts w:ascii="Times New Roman" w:hAnsi="Times New Roman" w:cs="Times New Roman"/>
                <w:bCs/>
                <w:color w:val="auto"/>
                <w:kern w:val="0"/>
                <w:sz w:val="24"/>
                <w:szCs w:val="24"/>
                <w:highlight w:val="none"/>
                <w:lang w:val="en-US" w:eastAsia="zh-CN" w:bidi="ar-SA"/>
              </w:rPr>
              <w:t>本项目声环境</w:t>
            </w:r>
            <w:r>
              <w:rPr>
                <w:rFonts w:hint="eastAsia" w:ascii="Times New Roman" w:hAnsi="Times New Roman" w:cs="Times New Roman"/>
                <w:bCs/>
                <w:color w:val="auto"/>
                <w:kern w:val="0"/>
                <w:sz w:val="24"/>
                <w:szCs w:val="24"/>
                <w:highlight w:val="none"/>
                <w:lang w:val="en-US" w:eastAsia="zh-CN" w:bidi="ar-SA"/>
              </w:rPr>
              <w:t>50</w:t>
            </w:r>
            <w:r>
              <w:rPr>
                <w:rFonts w:ascii="Times New Roman" w:hAnsi="Times New Roman" w:cs="Times New Roman"/>
                <w:bCs/>
                <w:color w:val="auto"/>
                <w:kern w:val="0"/>
                <w:sz w:val="24"/>
                <w:szCs w:val="24"/>
                <w:highlight w:val="none"/>
                <w:lang w:val="en-US" w:eastAsia="zh-CN" w:bidi="ar-SA"/>
              </w:rPr>
              <w:t>m保护范围内</w:t>
            </w:r>
            <w:r>
              <w:rPr>
                <w:rFonts w:hint="eastAsia" w:ascii="Times New Roman" w:hAnsi="Times New Roman" w:cs="Times New Roman"/>
                <w:bCs/>
                <w:color w:val="auto"/>
                <w:kern w:val="0"/>
                <w:sz w:val="24"/>
                <w:szCs w:val="24"/>
                <w:highlight w:val="none"/>
                <w:lang w:val="en-US" w:eastAsia="zh-CN" w:bidi="ar-SA"/>
              </w:rPr>
              <w:t>、</w:t>
            </w:r>
            <w:r>
              <w:rPr>
                <w:rFonts w:ascii="Times New Roman" w:hAnsi="Times New Roman" w:cs="Times New Roman"/>
                <w:bCs/>
                <w:color w:val="auto"/>
                <w:kern w:val="0"/>
                <w:sz w:val="24"/>
                <w:szCs w:val="24"/>
                <w:highlight w:val="none"/>
                <w:lang w:val="en-US" w:eastAsia="zh-CN" w:bidi="ar-SA"/>
              </w:rPr>
              <w:t>大气环境500m保护范围内</w:t>
            </w:r>
            <w:r>
              <w:rPr>
                <w:rFonts w:hint="eastAsia" w:ascii="Times New Roman" w:hAnsi="Times New Roman" w:cs="Times New Roman"/>
                <w:bCs/>
                <w:color w:val="auto"/>
                <w:kern w:val="0"/>
                <w:sz w:val="24"/>
                <w:szCs w:val="24"/>
                <w:highlight w:val="none"/>
                <w:lang w:val="en-US" w:eastAsia="zh-CN" w:bidi="ar-SA"/>
              </w:rPr>
              <w:t>及地下水500m保护范围内</w:t>
            </w:r>
            <w:r>
              <w:rPr>
                <w:rFonts w:ascii="Times New Roman" w:hAnsi="Times New Roman" w:cs="Times New Roman"/>
                <w:bCs/>
                <w:color w:val="auto"/>
                <w:kern w:val="0"/>
                <w:sz w:val="24"/>
                <w:szCs w:val="24"/>
                <w:highlight w:val="none"/>
                <w:lang w:val="en-US" w:eastAsia="zh-CN" w:bidi="ar-SA"/>
              </w:rPr>
              <w:t>，都无环境敏感保护目标</w:t>
            </w:r>
            <w:r>
              <w:rPr>
                <w:rFonts w:hint="eastAsia"/>
                <w:color w:val="auto"/>
                <w:highlight w:val="none"/>
                <w:lang w:val="en-US" w:eastAsia="zh-CN"/>
              </w:rPr>
              <w:t>分布</w:t>
            </w:r>
            <w:r>
              <w:rPr>
                <w:rFonts w:ascii="Times New Roman" w:hAnsi="Times New Roman" w:cs="Times New Roman"/>
                <w:bCs/>
                <w:color w:val="auto"/>
                <w:kern w:val="0"/>
                <w:sz w:val="24"/>
                <w:szCs w:val="24"/>
                <w:highlight w:val="none"/>
                <w:lang w:val="en-US" w:eastAsia="zh-CN" w:bidi="ar-SA"/>
              </w:rPr>
              <w:t>。</w:t>
            </w:r>
          </w:p>
        </w:tc>
      </w:tr>
      <w:tr w14:paraId="42220F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0" w:type="dxa"/>
            <w:tcBorders>
              <w:top w:val="single" w:color="auto" w:sz="4" w:space="0"/>
              <w:left w:val="single" w:color="auto" w:sz="8" w:space="0"/>
              <w:bottom w:val="single" w:color="auto" w:sz="4" w:space="0"/>
              <w:right w:val="single" w:color="auto" w:sz="4" w:space="0"/>
              <w:tl2br w:val="nil"/>
              <w:tr2bl w:val="nil"/>
            </w:tcBorders>
            <w:tcMar>
              <w:left w:w="28" w:type="dxa"/>
              <w:right w:w="28" w:type="dxa"/>
            </w:tcMar>
            <w:vAlign w:val="center"/>
          </w:tcPr>
          <w:p w14:paraId="77B60C47">
            <w:pPr>
              <w:adjustRightInd w:val="0"/>
              <w:snapToGrid w:val="0"/>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sz w:val="21"/>
                <w:szCs w:val="21"/>
                <w:highlight w:val="none"/>
              </w:rPr>
              <w:t>污染物排放控制标准</w:t>
            </w:r>
          </w:p>
        </w:tc>
        <w:tc>
          <w:tcPr>
            <w:tcW w:w="8220" w:type="dxa"/>
            <w:tcBorders>
              <w:top w:val="single" w:color="auto" w:sz="4" w:space="0"/>
              <w:left w:val="single" w:color="auto" w:sz="4" w:space="0"/>
              <w:bottom w:val="single" w:color="auto" w:sz="4" w:space="0"/>
              <w:right w:val="single" w:color="auto" w:sz="8" w:space="0"/>
              <w:tl2br w:val="nil"/>
              <w:tr2bl w:val="nil"/>
            </w:tcBorders>
          </w:tcPr>
          <w:p w14:paraId="0CD03ED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1、环境空气质量标准</w:t>
            </w:r>
          </w:p>
          <w:p w14:paraId="203E5EA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本项目区域执行《环境空气质量标准》（GB3095-2012）中二级标准浓度限值。</w:t>
            </w:r>
          </w:p>
          <w:p w14:paraId="7B01E6E7">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表</w:t>
            </w:r>
            <w:r>
              <w:rPr>
                <w:rFonts w:hint="eastAsia" w:ascii="Times New Roman" w:hAnsi="Times New Roman" w:cs="Times New Roman"/>
                <w:b/>
                <w:color w:val="auto"/>
                <w:sz w:val="24"/>
                <w:highlight w:val="none"/>
                <w:lang w:val="en-US" w:eastAsia="zh-CN"/>
              </w:rPr>
              <w:t xml:space="preserve">14 </w:t>
            </w:r>
            <w:r>
              <w:rPr>
                <w:rFonts w:hint="default" w:ascii="Times New Roman" w:hAnsi="Times New Roman" w:cs="Times New Roman"/>
                <w:b/>
                <w:color w:val="auto"/>
                <w:sz w:val="24"/>
                <w:highlight w:val="none"/>
                <w:lang w:val="en-US" w:eastAsia="zh-CN"/>
              </w:rPr>
              <w:t xml:space="preserve"> 环境空气质量标准  单位：mg/m</w:t>
            </w:r>
            <w:r>
              <w:rPr>
                <w:rFonts w:hint="default" w:ascii="Times New Roman" w:hAnsi="Times New Roman" w:cs="Times New Roman"/>
                <w:b/>
                <w:color w:val="auto"/>
                <w:sz w:val="24"/>
                <w:highlight w:val="none"/>
                <w:vertAlign w:val="superscript"/>
                <w:lang w:val="en-US" w:eastAsia="zh-CN"/>
              </w:rPr>
              <w:t>3</w:t>
            </w:r>
          </w:p>
          <w:tbl>
            <w:tblPr>
              <w:tblStyle w:val="24"/>
              <w:tblW w:w="4998"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8"/>
              <w:gridCol w:w="947"/>
              <w:gridCol w:w="953"/>
              <w:gridCol w:w="1120"/>
              <w:gridCol w:w="1063"/>
              <w:gridCol w:w="823"/>
              <w:gridCol w:w="947"/>
            </w:tblGrid>
            <w:tr w14:paraId="51556F6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1337" w:type="pct"/>
                  <w:tcBorders>
                    <w:tl2br w:val="nil"/>
                    <w:tr2bl w:val="nil"/>
                  </w:tcBorders>
                  <w:vAlign w:val="center"/>
                </w:tcPr>
                <w:p w14:paraId="3D9927F8">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w:t>
                  </w:r>
                </w:p>
              </w:tc>
              <w:tc>
                <w:tcPr>
                  <w:tcW w:w="592" w:type="pct"/>
                  <w:tcBorders>
                    <w:tl2br w:val="nil"/>
                    <w:tr2bl w:val="nil"/>
                  </w:tcBorders>
                  <w:vAlign w:val="center"/>
                </w:tcPr>
                <w:p w14:paraId="2C41ED29">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p>
              </w:tc>
              <w:tc>
                <w:tcPr>
                  <w:tcW w:w="596" w:type="pct"/>
                  <w:tcBorders>
                    <w:tl2br w:val="nil"/>
                    <w:tr2bl w:val="nil"/>
                  </w:tcBorders>
                  <w:vAlign w:val="center"/>
                </w:tcPr>
                <w:p w14:paraId="4B53D984">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p>
              </w:tc>
              <w:tc>
                <w:tcPr>
                  <w:tcW w:w="700" w:type="pct"/>
                  <w:tcBorders>
                    <w:tl2br w:val="nil"/>
                    <w:tr2bl w:val="nil"/>
                  </w:tcBorders>
                  <w:vAlign w:val="center"/>
                </w:tcPr>
                <w:p w14:paraId="5DD88900">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2.5</w:t>
                  </w:r>
                </w:p>
              </w:tc>
              <w:tc>
                <w:tcPr>
                  <w:tcW w:w="665" w:type="pct"/>
                  <w:tcBorders>
                    <w:tl2br w:val="nil"/>
                    <w:tr2bl w:val="nil"/>
                  </w:tcBorders>
                  <w:vAlign w:val="center"/>
                </w:tcPr>
                <w:p w14:paraId="0E6C09DF">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p>
              </w:tc>
              <w:tc>
                <w:tcPr>
                  <w:tcW w:w="515" w:type="pct"/>
                  <w:tcBorders>
                    <w:tl2br w:val="nil"/>
                    <w:tr2bl w:val="nil"/>
                  </w:tcBorders>
                  <w:vAlign w:val="center"/>
                </w:tcPr>
                <w:p w14:paraId="4DA448CC">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w:t>
                  </w:r>
                </w:p>
              </w:tc>
              <w:tc>
                <w:tcPr>
                  <w:tcW w:w="592" w:type="pct"/>
                  <w:tcBorders>
                    <w:tl2br w:val="nil"/>
                    <w:tr2bl w:val="nil"/>
                  </w:tcBorders>
                  <w:vAlign w:val="center"/>
                </w:tcPr>
                <w:p w14:paraId="31F88F80">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O</w:t>
                  </w:r>
                  <w:r>
                    <w:rPr>
                      <w:rFonts w:hint="default" w:ascii="Times New Roman" w:hAnsi="Times New Roman" w:cs="Times New Roman"/>
                      <w:color w:val="auto"/>
                      <w:sz w:val="21"/>
                      <w:szCs w:val="21"/>
                      <w:highlight w:val="none"/>
                      <w:vertAlign w:val="subscript"/>
                      <w:lang w:val="en-US" w:eastAsia="zh-CN"/>
                    </w:rPr>
                    <w:t>3</w:t>
                  </w:r>
                </w:p>
              </w:tc>
            </w:tr>
            <w:tr w14:paraId="114689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37" w:type="pct"/>
                  <w:tcBorders>
                    <w:tl2br w:val="nil"/>
                    <w:tr2bl w:val="nil"/>
                  </w:tcBorders>
                  <w:vAlign w:val="center"/>
                </w:tcPr>
                <w:p w14:paraId="5471C40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1小时平均</w:t>
                  </w:r>
                </w:p>
              </w:tc>
              <w:tc>
                <w:tcPr>
                  <w:tcW w:w="592" w:type="pct"/>
                  <w:tcBorders>
                    <w:tl2br w:val="nil"/>
                    <w:tr2bl w:val="nil"/>
                  </w:tcBorders>
                  <w:vAlign w:val="center"/>
                </w:tcPr>
                <w:p w14:paraId="73BF4B18">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596" w:type="pct"/>
                  <w:tcBorders>
                    <w:tl2br w:val="nil"/>
                    <w:tr2bl w:val="nil"/>
                  </w:tcBorders>
                  <w:vAlign w:val="center"/>
                </w:tcPr>
                <w:p w14:paraId="3AF97321">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w:t>
                  </w:r>
                </w:p>
              </w:tc>
              <w:tc>
                <w:tcPr>
                  <w:tcW w:w="700" w:type="pct"/>
                  <w:tcBorders>
                    <w:tl2br w:val="nil"/>
                    <w:tr2bl w:val="nil"/>
                  </w:tcBorders>
                  <w:vAlign w:val="center"/>
                </w:tcPr>
                <w:p w14:paraId="3CF803AE">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65" w:type="pct"/>
                  <w:tcBorders>
                    <w:tl2br w:val="nil"/>
                    <w:tr2bl w:val="nil"/>
                  </w:tcBorders>
                  <w:vAlign w:val="center"/>
                </w:tcPr>
                <w:p w14:paraId="4DCC9608">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15" w:type="pct"/>
                  <w:tcBorders>
                    <w:tl2br w:val="nil"/>
                    <w:tr2bl w:val="nil"/>
                  </w:tcBorders>
                  <w:vAlign w:val="center"/>
                </w:tcPr>
                <w:p w14:paraId="185E7D75">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592" w:type="pct"/>
                  <w:tcBorders>
                    <w:tl2br w:val="nil"/>
                    <w:tr2bl w:val="nil"/>
                  </w:tcBorders>
                  <w:vAlign w:val="center"/>
                </w:tcPr>
                <w:p w14:paraId="0D4F4659">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w:t>
                  </w:r>
                </w:p>
              </w:tc>
            </w:tr>
            <w:tr w14:paraId="299610A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337" w:type="pct"/>
                  <w:tcBorders>
                    <w:tl2br w:val="nil"/>
                    <w:tr2bl w:val="nil"/>
                  </w:tcBorders>
                  <w:vAlign w:val="center"/>
                </w:tcPr>
                <w:p w14:paraId="1B764E7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24小时平均</w:t>
                  </w:r>
                </w:p>
              </w:tc>
              <w:tc>
                <w:tcPr>
                  <w:tcW w:w="592" w:type="pct"/>
                  <w:tcBorders>
                    <w:tl2br w:val="nil"/>
                    <w:tr2bl w:val="nil"/>
                  </w:tcBorders>
                  <w:vAlign w:val="center"/>
                </w:tcPr>
                <w:p w14:paraId="2B8560D1">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0.15</w:t>
                  </w:r>
                </w:p>
              </w:tc>
              <w:tc>
                <w:tcPr>
                  <w:tcW w:w="596" w:type="pct"/>
                  <w:tcBorders>
                    <w:tl2br w:val="nil"/>
                    <w:tr2bl w:val="nil"/>
                  </w:tcBorders>
                  <w:vAlign w:val="center"/>
                </w:tcPr>
                <w:p w14:paraId="6512127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0.08</w:t>
                  </w:r>
                </w:p>
              </w:tc>
              <w:tc>
                <w:tcPr>
                  <w:tcW w:w="700" w:type="pct"/>
                  <w:tcBorders>
                    <w:tl2br w:val="nil"/>
                    <w:tr2bl w:val="nil"/>
                  </w:tcBorders>
                  <w:vAlign w:val="center"/>
                </w:tcPr>
                <w:p w14:paraId="3AD715A6">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0.075</w:t>
                  </w:r>
                </w:p>
              </w:tc>
              <w:tc>
                <w:tcPr>
                  <w:tcW w:w="665" w:type="pct"/>
                  <w:tcBorders>
                    <w:tl2br w:val="nil"/>
                    <w:tr2bl w:val="nil"/>
                  </w:tcBorders>
                  <w:vAlign w:val="center"/>
                </w:tcPr>
                <w:p w14:paraId="19E69750">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0.15</w:t>
                  </w:r>
                </w:p>
              </w:tc>
              <w:tc>
                <w:tcPr>
                  <w:tcW w:w="515" w:type="pct"/>
                  <w:tcBorders>
                    <w:tl2br w:val="nil"/>
                    <w:tr2bl w:val="nil"/>
                  </w:tcBorders>
                  <w:vAlign w:val="center"/>
                </w:tcPr>
                <w:p w14:paraId="41BE1E02">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592" w:type="pct"/>
                  <w:tcBorders>
                    <w:tl2br w:val="nil"/>
                    <w:tr2bl w:val="nil"/>
                  </w:tcBorders>
                  <w:vAlign w:val="center"/>
                </w:tcPr>
                <w:p w14:paraId="24A0094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0.16</w:t>
                  </w:r>
                </w:p>
              </w:tc>
            </w:tr>
            <w:tr w14:paraId="4278560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337" w:type="pct"/>
                  <w:tcBorders>
                    <w:tl2br w:val="nil"/>
                    <w:tr2bl w:val="nil"/>
                  </w:tcBorders>
                  <w:vAlign w:val="center"/>
                </w:tcPr>
                <w:p w14:paraId="59AD66A2">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年均值</w:t>
                  </w:r>
                </w:p>
              </w:tc>
              <w:tc>
                <w:tcPr>
                  <w:tcW w:w="592" w:type="pct"/>
                  <w:tcBorders>
                    <w:tl2br w:val="nil"/>
                    <w:tr2bl w:val="nil"/>
                  </w:tcBorders>
                  <w:vAlign w:val="center"/>
                </w:tcPr>
                <w:p w14:paraId="1748E2C3">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0.06</w:t>
                  </w:r>
                </w:p>
              </w:tc>
              <w:tc>
                <w:tcPr>
                  <w:tcW w:w="596" w:type="pct"/>
                  <w:tcBorders>
                    <w:tl2br w:val="nil"/>
                    <w:tr2bl w:val="nil"/>
                  </w:tcBorders>
                  <w:vAlign w:val="center"/>
                </w:tcPr>
                <w:p w14:paraId="6B5D483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0.04</w:t>
                  </w:r>
                </w:p>
              </w:tc>
              <w:tc>
                <w:tcPr>
                  <w:tcW w:w="700" w:type="pct"/>
                  <w:tcBorders>
                    <w:tl2br w:val="nil"/>
                    <w:tr2bl w:val="nil"/>
                  </w:tcBorders>
                  <w:vAlign w:val="center"/>
                </w:tcPr>
                <w:p w14:paraId="66B582D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0.035</w:t>
                  </w:r>
                </w:p>
              </w:tc>
              <w:tc>
                <w:tcPr>
                  <w:tcW w:w="665" w:type="pct"/>
                  <w:tcBorders>
                    <w:tl2br w:val="nil"/>
                    <w:tr2bl w:val="nil"/>
                  </w:tcBorders>
                  <w:vAlign w:val="center"/>
                </w:tcPr>
                <w:p w14:paraId="551FD5B6">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w:t>
                  </w:r>
                </w:p>
              </w:tc>
              <w:tc>
                <w:tcPr>
                  <w:tcW w:w="515" w:type="pct"/>
                  <w:tcBorders>
                    <w:tl2br w:val="nil"/>
                    <w:tr2bl w:val="nil"/>
                  </w:tcBorders>
                  <w:vAlign w:val="center"/>
                </w:tcPr>
                <w:p w14:paraId="27AB07B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92" w:type="pct"/>
                  <w:tcBorders>
                    <w:tl2br w:val="nil"/>
                    <w:tr2bl w:val="nil"/>
                  </w:tcBorders>
                  <w:vAlign w:val="center"/>
                </w:tcPr>
                <w:p w14:paraId="6353D0C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7C4763D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非甲烷总烃</w:t>
            </w:r>
            <w:r>
              <w:rPr>
                <w:rFonts w:hint="eastAsia" w:ascii="Times New Roman" w:hAnsi="Times New Roman" w:cs="Times New Roman"/>
                <w:color w:val="auto"/>
                <w:highlight w:val="none"/>
                <w:lang w:val="en-US" w:eastAsia="zh-CN"/>
              </w:rPr>
              <w:t>参照</w:t>
            </w:r>
            <w:r>
              <w:rPr>
                <w:rFonts w:hint="eastAsia" w:ascii="Times New Roman" w:hAnsi="Times New Roman" w:eastAsia="宋体" w:cs="Times New Roman"/>
                <w:color w:val="auto"/>
                <w:highlight w:val="none"/>
                <w:lang w:val="en-US" w:eastAsia="zh-CN"/>
              </w:rPr>
              <w:t>执行</w:t>
            </w:r>
            <w:r>
              <w:rPr>
                <w:rFonts w:hint="default" w:ascii="Times New Roman" w:hAnsi="Times New Roman" w:eastAsia="宋体" w:cs="Times New Roman"/>
                <w:color w:val="auto"/>
                <w:highlight w:val="none"/>
                <w:lang w:val="en-US" w:eastAsia="zh-CN"/>
              </w:rPr>
              <w:t>河北省地方标准《环境空气质量非甲烷总烃限值》（DB13/1577-2012）（2.0mg/m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）限值要求</w:t>
            </w:r>
            <w:r>
              <w:rPr>
                <w:rFonts w:hint="eastAsia" w:ascii="Times New Roman" w:hAnsi="Times New Roman" w:eastAsia="宋体" w:cs="Times New Roman"/>
                <w:color w:val="auto"/>
                <w:highlight w:val="none"/>
                <w:lang w:val="en-US" w:eastAsia="zh-CN"/>
              </w:rPr>
              <w:t>。</w:t>
            </w:r>
          </w:p>
          <w:p w14:paraId="64A76CF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2、声环境质量标准</w:t>
            </w:r>
          </w:p>
          <w:p w14:paraId="316EC80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项目所在区域环境噪声执行《声环境质量标准》（GB3096-2008）中</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类标准：昼间6</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dB（A），夜间5</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dB（A）。</w:t>
            </w:r>
          </w:p>
          <w:p w14:paraId="00755073">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表</w:t>
            </w:r>
            <w:r>
              <w:rPr>
                <w:rFonts w:hint="eastAsia" w:ascii="Times New Roman" w:hAnsi="Times New Roman" w:cs="Times New Roman"/>
                <w:b/>
                <w:color w:val="auto"/>
                <w:sz w:val="24"/>
                <w:highlight w:val="none"/>
                <w:lang w:val="en-US" w:eastAsia="zh-CN"/>
              </w:rPr>
              <w:t xml:space="preserve">15 </w:t>
            </w:r>
            <w:r>
              <w:rPr>
                <w:rFonts w:hint="default" w:ascii="Times New Roman" w:hAnsi="Times New Roman" w:cs="Times New Roman"/>
                <w:b/>
                <w:color w:val="auto"/>
                <w:sz w:val="24"/>
                <w:highlight w:val="none"/>
                <w:lang w:val="en-US" w:eastAsia="zh-CN"/>
              </w:rPr>
              <w:t xml:space="preserve"> 声环境质量标准</w:t>
            </w:r>
          </w:p>
          <w:tbl>
            <w:tblPr>
              <w:tblStyle w:val="25"/>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63"/>
              <w:gridCol w:w="2664"/>
              <w:gridCol w:w="2664"/>
            </w:tblGrid>
            <w:tr w14:paraId="1A7D391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trPr>
              <w:tc>
                <w:tcPr>
                  <w:tcW w:w="1666" w:type="pct"/>
                  <w:tcBorders>
                    <w:tl2br w:val="nil"/>
                    <w:tr2bl w:val="nil"/>
                  </w:tcBorders>
                  <w:vAlign w:val="top"/>
                </w:tcPr>
                <w:p w14:paraId="23B488CD">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类别</w:t>
                  </w:r>
                </w:p>
              </w:tc>
              <w:tc>
                <w:tcPr>
                  <w:tcW w:w="1666" w:type="pct"/>
                  <w:tcBorders>
                    <w:tl2br w:val="nil"/>
                    <w:tr2bl w:val="nil"/>
                  </w:tcBorders>
                  <w:vAlign w:val="top"/>
                </w:tcPr>
                <w:p w14:paraId="068609EF">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昼间</w:t>
                  </w:r>
                </w:p>
              </w:tc>
              <w:tc>
                <w:tcPr>
                  <w:tcW w:w="1666" w:type="pct"/>
                  <w:tcBorders>
                    <w:tl2br w:val="nil"/>
                    <w:tr2bl w:val="nil"/>
                  </w:tcBorders>
                  <w:vAlign w:val="top"/>
                </w:tcPr>
                <w:p w14:paraId="3E6F2AE6">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夜间</w:t>
                  </w:r>
                </w:p>
              </w:tc>
            </w:tr>
            <w:tr w14:paraId="190EE22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66" w:type="pct"/>
                  <w:tcBorders>
                    <w:tl2br w:val="nil"/>
                    <w:tr2bl w:val="nil"/>
                  </w:tcBorders>
                  <w:vAlign w:val="top"/>
                </w:tcPr>
                <w:p w14:paraId="5B3F001A">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类</w:t>
                  </w:r>
                </w:p>
              </w:tc>
              <w:tc>
                <w:tcPr>
                  <w:tcW w:w="1666" w:type="pct"/>
                  <w:tcBorders>
                    <w:tl2br w:val="nil"/>
                    <w:tr2bl w:val="nil"/>
                  </w:tcBorders>
                  <w:vAlign w:val="top"/>
                </w:tcPr>
                <w:p w14:paraId="4D900197">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65</w:t>
                  </w:r>
                </w:p>
              </w:tc>
              <w:tc>
                <w:tcPr>
                  <w:tcW w:w="1666" w:type="pct"/>
                  <w:tcBorders>
                    <w:tl2br w:val="nil"/>
                    <w:tr2bl w:val="nil"/>
                  </w:tcBorders>
                  <w:vAlign w:val="top"/>
                </w:tcPr>
                <w:p w14:paraId="36F5F517">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55</w:t>
                  </w:r>
                </w:p>
              </w:tc>
            </w:tr>
          </w:tbl>
          <w:p w14:paraId="1CE28D0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3、</w:t>
            </w:r>
            <w:r>
              <w:rPr>
                <w:rFonts w:hint="eastAsia" w:ascii="Times New Roman" w:hAnsi="Times New Roman" w:eastAsia="黑体" w:cs="Times New Roman"/>
                <w:color w:val="auto"/>
                <w:highlight w:val="none"/>
                <w:lang w:val="en-US" w:eastAsia="zh-CN"/>
              </w:rPr>
              <w:t>废气</w:t>
            </w:r>
            <w:r>
              <w:rPr>
                <w:rFonts w:hint="default" w:ascii="Times New Roman" w:hAnsi="Times New Roman" w:eastAsia="黑体" w:cs="Times New Roman"/>
                <w:color w:val="auto"/>
                <w:highlight w:val="none"/>
                <w:lang w:val="en-US" w:eastAsia="zh-CN"/>
              </w:rPr>
              <w:t>排放标准</w:t>
            </w:r>
          </w:p>
          <w:p w14:paraId="34E5805D">
            <w:pPr>
              <w:keepNext w:val="0"/>
              <w:keepLines w:val="0"/>
              <w:pageBreakBefore w:val="0"/>
              <w:widowControl w:val="0"/>
              <w:kinsoku/>
              <w:wordWrap/>
              <w:overflowPunct/>
              <w:topLinePunct w:val="0"/>
              <w:autoSpaceDE/>
              <w:autoSpaceDN/>
              <w:bidi w:val="0"/>
              <w:adjustRightInd/>
              <w:snapToGrid w:val="0"/>
              <w:spacing w:line="360" w:lineRule="auto"/>
              <w:ind w:firstLine="480"/>
              <w:jc w:val="left"/>
              <w:textAlignment w:val="auto"/>
              <w:rPr>
                <w:rFonts w:hint="default" w:ascii="Times New Roman" w:hAnsi="Times New Roman" w:cs="Times New Roman"/>
                <w:color w:val="auto"/>
                <w:sz w:val="24"/>
                <w:szCs w:val="24"/>
                <w:highlight w:val="none"/>
                <w:vertAlign w:val="baseline"/>
                <w:lang w:val="en-US" w:eastAsia="zh-CN"/>
              </w:rPr>
            </w:pPr>
            <w:r>
              <w:rPr>
                <w:rFonts w:hint="default" w:ascii="Times New Roman" w:hAnsi="Times New Roman" w:cs="Times New Roman"/>
                <w:color w:val="auto"/>
                <w:highlight w:val="none"/>
                <w:lang w:eastAsia="zh-CN"/>
              </w:rPr>
              <w:t>本项目</w:t>
            </w:r>
            <w:r>
              <w:rPr>
                <w:rFonts w:hint="eastAsia" w:ascii="Times New Roman" w:hAnsi="Times New Roman" w:cs="Times New Roman"/>
                <w:color w:val="auto"/>
                <w:highlight w:val="none"/>
                <w:lang w:val="en-US" w:eastAsia="zh-CN"/>
              </w:rPr>
              <w:t>厂</w:t>
            </w:r>
            <w:r>
              <w:rPr>
                <w:rFonts w:hint="default" w:ascii="Times New Roman" w:hAnsi="Times New Roman" w:cs="Times New Roman"/>
                <w:color w:val="auto"/>
                <w:highlight w:val="none"/>
                <w:lang w:val="en-US" w:eastAsia="zh-CN"/>
              </w:rPr>
              <w:t>界非甲烷总烃</w:t>
            </w:r>
            <w:r>
              <w:rPr>
                <w:rFonts w:hint="default" w:ascii="Times New Roman" w:hAnsi="Times New Roman" w:cs="Times New Roman"/>
                <w:color w:val="auto"/>
                <w:highlight w:val="none"/>
                <w:lang w:eastAsia="zh-CN"/>
              </w:rPr>
              <w:t>执行</w:t>
            </w:r>
            <w:r>
              <w:rPr>
                <w:rFonts w:hint="default" w:ascii="Times New Roman" w:hAnsi="Times New Roman" w:cs="Times New Roman"/>
                <w:color w:val="auto"/>
                <w:sz w:val="24"/>
                <w:highlight w:val="none"/>
              </w:rPr>
              <w:t>《大气污染物</w:t>
            </w:r>
            <w:r>
              <w:rPr>
                <w:rFonts w:hint="default" w:ascii="Times New Roman" w:hAnsi="Times New Roman" w:cs="Times New Roman"/>
                <w:color w:val="auto"/>
                <w:sz w:val="24"/>
                <w:highlight w:val="none"/>
                <w:lang w:eastAsia="zh-CN"/>
              </w:rPr>
              <w:t>综合</w:t>
            </w:r>
            <w:r>
              <w:rPr>
                <w:rFonts w:hint="default" w:ascii="Times New Roman" w:hAnsi="Times New Roman" w:cs="Times New Roman"/>
                <w:color w:val="auto"/>
                <w:sz w:val="24"/>
                <w:highlight w:val="none"/>
              </w:rPr>
              <w:t>排放标准》（GB</w:t>
            </w:r>
            <w:r>
              <w:rPr>
                <w:rFonts w:hint="default" w:ascii="Times New Roman" w:hAnsi="Times New Roman" w:cs="Times New Roman"/>
                <w:color w:val="auto"/>
                <w:sz w:val="24"/>
                <w:highlight w:val="none"/>
                <w:lang w:val="en-US" w:eastAsia="zh-CN"/>
              </w:rPr>
              <w:t>16297</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1996</w:t>
            </w:r>
            <w:r>
              <w:rPr>
                <w:rFonts w:hint="default" w:ascii="Times New Roman" w:hAnsi="Times New Roman" w:cs="Times New Roman"/>
                <w:color w:val="auto"/>
                <w:sz w:val="24"/>
                <w:highlight w:val="none"/>
              </w:rPr>
              <w:t>）中表</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的标准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危废间外非甲烷总烃执行</w:t>
            </w:r>
            <w:r>
              <w:rPr>
                <w:rFonts w:hint="default" w:ascii="Times New Roman" w:hAnsi="Times New Roman" w:cs="Times New Roman"/>
                <w:color w:val="auto"/>
                <w:sz w:val="24"/>
                <w:szCs w:val="24"/>
                <w:highlight w:val="none"/>
                <w:vertAlign w:val="baseline"/>
                <w:lang w:val="en-US" w:eastAsia="zh-CN"/>
              </w:rPr>
              <w:t>《挥发性有机物无组织排放控制标准》（GB37822-2019）中表A.1的标准。</w:t>
            </w:r>
          </w:p>
          <w:p w14:paraId="24568A4C">
            <w:pPr>
              <w:keepNext w:val="0"/>
              <w:keepLines w:val="0"/>
              <w:pageBreakBefore w:val="0"/>
              <w:widowControl w:val="0"/>
              <w:kinsoku/>
              <w:wordWrap/>
              <w:overflowPunct/>
              <w:topLinePunct w:val="0"/>
              <w:autoSpaceDE/>
              <w:autoSpaceDN/>
              <w:bidi w:val="0"/>
              <w:adjustRightInd/>
              <w:snapToGrid w:val="0"/>
              <w:spacing w:line="360" w:lineRule="auto"/>
              <w:ind w:firstLine="480"/>
              <w:jc w:val="center"/>
              <w:textAlignment w:val="auto"/>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表</w:t>
            </w:r>
            <w:r>
              <w:rPr>
                <w:rFonts w:hint="eastAsia" w:ascii="Times New Roman" w:hAnsi="Times New Roman" w:cs="Times New Roman"/>
                <w:b/>
                <w:color w:val="auto"/>
                <w:sz w:val="24"/>
                <w:highlight w:val="none"/>
                <w:lang w:val="en-US" w:eastAsia="zh-CN"/>
              </w:rPr>
              <w:t xml:space="preserve">16 </w:t>
            </w:r>
            <w:r>
              <w:rPr>
                <w:rFonts w:hint="default" w:ascii="Times New Roman" w:hAnsi="Times New Roman" w:cs="Times New Roman"/>
                <w:b/>
                <w:color w:val="auto"/>
                <w:sz w:val="24"/>
                <w:highlight w:val="none"/>
                <w:lang w:val="en-US" w:eastAsia="zh-CN"/>
              </w:rPr>
              <w:t xml:space="preserve"> 大气污染物综合排放标准  单位：mg/m</w:t>
            </w:r>
            <w:r>
              <w:rPr>
                <w:rFonts w:hint="default" w:ascii="Times New Roman" w:hAnsi="Times New Roman" w:cs="Times New Roman"/>
                <w:b/>
                <w:color w:val="auto"/>
                <w:sz w:val="24"/>
                <w:highlight w:val="none"/>
                <w:vertAlign w:val="superscript"/>
                <w:lang w:val="en-US" w:eastAsia="zh-CN"/>
              </w:rPr>
              <w:t>3</w:t>
            </w:r>
          </w:p>
          <w:tbl>
            <w:tblPr>
              <w:tblStyle w:val="24"/>
              <w:tblW w:w="4954"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8"/>
              <w:gridCol w:w="3246"/>
              <w:gridCol w:w="2525"/>
            </w:tblGrid>
            <w:tr w14:paraId="1F2E284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56" w:type="pct"/>
                  <w:vMerge w:val="restart"/>
                  <w:tcBorders>
                    <w:tl2br w:val="nil"/>
                    <w:tr2bl w:val="nil"/>
                  </w:tcBorders>
                  <w:noWrap w:val="0"/>
                  <w:vAlign w:val="center"/>
                </w:tcPr>
                <w:p w14:paraId="46CF3728">
                  <w:pPr>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污染物</w:t>
                  </w:r>
                  <w:r>
                    <w:rPr>
                      <w:rFonts w:hint="default" w:ascii="Times New Roman" w:hAnsi="Times New Roman" w:cs="Times New Roman"/>
                      <w:color w:val="auto"/>
                      <w:sz w:val="21"/>
                      <w:szCs w:val="21"/>
                      <w:highlight w:val="none"/>
                      <w:lang w:eastAsia="zh-CN"/>
                    </w:rPr>
                    <w:t>项目</w:t>
                  </w:r>
                </w:p>
              </w:tc>
              <w:tc>
                <w:tcPr>
                  <w:tcW w:w="3643" w:type="pct"/>
                  <w:gridSpan w:val="2"/>
                  <w:tcBorders>
                    <w:tl2br w:val="nil"/>
                    <w:tr2bl w:val="nil"/>
                  </w:tcBorders>
                  <w:noWrap w:val="0"/>
                  <w:vAlign w:val="center"/>
                </w:tcPr>
                <w:p w14:paraId="3FFB0EAD">
                  <w:pPr>
                    <w:keepNext w:val="0"/>
                    <w:keepLines w:val="0"/>
                    <w:pageBreakBefore w:val="0"/>
                    <w:widowControl w:val="0"/>
                    <w:kinsoku/>
                    <w:wordWrap/>
                    <w:overflowPunct/>
                    <w:topLinePunct w:val="0"/>
                    <w:autoSpaceDE w:val="0"/>
                    <w:autoSpaceDN w:val="0"/>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无组织排放监控浓度限值</w:t>
                  </w:r>
                </w:p>
              </w:tc>
            </w:tr>
            <w:tr w14:paraId="258EA05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56" w:type="pct"/>
                  <w:vMerge w:val="continue"/>
                  <w:tcBorders>
                    <w:tl2br w:val="nil"/>
                    <w:tr2bl w:val="nil"/>
                  </w:tcBorders>
                  <w:noWrap w:val="0"/>
                  <w:vAlign w:val="center"/>
                </w:tcPr>
                <w:p w14:paraId="2533668E">
                  <w:pPr>
                    <w:keepNext w:val="0"/>
                    <w:keepLines w:val="0"/>
                    <w:pageBreakBefore w:val="0"/>
                    <w:widowControl w:val="0"/>
                    <w:kinsoku/>
                    <w:wordWrap/>
                    <w:overflowPunct/>
                    <w:topLinePunct w:val="0"/>
                    <w:bidi w:val="0"/>
                    <w:snapToGrid/>
                    <w:spacing w:line="240" w:lineRule="auto"/>
                    <w:jc w:val="center"/>
                    <w:rPr>
                      <w:rFonts w:hint="default" w:ascii="Times New Roman" w:hAnsi="Times New Roman" w:cs="Times New Roman"/>
                      <w:color w:val="auto"/>
                      <w:sz w:val="21"/>
                      <w:szCs w:val="21"/>
                      <w:highlight w:val="none"/>
                    </w:rPr>
                  </w:pPr>
                </w:p>
              </w:tc>
              <w:tc>
                <w:tcPr>
                  <w:tcW w:w="2049" w:type="pct"/>
                  <w:tcBorders>
                    <w:tl2br w:val="nil"/>
                    <w:tr2bl w:val="nil"/>
                  </w:tcBorders>
                  <w:noWrap w:val="0"/>
                  <w:vAlign w:val="center"/>
                </w:tcPr>
                <w:p w14:paraId="0680D027">
                  <w:pPr>
                    <w:keepNext w:val="0"/>
                    <w:keepLines w:val="0"/>
                    <w:pageBreakBefore w:val="0"/>
                    <w:widowControl w:val="0"/>
                    <w:kinsoku/>
                    <w:wordWrap/>
                    <w:overflowPunct/>
                    <w:topLinePunct w:val="0"/>
                    <w:autoSpaceDE w:val="0"/>
                    <w:autoSpaceDN w:val="0"/>
                    <w:bidi w:val="0"/>
                    <w:adjustRightInd w:val="0"/>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监控点</w:t>
                  </w:r>
                </w:p>
              </w:tc>
              <w:tc>
                <w:tcPr>
                  <w:tcW w:w="1594" w:type="pct"/>
                  <w:tcBorders>
                    <w:tl2br w:val="nil"/>
                    <w:tr2bl w:val="nil"/>
                  </w:tcBorders>
                  <w:noWrap w:val="0"/>
                  <w:vAlign w:val="center"/>
                </w:tcPr>
                <w:p w14:paraId="111AAD7D">
                  <w:pPr>
                    <w:keepNext w:val="0"/>
                    <w:keepLines w:val="0"/>
                    <w:pageBreakBefore w:val="0"/>
                    <w:widowControl w:val="0"/>
                    <w:kinsoku/>
                    <w:wordWrap/>
                    <w:overflowPunct/>
                    <w:topLinePunct w:val="0"/>
                    <w:autoSpaceDE w:val="0"/>
                    <w:autoSpaceDN w:val="0"/>
                    <w:bidi w:val="0"/>
                    <w:adjustRightInd w:val="0"/>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浓度</w:t>
                  </w:r>
                  <w:r>
                    <w:rPr>
                      <w:rFonts w:hint="default" w:ascii="Times New Roman" w:hAnsi="Times New Roman" w:cs="Times New Roman"/>
                      <w:color w:val="auto"/>
                      <w:sz w:val="21"/>
                      <w:szCs w:val="21"/>
                      <w:highlight w:val="none"/>
                      <w:lang w:val="en-US" w:eastAsia="zh-CN"/>
                    </w:rPr>
                    <w:t xml:space="preserve">  mg/m</w:t>
                  </w:r>
                  <w:r>
                    <w:rPr>
                      <w:rFonts w:hint="default" w:ascii="Times New Roman" w:hAnsi="Times New Roman" w:cs="Times New Roman"/>
                      <w:color w:val="auto"/>
                      <w:sz w:val="21"/>
                      <w:szCs w:val="21"/>
                      <w:highlight w:val="none"/>
                      <w:vertAlign w:val="superscript"/>
                      <w:lang w:val="en-US" w:eastAsia="zh-CN"/>
                    </w:rPr>
                    <w:t>3</w:t>
                  </w:r>
                </w:p>
              </w:tc>
            </w:tr>
            <w:tr w14:paraId="74C0F08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56" w:type="pct"/>
                  <w:tcBorders>
                    <w:tl2br w:val="nil"/>
                    <w:tr2bl w:val="nil"/>
                  </w:tcBorders>
                  <w:noWrap w:val="0"/>
                  <w:vAlign w:val="center"/>
                </w:tcPr>
                <w:p w14:paraId="7EF3C7EA">
                  <w:pPr>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非甲烷总烃</w:t>
                  </w:r>
                </w:p>
              </w:tc>
              <w:tc>
                <w:tcPr>
                  <w:tcW w:w="2049" w:type="pct"/>
                  <w:tcBorders>
                    <w:tl2br w:val="nil"/>
                    <w:tr2bl w:val="nil"/>
                  </w:tcBorders>
                  <w:noWrap w:val="0"/>
                  <w:vAlign w:val="center"/>
                </w:tcPr>
                <w:p w14:paraId="27F4D8D8">
                  <w:pPr>
                    <w:keepNext w:val="0"/>
                    <w:keepLines w:val="0"/>
                    <w:pageBreakBefore w:val="0"/>
                    <w:widowControl w:val="0"/>
                    <w:kinsoku/>
                    <w:wordWrap/>
                    <w:overflowPunct/>
                    <w:topLinePunct w:val="0"/>
                    <w:bidi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周界外浓度最高点</w:t>
                  </w:r>
                </w:p>
              </w:tc>
              <w:tc>
                <w:tcPr>
                  <w:tcW w:w="1594" w:type="pct"/>
                  <w:tcBorders>
                    <w:tl2br w:val="nil"/>
                    <w:tr2bl w:val="nil"/>
                  </w:tcBorders>
                  <w:noWrap w:val="0"/>
                  <w:vAlign w:val="center"/>
                </w:tcPr>
                <w:p w14:paraId="2C09283B">
                  <w:pPr>
                    <w:keepNext w:val="0"/>
                    <w:keepLines w:val="0"/>
                    <w:pageBreakBefore w:val="0"/>
                    <w:widowControl w:val="0"/>
                    <w:kinsoku/>
                    <w:wordWrap/>
                    <w:overflowPunct/>
                    <w:topLinePunct w:val="0"/>
                    <w:bidi w:val="0"/>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w:t>
                  </w:r>
                </w:p>
              </w:tc>
            </w:tr>
          </w:tbl>
          <w:p w14:paraId="74C46284">
            <w:pPr>
              <w:pStyle w:val="40"/>
              <w:rPr>
                <w:rFonts w:hint="default"/>
                <w:color w:val="auto"/>
                <w:highlight w:val="none"/>
              </w:rPr>
            </w:pPr>
            <w:r>
              <w:rPr>
                <w:rFonts w:hint="default" w:ascii="Times New Roman" w:hAnsi="Times New Roman" w:eastAsia="宋体" w:cs="Times New Roman"/>
                <w:b/>
                <w:bCs/>
                <w:color w:val="auto"/>
                <w:sz w:val="24"/>
                <w:szCs w:val="24"/>
                <w:highlight w:val="none"/>
                <w:lang w:val="en-US" w:eastAsia="zh-CN"/>
              </w:rPr>
              <w:t>表</w:t>
            </w:r>
            <w:r>
              <w:rPr>
                <w:rFonts w:hint="eastAsia" w:eastAsia="宋体" w:cs="Times New Roman"/>
                <w:b/>
                <w:bCs/>
                <w:color w:val="auto"/>
                <w:sz w:val="24"/>
                <w:szCs w:val="24"/>
                <w:highlight w:val="none"/>
                <w:lang w:val="en-US" w:eastAsia="zh-CN"/>
              </w:rPr>
              <w:t xml:space="preserve">17 </w:t>
            </w:r>
            <w:r>
              <w:rPr>
                <w:rFonts w:hint="default" w:ascii="Times New Roman" w:hAnsi="Times New Roman" w:eastAsia="宋体" w:cs="Times New Roman"/>
                <w:b/>
                <w:bCs/>
                <w:color w:val="auto"/>
                <w:sz w:val="24"/>
                <w:szCs w:val="24"/>
                <w:highlight w:val="none"/>
                <w:lang w:val="en-US" w:eastAsia="zh-CN"/>
              </w:rPr>
              <w:t xml:space="preserve"> 危废间外监控点非甲烷总烃</w:t>
            </w:r>
            <w:r>
              <w:rPr>
                <w:rFonts w:hint="default" w:ascii="Times New Roman" w:hAnsi="Times New Roman" w:eastAsia="宋体" w:cs="Times New Roman"/>
                <w:b/>
                <w:bCs/>
                <w:color w:val="auto"/>
                <w:sz w:val="24"/>
                <w:szCs w:val="24"/>
                <w:highlight w:val="none"/>
              </w:rPr>
              <w:t>无组织排放限值  单位：mg/m</w:t>
            </w:r>
            <w:r>
              <w:rPr>
                <w:rFonts w:hint="default" w:ascii="Times New Roman" w:hAnsi="Times New Roman" w:eastAsia="宋体" w:cs="Times New Roman"/>
                <w:b/>
                <w:bCs/>
                <w:color w:val="auto"/>
                <w:sz w:val="24"/>
                <w:szCs w:val="24"/>
                <w:highlight w:val="none"/>
                <w:vertAlign w:val="superscript"/>
              </w:rPr>
              <w:t>3</w:t>
            </w:r>
          </w:p>
          <w:tbl>
            <w:tblPr>
              <w:tblStyle w:val="25"/>
              <w:tblW w:w="4997"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1017"/>
              <w:gridCol w:w="1399"/>
              <w:gridCol w:w="2117"/>
              <w:gridCol w:w="2217"/>
            </w:tblGrid>
            <w:tr w14:paraId="6532507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75" w:type="pct"/>
                  <w:tcBorders>
                    <w:tl2br w:val="nil"/>
                    <w:tr2bl w:val="nil"/>
                  </w:tcBorders>
                  <w:noWrap w:val="0"/>
                  <w:vAlign w:val="center"/>
                </w:tcPr>
                <w:p w14:paraId="01BD6313">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污染物项目</w:t>
                  </w:r>
                </w:p>
              </w:tc>
              <w:tc>
                <w:tcPr>
                  <w:tcW w:w="636" w:type="pct"/>
                  <w:tcBorders>
                    <w:tl2br w:val="nil"/>
                    <w:tr2bl w:val="nil"/>
                  </w:tcBorders>
                  <w:noWrap w:val="0"/>
                  <w:vAlign w:val="center"/>
                </w:tcPr>
                <w:p w14:paraId="6D9F2E7A">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排放限值</w:t>
                  </w:r>
                </w:p>
              </w:tc>
              <w:tc>
                <w:tcPr>
                  <w:tcW w:w="875" w:type="pct"/>
                  <w:tcBorders>
                    <w:tl2br w:val="nil"/>
                    <w:tr2bl w:val="nil"/>
                  </w:tcBorders>
                  <w:noWrap w:val="0"/>
                  <w:vAlign w:val="center"/>
                </w:tcPr>
                <w:p w14:paraId="2424D79E">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特别排放限值</w:t>
                  </w:r>
                </w:p>
              </w:tc>
              <w:tc>
                <w:tcPr>
                  <w:tcW w:w="1324" w:type="pct"/>
                  <w:tcBorders>
                    <w:tl2br w:val="nil"/>
                    <w:tr2bl w:val="nil"/>
                  </w:tcBorders>
                  <w:noWrap w:val="0"/>
                  <w:vAlign w:val="center"/>
                </w:tcPr>
                <w:p w14:paraId="01C525AF">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限值含义</w:t>
                  </w:r>
                </w:p>
              </w:tc>
              <w:tc>
                <w:tcPr>
                  <w:tcW w:w="1387" w:type="pct"/>
                  <w:tcBorders>
                    <w:tl2br w:val="nil"/>
                    <w:tr2bl w:val="nil"/>
                  </w:tcBorders>
                  <w:noWrap w:val="0"/>
                  <w:vAlign w:val="center"/>
                </w:tcPr>
                <w:p w14:paraId="59518513">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无组织排放监控位置</w:t>
                  </w:r>
                </w:p>
              </w:tc>
            </w:tr>
            <w:tr w14:paraId="28B1E89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75" w:type="pct"/>
                  <w:tcBorders>
                    <w:tl2br w:val="nil"/>
                    <w:tr2bl w:val="nil"/>
                  </w:tcBorders>
                  <w:noWrap w:val="0"/>
                  <w:vAlign w:val="center"/>
                </w:tcPr>
                <w:p w14:paraId="6661600A">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非甲烷总烃</w:t>
                  </w:r>
                </w:p>
              </w:tc>
              <w:tc>
                <w:tcPr>
                  <w:tcW w:w="636" w:type="pct"/>
                  <w:tcBorders>
                    <w:tl2br w:val="nil"/>
                    <w:tr2bl w:val="nil"/>
                  </w:tcBorders>
                  <w:noWrap w:val="0"/>
                  <w:vAlign w:val="center"/>
                </w:tcPr>
                <w:p w14:paraId="0993C17F">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875" w:type="pct"/>
                  <w:tcBorders>
                    <w:tl2br w:val="nil"/>
                    <w:tr2bl w:val="nil"/>
                  </w:tcBorders>
                  <w:noWrap w:val="0"/>
                  <w:vAlign w:val="center"/>
                </w:tcPr>
                <w:p w14:paraId="16DF7D38">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1324" w:type="pct"/>
                  <w:tcBorders>
                    <w:tl2br w:val="nil"/>
                    <w:tr2bl w:val="nil"/>
                  </w:tcBorders>
                  <w:noWrap w:val="0"/>
                  <w:vAlign w:val="center"/>
                </w:tcPr>
                <w:p w14:paraId="2A878EB5">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监控点处1h平均浓度值</w:t>
                  </w:r>
                </w:p>
              </w:tc>
              <w:tc>
                <w:tcPr>
                  <w:tcW w:w="1387" w:type="pct"/>
                  <w:tcBorders>
                    <w:tl2br w:val="nil"/>
                    <w:tr2bl w:val="nil"/>
                  </w:tcBorders>
                  <w:noWrap w:val="0"/>
                  <w:vAlign w:val="center"/>
                </w:tcPr>
                <w:p w14:paraId="23F05CC3">
                  <w:pPr>
                    <w:pStyle w:val="4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w:t>
                  </w:r>
                  <w:r>
                    <w:rPr>
                      <w:rFonts w:hint="default" w:ascii="Times New Roman" w:hAnsi="Times New Roman" w:eastAsia="宋体" w:cs="Times New Roman"/>
                      <w:color w:val="auto"/>
                      <w:highlight w:val="none"/>
                      <w:lang w:val="en-US" w:eastAsia="zh-CN"/>
                    </w:rPr>
                    <w:t>危废间</w:t>
                  </w:r>
                  <w:r>
                    <w:rPr>
                      <w:rFonts w:hint="default" w:ascii="Times New Roman" w:hAnsi="Times New Roman" w:eastAsia="宋体" w:cs="Times New Roman"/>
                      <w:color w:val="auto"/>
                      <w:highlight w:val="none"/>
                    </w:rPr>
                    <w:t>外设置监控点</w:t>
                  </w:r>
                </w:p>
              </w:tc>
            </w:tr>
          </w:tbl>
          <w:p w14:paraId="2A3FE27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4、噪声排放标准</w:t>
            </w:r>
          </w:p>
          <w:p w14:paraId="2EA56EA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施工期噪声执行《建筑施工场界环境噪声排放标准》（GB12523-2011）中噪声排放限值，具体标准见</w:t>
            </w:r>
            <w:r>
              <w:rPr>
                <w:rFonts w:hint="eastAsia" w:ascii="Times New Roman" w:hAnsi="Times New Roman" w:cs="Times New Roman"/>
                <w:color w:val="auto"/>
                <w:highlight w:val="none"/>
              </w:rPr>
              <w:t>下表</w:t>
            </w:r>
            <w:r>
              <w:rPr>
                <w:rFonts w:ascii="Times New Roman" w:hAnsi="Times New Roman" w:cs="Times New Roman"/>
                <w:color w:val="auto"/>
                <w:highlight w:val="none"/>
              </w:rPr>
              <w:t>。</w:t>
            </w:r>
          </w:p>
          <w:p w14:paraId="5278BA3D">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ascii="Times New Roman" w:hAnsi="Times New Roman" w:cs="Times New Roman"/>
                <w:color w:val="auto"/>
                <w:highlight w:val="none"/>
              </w:rPr>
            </w:pPr>
            <w:r>
              <w:rPr>
                <w:rFonts w:ascii="Times New Roman" w:hAnsi="Times New Roman" w:cs="Times New Roman"/>
                <w:b/>
                <w:color w:val="auto"/>
                <w:highlight w:val="none"/>
              </w:rPr>
              <w:t>表</w:t>
            </w:r>
            <w:r>
              <w:rPr>
                <w:rFonts w:hint="eastAsia" w:ascii="Times New Roman" w:hAnsi="Times New Roman" w:cs="Times New Roman"/>
                <w:b/>
                <w:color w:val="auto"/>
                <w:highlight w:val="none"/>
                <w:lang w:val="en-US" w:eastAsia="zh-CN"/>
              </w:rPr>
              <w:t>18</w:t>
            </w:r>
            <w:r>
              <w:rPr>
                <w:rFonts w:ascii="Times New Roman" w:hAnsi="Times New Roman" w:cs="Times New Roman"/>
                <w:b/>
                <w:color w:val="auto"/>
                <w:highlight w:val="none"/>
              </w:rPr>
              <w:t xml:space="preserve">  建筑施工场界环境噪声排放标准  单位：dB(A)</w:t>
            </w:r>
          </w:p>
          <w:tbl>
            <w:tblPr>
              <w:tblStyle w:val="24"/>
              <w:tblW w:w="4999"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95"/>
              <w:gridCol w:w="3997"/>
            </w:tblGrid>
            <w:tr w14:paraId="47DADFA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9" w:type="pct"/>
                  <w:tcBorders>
                    <w:tl2br w:val="nil"/>
                    <w:tr2bl w:val="nil"/>
                  </w:tcBorders>
                  <w:noWrap/>
                  <w:vAlign w:val="center"/>
                </w:tcPr>
                <w:p w14:paraId="6C671199">
                  <w:pPr>
                    <w:adjustRightInd w:val="0"/>
                    <w:snapToGrid w:val="0"/>
                    <w:jc w:val="center"/>
                    <w:textAlignment w:val="baseline"/>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昼间</w:t>
                  </w:r>
                </w:p>
              </w:tc>
              <w:tc>
                <w:tcPr>
                  <w:tcW w:w="2500" w:type="pct"/>
                  <w:tcBorders>
                    <w:tl2br w:val="nil"/>
                    <w:tr2bl w:val="nil"/>
                  </w:tcBorders>
                  <w:noWrap/>
                  <w:vAlign w:val="center"/>
                </w:tcPr>
                <w:p w14:paraId="5121A389">
                  <w:pPr>
                    <w:adjustRightInd w:val="0"/>
                    <w:snapToGrid w:val="0"/>
                    <w:jc w:val="center"/>
                    <w:textAlignment w:val="baseline"/>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夜间</w:t>
                  </w:r>
                </w:p>
              </w:tc>
            </w:tr>
            <w:tr w14:paraId="1CBDA43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9" w:type="pct"/>
                  <w:tcBorders>
                    <w:tl2br w:val="nil"/>
                    <w:tr2bl w:val="nil"/>
                  </w:tcBorders>
                  <w:noWrap/>
                  <w:vAlign w:val="center"/>
                </w:tcPr>
                <w:p w14:paraId="4F2F2F70">
                  <w:pPr>
                    <w:adjustRightInd w:val="0"/>
                    <w:snapToGrid w:val="0"/>
                    <w:jc w:val="center"/>
                    <w:textAlignment w:val="baseline"/>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70</w:t>
                  </w:r>
                </w:p>
              </w:tc>
              <w:tc>
                <w:tcPr>
                  <w:tcW w:w="2500" w:type="pct"/>
                  <w:tcBorders>
                    <w:tl2br w:val="nil"/>
                    <w:tr2bl w:val="nil"/>
                  </w:tcBorders>
                  <w:noWrap/>
                  <w:vAlign w:val="center"/>
                </w:tcPr>
                <w:p w14:paraId="525B9FD2">
                  <w:pPr>
                    <w:adjustRightInd w:val="0"/>
                    <w:snapToGrid w:val="0"/>
                    <w:jc w:val="center"/>
                    <w:textAlignment w:val="baseline"/>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55</w:t>
                  </w:r>
                </w:p>
              </w:tc>
            </w:tr>
          </w:tbl>
          <w:p w14:paraId="36F81FF7">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运营期厂界噪声执行《工业企业厂界环境噪声排放标准》（GB12348-2008）</w:t>
            </w:r>
            <w:r>
              <w:rPr>
                <w:rFonts w:hint="eastAsia" w:ascii="Times New Roman" w:hAnsi="Times New Roman" w:cs="Times New Roman"/>
                <w:color w:val="auto"/>
                <w:highlight w:val="none"/>
              </w:rPr>
              <w:t>3类</w:t>
            </w:r>
            <w:r>
              <w:rPr>
                <w:rFonts w:ascii="Times New Roman" w:hAnsi="Times New Roman" w:cs="Times New Roman"/>
                <w:color w:val="auto"/>
                <w:highlight w:val="none"/>
              </w:rPr>
              <w:t>标准，具体标准值见</w:t>
            </w:r>
            <w:r>
              <w:rPr>
                <w:rFonts w:hint="eastAsia" w:ascii="Times New Roman" w:hAnsi="Times New Roman" w:cs="Times New Roman"/>
                <w:color w:val="auto"/>
                <w:highlight w:val="none"/>
              </w:rPr>
              <w:t>下表</w:t>
            </w:r>
            <w:r>
              <w:rPr>
                <w:rFonts w:ascii="Times New Roman" w:hAnsi="Times New Roman" w:cs="Times New Roman"/>
                <w:color w:val="auto"/>
                <w:highlight w:val="none"/>
              </w:rPr>
              <w:t>。</w:t>
            </w:r>
          </w:p>
          <w:p w14:paraId="58B59110">
            <w:pPr>
              <w:snapToGrid w:val="0"/>
              <w:spacing w:line="360" w:lineRule="auto"/>
              <w:jc w:val="center"/>
              <w:rPr>
                <w:rFonts w:ascii="Times New Roman" w:hAnsi="Times New Roman" w:cs="Times New Roman"/>
                <w:b/>
                <w:color w:val="auto"/>
                <w:szCs w:val="20"/>
                <w:highlight w:val="none"/>
              </w:rPr>
            </w:pPr>
            <w:r>
              <w:rPr>
                <w:rFonts w:ascii="Times New Roman" w:hAnsi="Times New Roman" w:cs="Times New Roman"/>
                <w:b/>
                <w:color w:val="auto"/>
                <w:szCs w:val="20"/>
                <w:highlight w:val="none"/>
              </w:rPr>
              <w:t>表</w:t>
            </w:r>
            <w:r>
              <w:rPr>
                <w:rFonts w:hint="eastAsia" w:ascii="Times New Roman" w:hAnsi="Times New Roman" w:cs="Times New Roman"/>
                <w:b/>
                <w:color w:val="auto"/>
                <w:szCs w:val="20"/>
                <w:highlight w:val="none"/>
                <w:lang w:val="en-US" w:eastAsia="zh-CN"/>
              </w:rPr>
              <w:t>19</w:t>
            </w:r>
            <w:r>
              <w:rPr>
                <w:rFonts w:ascii="Times New Roman" w:hAnsi="Times New Roman" w:cs="Times New Roman"/>
                <w:b/>
                <w:color w:val="auto"/>
                <w:szCs w:val="20"/>
                <w:highlight w:val="none"/>
              </w:rPr>
              <w:t xml:space="preserve"> </w:t>
            </w:r>
            <w:r>
              <w:rPr>
                <w:rFonts w:hint="eastAsia" w:ascii="Times New Roman" w:hAnsi="Times New Roman" w:cs="Times New Roman"/>
                <w:b/>
                <w:color w:val="auto"/>
                <w:szCs w:val="20"/>
                <w:highlight w:val="none"/>
                <w:lang w:val="en-US" w:eastAsia="zh-CN"/>
              </w:rPr>
              <w:t xml:space="preserve"> </w:t>
            </w:r>
            <w:r>
              <w:rPr>
                <w:rFonts w:ascii="Times New Roman" w:hAnsi="Times New Roman" w:cs="Times New Roman"/>
                <w:b/>
                <w:color w:val="auto"/>
                <w:szCs w:val="20"/>
                <w:highlight w:val="none"/>
              </w:rPr>
              <w:t>工业企业厂界环境噪声排放标准  单位：dB(A)</w:t>
            </w:r>
          </w:p>
          <w:tbl>
            <w:tblPr>
              <w:tblStyle w:val="24"/>
              <w:tblW w:w="5000"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64"/>
              <w:gridCol w:w="2665"/>
              <w:gridCol w:w="2665"/>
            </w:tblGrid>
            <w:tr w14:paraId="2D551CB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ign w:val="center"/>
                </w:tcPr>
                <w:p w14:paraId="32AFEE5A">
                  <w:pPr>
                    <w:adjustRightInd w:val="0"/>
                    <w:snapToGrid w:val="0"/>
                    <w:jc w:val="center"/>
                    <w:textAlignment w:val="baseline"/>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标准</w:t>
                  </w:r>
                </w:p>
              </w:tc>
              <w:tc>
                <w:tcPr>
                  <w:tcW w:w="1666" w:type="pct"/>
                  <w:tcBorders>
                    <w:tl2br w:val="nil"/>
                    <w:tr2bl w:val="nil"/>
                  </w:tcBorders>
                  <w:noWrap/>
                  <w:vAlign w:val="center"/>
                </w:tcPr>
                <w:p w14:paraId="0D0B15ED">
                  <w:pPr>
                    <w:adjustRightInd w:val="0"/>
                    <w:snapToGrid w:val="0"/>
                    <w:jc w:val="center"/>
                    <w:textAlignment w:val="baseline"/>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昼间</w:t>
                  </w:r>
                </w:p>
              </w:tc>
              <w:tc>
                <w:tcPr>
                  <w:tcW w:w="1666" w:type="pct"/>
                  <w:tcBorders>
                    <w:tl2br w:val="nil"/>
                    <w:tr2bl w:val="nil"/>
                  </w:tcBorders>
                  <w:noWrap/>
                  <w:vAlign w:val="center"/>
                </w:tcPr>
                <w:p w14:paraId="7B15A96C">
                  <w:pPr>
                    <w:adjustRightInd w:val="0"/>
                    <w:snapToGrid w:val="0"/>
                    <w:jc w:val="center"/>
                    <w:textAlignment w:val="baseline"/>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夜间</w:t>
                  </w:r>
                </w:p>
              </w:tc>
            </w:tr>
            <w:tr w14:paraId="4B8369A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ign w:val="center"/>
                </w:tcPr>
                <w:p w14:paraId="3532C54A">
                  <w:pPr>
                    <w:adjustRightInd w:val="0"/>
                    <w:snapToGrid w:val="0"/>
                    <w:jc w:val="center"/>
                    <w:textAlignment w:val="baseline"/>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3类</w:t>
                  </w:r>
                </w:p>
              </w:tc>
              <w:tc>
                <w:tcPr>
                  <w:tcW w:w="1666" w:type="pct"/>
                  <w:tcBorders>
                    <w:tl2br w:val="nil"/>
                    <w:tr2bl w:val="nil"/>
                  </w:tcBorders>
                  <w:noWrap/>
                  <w:vAlign w:val="center"/>
                </w:tcPr>
                <w:p w14:paraId="3E4B1A8B">
                  <w:pPr>
                    <w:adjustRightInd w:val="0"/>
                    <w:snapToGrid w:val="0"/>
                    <w:jc w:val="center"/>
                    <w:textAlignment w:val="baseline"/>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65</w:t>
                  </w:r>
                </w:p>
              </w:tc>
              <w:tc>
                <w:tcPr>
                  <w:tcW w:w="1666" w:type="pct"/>
                  <w:tcBorders>
                    <w:tl2br w:val="nil"/>
                    <w:tr2bl w:val="nil"/>
                  </w:tcBorders>
                  <w:noWrap/>
                  <w:vAlign w:val="center"/>
                </w:tcPr>
                <w:p w14:paraId="3344091E">
                  <w:pPr>
                    <w:adjustRightInd w:val="0"/>
                    <w:snapToGrid w:val="0"/>
                    <w:jc w:val="center"/>
                    <w:textAlignment w:val="baseline"/>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55</w:t>
                  </w:r>
                </w:p>
              </w:tc>
            </w:tr>
          </w:tbl>
          <w:p w14:paraId="62C1112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eastAsia" w:ascii="Times New Roman" w:hAnsi="Times New Roman" w:eastAsia="黑体" w:cs="Times New Roman"/>
                <w:color w:val="auto"/>
                <w:highlight w:val="none"/>
                <w:lang w:val="en-US" w:eastAsia="zh-CN"/>
              </w:rPr>
              <w:t>5、</w:t>
            </w:r>
            <w:r>
              <w:rPr>
                <w:rFonts w:hint="default" w:ascii="Times New Roman" w:hAnsi="Times New Roman" w:eastAsia="黑体" w:cs="Times New Roman"/>
                <w:color w:val="auto"/>
                <w:highlight w:val="none"/>
                <w:lang w:val="en-US" w:eastAsia="zh-CN"/>
              </w:rPr>
              <w:t>固体废物及危险废物标准</w:t>
            </w:r>
          </w:p>
          <w:p w14:paraId="51AD364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本项目</w:t>
            </w:r>
            <w:r>
              <w:rPr>
                <w:rFonts w:hint="eastAsia" w:ascii="Times New Roman" w:hAnsi="Times New Roman" w:cs="Times New Roman"/>
                <w:color w:val="auto"/>
                <w:kern w:val="2"/>
                <w:sz w:val="24"/>
                <w:szCs w:val="24"/>
                <w:highlight w:val="none"/>
                <w:lang w:val="en-US" w:eastAsia="zh-CN" w:bidi="ar-SA"/>
              </w:rPr>
              <w:t>危废</w:t>
            </w:r>
            <w:r>
              <w:rPr>
                <w:rFonts w:hint="default" w:ascii="Times New Roman" w:hAnsi="Times New Roman" w:eastAsia="宋体" w:cs="Times New Roman"/>
                <w:color w:val="auto"/>
                <w:kern w:val="2"/>
                <w:sz w:val="24"/>
                <w:szCs w:val="24"/>
                <w:highlight w:val="none"/>
                <w:lang w:val="en-US" w:eastAsia="zh-CN" w:bidi="ar-SA"/>
              </w:rPr>
              <w:t>执行《危险废物贮存污染控制标准》（GB18597-20</w:t>
            </w:r>
            <w:r>
              <w:rPr>
                <w:rFonts w:hint="default" w:ascii="Times New Roman" w:hAnsi="Times New Roman" w:cs="Times New Roman"/>
                <w:color w:val="auto"/>
                <w:kern w:val="2"/>
                <w:sz w:val="24"/>
                <w:szCs w:val="24"/>
                <w:highlight w:val="none"/>
                <w:lang w:val="en-US" w:eastAsia="zh-CN" w:bidi="ar-SA"/>
              </w:rPr>
              <w:t>23</w:t>
            </w:r>
            <w:r>
              <w:rPr>
                <w:rFonts w:hint="default" w:ascii="Times New Roman" w:hAnsi="Times New Roman" w:eastAsia="宋体" w:cs="Times New Roman"/>
                <w:color w:val="auto"/>
                <w:kern w:val="2"/>
                <w:sz w:val="24"/>
                <w:szCs w:val="24"/>
                <w:highlight w:val="none"/>
                <w:lang w:val="en-US" w:eastAsia="zh-CN" w:bidi="ar-SA"/>
              </w:rPr>
              <w:t>）和《中华人民共和国固体废物污染环境防治法》及</w:t>
            </w:r>
            <w:r>
              <w:rPr>
                <w:rFonts w:hint="default" w:ascii="Times New Roman" w:hAnsi="Times New Roman" w:cs="Times New Roman"/>
                <w:color w:val="auto"/>
                <w:kern w:val="2"/>
                <w:sz w:val="24"/>
                <w:szCs w:val="24"/>
                <w:highlight w:val="none"/>
                <w:lang w:val="en-US" w:eastAsia="zh-CN" w:bidi="ar-SA"/>
              </w:rPr>
              <w:t>2020年修订等</w:t>
            </w:r>
            <w:r>
              <w:rPr>
                <w:rFonts w:hint="default" w:ascii="Times New Roman" w:hAnsi="Times New Roman" w:eastAsia="宋体" w:cs="Times New Roman"/>
                <w:color w:val="auto"/>
                <w:kern w:val="2"/>
                <w:sz w:val="24"/>
                <w:szCs w:val="24"/>
                <w:highlight w:val="none"/>
                <w:lang w:val="en-US" w:eastAsia="zh-CN" w:bidi="ar-SA"/>
              </w:rPr>
              <w:t>有关规定。</w:t>
            </w:r>
          </w:p>
        </w:tc>
      </w:tr>
      <w:tr w14:paraId="1CFB77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0" w:hRule="atLeast"/>
          <w:jc w:val="center"/>
        </w:trPr>
        <w:tc>
          <w:tcPr>
            <w:tcW w:w="840" w:type="dxa"/>
            <w:tcBorders>
              <w:top w:val="single" w:color="auto" w:sz="4" w:space="0"/>
              <w:left w:val="single" w:color="auto" w:sz="8" w:space="0"/>
              <w:bottom w:val="single" w:color="auto" w:sz="8" w:space="0"/>
              <w:right w:val="single" w:color="auto" w:sz="4" w:space="0"/>
              <w:tl2br w:val="nil"/>
              <w:tr2bl w:val="nil"/>
            </w:tcBorders>
            <w:vAlign w:val="center"/>
          </w:tcPr>
          <w:p w14:paraId="6016A081">
            <w:pPr>
              <w:adjustRightInd w:val="0"/>
              <w:snapToGrid w:val="0"/>
              <w:jc w:val="center"/>
              <w:rPr>
                <w:rFonts w:ascii="Times New Roman" w:hAnsi="Times New Roman" w:cs="Times New Roman"/>
                <w:color w:val="auto"/>
                <w:kern w:val="0"/>
                <w:sz w:val="21"/>
                <w:szCs w:val="21"/>
                <w:highlight w:val="none"/>
              </w:rPr>
            </w:pPr>
            <w:r>
              <w:rPr>
                <w:rFonts w:ascii="Times New Roman" w:hAnsi="Times New Roman" w:cs="Times New Roman"/>
                <w:color w:val="auto"/>
                <w:kern w:val="0"/>
                <w:sz w:val="21"/>
                <w:szCs w:val="21"/>
                <w:highlight w:val="none"/>
              </w:rPr>
              <w:t>总量控制指标</w:t>
            </w:r>
          </w:p>
        </w:tc>
        <w:tc>
          <w:tcPr>
            <w:tcW w:w="8220" w:type="dxa"/>
            <w:tcBorders>
              <w:top w:val="single" w:color="auto" w:sz="4" w:space="0"/>
              <w:left w:val="single" w:color="auto" w:sz="4" w:space="0"/>
              <w:bottom w:val="single" w:color="auto" w:sz="8" w:space="0"/>
              <w:right w:val="single" w:color="auto" w:sz="8" w:space="0"/>
              <w:tl2br w:val="nil"/>
              <w:tr2bl w:val="nil"/>
            </w:tcBorders>
          </w:tcPr>
          <w:p w14:paraId="1F36D866">
            <w:pPr>
              <w:pStyle w:val="31"/>
              <w:spacing w:line="480" w:lineRule="exact"/>
              <w:ind w:firstLine="480" w:firstLineChars="200"/>
              <w:jc w:val="both"/>
              <w:rPr>
                <w:rFonts w:ascii="宋体" w:hAnsi="宋体" w:eastAsia="宋体" w:cs="宋体"/>
                <w:color w:val="auto"/>
                <w:highlight w:val="none"/>
              </w:rPr>
            </w:pPr>
            <w:r>
              <w:rPr>
                <w:rFonts w:hint="eastAsia" w:ascii="宋体" w:hAnsi="宋体" w:eastAsia="宋体" w:cs="宋体"/>
                <w:color w:val="auto"/>
                <w:highlight w:val="none"/>
              </w:rPr>
              <w:t>根据《十四五主要污染物总量控制规划》，我国“十四五”期间主要对挥发性有机物、化学需氧量、氨氮和氮氧化物这四种污染物实行排放总量控制。</w:t>
            </w:r>
          </w:p>
          <w:p w14:paraId="3AB458A1">
            <w:pPr>
              <w:pStyle w:val="31"/>
              <w:spacing w:line="480" w:lineRule="exact"/>
              <w:ind w:firstLine="480" w:firstLineChars="200"/>
              <w:jc w:val="both"/>
              <w:rPr>
                <w:rFonts w:ascii="Times New Roman" w:hAnsi="Times New Roman"/>
                <w:color w:val="auto"/>
                <w:highlight w:val="none"/>
              </w:rPr>
            </w:pPr>
            <w:r>
              <w:rPr>
                <w:rFonts w:hint="eastAsia" w:ascii="宋体" w:hAnsi="宋体" w:eastAsia="宋体" w:cs="宋体"/>
                <w:color w:val="auto"/>
                <w:highlight w:val="none"/>
              </w:rPr>
              <w:t>本项目无化学需氧量、氨氮和氮氧化物新增量，产生的挥发性有机物量极小。</w:t>
            </w:r>
          </w:p>
        </w:tc>
      </w:tr>
    </w:tbl>
    <w:p w14:paraId="28B525EC">
      <w:pPr>
        <w:rPr>
          <w:rFonts w:ascii="Times New Roman" w:hAnsi="Times New Roman" w:eastAsia="黑体" w:cs="Times New Roman"/>
          <w:snapToGrid w:val="0"/>
          <w:sz w:val="30"/>
          <w:highlight w:val="yellow"/>
        </w:rPr>
      </w:pPr>
      <w:r>
        <w:rPr>
          <w:rFonts w:ascii="Times New Roman" w:hAnsi="Times New Roman" w:eastAsia="黑体" w:cs="Times New Roman"/>
          <w:snapToGrid w:val="0"/>
          <w:sz w:val="30"/>
          <w:highlight w:val="yellow"/>
        </w:rPr>
        <w:br w:type="page"/>
      </w:r>
    </w:p>
    <w:p w14:paraId="698D1B58">
      <w:pPr>
        <w:pStyle w:val="21"/>
        <w:jc w:val="center"/>
        <w:outlineLvl w:val="0"/>
        <w:rPr>
          <w:rFonts w:hint="default" w:ascii="Times New Roman" w:hAnsi="Times New Roman" w:eastAsia="黑体" w:cs="Times New Roman"/>
          <w:snapToGrid w:val="0"/>
          <w:sz w:val="30"/>
        </w:rPr>
      </w:pPr>
      <w:r>
        <w:rPr>
          <w:rFonts w:hint="default" w:ascii="Times New Roman" w:hAnsi="Times New Roman" w:eastAsia="黑体" w:cs="Times New Roman"/>
          <w:snapToGrid w:val="0"/>
          <w:sz w:val="30"/>
        </w:rPr>
        <w:t>四、主要环境影响和保护措施</w:t>
      </w:r>
    </w:p>
    <w:tbl>
      <w:tblPr>
        <w:tblStyle w:val="24"/>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5"/>
        <w:gridCol w:w="8375"/>
      </w:tblGrid>
      <w:tr w14:paraId="18821F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6" w:hRule="atLeast"/>
          <w:jc w:val="center"/>
        </w:trPr>
        <w:tc>
          <w:tcPr>
            <w:tcW w:w="605" w:type="dxa"/>
            <w:tcBorders>
              <w:top w:val="single" w:color="auto" w:sz="8" w:space="0"/>
              <w:left w:val="single" w:color="auto" w:sz="8" w:space="0"/>
              <w:bottom w:val="single" w:color="auto" w:sz="4" w:space="0"/>
              <w:right w:val="single" w:color="auto" w:sz="4" w:space="0"/>
              <w:tl2br w:val="nil"/>
              <w:tr2bl w:val="nil"/>
            </w:tcBorders>
            <w:tcMar>
              <w:left w:w="28" w:type="dxa"/>
              <w:right w:w="28" w:type="dxa"/>
            </w:tcMar>
            <w:vAlign w:val="center"/>
          </w:tcPr>
          <w:p w14:paraId="1759712C">
            <w:pPr>
              <w:pStyle w:val="21"/>
              <w:adjustRightInd w:val="0"/>
              <w:snapToGrid w:val="0"/>
              <w:spacing w:beforeAutospacing="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施工期环境保护措施</w:t>
            </w:r>
          </w:p>
        </w:tc>
        <w:tc>
          <w:tcPr>
            <w:tcW w:w="8375" w:type="dxa"/>
            <w:tcBorders>
              <w:top w:val="single" w:color="auto" w:sz="8" w:space="0"/>
              <w:left w:val="single" w:color="auto" w:sz="4" w:space="0"/>
              <w:bottom w:val="single" w:color="auto" w:sz="4" w:space="0"/>
              <w:right w:val="single" w:color="auto" w:sz="8" w:space="0"/>
              <w:tl2br w:val="nil"/>
              <w:tr2bl w:val="nil"/>
            </w:tcBorders>
            <w:vAlign w:val="center"/>
          </w:tcPr>
          <w:p w14:paraId="17CC109A">
            <w:pPr>
              <w:snapToGrid w:val="0"/>
              <w:spacing w:line="360" w:lineRule="auto"/>
              <w:ind w:firstLine="480" w:firstLineChars="200"/>
              <w:rPr>
                <w:color w:val="auto"/>
                <w:highlight w:val="none"/>
              </w:rPr>
            </w:pPr>
            <w:r>
              <w:rPr>
                <w:color w:val="auto"/>
                <w:highlight w:val="none"/>
              </w:rPr>
              <w:t>施工期环境影响主要从大气环境影响、水环境影响、声环境影响、固废环境影响</w:t>
            </w:r>
            <w:r>
              <w:rPr>
                <w:rFonts w:hint="eastAsia"/>
                <w:color w:val="auto"/>
                <w:highlight w:val="none"/>
              </w:rPr>
              <w:t>等</w:t>
            </w:r>
            <w:r>
              <w:rPr>
                <w:color w:val="auto"/>
                <w:highlight w:val="none"/>
              </w:rPr>
              <w:t>方面进行分析。</w:t>
            </w:r>
          </w:p>
          <w:p w14:paraId="45FBAA4D">
            <w:pPr>
              <w:snapToGrid w:val="0"/>
              <w:spacing w:line="360" w:lineRule="auto"/>
              <w:ind w:firstLine="480" w:firstLineChars="200"/>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1、施工期大气污染防治措施</w:t>
            </w:r>
          </w:p>
          <w:p w14:paraId="36E8DF4F">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为保护好</w:t>
            </w:r>
            <w:r>
              <w:rPr>
                <w:rFonts w:hint="eastAsia" w:ascii="Times New Roman" w:hAnsi="Times New Roman" w:cs="宋体"/>
                <w:color w:val="auto"/>
                <w:highlight w:val="none"/>
                <w:lang w:val="en-US" w:eastAsia="zh-CN"/>
              </w:rPr>
              <w:t>空气及</w:t>
            </w:r>
            <w:r>
              <w:rPr>
                <w:rFonts w:hint="eastAsia" w:ascii="Times New Roman" w:hAnsi="Times New Roman" w:cs="宋体"/>
                <w:color w:val="auto"/>
                <w:highlight w:val="none"/>
              </w:rPr>
              <w:t>环境</w:t>
            </w:r>
            <w:r>
              <w:rPr>
                <w:rFonts w:hint="eastAsia" w:ascii="Times New Roman" w:hAnsi="Times New Roman" w:cs="宋体"/>
                <w:color w:val="auto"/>
                <w:highlight w:val="none"/>
                <w:lang w:val="en-US" w:eastAsia="zh-CN"/>
              </w:rPr>
              <w:t>保护目标</w:t>
            </w:r>
            <w:r>
              <w:rPr>
                <w:rFonts w:hint="eastAsia" w:ascii="Times New Roman" w:hAnsi="Times New Roman" w:cs="宋体"/>
                <w:color w:val="auto"/>
                <w:highlight w:val="none"/>
              </w:rPr>
              <w:t>，降低施工过程对周围区域及环境保护目标的扬尘污染，建设单位应严格按照有关要求，采取以下施工污染控制措施：</w:t>
            </w:r>
          </w:p>
          <w:p w14:paraId="2615F3D8">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1）本项目在施工期要制定日常监督检查工作计划与方案，对易起尘物料实行库存或加盖苫布，运输车辆100%密闭运输，应按要求配装密闭装置、不得超载、对易起尘物料加盖蓬布、控制车速、减少卸料落差等内容。结合周围敏感点分布情况，物料堆存点应设置在场地内东南侧出入口附近。</w:t>
            </w:r>
          </w:p>
          <w:p w14:paraId="35749E32">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（2）出入车辆100%冲洗，施工现场的出入口均设置车辆冲洗台，配备保洁员负责车辆和进出口道路的冲洗、清扫和保洁工作；运输车辆出场前应冲洗干净确保车轮、车身不带泥。</w:t>
            </w:r>
          </w:p>
          <w:p w14:paraId="488177B0">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（3）施工过程中使用水泥、石灰、砂石、涂料、铺装材料等易产生扬尘的建筑材料，100%遮盖，应采取诸如密闭存储、防尘布苫盖等有效的防尘措施。</w:t>
            </w:r>
          </w:p>
          <w:p w14:paraId="5D72234A">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（4）建设工程施工现场必须设立垃圾站，并及时回收、清运垃圾及工程废土；高处工程垃圾应用容器垂直清运，严禁凌空</w:t>
            </w:r>
            <w:r>
              <w:rPr>
                <w:rFonts w:hint="eastAsia" w:ascii="Times New Roman" w:hAnsi="Times New Roman" w:cs="宋体"/>
                <w:color w:val="auto"/>
                <w:highlight w:val="none"/>
                <w:lang w:eastAsia="zh-CN"/>
              </w:rPr>
              <w:t>抛洒</w:t>
            </w:r>
            <w:r>
              <w:rPr>
                <w:rFonts w:hint="eastAsia" w:ascii="Times New Roman" w:hAnsi="Times New Roman" w:cs="宋体"/>
                <w:color w:val="auto"/>
                <w:highlight w:val="none"/>
              </w:rPr>
              <w:t>及乱倒乱卸。</w:t>
            </w:r>
          </w:p>
          <w:p w14:paraId="2AC37FEC">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（5）建立洒水清扫制度，指定专人负责洒水和清扫工作。施工单位保洁责任区的范围应根据施工扬尘影响情况确定，一般设在施工工地周围20m范围内。</w:t>
            </w:r>
          </w:p>
          <w:p w14:paraId="0923FB0E">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（6）建筑工地必须使用预拌混凝土，禁止现场搅拌，禁止现场消化石灰、</w:t>
            </w:r>
            <w:r>
              <w:rPr>
                <w:rFonts w:hint="eastAsia" w:ascii="Times New Roman" w:hAnsi="Times New Roman" w:cs="宋体"/>
                <w:color w:val="auto"/>
                <w:highlight w:val="none"/>
                <w:lang w:eastAsia="zh-CN"/>
              </w:rPr>
              <w:t>拌和成</w:t>
            </w:r>
            <w:r>
              <w:rPr>
                <w:rFonts w:hint="eastAsia" w:ascii="Times New Roman" w:hAnsi="Times New Roman" w:cs="宋体"/>
                <w:color w:val="auto"/>
                <w:highlight w:val="none"/>
              </w:rPr>
              <w:t>土或其他有严重粉尘污染的作业；禁止焚烧各类垃圾，禁止使用燃煤取暖做饭。</w:t>
            </w:r>
          </w:p>
          <w:p w14:paraId="40B0BCD9">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（7）建筑工地周边100%围挡，围挡高度不得低于2.5m，围挡底端应设置防溢座，围挡之间以及围挡与防溢座之间无缝隙。对于特殊地点无法设置围挡、围栏及防溢座的，应设置警示牌；</w:t>
            </w:r>
          </w:p>
          <w:p w14:paraId="16EBB458">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（8）注意气象条件变化，场地平整应尽量避开风速大、湿度小的气象条件。当出现4级及以上风力天气情况时禁止进行土方施工，同时作业处覆以防尘网。</w:t>
            </w:r>
          </w:p>
          <w:p w14:paraId="7DD9B9B0">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（9）施工现场出入口、操作场地、材料堆场、厂内道路均100%采取硬化措施，并辅以洒水降尘措施，保证不扬尘，不泥泞，场地硬化的强度、厚度、宽度应满足安全通行卫生保洁的需要。</w:t>
            </w:r>
          </w:p>
          <w:p w14:paraId="33229272">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施工建设期间，废气主要来自施工机械排放废气、各种物料运输车辆排放汽车尾气等对环境空气的影响。车辆尾气中主要污染物为NOx及HC等，属间断运行，工程在加强施工车辆运行管理与维护保养情况下，可减少尾气排放对环境的污染，对环境影响小。</w:t>
            </w:r>
          </w:p>
          <w:p w14:paraId="58E36559">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因此，本项目</w:t>
            </w:r>
            <w:r>
              <w:rPr>
                <w:rFonts w:hint="eastAsia" w:ascii="Times New Roman" w:hAnsi="Times New Roman" w:cs="宋体"/>
                <w:color w:val="auto"/>
                <w:highlight w:val="none"/>
                <w:lang w:eastAsia="zh-CN"/>
              </w:rPr>
              <w:t>工程</w:t>
            </w:r>
            <w:r>
              <w:rPr>
                <w:rFonts w:hint="eastAsia" w:ascii="Times New Roman" w:hAnsi="Times New Roman" w:cs="宋体"/>
                <w:color w:val="auto"/>
                <w:highlight w:val="none"/>
              </w:rPr>
              <w:t>在施工期采取以上措施后可将施工期对环境空气</w:t>
            </w:r>
            <w:r>
              <w:rPr>
                <w:rFonts w:hint="eastAsia" w:ascii="Times New Roman" w:hAnsi="Times New Roman" w:cs="宋体"/>
                <w:color w:val="auto"/>
                <w:highlight w:val="none"/>
                <w:lang w:eastAsia="zh-CN"/>
              </w:rPr>
              <w:t>影响</w:t>
            </w:r>
            <w:r>
              <w:rPr>
                <w:rFonts w:hint="eastAsia" w:ascii="Times New Roman" w:hAnsi="Times New Roman" w:cs="宋体"/>
                <w:color w:val="auto"/>
                <w:highlight w:val="none"/>
              </w:rPr>
              <w:t>降低到最低程度，环境可以接受。</w:t>
            </w:r>
          </w:p>
          <w:p w14:paraId="603A5779">
            <w:pPr>
              <w:snapToGrid w:val="0"/>
              <w:spacing w:line="360" w:lineRule="auto"/>
              <w:ind w:firstLine="480" w:firstLineChars="200"/>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2、施工期噪声污染防治措施</w:t>
            </w:r>
          </w:p>
          <w:p w14:paraId="124B96F4">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由于施工场地噪声对环境的影响较大，因此在工程建设阶段，施工单位应采取噪声防治措施，对施工噪声进行控制，最大限度地减少噪声对环境的影响。应采取以下措施：</w:t>
            </w:r>
          </w:p>
          <w:p w14:paraId="6E0BFAAD">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①合理安排施工时间：制定施工计划时，应尽可能避免大量高噪声设备同时施工。</w:t>
            </w:r>
          </w:p>
          <w:p w14:paraId="3E088035">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②合理布局施工场地：避免在同一地点安装大量动力机械设备，避免局部声级过高。</w:t>
            </w:r>
          </w:p>
          <w:p w14:paraId="6DBBD4FE">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③降低设备声级：应尽量采用低噪声施工设备，如以液压机械代替燃油机械，振捣器采用高频振捣器等；固定机械设备与挖土、运土机械，如挖掘机、推土机等，可通过排气管</w:t>
            </w:r>
            <w:r>
              <w:rPr>
                <w:rFonts w:hint="eastAsia" w:ascii="Times New Roman" w:hAnsi="Times New Roman" w:cs="宋体"/>
                <w:color w:val="auto"/>
                <w:highlight w:val="none"/>
                <w:lang w:eastAsia="zh-CN"/>
              </w:rPr>
              <w:t>消声器</w:t>
            </w:r>
            <w:r>
              <w:rPr>
                <w:rFonts w:hint="eastAsia" w:ascii="Times New Roman" w:hAnsi="Times New Roman" w:cs="宋体"/>
                <w:color w:val="auto"/>
                <w:highlight w:val="none"/>
              </w:rPr>
              <w:t>和隔离发动机振动部件的方法降低噪声；对动力机械设备和运输车辆进行定期的维修和养护。</w:t>
            </w:r>
          </w:p>
          <w:p w14:paraId="6F4CFD08">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④夜间禁止施工。</w:t>
            </w:r>
          </w:p>
          <w:p w14:paraId="0EB5A95D">
            <w:pPr>
              <w:snapToGrid w:val="0"/>
              <w:spacing w:line="360" w:lineRule="auto"/>
              <w:ind w:firstLine="480" w:firstLineChars="200"/>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3、施工期废水污染防治措施</w:t>
            </w:r>
          </w:p>
          <w:p w14:paraId="581D61F1">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施工期废水来源主要为施工场地少量的设备冲洗废水。设备冲洗废水中主要是含有一些由水泥碎粒、砂土构成的悬浮物。另外，雨季作业时，场地的地面径流水中也会含有一定量的泥土和悬浮物。</w:t>
            </w:r>
          </w:p>
          <w:p w14:paraId="77F6559A">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作为应对措施，要求施工单位对施工废水设置</w:t>
            </w:r>
            <w:r>
              <w:rPr>
                <w:rFonts w:hint="eastAsia" w:ascii="Times New Roman" w:hAnsi="Times New Roman" w:cs="宋体"/>
                <w:color w:val="auto"/>
                <w:highlight w:val="none"/>
                <w:lang w:val="en-US" w:eastAsia="zh-CN"/>
              </w:rPr>
              <w:t>临时</w:t>
            </w:r>
            <w:r>
              <w:rPr>
                <w:rFonts w:hint="eastAsia" w:ascii="Times New Roman" w:hAnsi="Times New Roman" w:cs="宋体"/>
                <w:color w:val="auto"/>
                <w:highlight w:val="none"/>
              </w:rPr>
              <w:t>沉淀池进行处理后，回用于施工场地洒水抑尘，不外排，不会对周围环境造成影响。</w:t>
            </w:r>
          </w:p>
          <w:p w14:paraId="7D830BA5">
            <w:pPr>
              <w:snapToGrid w:val="0"/>
              <w:spacing w:line="360" w:lineRule="auto"/>
              <w:ind w:firstLine="480" w:firstLineChars="200"/>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4、施工期固体废物污染</w:t>
            </w:r>
            <w:r>
              <w:rPr>
                <w:rFonts w:hint="eastAsia" w:ascii="Times New Roman" w:hAnsi="Times New Roman" w:eastAsia="黑体" w:cs="Times New Roman"/>
                <w:color w:val="auto"/>
                <w:highlight w:val="none"/>
                <w:lang w:eastAsia="zh-CN"/>
              </w:rPr>
              <w:t>防治</w:t>
            </w:r>
            <w:r>
              <w:rPr>
                <w:rFonts w:hint="eastAsia" w:ascii="Times New Roman" w:hAnsi="Times New Roman" w:eastAsia="黑体" w:cs="Times New Roman"/>
                <w:color w:val="auto"/>
                <w:highlight w:val="none"/>
              </w:rPr>
              <w:t>措施</w:t>
            </w:r>
          </w:p>
          <w:p w14:paraId="652422DD">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（1）施工中应将丢弃的碎石、混凝土</w:t>
            </w:r>
            <w:r>
              <w:rPr>
                <w:rFonts w:hint="eastAsia" w:ascii="Times New Roman" w:hAnsi="Times New Roman" w:cs="宋体"/>
                <w:color w:val="auto"/>
                <w:highlight w:val="none"/>
                <w:lang w:val="en-US" w:eastAsia="zh-CN"/>
              </w:rPr>
              <w:t>和</w:t>
            </w:r>
            <w:r>
              <w:rPr>
                <w:rFonts w:hint="eastAsia" w:ascii="Times New Roman" w:hAnsi="Times New Roman" w:cs="宋体"/>
                <w:color w:val="auto"/>
                <w:highlight w:val="none"/>
              </w:rPr>
              <w:t>破砖等固体废物统一堆放，集中处理，场地挖掘产生的土石方应切实按照规划要求用于绿化的抬高层及绿地铺设，并尽快利用，以减少堆存时间，若不能确保其全部利用时，需对不能利用部分及时清运出场并运至建筑垃圾指定地点进行统一处理。</w:t>
            </w:r>
          </w:p>
          <w:p w14:paraId="0A89ACF8">
            <w:pPr>
              <w:snapToGrid w:val="0"/>
              <w:spacing w:line="360" w:lineRule="auto"/>
              <w:ind w:firstLine="561"/>
              <w:rPr>
                <w:rFonts w:ascii="Times New Roman" w:hAnsi="Times New Roman" w:cs="宋体"/>
                <w:color w:val="auto"/>
                <w:highlight w:val="none"/>
              </w:rPr>
            </w:pPr>
            <w:r>
              <w:rPr>
                <w:rFonts w:hint="eastAsia" w:ascii="Times New Roman" w:hAnsi="Times New Roman" w:cs="宋体"/>
                <w:color w:val="auto"/>
                <w:highlight w:val="none"/>
              </w:rPr>
              <w:t>（2）在场中设置垃圾箱，将生活垃圾集中收集，及时清运出场交由环卫部门统一处理。</w:t>
            </w:r>
          </w:p>
          <w:p w14:paraId="60653460">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综上所述，在采取上述措施处置后，本项目施工期污染情况可得到有效缓解，对周边环境影响极小。</w:t>
            </w:r>
          </w:p>
        </w:tc>
      </w:tr>
      <w:tr w14:paraId="0EBB64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95" w:hRule="atLeast"/>
          <w:jc w:val="center"/>
        </w:trPr>
        <w:tc>
          <w:tcPr>
            <w:tcW w:w="605" w:type="dxa"/>
            <w:tcBorders>
              <w:top w:val="single" w:color="auto" w:sz="4" w:space="0"/>
              <w:left w:val="single" w:color="auto" w:sz="8" w:space="0"/>
              <w:bottom w:val="single" w:color="auto" w:sz="8" w:space="0"/>
              <w:right w:val="single" w:color="auto" w:sz="4" w:space="0"/>
              <w:tl2br w:val="nil"/>
              <w:tr2bl w:val="nil"/>
            </w:tcBorders>
            <w:tcMar>
              <w:left w:w="28" w:type="dxa"/>
              <w:right w:w="28" w:type="dxa"/>
            </w:tcMar>
            <w:vAlign w:val="center"/>
          </w:tcPr>
          <w:p w14:paraId="1AF340FC">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运营期环境影响和保护措施</w:t>
            </w:r>
          </w:p>
        </w:tc>
        <w:tc>
          <w:tcPr>
            <w:tcW w:w="8375" w:type="dxa"/>
            <w:tcBorders>
              <w:top w:val="single" w:color="auto" w:sz="4" w:space="0"/>
              <w:left w:val="single" w:color="auto" w:sz="4" w:space="0"/>
              <w:bottom w:val="single" w:color="auto" w:sz="8" w:space="0"/>
              <w:right w:val="single" w:color="auto" w:sz="8" w:space="0"/>
              <w:tl2br w:val="nil"/>
              <w:tr2bl w:val="nil"/>
            </w:tcBorders>
            <w:vAlign w:val="center"/>
          </w:tcPr>
          <w:p w14:paraId="1DBD996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ascii="Times New Roman" w:hAnsi="Times New Roman" w:eastAsia="黑体" w:cs="Times New Roman"/>
                <w:color w:val="auto"/>
                <w:highlight w:val="none"/>
              </w:rPr>
              <w:t>1、废气</w:t>
            </w:r>
          </w:p>
          <w:p w14:paraId="18E93165">
            <w:pPr>
              <w:pStyle w:val="51"/>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危险废物暂存间少量废气</w:t>
            </w:r>
          </w:p>
          <w:p w14:paraId="61BAC89F">
            <w:pPr>
              <w:pStyle w:val="51"/>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①正常工况</w:t>
            </w:r>
          </w:p>
          <w:p w14:paraId="26C694E7">
            <w:pPr>
              <w:pStyle w:val="51"/>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废矿物油储存过程中挥发产生有机废气，废气污染物主要以非甲烷总烃表征。根据工程分析，本项目年周转废矿物油总量约为0.5t，根据《散装液体石油损耗标准》（GB11085-1989）表1贮存损耗率，其他油（不分季节）为0.01%，由此可知本项目非甲烷总烃产生量为0.05kg/a，产生量较少，另外废矿物油采用加盖油桶贮存，车间安装轴流风机</w:t>
            </w:r>
            <w:r>
              <w:rPr>
                <w:rFonts w:hint="eastAsia" w:ascii="Times New Roman" w:hAnsi="Times New Roman" w:cs="Times New Roman"/>
                <w:color w:val="auto"/>
                <w:sz w:val="24"/>
                <w:szCs w:val="24"/>
                <w:highlight w:val="none"/>
                <w:lang w:val="en-US" w:eastAsia="zh-CN"/>
              </w:rPr>
              <w:t>；同时</w:t>
            </w:r>
            <w:r>
              <w:rPr>
                <w:rFonts w:hint="eastAsia" w:ascii="Times New Roman" w:hAnsi="Times New Roman" w:eastAsia="宋体" w:cs="Times New Roman"/>
                <w:color w:val="auto"/>
                <w:sz w:val="24"/>
                <w:szCs w:val="24"/>
                <w:highlight w:val="none"/>
                <w:lang w:val="en-US" w:eastAsia="zh-CN"/>
              </w:rPr>
              <w:t>危险废物暂存间设有封闭门窗，并在通风口设置活性炭吸附箱，处理效率为60%，废气经活性炭吸附装置吸附后无组织排放，</w:t>
            </w:r>
            <w:r>
              <w:rPr>
                <w:rFonts w:hint="eastAsia" w:ascii="Times New Roman" w:hAnsi="Times New Roman" w:cs="Times New Roman"/>
                <w:color w:val="auto"/>
                <w:kern w:val="2"/>
                <w:sz w:val="24"/>
                <w:szCs w:val="24"/>
                <w:highlight w:val="none"/>
                <w:lang w:val="en-US" w:eastAsia="zh-CN" w:bidi="ar-SA"/>
              </w:rPr>
              <w:t>非甲烷总烃</w:t>
            </w:r>
            <w:r>
              <w:rPr>
                <w:rFonts w:hint="default" w:ascii="Times New Roman" w:hAnsi="Times New Roman" w:eastAsia="宋体" w:cs="Times New Roman"/>
                <w:color w:val="auto"/>
                <w:kern w:val="2"/>
                <w:sz w:val="24"/>
                <w:szCs w:val="24"/>
                <w:highlight w:val="none"/>
                <w:lang w:val="en-US" w:eastAsia="zh-CN" w:bidi="ar-SA"/>
              </w:rPr>
              <w:t>排放量为</w:t>
            </w:r>
            <w:r>
              <w:rPr>
                <w:rFonts w:hint="eastAsia" w:ascii="Times New Roman" w:hAnsi="Times New Roman" w:cs="Times New Roman"/>
                <w:color w:val="auto"/>
                <w:kern w:val="2"/>
                <w:sz w:val="24"/>
                <w:szCs w:val="24"/>
                <w:highlight w:val="none"/>
                <w:lang w:val="en-US" w:eastAsia="zh-CN" w:bidi="ar-SA"/>
              </w:rPr>
              <w:t>0.02</w:t>
            </w:r>
            <w:r>
              <w:rPr>
                <w:rFonts w:hint="default" w:ascii="Times New Roman" w:hAnsi="Times New Roman" w:eastAsia="宋体" w:cs="Times New Roman"/>
                <w:color w:val="auto"/>
                <w:kern w:val="2"/>
                <w:sz w:val="24"/>
                <w:szCs w:val="24"/>
                <w:highlight w:val="none"/>
                <w:lang w:val="en-US" w:eastAsia="zh-CN" w:bidi="ar-SA"/>
              </w:rPr>
              <w:t>kg/a</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车间无组织非甲烷总烃排放浓度满足《挥发性有机物无组织排放控制标准》（GB37822-2019）附录A中表A.1的限值要求；厂界无组织非甲烷总烃排放浓度满足《大气污染物综合排放标准》（GB16297-1996）表2中非甲烷总烃4.0mg/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限值要求。</w:t>
            </w:r>
          </w:p>
          <w:p w14:paraId="496621E1">
            <w:pPr>
              <w:pStyle w:val="51"/>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②非正常工况</w:t>
            </w:r>
          </w:p>
          <w:p w14:paraId="00590418">
            <w:pPr>
              <w:pStyle w:val="51"/>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eastAsia="宋体" w:cs="Times New Roman"/>
                <w:color w:val="auto"/>
                <w:sz w:val="24"/>
                <w:szCs w:val="24"/>
                <w:highlight w:val="none"/>
                <w:lang w:val="en-US" w:eastAsia="zh-CN"/>
              </w:rPr>
              <w:t>非正常工况下，出现故障情况下，建设单位可采取停产的方式，停止排污，但为了降低对环境空气的影响，要求建设单位运营过程中要加强环境管理，加强环保设备运行维护，尽量避免设备故障。</w:t>
            </w:r>
          </w:p>
          <w:p w14:paraId="40F8762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根据以上分析，本项目排放非甲烷总烃浓度极小，因此本项目废气排放基本不会对厂内造成影响。</w:t>
            </w:r>
            <w:r>
              <w:rPr>
                <w:rFonts w:hint="eastAsia" w:ascii="Times New Roman" w:hAnsi="Times New Roman" w:cs="Times New Roman"/>
                <w:color w:val="auto"/>
                <w:highlight w:val="none"/>
              </w:rPr>
              <w:t>本项目不单独制定</w:t>
            </w:r>
            <w:r>
              <w:rPr>
                <w:rFonts w:hint="eastAsia" w:ascii="Times New Roman" w:hAnsi="Times New Roman" w:cs="Times New Roman"/>
                <w:color w:val="auto"/>
                <w:highlight w:val="none"/>
                <w:lang w:eastAsia="zh-CN"/>
              </w:rPr>
              <w:t>监测</w:t>
            </w:r>
            <w:r>
              <w:rPr>
                <w:rFonts w:hint="eastAsia" w:ascii="Times New Roman" w:hAnsi="Times New Roman" w:cs="Times New Roman"/>
                <w:color w:val="auto"/>
                <w:highlight w:val="none"/>
              </w:rPr>
              <w:t>计划。</w:t>
            </w:r>
          </w:p>
          <w:p w14:paraId="2F7C2D7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ascii="Times New Roman" w:hAnsi="Times New Roman" w:eastAsia="黑体" w:cs="Times New Roman"/>
                <w:color w:val="auto"/>
                <w:highlight w:val="none"/>
              </w:rPr>
              <w:t>2、废水</w:t>
            </w:r>
          </w:p>
          <w:p w14:paraId="02E9027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本项目位于内蒙古锡林郭勒盟</w:t>
            </w:r>
            <w:r>
              <w:rPr>
                <w:rFonts w:hint="eastAsia" w:ascii="Times New Roman" w:hAnsi="Times New Roman" w:cs="Times New Roman"/>
                <w:color w:val="auto"/>
                <w:highlight w:val="none"/>
                <w:lang w:eastAsia="zh-CN"/>
              </w:rPr>
              <w:t>锡林浩特市远景能源（锡林郭勒）有限公司</w:t>
            </w:r>
            <w:r>
              <w:rPr>
                <w:rFonts w:ascii="Times New Roman" w:hAnsi="Times New Roman" w:cs="Times New Roman"/>
                <w:color w:val="auto"/>
                <w:highlight w:val="none"/>
              </w:rPr>
              <w:t>院内，项目周围1000m范围内无地表水体。而本项目储存的危险废物本身没有废水产生，项目不对地面进行清洗。项目不新增员工，员工由</w:t>
            </w:r>
            <w:r>
              <w:rPr>
                <w:rFonts w:hint="eastAsia" w:ascii="Times New Roman" w:hAnsi="Times New Roman" w:cs="Times New Roman"/>
                <w:color w:val="auto"/>
                <w:highlight w:val="none"/>
                <w:lang w:val="en-US" w:eastAsia="zh-CN"/>
              </w:rPr>
              <w:t>厂内</w:t>
            </w:r>
            <w:r>
              <w:rPr>
                <w:rFonts w:ascii="Times New Roman" w:hAnsi="Times New Roman" w:cs="Times New Roman"/>
                <w:color w:val="auto"/>
                <w:highlight w:val="none"/>
              </w:rPr>
              <w:t>统一调动，不新增生活污水。另外不在雨天进行固体危险废物的运输，因此，项目没有废水排放，对地表水没有影响</w:t>
            </w:r>
            <w:r>
              <w:rPr>
                <w:rFonts w:hint="eastAsia" w:ascii="Times New Roman" w:hAnsi="Times New Roman" w:cs="Times New Roman"/>
                <w:color w:val="auto"/>
                <w:highlight w:val="none"/>
              </w:rPr>
              <w:t>。</w:t>
            </w:r>
          </w:p>
          <w:p w14:paraId="3B32847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hint="eastAsia" w:ascii="Times New Roman" w:hAnsi="Times New Roman" w:cs="Times New Roman"/>
                <w:color w:val="auto"/>
                <w:highlight w:val="none"/>
              </w:rPr>
              <w:t>本项目不单独制定</w:t>
            </w:r>
            <w:r>
              <w:rPr>
                <w:rFonts w:hint="eastAsia" w:ascii="Times New Roman" w:hAnsi="Times New Roman" w:cs="Times New Roman"/>
                <w:color w:val="auto"/>
                <w:highlight w:val="none"/>
                <w:lang w:eastAsia="zh-CN"/>
              </w:rPr>
              <w:t>监测</w:t>
            </w:r>
            <w:r>
              <w:rPr>
                <w:rFonts w:hint="eastAsia" w:ascii="Times New Roman" w:hAnsi="Times New Roman" w:cs="Times New Roman"/>
                <w:color w:val="auto"/>
                <w:highlight w:val="none"/>
              </w:rPr>
              <w:t>计划。</w:t>
            </w:r>
          </w:p>
          <w:p w14:paraId="2312390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黑体" w:cs="Times New Roman"/>
                <w:color w:val="auto"/>
                <w:highlight w:val="none"/>
              </w:rPr>
            </w:pPr>
            <w:r>
              <w:rPr>
                <w:rFonts w:ascii="Times New Roman" w:hAnsi="Times New Roman" w:eastAsia="黑体" w:cs="Times New Roman"/>
                <w:color w:val="auto"/>
                <w:highlight w:val="none"/>
              </w:rPr>
              <w:t>3、噪声</w:t>
            </w:r>
          </w:p>
          <w:p w14:paraId="205BE7D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本项目噪声主要为进出厂区内运输车辆等运转时产生的噪声，其噪声级一般在75-85dB（A）之间。通过加强车辆管理，装卸时熄火作业，项目噪声产生情况满足《工业企业厂界环境噪声排放标准》（GB12348-2008）</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zh-CN" w:eastAsia="zh-CN"/>
              </w:rPr>
              <w:t>类标准。</w:t>
            </w:r>
          </w:p>
          <w:p w14:paraId="0727E0B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本项目不单独制定检测计划。</w:t>
            </w:r>
          </w:p>
          <w:p w14:paraId="7209D657">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color w:val="auto"/>
                <w:sz w:val="24"/>
                <w:szCs w:val="20"/>
                <w:highlight w:val="none"/>
                <w:lang w:val="zh-CN" w:eastAsia="zh-CN"/>
              </w:rPr>
            </w:pPr>
            <w:r>
              <w:rPr>
                <w:rFonts w:hint="default" w:ascii="Times New Roman" w:hAnsi="Times New Roman" w:cs="Times New Roman"/>
                <w:b/>
                <w:color w:val="auto"/>
                <w:sz w:val="24"/>
                <w:szCs w:val="20"/>
                <w:highlight w:val="none"/>
                <w:lang w:val="zh-CN" w:eastAsia="zh-CN"/>
              </w:rPr>
              <w:t>表</w:t>
            </w:r>
            <w:r>
              <w:rPr>
                <w:rFonts w:hint="eastAsia" w:ascii="Times New Roman" w:hAnsi="Times New Roman" w:cs="Times New Roman"/>
                <w:b/>
                <w:color w:val="auto"/>
                <w:sz w:val="24"/>
                <w:szCs w:val="20"/>
                <w:highlight w:val="none"/>
                <w:lang w:val="en-US" w:eastAsia="zh-CN"/>
              </w:rPr>
              <w:t xml:space="preserve">20 </w:t>
            </w:r>
            <w:r>
              <w:rPr>
                <w:rFonts w:hint="default" w:ascii="Times New Roman" w:hAnsi="Times New Roman" w:cs="Times New Roman"/>
                <w:b/>
                <w:color w:val="auto"/>
                <w:sz w:val="24"/>
                <w:szCs w:val="20"/>
                <w:highlight w:val="none"/>
                <w:lang w:val="zh-CN" w:eastAsia="zh-CN"/>
              </w:rPr>
              <w:t xml:space="preserve"> 本项目主要噪声源分布情况</w:t>
            </w:r>
          </w:p>
          <w:tbl>
            <w:tblPr>
              <w:tblStyle w:val="24"/>
              <w:tblW w:w="4997"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1097"/>
              <w:gridCol w:w="1074"/>
              <w:gridCol w:w="1097"/>
              <w:gridCol w:w="2680"/>
              <w:gridCol w:w="1536"/>
            </w:tblGrid>
            <w:tr w14:paraId="04DF785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05" w:type="pct"/>
                  <w:tcBorders>
                    <w:tl2br w:val="nil"/>
                    <w:tr2bl w:val="nil"/>
                  </w:tcBorders>
                  <w:vAlign w:val="center"/>
                </w:tcPr>
                <w:p w14:paraId="41E36FF6">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序号</w:t>
                  </w:r>
                </w:p>
              </w:tc>
              <w:tc>
                <w:tcPr>
                  <w:tcW w:w="673" w:type="pct"/>
                  <w:tcBorders>
                    <w:tl2br w:val="nil"/>
                    <w:tr2bl w:val="nil"/>
                  </w:tcBorders>
                  <w:vAlign w:val="center"/>
                </w:tcPr>
                <w:p w14:paraId="616D05AD">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声源名称</w:t>
                  </w:r>
                </w:p>
              </w:tc>
              <w:tc>
                <w:tcPr>
                  <w:tcW w:w="659" w:type="pct"/>
                  <w:tcBorders>
                    <w:tl2br w:val="nil"/>
                    <w:tr2bl w:val="nil"/>
                  </w:tcBorders>
                  <w:vAlign w:val="center"/>
                </w:tcPr>
                <w:p w14:paraId="4363ED66">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声级</w:t>
                  </w:r>
                </w:p>
                <w:p w14:paraId="314967BA">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dB（A）</w:t>
                  </w:r>
                </w:p>
              </w:tc>
              <w:tc>
                <w:tcPr>
                  <w:tcW w:w="673" w:type="pct"/>
                  <w:tcBorders>
                    <w:tl2br w:val="nil"/>
                    <w:tr2bl w:val="nil"/>
                  </w:tcBorders>
                  <w:vAlign w:val="center"/>
                </w:tcPr>
                <w:p w14:paraId="6361FCB8">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型号规格</w:t>
                  </w:r>
                </w:p>
              </w:tc>
              <w:tc>
                <w:tcPr>
                  <w:tcW w:w="1644" w:type="pct"/>
                  <w:tcBorders>
                    <w:tl2br w:val="nil"/>
                    <w:tr2bl w:val="nil"/>
                  </w:tcBorders>
                  <w:tcMar>
                    <w:top w:w="28" w:type="dxa"/>
                    <w:left w:w="28" w:type="dxa"/>
                    <w:bottom w:w="28" w:type="dxa"/>
                    <w:right w:w="28" w:type="dxa"/>
                  </w:tcMar>
                  <w:vAlign w:val="center"/>
                </w:tcPr>
                <w:p w14:paraId="6BEDB765">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降噪措施</w:t>
                  </w:r>
                </w:p>
              </w:tc>
              <w:tc>
                <w:tcPr>
                  <w:tcW w:w="942" w:type="pct"/>
                  <w:tcBorders>
                    <w:tl2br w:val="nil"/>
                    <w:tr2bl w:val="nil"/>
                  </w:tcBorders>
                  <w:vAlign w:val="center"/>
                </w:tcPr>
                <w:p w14:paraId="336716D7">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降噪后噪声值</w:t>
                  </w:r>
                </w:p>
                <w:p w14:paraId="467FF011">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dB（A）</w:t>
                  </w:r>
                </w:p>
              </w:tc>
            </w:tr>
            <w:tr w14:paraId="3EBC365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05" w:type="pct"/>
                  <w:tcBorders>
                    <w:tl2br w:val="nil"/>
                    <w:tr2bl w:val="nil"/>
                  </w:tcBorders>
                  <w:vAlign w:val="center"/>
                </w:tcPr>
                <w:p w14:paraId="5BA625F1">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1</w:t>
                  </w:r>
                </w:p>
              </w:tc>
              <w:tc>
                <w:tcPr>
                  <w:tcW w:w="673" w:type="pct"/>
                  <w:tcBorders>
                    <w:tl2br w:val="nil"/>
                    <w:tr2bl w:val="nil"/>
                  </w:tcBorders>
                  <w:vAlign w:val="center"/>
                </w:tcPr>
                <w:p w14:paraId="35374A59">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运输车辆</w:t>
                  </w:r>
                </w:p>
              </w:tc>
              <w:tc>
                <w:tcPr>
                  <w:tcW w:w="659" w:type="pct"/>
                  <w:tcBorders>
                    <w:tl2br w:val="nil"/>
                    <w:tr2bl w:val="nil"/>
                  </w:tcBorders>
                  <w:vAlign w:val="center"/>
                </w:tcPr>
                <w:p w14:paraId="2C44DA74">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75~85</w:t>
                  </w:r>
                </w:p>
              </w:tc>
              <w:tc>
                <w:tcPr>
                  <w:tcW w:w="673" w:type="pct"/>
                  <w:tcBorders>
                    <w:tl2br w:val="nil"/>
                    <w:tr2bl w:val="nil"/>
                  </w:tcBorders>
                  <w:vAlign w:val="center"/>
                </w:tcPr>
                <w:p w14:paraId="46C36F8C">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w:t>
                  </w:r>
                </w:p>
              </w:tc>
              <w:tc>
                <w:tcPr>
                  <w:tcW w:w="1644" w:type="pct"/>
                  <w:tcBorders>
                    <w:tl2br w:val="nil"/>
                    <w:tr2bl w:val="nil"/>
                  </w:tcBorders>
                  <w:tcMar>
                    <w:top w:w="28" w:type="dxa"/>
                    <w:left w:w="28" w:type="dxa"/>
                    <w:bottom w:w="28" w:type="dxa"/>
                    <w:right w:w="28" w:type="dxa"/>
                  </w:tcMar>
                  <w:vAlign w:val="center"/>
                </w:tcPr>
                <w:p w14:paraId="246867F9">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加强管理，装卸时熄火作业</w:t>
                  </w:r>
                </w:p>
              </w:tc>
              <w:tc>
                <w:tcPr>
                  <w:tcW w:w="942" w:type="pct"/>
                  <w:tcBorders>
                    <w:tl2br w:val="nil"/>
                    <w:tr2bl w:val="nil"/>
                  </w:tcBorders>
                  <w:vAlign w:val="center"/>
                </w:tcPr>
                <w:p w14:paraId="00CD4C55">
                  <w:pPr>
                    <w:pStyle w:val="45"/>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30~45</w:t>
                  </w:r>
                </w:p>
              </w:tc>
            </w:tr>
          </w:tbl>
          <w:p w14:paraId="324762EC">
            <w:pPr>
              <w:snapToGrid w:val="0"/>
              <w:spacing w:line="360" w:lineRule="auto"/>
              <w:ind w:firstLine="480" w:firstLineChars="200"/>
              <w:rPr>
                <w:rFonts w:ascii="Times New Roman" w:hAnsi="Times New Roman" w:eastAsia="黑体" w:cs="Times New Roman"/>
                <w:color w:val="auto"/>
                <w:highlight w:val="none"/>
              </w:rPr>
            </w:pPr>
            <w:r>
              <w:rPr>
                <w:rFonts w:ascii="Times New Roman" w:hAnsi="Times New Roman" w:eastAsia="黑体" w:cs="Times New Roman"/>
                <w:color w:val="auto"/>
                <w:highlight w:val="none"/>
              </w:rPr>
              <w:t>4、固废</w:t>
            </w:r>
          </w:p>
          <w:p w14:paraId="38123899">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①生活垃圾</w:t>
            </w:r>
          </w:p>
          <w:p w14:paraId="60CD468C">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本项目无新增职工，即无新增生活垃圾产生。</w:t>
            </w:r>
          </w:p>
          <w:p w14:paraId="74BA3EEC">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②危险废物</w:t>
            </w:r>
          </w:p>
          <w:p w14:paraId="4B84A5DB">
            <w:pPr>
              <w:snapToGrid w:val="0"/>
              <w:spacing w:line="360" w:lineRule="auto"/>
              <w:ind w:firstLine="480" w:firstLineChars="200"/>
              <w:rPr>
                <w:color w:val="auto"/>
                <w:highlight w:val="none"/>
              </w:rPr>
            </w:pPr>
            <w:r>
              <w:rPr>
                <w:rFonts w:hint="default" w:ascii="Times New Roman" w:hAnsi="Times New Roman" w:cs="Times New Roman"/>
                <w:color w:val="auto"/>
                <w:highlight w:val="none"/>
                <w:lang w:val="en-US" w:eastAsia="zh-CN"/>
              </w:rPr>
              <w:t>本项目建设一</w:t>
            </w:r>
            <w:r>
              <w:rPr>
                <w:rFonts w:hint="eastAsia" w:ascii="Times New Roman" w:hAnsi="Times New Roman" w:cs="Times New Roman"/>
                <w:color w:val="auto"/>
                <w:highlight w:val="none"/>
                <w:lang w:val="en-US" w:eastAsia="zh-CN"/>
              </w:rPr>
              <w:t>间50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危废暂存间用于收集</w:t>
            </w:r>
            <w:r>
              <w:rPr>
                <w:rFonts w:hint="eastAsia" w:ascii="Times New Roman" w:hAnsi="Times New Roman" w:cs="Times New Roman"/>
                <w:color w:val="auto"/>
                <w:highlight w:val="none"/>
                <w:lang w:val="en-US" w:eastAsia="zh-CN"/>
              </w:rPr>
              <w:t>厂</w:t>
            </w:r>
            <w:r>
              <w:rPr>
                <w:rFonts w:hint="default" w:ascii="Times New Roman" w:hAnsi="Times New Roman" w:cs="Times New Roman"/>
                <w:color w:val="auto"/>
                <w:highlight w:val="none"/>
                <w:lang w:val="en-US" w:eastAsia="zh-CN"/>
              </w:rPr>
              <w:t>区生产过程中产生的危险废物</w:t>
            </w:r>
            <w:r>
              <w:rPr>
                <w:rFonts w:hint="default" w:ascii="Times New Roman" w:hAnsi="Times New Roman" w:cs="Times New Roman"/>
                <w:color w:val="auto"/>
                <w:highlight w:val="none"/>
                <w:lang w:val="zh-CN" w:eastAsia="zh-CN"/>
              </w:rPr>
              <w:t>，废矿物油</w:t>
            </w:r>
            <w:r>
              <w:rPr>
                <w:rFonts w:hint="eastAsia" w:ascii="Times New Roman" w:hAnsi="Times New Roman" w:cs="Times New Roman"/>
                <w:color w:val="auto"/>
                <w:highlight w:val="none"/>
                <w:lang w:val="en-US" w:eastAsia="zh-CN"/>
              </w:rPr>
              <w:t>和废油桶（</w:t>
            </w:r>
            <w:r>
              <w:rPr>
                <w:rFonts w:hint="default" w:ascii="Times New Roman" w:hAnsi="Times New Roman" w:cs="Times New Roman"/>
                <w:color w:val="auto"/>
                <w:highlight w:val="none"/>
                <w:lang w:val="zh-CN" w:eastAsia="zh-CN"/>
              </w:rPr>
              <w:t>废铁油桶、废塑料油桶、废小包装油桶和废气雾罐</w:t>
            </w:r>
            <w:r>
              <w:rPr>
                <w:rFonts w:hint="eastAsia" w:ascii="Times New Roman" w:hAnsi="Times New Roman" w:cs="Times New Roman"/>
                <w:color w:val="auto"/>
                <w:highlight w:val="none"/>
                <w:lang w:val="en-US" w:eastAsia="zh-CN"/>
              </w:rPr>
              <w:t>）存放于库内，年产生量小于3吨，每年委托处理处置1次；年产生量超过3吨后，每年委托处理处置2次</w:t>
            </w:r>
            <w:r>
              <w:rPr>
                <w:rFonts w:hint="default" w:ascii="Times New Roman" w:hAnsi="Times New Roman" w:cs="Times New Roman"/>
                <w:color w:val="auto"/>
                <w:highlight w:val="none"/>
                <w:lang w:val="zh-CN" w:eastAsia="zh-CN"/>
              </w:rPr>
              <w:t>。</w:t>
            </w:r>
            <w:r>
              <w:rPr>
                <w:rFonts w:ascii="Times New Roman" w:hAnsi="Times New Roman" w:cs="Times New Roman"/>
                <w:color w:val="auto"/>
                <w:highlight w:val="none"/>
              </w:rPr>
              <w:t>本项目危险废物</w:t>
            </w:r>
            <w:r>
              <w:rPr>
                <w:rFonts w:hint="eastAsia" w:ascii="Times New Roman" w:hAnsi="Times New Roman" w:cs="Times New Roman"/>
                <w:color w:val="auto"/>
                <w:highlight w:val="none"/>
                <w:lang w:val="en-US" w:eastAsia="zh-CN"/>
              </w:rPr>
              <w:t>存储等</w:t>
            </w:r>
            <w:r>
              <w:rPr>
                <w:rFonts w:hint="eastAsia" w:ascii="Times New Roman" w:hAnsi="Times New Roman" w:cs="Times New Roman"/>
                <w:color w:val="auto"/>
                <w:highlight w:val="none"/>
              </w:rPr>
              <w:t>见下表。</w:t>
            </w:r>
          </w:p>
          <w:p w14:paraId="3CF8A775">
            <w:pPr>
              <w:snapToGrid w:val="0"/>
              <w:spacing w:line="360" w:lineRule="auto"/>
              <w:jc w:val="center"/>
              <w:rPr>
                <w:rFonts w:ascii="Times New Roman" w:hAnsi="Times New Roman" w:cs="Times New Roman"/>
                <w:b/>
                <w:color w:val="auto"/>
                <w:highlight w:val="none"/>
              </w:rPr>
            </w:pPr>
            <w:r>
              <w:rPr>
                <w:rFonts w:ascii="Times New Roman" w:hAnsi="Times New Roman" w:cs="Times New Roman"/>
                <w:b/>
                <w:color w:val="auto"/>
                <w:highlight w:val="none"/>
              </w:rPr>
              <w:t>表</w:t>
            </w:r>
            <w:r>
              <w:rPr>
                <w:rFonts w:hint="eastAsia" w:ascii="Times New Roman" w:hAnsi="Times New Roman" w:cs="Times New Roman"/>
                <w:b/>
                <w:color w:val="auto"/>
                <w:highlight w:val="none"/>
                <w:lang w:val="en-US" w:eastAsia="zh-CN"/>
              </w:rPr>
              <w:t>21</w:t>
            </w:r>
            <w:r>
              <w:rPr>
                <w:rFonts w:ascii="Times New Roman" w:hAnsi="Times New Roman" w:cs="Times New Roman"/>
                <w:b/>
                <w:color w:val="auto"/>
                <w:highlight w:val="none"/>
              </w:rPr>
              <w:t xml:space="preserve">  本项目主要存储危险废物情况表</w:t>
            </w:r>
          </w:p>
          <w:tbl>
            <w:tblPr>
              <w:tblStyle w:val="24"/>
              <w:tblW w:w="4993"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252"/>
              <w:gridCol w:w="1263"/>
              <w:gridCol w:w="1246"/>
              <w:gridCol w:w="780"/>
              <w:gridCol w:w="1005"/>
              <w:gridCol w:w="750"/>
              <w:gridCol w:w="1437"/>
            </w:tblGrid>
            <w:tr w14:paraId="218D6D9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7F4251C3">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769" w:type="pct"/>
                  <w:tcBorders>
                    <w:tl2br w:val="nil"/>
                    <w:tr2bl w:val="nil"/>
                  </w:tcBorders>
                  <w:vAlign w:val="center"/>
                </w:tcPr>
                <w:p w14:paraId="33E7576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危废编号</w:t>
                  </w:r>
                </w:p>
              </w:tc>
              <w:tc>
                <w:tcPr>
                  <w:tcW w:w="775" w:type="pct"/>
                  <w:tcBorders>
                    <w:tl2br w:val="nil"/>
                    <w:tr2bl w:val="nil"/>
                  </w:tcBorders>
                  <w:vAlign w:val="center"/>
                </w:tcPr>
                <w:p w14:paraId="02198B4A">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危废名称</w:t>
                  </w:r>
                </w:p>
              </w:tc>
              <w:tc>
                <w:tcPr>
                  <w:tcW w:w="765" w:type="pct"/>
                  <w:tcBorders>
                    <w:tl2br w:val="nil"/>
                    <w:tr2bl w:val="nil"/>
                  </w:tcBorders>
                  <w:vAlign w:val="center"/>
                </w:tcPr>
                <w:p w14:paraId="1004CED3">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危废来源</w:t>
                  </w:r>
                </w:p>
              </w:tc>
              <w:tc>
                <w:tcPr>
                  <w:tcW w:w="479" w:type="pct"/>
                  <w:tcBorders>
                    <w:tl2br w:val="nil"/>
                    <w:tr2bl w:val="nil"/>
                  </w:tcBorders>
                  <w:vAlign w:val="center"/>
                </w:tcPr>
                <w:p w14:paraId="37E88FE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危险特性</w:t>
                  </w:r>
                </w:p>
              </w:tc>
              <w:tc>
                <w:tcPr>
                  <w:tcW w:w="617" w:type="pct"/>
                  <w:tcBorders>
                    <w:tl2br w:val="nil"/>
                    <w:tr2bl w:val="nil"/>
                  </w:tcBorders>
                  <w:vAlign w:val="center"/>
                </w:tcPr>
                <w:p w14:paraId="3D963BAC">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最大存储量</w:t>
                  </w:r>
                </w:p>
              </w:tc>
              <w:tc>
                <w:tcPr>
                  <w:tcW w:w="460" w:type="pct"/>
                  <w:tcBorders>
                    <w:tl2br w:val="nil"/>
                    <w:tr2bl w:val="nil"/>
                  </w:tcBorders>
                  <w:vAlign w:val="center"/>
                </w:tcPr>
                <w:p w14:paraId="0651EFC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年产生量</w:t>
                  </w:r>
                </w:p>
              </w:tc>
              <w:tc>
                <w:tcPr>
                  <w:tcW w:w="882" w:type="pct"/>
                  <w:tcBorders>
                    <w:tl2br w:val="nil"/>
                    <w:tr2bl w:val="nil"/>
                  </w:tcBorders>
                  <w:vAlign w:val="center"/>
                </w:tcPr>
                <w:p w14:paraId="7414F60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备注</w:t>
                  </w:r>
                </w:p>
              </w:tc>
            </w:tr>
            <w:tr w14:paraId="5CA1AE7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120A69A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1</w:t>
                  </w:r>
                </w:p>
              </w:tc>
              <w:tc>
                <w:tcPr>
                  <w:tcW w:w="769" w:type="pct"/>
                  <w:tcBorders>
                    <w:tl2br w:val="nil"/>
                    <w:tr2bl w:val="nil"/>
                  </w:tcBorders>
                  <w:vAlign w:val="center"/>
                </w:tcPr>
                <w:p w14:paraId="166A3B0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HW08 900-249-08</w:t>
                  </w:r>
                </w:p>
              </w:tc>
              <w:tc>
                <w:tcPr>
                  <w:tcW w:w="775" w:type="pct"/>
                  <w:tcBorders>
                    <w:tl2br w:val="nil"/>
                    <w:tr2bl w:val="nil"/>
                  </w:tcBorders>
                  <w:vAlign w:val="center"/>
                </w:tcPr>
                <w:p w14:paraId="26E331CB">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废矿物油</w:t>
                  </w:r>
                </w:p>
              </w:tc>
              <w:tc>
                <w:tcPr>
                  <w:tcW w:w="765" w:type="pct"/>
                  <w:tcBorders>
                    <w:tl2br w:val="nil"/>
                    <w:tr2bl w:val="nil"/>
                  </w:tcBorders>
                  <w:vAlign w:val="center"/>
                </w:tcPr>
                <w:p w14:paraId="40A92F0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设备维修、养护产生的机油</w:t>
                  </w:r>
                </w:p>
              </w:tc>
              <w:tc>
                <w:tcPr>
                  <w:tcW w:w="479" w:type="pct"/>
                  <w:tcBorders>
                    <w:tl2br w:val="nil"/>
                    <w:tr2bl w:val="nil"/>
                  </w:tcBorders>
                  <w:vAlign w:val="center"/>
                </w:tcPr>
                <w:p w14:paraId="0422ECF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易燃性、毒性（液态）</w:t>
                  </w:r>
                </w:p>
              </w:tc>
              <w:tc>
                <w:tcPr>
                  <w:tcW w:w="617" w:type="pct"/>
                  <w:tcBorders>
                    <w:tl2br w:val="nil"/>
                    <w:tr2bl w:val="nil"/>
                  </w:tcBorders>
                  <w:vAlign w:val="center"/>
                </w:tcPr>
                <w:p w14:paraId="027867F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2.4t</w:t>
                  </w:r>
                </w:p>
              </w:tc>
              <w:tc>
                <w:tcPr>
                  <w:tcW w:w="460" w:type="pct"/>
                  <w:tcBorders>
                    <w:tl2br w:val="nil"/>
                    <w:tr2bl w:val="nil"/>
                  </w:tcBorders>
                  <w:vAlign w:val="center"/>
                </w:tcPr>
                <w:p w14:paraId="201863D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约3t</w:t>
                  </w:r>
                </w:p>
              </w:tc>
              <w:tc>
                <w:tcPr>
                  <w:tcW w:w="882" w:type="pct"/>
                  <w:vMerge w:val="restart"/>
                  <w:tcBorders>
                    <w:tl2br w:val="nil"/>
                    <w:tr2bl w:val="nil"/>
                  </w:tcBorders>
                  <w:vAlign w:val="center"/>
                </w:tcPr>
                <w:p w14:paraId="64F44E3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rPr>
                    <w:t>存放于库内</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年产生量小于3吨，</w:t>
                  </w:r>
                  <w:r>
                    <w:rPr>
                      <w:rFonts w:hint="default" w:ascii="Times New Roman" w:hAnsi="Times New Roman" w:cs="Times New Roman"/>
                      <w:color w:val="auto"/>
                      <w:sz w:val="21"/>
                      <w:szCs w:val="21"/>
                      <w:highlight w:val="none"/>
                      <w:lang w:eastAsia="zh-CN"/>
                    </w:rPr>
                    <w:t>每年委托处理处置</w:t>
                  </w: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次</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年产生量超过3吨后，</w:t>
                  </w:r>
                  <w:r>
                    <w:rPr>
                      <w:rFonts w:hint="default" w:ascii="Times New Roman" w:hAnsi="Times New Roman" w:cs="Times New Roman"/>
                      <w:color w:val="auto"/>
                      <w:sz w:val="21"/>
                      <w:szCs w:val="21"/>
                      <w:highlight w:val="none"/>
                      <w:lang w:eastAsia="zh-CN"/>
                    </w:rPr>
                    <w:t>每年委托处理处置</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次</w:t>
                  </w:r>
                </w:p>
              </w:tc>
            </w:tr>
            <w:tr w14:paraId="67CD0FF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294D9D01">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769" w:type="pct"/>
                  <w:tcBorders>
                    <w:tl2br w:val="nil"/>
                    <w:tr2bl w:val="nil"/>
                  </w:tcBorders>
                  <w:vAlign w:val="center"/>
                </w:tcPr>
                <w:p w14:paraId="0CE5D4BD">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HW49</w:t>
                  </w:r>
                </w:p>
                <w:p w14:paraId="1945551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900-041-49</w:t>
                  </w:r>
                </w:p>
              </w:tc>
              <w:tc>
                <w:tcPr>
                  <w:tcW w:w="775" w:type="pct"/>
                  <w:tcBorders>
                    <w:tl2br w:val="nil"/>
                    <w:tr2bl w:val="nil"/>
                  </w:tcBorders>
                  <w:vAlign w:val="center"/>
                </w:tcPr>
                <w:p w14:paraId="1814E4D3">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废油桶</w:t>
                  </w:r>
                </w:p>
              </w:tc>
              <w:tc>
                <w:tcPr>
                  <w:tcW w:w="765" w:type="pct"/>
                  <w:tcBorders>
                    <w:tl2br w:val="nil"/>
                    <w:tr2bl w:val="nil"/>
                  </w:tcBorders>
                  <w:vAlign w:val="center"/>
                </w:tcPr>
                <w:p w14:paraId="15227A3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设备维修、养护产生的废包装桶</w:t>
                  </w:r>
                </w:p>
              </w:tc>
              <w:tc>
                <w:tcPr>
                  <w:tcW w:w="479" w:type="pct"/>
                  <w:tcBorders>
                    <w:tl2br w:val="nil"/>
                    <w:tr2bl w:val="nil"/>
                  </w:tcBorders>
                  <w:vAlign w:val="center"/>
                </w:tcPr>
                <w:p w14:paraId="32F22AF1">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易燃性、毒性（固态）</w:t>
                  </w:r>
                </w:p>
              </w:tc>
              <w:tc>
                <w:tcPr>
                  <w:tcW w:w="617" w:type="pct"/>
                  <w:tcBorders>
                    <w:tl2br w:val="nil"/>
                    <w:tr2bl w:val="nil"/>
                  </w:tcBorders>
                  <w:vAlign w:val="center"/>
                </w:tcPr>
                <w:p w14:paraId="60A8A11E">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1.6t</w:t>
                  </w:r>
                </w:p>
              </w:tc>
              <w:tc>
                <w:tcPr>
                  <w:tcW w:w="460" w:type="pct"/>
                  <w:tcBorders>
                    <w:tl2br w:val="nil"/>
                    <w:tr2bl w:val="nil"/>
                  </w:tcBorders>
                  <w:vAlign w:val="center"/>
                </w:tcPr>
                <w:p w14:paraId="5E099220">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约2t</w:t>
                  </w:r>
                </w:p>
              </w:tc>
              <w:tc>
                <w:tcPr>
                  <w:tcW w:w="882" w:type="pct"/>
                  <w:vMerge w:val="continue"/>
                  <w:tcBorders>
                    <w:tl2br w:val="nil"/>
                    <w:tr2bl w:val="nil"/>
                  </w:tcBorders>
                  <w:vAlign w:val="center"/>
                </w:tcPr>
                <w:p w14:paraId="79B32FDC">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p>
              </w:tc>
            </w:tr>
            <w:tr w14:paraId="3E252D6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664F420B">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w:t>
                  </w:r>
                </w:p>
              </w:tc>
              <w:tc>
                <w:tcPr>
                  <w:tcW w:w="1252" w:type="dxa"/>
                  <w:tcBorders>
                    <w:tl2br w:val="nil"/>
                    <w:tr2bl w:val="nil"/>
                  </w:tcBorders>
                  <w:vAlign w:val="center"/>
                </w:tcPr>
                <w:p w14:paraId="2000ABE7">
                  <w:pPr>
                    <w:pStyle w:val="4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HW49 900-039-49</w:t>
                  </w:r>
                </w:p>
              </w:tc>
              <w:tc>
                <w:tcPr>
                  <w:tcW w:w="1263" w:type="dxa"/>
                  <w:tcBorders>
                    <w:tl2br w:val="nil"/>
                    <w:tr2bl w:val="nil"/>
                  </w:tcBorders>
                  <w:vAlign w:val="center"/>
                </w:tcPr>
                <w:p w14:paraId="28C6C119">
                  <w:pPr>
                    <w:pStyle w:val="4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 w:val="0"/>
                      <w:bCs w:val="0"/>
                      <w:color w:val="auto"/>
                      <w:kern w:val="2"/>
                      <w:sz w:val="21"/>
                      <w:szCs w:val="21"/>
                      <w:highlight w:val="none"/>
                      <w:lang w:val="en-US" w:eastAsia="zh-CN" w:bidi="ar-SA"/>
                    </w:rPr>
                  </w:pPr>
                  <w:r>
                    <w:rPr>
                      <w:rFonts w:hint="eastAsia" w:cs="Times New Roman"/>
                      <w:color w:val="auto"/>
                      <w:sz w:val="21"/>
                      <w:szCs w:val="21"/>
                      <w:highlight w:val="none"/>
                      <w:lang w:val="en-US" w:eastAsia="zh-CN"/>
                    </w:rPr>
                    <w:t>废活性炭</w:t>
                  </w:r>
                </w:p>
              </w:tc>
              <w:tc>
                <w:tcPr>
                  <w:tcW w:w="765" w:type="pct"/>
                  <w:tcBorders>
                    <w:tl2br w:val="nil"/>
                    <w:tr2bl w:val="nil"/>
                  </w:tcBorders>
                  <w:vAlign w:val="center"/>
                </w:tcPr>
                <w:p w14:paraId="09F2578E">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危废暂存间</w:t>
                  </w:r>
                </w:p>
              </w:tc>
              <w:tc>
                <w:tcPr>
                  <w:tcW w:w="479" w:type="pct"/>
                  <w:tcBorders>
                    <w:tl2br w:val="nil"/>
                    <w:tr2bl w:val="nil"/>
                  </w:tcBorders>
                  <w:vAlign w:val="center"/>
                </w:tcPr>
                <w:p w14:paraId="3FA7073B">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易燃性、毒性（固态）</w:t>
                  </w:r>
                </w:p>
              </w:tc>
              <w:tc>
                <w:tcPr>
                  <w:tcW w:w="617" w:type="pct"/>
                  <w:tcBorders>
                    <w:tl2br w:val="nil"/>
                    <w:tr2bl w:val="nil"/>
                  </w:tcBorders>
                  <w:vAlign w:val="center"/>
                </w:tcPr>
                <w:p w14:paraId="2A690A43">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0.02</w:t>
                  </w:r>
                </w:p>
              </w:tc>
              <w:tc>
                <w:tcPr>
                  <w:tcW w:w="460" w:type="pct"/>
                  <w:tcBorders>
                    <w:tl2br w:val="nil"/>
                    <w:tr2bl w:val="nil"/>
                  </w:tcBorders>
                  <w:vAlign w:val="center"/>
                </w:tcPr>
                <w:p w14:paraId="36CFB35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0.02</w:t>
                  </w:r>
                </w:p>
              </w:tc>
              <w:tc>
                <w:tcPr>
                  <w:tcW w:w="882" w:type="pct"/>
                  <w:tcBorders>
                    <w:tl2br w:val="nil"/>
                    <w:tr2bl w:val="nil"/>
                  </w:tcBorders>
                  <w:vAlign w:val="center"/>
                </w:tcPr>
                <w:p w14:paraId="36C60A2C">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color w:val="auto"/>
                      <w:sz w:val="21"/>
                      <w:szCs w:val="21"/>
                      <w:highlight w:val="none"/>
                    </w:rPr>
                  </w:pPr>
                  <w:r>
                    <w:rPr>
                      <w:rFonts w:hint="eastAsia" w:ascii="Times New Roman" w:hAnsi="Times New Roman" w:cs="Times New Roman"/>
                      <w:color w:val="auto"/>
                      <w:sz w:val="21"/>
                      <w:szCs w:val="21"/>
                      <w:highlight w:val="none"/>
                      <w:lang w:val="en-US" w:eastAsia="zh-CN"/>
                    </w:rPr>
                    <w:t>每年更换一次，更换后直接交由有资质单位进行处置，不在厂区内贮存</w:t>
                  </w:r>
                </w:p>
              </w:tc>
            </w:tr>
          </w:tbl>
          <w:p w14:paraId="40D818B6">
            <w:pPr>
              <w:snapToGrid w:val="0"/>
              <w:spacing w:line="360" w:lineRule="auto"/>
              <w:ind w:firstLine="480" w:firstLineChars="200"/>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5</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地下水</w:t>
            </w:r>
            <w:r>
              <w:rPr>
                <w:rFonts w:ascii="Times New Roman" w:hAnsi="Times New Roman" w:eastAsia="黑体" w:cs="Times New Roman"/>
                <w:color w:val="auto"/>
                <w:highlight w:val="none"/>
              </w:rPr>
              <w:t>环境影响分析</w:t>
            </w:r>
          </w:p>
          <w:p w14:paraId="7518C663">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①</w:t>
            </w:r>
            <w:r>
              <w:rPr>
                <w:rFonts w:ascii="Times New Roman" w:hAnsi="Times New Roman" w:cs="Times New Roman"/>
                <w:color w:val="auto"/>
                <w:highlight w:val="none"/>
              </w:rPr>
              <w:t>正常工况下影响分析</w:t>
            </w:r>
          </w:p>
          <w:p w14:paraId="00E43815">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本项目为</w:t>
            </w:r>
            <w:r>
              <w:rPr>
                <w:rFonts w:hint="eastAsia" w:ascii="Times New Roman" w:hAnsi="Times New Roman" w:cs="Times New Roman"/>
                <w:color w:val="auto"/>
                <w:highlight w:val="none"/>
              </w:rPr>
              <w:t>新建危废暂存间</w:t>
            </w:r>
            <w:r>
              <w:rPr>
                <w:rFonts w:ascii="Times New Roman" w:hAnsi="Times New Roman" w:cs="Times New Roman"/>
                <w:color w:val="auto"/>
                <w:highlight w:val="none"/>
              </w:rPr>
              <w:t>项目，无具体的生产工艺，不会有生产性废水排放，且</w:t>
            </w:r>
            <w:r>
              <w:rPr>
                <w:rFonts w:hint="eastAsia" w:ascii="Times New Roman" w:hAnsi="Times New Roman" w:cs="Times New Roman"/>
                <w:color w:val="auto"/>
                <w:highlight w:val="none"/>
                <w:lang w:val="en-US" w:eastAsia="zh-CN"/>
              </w:rPr>
              <w:t>危险废物</w:t>
            </w:r>
            <w:r>
              <w:rPr>
                <w:rFonts w:ascii="Times New Roman" w:hAnsi="Times New Roman" w:cs="Times New Roman"/>
                <w:color w:val="auto"/>
                <w:highlight w:val="none"/>
              </w:rPr>
              <w:t>均按照标准要求进行贮存并采用专用贮存设施，严格规范操作。企业应当</w:t>
            </w:r>
            <w:r>
              <w:rPr>
                <w:rFonts w:hint="eastAsia" w:ascii="Times New Roman" w:hAnsi="Times New Roman" w:cs="Times New Roman"/>
                <w:color w:val="auto"/>
                <w:highlight w:val="none"/>
                <w:lang w:eastAsia="zh-CN"/>
              </w:rPr>
              <w:t>按照</w:t>
            </w:r>
            <w:r>
              <w:rPr>
                <w:rFonts w:ascii="Times New Roman" w:hAnsi="Times New Roman" w:cs="Times New Roman"/>
                <w:color w:val="auto"/>
                <w:highlight w:val="none"/>
              </w:rPr>
              <w:t>《危险废物贮存污染控制标准》（GB18597-20</w:t>
            </w:r>
            <w:r>
              <w:rPr>
                <w:rFonts w:hint="eastAsia" w:ascii="Times New Roman" w:hAnsi="Times New Roman" w:cs="Times New Roman"/>
                <w:color w:val="auto"/>
                <w:highlight w:val="none"/>
              </w:rPr>
              <w:t>23</w:t>
            </w:r>
            <w:r>
              <w:rPr>
                <w:rFonts w:ascii="Times New Roman" w:hAnsi="Times New Roman" w:cs="Times New Roman"/>
                <w:color w:val="auto"/>
                <w:highlight w:val="none"/>
              </w:rPr>
              <w:t>）的相关规定采取较为完善合理的防渗</w:t>
            </w:r>
            <w:r>
              <w:rPr>
                <w:rFonts w:hint="eastAsia" w:ascii="Times New Roman" w:hAnsi="Times New Roman" w:cs="Times New Roman"/>
                <w:color w:val="auto"/>
                <w:highlight w:val="none"/>
                <w:lang w:val="en-US" w:eastAsia="zh-CN"/>
              </w:rPr>
              <w:t>措施</w:t>
            </w:r>
            <w:r>
              <w:rPr>
                <w:rFonts w:ascii="Times New Roman" w:hAnsi="Times New Roman" w:cs="Times New Roman"/>
                <w:color w:val="auto"/>
                <w:highlight w:val="none"/>
              </w:rPr>
              <w:t>，阻断可能引起地下水污染的途径。本项目正常工况下，</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不会</w:t>
            </w:r>
            <w:r>
              <w:rPr>
                <w:rFonts w:hint="eastAsia" w:ascii="Times New Roman" w:hAnsi="Times New Roman" w:cs="Times New Roman"/>
                <w:color w:val="auto"/>
                <w:highlight w:val="none"/>
              </w:rPr>
              <w:t>滴漏</w:t>
            </w:r>
            <w:r>
              <w:rPr>
                <w:rFonts w:ascii="Times New Roman" w:hAnsi="Times New Roman" w:cs="Times New Roman"/>
                <w:color w:val="auto"/>
                <w:highlight w:val="none"/>
              </w:rPr>
              <w:t>，因此本项目在落实并加强污染物防治措施的基础上，不会对附近地下水环境造成影响。</w:t>
            </w:r>
          </w:p>
          <w:p w14:paraId="029982D4">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②</w:t>
            </w:r>
            <w:r>
              <w:rPr>
                <w:rFonts w:ascii="Times New Roman" w:hAnsi="Times New Roman" w:cs="Times New Roman"/>
                <w:color w:val="auto"/>
                <w:highlight w:val="none"/>
              </w:rPr>
              <w:t>事故工况下影响分析</w:t>
            </w:r>
          </w:p>
          <w:p w14:paraId="6A0B0493">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本项目事故工况下，</w:t>
            </w:r>
            <w:r>
              <w:rPr>
                <w:rFonts w:hint="eastAsia" w:ascii="Times New Roman" w:hAnsi="Times New Roman" w:cs="Times New Roman"/>
                <w:color w:val="auto"/>
                <w:highlight w:val="none"/>
                <w:lang w:val="en-US" w:eastAsia="zh-CN"/>
              </w:rPr>
              <w:t>废油桶</w:t>
            </w:r>
            <w:r>
              <w:rPr>
                <w:rFonts w:ascii="Times New Roman" w:hAnsi="Times New Roman" w:cs="Times New Roman"/>
                <w:color w:val="auto"/>
                <w:highlight w:val="none"/>
              </w:rPr>
              <w:t>可能破损，导致</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泄漏，其中的</w:t>
            </w:r>
            <w:r>
              <w:rPr>
                <w:rFonts w:hint="eastAsia" w:ascii="Times New Roman" w:hAnsi="Times New Roman" w:cs="Times New Roman"/>
                <w:color w:val="auto"/>
                <w:highlight w:val="none"/>
              </w:rPr>
              <w:t>油类</w:t>
            </w:r>
            <w:r>
              <w:rPr>
                <w:rFonts w:ascii="Times New Roman" w:hAnsi="Times New Roman" w:cs="Times New Roman"/>
                <w:color w:val="auto"/>
                <w:highlight w:val="none"/>
              </w:rPr>
              <w:t>可能会对地下水产生污染。企业需做好防渗措施，同时企业需定期对地下水水质监测，若发现污染物泄漏时应采取应急响应终止污染泄漏，同时对地下水进行修复，采取上述措施后，非正常工况下的污染物泄漏对地下水环境的污染可控。</w:t>
            </w:r>
          </w:p>
          <w:p w14:paraId="71B02C5F">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③</w:t>
            </w:r>
            <w:r>
              <w:rPr>
                <w:rFonts w:ascii="Times New Roman" w:hAnsi="Times New Roman" w:cs="Times New Roman"/>
                <w:color w:val="auto"/>
                <w:highlight w:val="none"/>
              </w:rPr>
              <w:t>预防措施</w:t>
            </w:r>
          </w:p>
          <w:p w14:paraId="0067A4FC">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项目</w:t>
            </w:r>
            <w:r>
              <w:rPr>
                <w:rFonts w:hint="eastAsia" w:ascii="Times New Roman" w:hAnsi="Times New Roman" w:cs="Times New Roman"/>
                <w:color w:val="auto"/>
                <w:highlight w:val="none"/>
              </w:rPr>
              <w:t>运行</w:t>
            </w:r>
            <w:r>
              <w:rPr>
                <w:rFonts w:ascii="Times New Roman" w:hAnsi="Times New Roman" w:cs="Times New Roman"/>
                <w:color w:val="auto"/>
                <w:highlight w:val="none"/>
              </w:rPr>
              <w:t>后，若处置不当将对区域地下水产生一定影响，主要表现为：若</w:t>
            </w:r>
            <w:r>
              <w:rPr>
                <w:rFonts w:hint="eastAsia" w:ascii="Times New Roman" w:hAnsi="Times New Roman" w:cs="Times New Roman"/>
                <w:color w:val="auto"/>
                <w:highlight w:val="none"/>
                <w:lang w:val="en-US" w:eastAsia="zh-CN"/>
              </w:rPr>
              <w:t>钢架</w:t>
            </w:r>
            <w:r>
              <w:rPr>
                <w:rFonts w:hint="eastAsia" w:ascii="Times New Roman" w:hAnsi="Times New Roman" w:cs="Times New Roman"/>
                <w:color w:val="auto"/>
                <w:highlight w:val="none"/>
              </w:rPr>
              <w:t>结构危废暂存间</w:t>
            </w:r>
            <w:r>
              <w:rPr>
                <w:rFonts w:ascii="Times New Roman" w:hAnsi="Times New Roman" w:cs="Times New Roman"/>
                <w:color w:val="auto"/>
                <w:highlight w:val="none"/>
              </w:rPr>
              <w:t>地表破裂，</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的收集、暂存设施发生破损，则可能导致</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渗入地下，从而影响地下水环境质量。对此企业采取以下措施，以减轻对地下水的污染。</w:t>
            </w:r>
          </w:p>
          <w:p w14:paraId="73FA4BA4">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地下水污染防治措</w:t>
            </w:r>
            <w:r>
              <w:rPr>
                <w:rFonts w:hint="eastAsia" w:ascii="宋体" w:hAnsi="宋体" w:cs="宋体"/>
                <w:color w:val="auto"/>
                <w:highlight w:val="none"/>
              </w:rPr>
              <w:t>施“坚持源头控制、末端防治、污染监控、应急响应”</w:t>
            </w:r>
            <w:r>
              <w:rPr>
                <w:rFonts w:ascii="Times New Roman" w:hAnsi="Times New Roman" w:cs="Times New Roman"/>
                <w:color w:val="auto"/>
                <w:highlight w:val="none"/>
              </w:rPr>
              <w:t>相结合的原则。</w:t>
            </w:r>
          </w:p>
          <w:p w14:paraId="5A4F4BBC">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（一）</w:t>
            </w:r>
            <w:r>
              <w:rPr>
                <w:rFonts w:ascii="Times New Roman" w:hAnsi="Times New Roman" w:cs="Times New Roman"/>
                <w:color w:val="auto"/>
                <w:highlight w:val="none"/>
              </w:rPr>
              <w:t>源头控制</w:t>
            </w:r>
          </w:p>
          <w:p w14:paraId="13AAC681">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废</w:t>
            </w:r>
            <w:r>
              <w:rPr>
                <w:rFonts w:hint="eastAsia" w:ascii="Times New Roman" w:hAnsi="Times New Roman" w:cs="Times New Roman"/>
                <w:color w:val="auto"/>
                <w:highlight w:val="none"/>
                <w:lang w:val="en-US" w:eastAsia="zh-CN"/>
              </w:rPr>
              <w:t>铁油桶</w:t>
            </w:r>
            <w:r>
              <w:rPr>
                <w:rFonts w:hint="eastAsia" w:ascii="Times New Roman" w:hAnsi="Times New Roman" w:cs="Times New Roman"/>
                <w:color w:val="auto"/>
                <w:highlight w:val="none"/>
              </w:rPr>
              <w:t>在装入废物前进行</w:t>
            </w:r>
            <w:r>
              <w:rPr>
                <w:rFonts w:hint="eastAsia" w:ascii="Times New Roman" w:hAnsi="Times New Roman" w:cs="Times New Roman"/>
                <w:color w:val="auto"/>
                <w:highlight w:val="none"/>
                <w:lang w:eastAsia="zh-CN"/>
              </w:rPr>
              <w:t>泄漏检查</w:t>
            </w:r>
            <w:r>
              <w:rPr>
                <w:rFonts w:hint="eastAsia" w:ascii="Times New Roman" w:hAnsi="Times New Roman" w:cs="Times New Roman"/>
                <w:color w:val="auto"/>
                <w:highlight w:val="none"/>
              </w:rPr>
              <w:t>，以确保贮存的废矿物油不会泄露，废</w:t>
            </w:r>
            <w:r>
              <w:rPr>
                <w:rFonts w:hint="eastAsia" w:ascii="Times New Roman" w:hAnsi="Times New Roman" w:cs="Times New Roman"/>
                <w:color w:val="auto"/>
                <w:highlight w:val="none"/>
                <w:lang w:val="en-US" w:eastAsia="zh-CN"/>
              </w:rPr>
              <w:t>铁油桶</w:t>
            </w:r>
            <w:r>
              <w:rPr>
                <w:rFonts w:ascii="Times New Roman" w:hAnsi="Times New Roman" w:cs="Times New Roman"/>
                <w:color w:val="auto"/>
                <w:highlight w:val="none"/>
              </w:rPr>
              <w:t>在</w:t>
            </w:r>
            <w:r>
              <w:rPr>
                <w:rFonts w:hint="eastAsia" w:ascii="Times New Roman" w:hAnsi="Times New Roman" w:cs="Times New Roman"/>
                <w:color w:val="auto"/>
                <w:highlight w:val="none"/>
              </w:rPr>
              <w:t>搬卸</w:t>
            </w:r>
            <w:r>
              <w:rPr>
                <w:rFonts w:ascii="Times New Roman" w:hAnsi="Times New Roman" w:cs="Times New Roman"/>
                <w:color w:val="auto"/>
                <w:highlight w:val="none"/>
              </w:rPr>
              <w:t>过程中要求轻拿轻放，避免</w:t>
            </w:r>
            <w:r>
              <w:rPr>
                <w:rFonts w:hint="eastAsia" w:ascii="Times New Roman" w:hAnsi="Times New Roman" w:cs="Times New Roman"/>
                <w:color w:val="auto"/>
                <w:highlight w:val="none"/>
              </w:rPr>
              <w:t>包装物</w:t>
            </w:r>
            <w:r>
              <w:rPr>
                <w:rFonts w:ascii="Times New Roman" w:hAnsi="Times New Roman" w:cs="Times New Roman"/>
                <w:color w:val="auto"/>
                <w:highlight w:val="none"/>
              </w:rPr>
              <w:t>因受到外力撞击而发生破损引起</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的泄漏，</w:t>
            </w:r>
            <w:r>
              <w:rPr>
                <w:rFonts w:hint="eastAsia" w:ascii="Times New Roman" w:hAnsi="Times New Roman" w:cs="Times New Roman"/>
                <w:color w:val="auto"/>
                <w:highlight w:val="none"/>
              </w:rPr>
              <w:t>废</w:t>
            </w:r>
            <w:r>
              <w:rPr>
                <w:rFonts w:hint="eastAsia" w:ascii="Times New Roman" w:hAnsi="Times New Roman" w:cs="Times New Roman"/>
                <w:color w:val="auto"/>
                <w:highlight w:val="none"/>
                <w:lang w:val="en-US" w:eastAsia="zh-CN"/>
              </w:rPr>
              <w:t>铁油桶</w:t>
            </w:r>
            <w:r>
              <w:rPr>
                <w:rFonts w:ascii="Times New Roman" w:hAnsi="Times New Roman" w:cs="Times New Roman"/>
                <w:color w:val="auto"/>
                <w:highlight w:val="none"/>
              </w:rPr>
              <w:t>全部放置在</w:t>
            </w:r>
            <w:r>
              <w:rPr>
                <w:rFonts w:hint="eastAsia" w:ascii="Times New Roman" w:hAnsi="Times New Roman" w:cs="Times New Roman"/>
                <w:color w:val="auto"/>
                <w:highlight w:val="none"/>
              </w:rPr>
              <w:t>托盘上</w:t>
            </w:r>
            <w:r>
              <w:rPr>
                <w:rFonts w:ascii="Times New Roman" w:hAnsi="Times New Roman" w:cs="Times New Roman"/>
                <w:color w:val="auto"/>
                <w:highlight w:val="none"/>
              </w:rPr>
              <w:t>，防止可能产生的</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泄漏事故</w:t>
            </w:r>
            <w:r>
              <w:rPr>
                <w:rFonts w:hint="eastAsia" w:ascii="Times New Roman" w:hAnsi="Times New Roman" w:cs="Times New Roman"/>
                <w:color w:val="auto"/>
                <w:highlight w:val="none"/>
              </w:rPr>
              <w:t>，</w:t>
            </w:r>
            <w:r>
              <w:rPr>
                <w:rFonts w:ascii="Times New Roman" w:hAnsi="Times New Roman" w:cs="Times New Roman"/>
                <w:color w:val="auto"/>
                <w:highlight w:val="none"/>
              </w:rPr>
              <w:t>要将污染物泄漏、渗漏污染地下水的环境风险降到最低程度。</w:t>
            </w:r>
          </w:p>
          <w:p w14:paraId="4A4D5272">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项目整个贮存区进行优化方向处理。按照防渗标准要求进行合理设计，建立防渗设施的检漏系统，防止污染物的跑、冒、滴、漏，将污染物泄漏的环境风险事故降到最低限度。</w:t>
            </w:r>
          </w:p>
          <w:p w14:paraId="5A46CAFB">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（二）</w:t>
            </w:r>
            <w:r>
              <w:rPr>
                <w:rFonts w:ascii="Times New Roman" w:hAnsi="Times New Roman" w:cs="Times New Roman"/>
                <w:color w:val="auto"/>
                <w:highlight w:val="none"/>
              </w:rPr>
              <w:t>末端防治</w:t>
            </w:r>
          </w:p>
          <w:p w14:paraId="27A8332E">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主要</w:t>
            </w:r>
            <w:r>
              <w:rPr>
                <w:rFonts w:hint="eastAsia" w:ascii="Times New Roman" w:hAnsi="Times New Roman" w:cs="Times New Roman"/>
                <w:color w:val="auto"/>
                <w:highlight w:val="none"/>
              </w:rPr>
              <w:t>为</w:t>
            </w:r>
            <w:r>
              <w:rPr>
                <w:rFonts w:hint="eastAsia" w:ascii="Times New Roman" w:hAnsi="Times New Roman" w:cs="Times New Roman"/>
                <w:color w:val="auto"/>
                <w:highlight w:val="none"/>
                <w:lang w:val="en-US" w:eastAsia="zh-CN"/>
              </w:rPr>
              <w:t>钢架</w:t>
            </w:r>
            <w:r>
              <w:rPr>
                <w:rFonts w:hint="eastAsia" w:ascii="Times New Roman" w:hAnsi="Times New Roman" w:cs="Times New Roman"/>
                <w:color w:val="auto"/>
                <w:highlight w:val="none"/>
              </w:rPr>
              <w:t>结构危废暂存间</w:t>
            </w:r>
            <w:r>
              <w:rPr>
                <w:rFonts w:ascii="Times New Roman" w:hAnsi="Times New Roman" w:cs="Times New Roman"/>
                <w:color w:val="auto"/>
                <w:highlight w:val="none"/>
              </w:rPr>
              <w:t>的防渗措施和泄漏、渗漏污染物收集措施等，针对本工程特点，本工程</w:t>
            </w:r>
            <w:r>
              <w:rPr>
                <w:rFonts w:hint="eastAsia" w:hAnsi="宋体"/>
                <w:bCs/>
                <w:color w:val="auto"/>
                <w:szCs w:val="20"/>
                <w:highlight w:val="none"/>
              </w:rPr>
              <w:t>场区</w:t>
            </w:r>
            <w:r>
              <w:rPr>
                <w:rFonts w:ascii="Times New Roman" w:hAnsi="Times New Roman" w:cs="Times New Roman"/>
                <w:color w:val="auto"/>
                <w:highlight w:val="none"/>
              </w:rPr>
              <w:t>分区建设、分区防控。本环评要求采取各项环保治理措施，</w:t>
            </w:r>
            <w:r>
              <w:rPr>
                <w:rFonts w:hint="eastAsia" w:ascii="Times New Roman" w:hAnsi="Times New Roman" w:cs="Times New Roman"/>
                <w:color w:val="auto"/>
                <w:highlight w:val="none"/>
              </w:rPr>
              <w:t>危废暂存间</w:t>
            </w:r>
            <w:r>
              <w:rPr>
                <w:rFonts w:ascii="Times New Roman" w:hAnsi="Times New Roman" w:cs="Times New Roman"/>
                <w:color w:val="auto"/>
                <w:highlight w:val="none"/>
              </w:rPr>
              <w:t>，包括</w:t>
            </w:r>
            <w:r>
              <w:rPr>
                <w:rFonts w:hint="eastAsia" w:ascii="Times New Roman" w:hAnsi="Times New Roman" w:cs="Times New Roman"/>
                <w:color w:val="auto"/>
                <w:highlight w:val="none"/>
              </w:rPr>
              <w:t>贮存</w:t>
            </w:r>
            <w:r>
              <w:rPr>
                <w:rFonts w:ascii="Times New Roman" w:hAnsi="Times New Roman" w:cs="Times New Roman"/>
                <w:color w:val="auto"/>
                <w:highlight w:val="none"/>
              </w:rPr>
              <w:t>区、泄漏液收集系统等加强防渗处理，可有效杜绝各种污染物下渗对地下水造成的污染。因此，本项目对</w:t>
            </w:r>
            <w:r>
              <w:rPr>
                <w:rFonts w:hint="eastAsia" w:hAnsi="宋体"/>
                <w:bCs/>
                <w:color w:val="auto"/>
                <w:szCs w:val="20"/>
                <w:highlight w:val="none"/>
              </w:rPr>
              <w:t>场区</w:t>
            </w:r>
            <w:r>
              <w:rPr>
                <w:rFonts w:ascii="Times New Roman" w:hAnsi="Times New Roman" w:cs="Times New Roman"/>
                <w:color w:val="auto"/>
                <w:highlight w:val="none"/>
              </w:rPr>
              <w:t>周围地下水影响较小。</w:t>
            </w:r>
          </w:p>
          <w:p w14:paraId="1A6E5C58">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1）</w:t>
            </w:r>
            <w:r>
              <w:rPr>
                <w:rFonts w:ascii="Times New Roman" w:hAnsi="Times New Roman" w:cs="Times New Roman"/>
                <w:color w:val="auto"/>
                <w:highlight w:val="none"/>
              </w:rPr>
              <w:t>防渗措施：</w:t>
            </w:r>
          </w:p>
          <w:p w14:paraId="1D5BBBBC">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钢架</w:t>
            </w:r>
            <w:r>
              <w:rPr>
                <w:rFonts w:hint="eastAsia" w:ascii="Times New Roman" w:hAnsi="Times New Roman" w:cs="Times New Roman"/>
                <w:color w:val="auto"/>
                <w:highlight w:val="none"/>
              </w:rPr>
              <w:t>结构危废暂存间</w:t>
            </w:r>
            <w:r>
              <w:rPr>
                <w:rFonts w:ascii="Times New Roman" w:hAnsi="Times New Roman" w:cs="Times New Roman"/>
                <w:color w:val="auto"/>
                <w:highlight w:val="none"/>
              </w:rPr>
              <w:t>为重点防渗区。为防止</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滴落对地下水造成污染，项目应对照《危险废物贮存污染控制标准》（GB18597-20</w:t>
            </w:r>
            <w:r>
              <w:rPr>
                <w:rFonts w:hint="eastAsia" w:ascii="Times New Roman" w:hAnsi="Times New Roman" w:cs="Times New Roman"/>
                <w:color w:val="auto"/>
                <w:highlight w:val="none"/>
              </w:rPr>
              <w:t>23</w:t>
            </w:r>
            <w:r>
              <w:rPr>
                <w:rFonts w:ascii="Times New Roman" w:hAnsi="Times New Roman" w:cs="Times New Roman"/>
                <w:color w:val="auto"/>
                <w:highlight w:val="none"/>
              </w:rPr>
              <w:t>）防渗技术要求对场区内重点防渗区、一般防渗区采取针对性防渗措施，具体措施如下：</w:t>
            </w:r>
          </w:p>
          <w:p w14:paraId="348FD78A">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①重点防渗区应严格按照《危险废物贮存污染控制标准》（GB18597-20</w:t>
            </w:r>
            <w:r>
              <w:rPr>
                <w:rFonts w:hint="eastAsia" w:ascii="Times New Roman" w:hAnsi="Times New Roman" w:cs="Times New Roman"/>
                <w:color w:val="auto"/>
                <w:highlight w:val="none"/>
              </w:rPr>
              <w:t>23</w:t>
            </w:r>
            <w:r>
              <w:rPr>
                <w:rFonts w:ascii="Times New Roman" w:hAnsi="Times New Roman" w:cs="Times New Roman"/>
                <w:color w:val="auto"/>
                <w:highlight w:val="none"/>
              </w:rPr>
              <w:t>）要求进行重点防渗处理，保证以上构筑物地面及池壁渗透系数不大于1.0×10</w:t>
            </w:r>
            <w:r>
              <w:rPr>
                <w:rFonts w:ascii="Times New Roman" w:hAnsi="Times New Roman" w:cs="Times New Roman"/>
                <w:color w:val="auto"/>
                <w:highlight w:val="none"/>
                <w:vertAlign w:val="superscript"/>
              </w:rPr>
              <w:t>-</w:t>
            </w:r>
            <w:r>
              <w:rPr>
                <w:rFonts w:hint="eastAsia" w:ascii="Times New Roman" w:hAnsi="Times New Roman" w:cs="Times New Roman"/>
                <w:color w:val="auto"/>
                <w:highlight w:val="none"/>
                <w:vertAlign w:val="superscript"/>
              </w:rPr>
              <w:t>10</w:t>
            </w:r>
            <w:r>
              <w:rPr>
                <w:rFonts w:ascii="Times New Roman" w:hAnsi="Times New Roman" w:cs="Times New Roman"/>
                <w:color w:val="auto"/>
                <w:highlight w:val="none"/>
              </w:rPr>
              <w:t>cm/s，防止物料跑冒滴漏下渗污染地下水。</w:t>
            </w:r>
          </w:p>
          <w:p w14:paraId="34599D88">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②</w:t>
            </w:r>
            <w:r>
              <w:rPr>
                <w:rFonts w:hint="eastAsia" w:ascii="Times New Roman" w:hAnsi="Times New Roman" w:cs="Times New Roman"/>
                <w:color w:val="auto"/>
                <w:highlight w:val="none"/>
                <w:lang w:val="en-US" w:eastAsia="zh-CN"/>
              </w:rPr>
              <w:t>钢架</w:t>
            </w:r>
            <w:r>
              <w:rPr>
                <w:rFonts w:hint="eastAsia" w:ascii="Times New Roman" w:hAnsi="Times New Roman" w:cs="Times New Roman"/>
                <w:color w:val="auto"/>
                <w:highlight w:val="none"/>
              </w:rPr>
              <w:t>结构危废暂存间</w:t>
            </w:r>
            <w:r>
              <w:rPr>
                <w:rFonts w:ascii="Times New Roman" w:hAnsi="Times New Roman" w:cs="Times New Roman"/>
                <w:color w:val="auto"/>
                <w:highlight w:val="none"/>
              </w:rPr>
              <w:t>的建设应严格</w:t>
            </w:r>
            <w:r>
              <w:rPr>
                <w:rFonts w:hint="eastAsia" w:ascii="Times New Roman" w:hAnsi="Times New Roman" w:cs="Times New Roman"/>
                <w:color w:val="auto"/>
                <w:highlight w:val="none"/>
                <w:lang w:eastAsia="zh-CN"/>
              </w:rPr>
              <w:t>按照</w:t>
            </w:r>
            <w:r>
              <w:rPr>
                <w:rFonts w:ascii="Times New Roman" w:hAnsi="Times New Roman" w:cs="Times New Roman"/>
                <w:color w:val="auto"/>
                <w:highlight w:val="none"/>
              </w:rPr>
              <w:t>《危险废物贮存污染控制标准》（GB18597-20</w:t>
            </w:r>
            <w:r>
              <w:rPr>
                <w:rFonts w:hint="eastAsia" w:ascii="Times New Roman" w:hAnsi="Times New Roman" w:cs="Times New Roman"/>
                <w:color w:val="auto"/>
                <w:highlight w:val="none"/>
              </w:rPr>
              <w:t>23</w:t>
            </w:r>
            <w:r>
              <w:rPr>
                <w:rFonts w:ascii="Times New Roman" w:hAnsi="Times New Roman" w:cs="Times New Roman"/>
                <w:color w:val="auto"/>
                <w:highlight w:val="none"/>
              </w:rPr>
              <w:t>）要求采取防风、防雨、防晒措施，采取全封闭结构；</w:t>
            </w:r>
            <w:r>
              <w:rPr>
                <w:rFonts w:hint="eastAsia" w:ascii="Times New Roman" w:hAnsi="Times New Roman" w:cs="Times New Roman"/>
                <w:color w:val="auto"/>
                <w:highlight w:val="none"/>
                <w:lang w:val="en-US" w:eastAsia="zh-CN"/>
              </w:rPr>
              <w:t>表面防渗材料应与所接触的物料或污染物相容，可采用抗渗混凝土、高密度聚乙烯膜、钠基膨润土防水毯或其他防渗性能等效的材料。</w:t>
            </w:r>
          </w:p>
          <w:p w14:paraId="32AA37D4">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本项目防渗工程具体防渗技术要求见表</w:t>
            </w:r>
            <w:r>
              <w:rPr>
                <w:rFonts w:hint="eastAsia" w:ascii="Times New Roman" w:hAnsi="Times New Roman" w:cs="Times New Roman"/>
                <w:color w:val="auto"/>
                <w:highlight w:val="none"/>
              </w:rPr>
              <w:t>2</w:t>
            </w: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t>。</w:t>
            </w:r>
          </w:p>
          <w:p w14:paraId="26C4C752">
            <w:pPr>
              <w:snapToGrid w:val="0"/>
              <w:spacing w:line="360" w:lineRule="auto"/>
              <w:jc w:val="center"/>
              <w:rPr>
                <w:rFonts w:ascii="Times New Roman" w:hAnsi="Times New Roman" w:cs="Times New Roman"/>
                <w:b/>
                <w:bCs/>
                <w:color w:val="auto"/>
                <w:highlight w:val="none"/>
              </w:rPr>
            </w:pPr>
            <w:r>
              <w:rPr>
                <w:rFonts w:ascii="Times New Roman" w:hAnsi="Times New Roman" w:cs="Times New Roman"/>
                <w:b/>
                <w:bCs/>
                <w:color w:val="auto"/>
                <w:highlight w:val="none"/>
              </w:rPr>
              <w:t>表</w:t>
            </w:r>
            <w:r>
              <w:rPr>
                <w:rFonts w:hint="eastAsia" w:ascii="Times New Roman" w:hAnsi="Times New Roman" w:cs="Times New Roman"/>
                <w:b/>
                <w:bCs/>
                <w:color w:val="auto"/>
                <w:highlight w:val="none"/>
              </w:rPr>
              <w:t>2</w:t>
            </w:r>
            <w:r>
              <w:rPr>
                <w:rFonts w:hint="eastAsia" w:ascii="Times New Roman" w:hAnsi="Times New Roman" w:cs="Times New Roman"/>
                <w:b/>
                <w:bCs/>
                <w:color w:val="auto"/>
                <w:highlight w:val="none"/>
                <w:lang w:val="en-US" w:eastAsia="zh-CN"/>
              </w:rPr>
              <w:t>2</w:t>
            </w:r>
            <w:r>
              <w:rPr>
                <w:rFonts w:hint="eastAsia" w:ascii="Times New Roman" w:hAnsi="Times New Roman" w:cs="Times New Roman"/>
                <w:b/>
                <w:bCs/>
                <w:color w:val="auto"/>
                <w:highlight w:val="none"/>
              </w:rPr>
              <w:t xml:space="preserve"> </w:t>
            </w:r>
            <w:r>
              <w:rPr>
                <w:rFonts w:ascii="Times New Roman" w:hAnsi="Times New Roman" w:cs="Times New Roman"/>
                <w:b/>
                <w:bCs/>
                <w:color w:val="auto"/>
                <w:highlight w:val="none"/>
              </w:rPr>
              <w:t xml:space="preserve"> 防渗技术要求对照表</w:t>
            </w:r>
          </w:p>
          <w:tbl>
            <w:tblPr>
              <w:tblStyle w:val="24"/>
              <w:tblW w:w="4999"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2"/>
              <w:gridCol w:w="1405"/>
              <w:gridCol w:w="5550"/>
            </w:tblGrid>
            <w:tr w14:paraId="0AA12B6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trPr>
              <w:tc>
                <w:tcPr>
                  <w:tcW w:w="732" w:type="pct"/>
                  <w:tcBorders>
                    <w:tl2br w:val="nil"/>
                    <w:tr2bl w:val="nil"/>
                  </w:tcBorders>
                  <w:noWrap/>
                  <w:vAlign w:val="center"/>
                </w:tcPr>
                <w:p w14:paraId="5214F004">
                  <w:pPr>
                    <w:keepNext w:val="0"/>
                    <w:keepLines w:val="0"/>
                    <w:pageBreakBefore w:val="0"/>
                    <w:widowControl w:val="0"/>
                    <w:kinsoku/>
                    <w:wordWrap/>
                    <w:overflowPunct/>
                    <w:topLinePunct w:val="0"/>
                    <w:autoSpaceDE/>
                    <w:autoSpaceDN/>
                    <w:bidi w:val="0"/>
                    <w:adjustRightInd/>
                    <w:snapToGrid w:val="0"/>
                    <w:spacing w:line="48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防渗类别</w:t>
                  </w:r>
                </w:p>
              </w:tc>
              <w:tc>
                <w:tcPr>
                  <w:tcW w:w="862" w:type="pct"/>
                  <w:tcBorders>
                    <w:tl2br w:val="nil"/>
                    <w:tr2bl w:val="nil"/>
                  </w:tcBorders>
                  <w:noWrap/>
                  <w:vAlign w:val="center"/>
                </w:tcPr>
                <w:p w14:paraId="1E0FE96E">
                  <w:pPr>
                    <w:keepNext w:val="0"/>
                    <w:keepLines w:val="0"/>
                    <w:pageBreakBefore w:val="0"/>
                    <w:widowControl w:val="0"/>
                    <w:kinsoku/>
                    <w:wordWrap/>
                    <w:overflowPunct/>
                    <w:topLinePunct w:val="0"/>
                    <w:autoSpaceDE/>
                    <w:autoSpaceDN/>
                    <w:bidi w:val="0"/>
                    <w:adjustRightInd/>
                    <w:snapToGrid w:val="0"/>
                    <w:spacing w:line="48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防渗区域</w:t>
                  </w:r>
                </w:p>
              </w:tc>
              <w:tc>
                <w:tcPr>
                  <w:tcW w:w="3405" w:type="pct"/>
                  <w:tcBorders>
                    <w:tl2br w:val="nil"/>
                    <w:tr2bl w:val="nil"/>
                  </w:tcBorders>
                  <w:noWrap/>
                  <w:vAlign w:val="center"/>
                </w:tcPr>
                <w:p w14:paraId="1616ECDC">
                  <w:pPr>
                    <w:keepNext w:val="0"/>
                    <w:keepLines w:val="0"/>
                    <w:pageBreakBefore w:val="0"/>
                    <w:widowControl w:val="0"/>
                    <w:kinsoku/>
                    <w:wordWrap/>
                    <w:overflowPunct/>
                    <w:topLinePunct w:val="0"/>
                    <w:autoSpaceDE/>
                    <w:autoSpaceDN/>
                    <w:bidi w:val="0"/>
                    <w:adjustRightInd/>
                    <w:snapToGrid w:val="0"/>
                    <w:spacing w:line="48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《危险废物贮存污染控制标准》（GB18597-2023）</w:t>
                  </w:r>
                </w:p>
              </w:tc>
            </w:tr>
            <w:tr w14:paraId="2EE86FB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1" w:hRule="atLeast"/>
              </w:trPr>
              <w:tc>
                <w:tcPr>
                  <w:tcW w:w="732" w:type="pct"/>
                  <w:tcBorders>
                    <w:tl2br w:val="nil"/>
                    <w:tr2bl w:val="nil"/>
                  </w:tcBorders>
                  <w:noWrap/>
                  <w:vAlign w:val="center"/>
                </w:tcPr>
                <w:p w14:paraId="0D3C2D6C">
                  <w:pPr>
                    <w:keepNext w:val="0"/>
                    <w:keepLines w:val="0"/>
                    <w:pageBreakBefore w:val="0"/>
                    <w:widowControl w:val="0"/>
                    <w:kinsoku/>
                    <w:wordWrap/>
                    <w:overflowPunct/>
                    <w:topLinePunct w:val="0"/>
                    <w:autoSpaceDE/>
                    <w:autoSpaceDN/>
                    <w:bidi w:val="0"/>
                    <w:adjustRightInd/>
                    <w:snapToGrid w:val="0"/>
                    <w:spacing w:line="48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重点防渗区</w:t>
                  </w:r>
                </w:p>
              </w:tc>
              <w:tc>
                <w:tcPr>
                  <w:tcW w:w="862" w:type="pct"/>
                  <w:tcBorders>
                    <w:tl2br w:val="nil"/>
                    <w:tr2bl w:val="nil"/>
                  </w:tcBorders>
                  <w:noWrap/>
                  <w:vAlign w:val="center"/>
                </w:tcPr>
                <w:p w14:paraId="7AA46784">
                  <w:pPr>
                    <w:keepNext w:val="0"/>
                    <w:keepLines w:val="0"/>
                    <w:pageBreakBefore w:val="0"/>
                    <w:widowControl w:val="0"/>
                    <w:kinsoku/>
                    <w:wordWrap/>
                    <w:overflowPunct/>
                    <w:topLinePunct w:val="0"/>
                    <w:autoSpaceDE/>
                    <w:autoSpaceDN/>
                    <w:bidi w:val="0"/>
                    <w:adjustRightInd/>
                    <w:snapToGrid w:val="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钢</w:t>
                  </w:r>
                  <w:r>
                    <w:rPr>
                      <w:rFonts w:hint="default" w:ascii="Times New Roman" w:hAnsi="Times New Roman" w:eastAsia="宋体" w:cs="Times New Roman"/>
                      <w:color w:val="auto"/>
                      <w:sz w:val="21"/>
                      <w:szCs w:val="21"/>
                      <w:highlight w:val="none"/>
                    </w:rPr>
                    <w:t>结构危废暂存间</w:t>
                  </w:r>
                </w:p>
              </w:tc>
              <w:tc>
                <w:tcPr>
                  <w:tcW w:w="3405" w:type="pct"/>
                  <w:tcBorders>
                    <w:tl2br w:val="nil"/>
                    <w:tr2bl w:val="nil"/>
                  </w:tcBorders>
                  <w:noWrap/>
                  <w:vAlign w:val="center"/>
                </w:tcPr>
                <w:p w14:paraId="17405E23">
                  <w:pPr>
                    <w:keepNext w:val="0"/>
                    <w:keepLines w:val="0"/>
                    <w:pageBreakBefore w:val="0"/>
                    <w:widowControl w:val="0"/>
                    <w:kinsoku/>
                    <w:wordWrap/>
                    <w:overflowPunct/>
                    <w:topLinePunct w:val="0"/>
                    <w:autoSpaceDE/>
                    <w:autoSpaceDN/>
                    <w:bidi w:val="0"/>
                    <w:adjustRightInd/>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在危废暂存间内通过贮存分区方式贮存液态危险废物的，具有液体泄漏堵截设施，堵截设施最小容积不低于对应贮存区域废</w:t>
                  </w:r>
                  <w:r>
                    <w:rPr>
                      <w:rFonts w:hint="eastAsia" w:ascii="Times New Roman" w:hAnsi="Times New Roman" w:cs="Times New Roman"/>
                      <w:color w:val="auto"/>
                      <w:sz w:val="21"/>
                      <w:szCs w:val="21"/>
                      <w:highlight w:val="none"/>
                      <w:lang w:val="en-US" w:eastAsia="zh-CN"/>
                    </w:rPr>
                    <w:t>铁</w:t>
                  </w:r>
                  <w:r>
                    <w:rPr>
                      <w:rFonts w:hint="default" w:ascii="Times New Roman" w:hAnsi="Times New Roman" w:cs="Times New Roman"/>
                      <w:color w:val="auto"/>
                      <w:sz w:val="21"/>
                      <w:szCs w:val="21"/>
                      <w:highlight w:val="none"/>
                      <w:lang w:val="en-US" w:eastAsia="zh-CN"/>
                    </w:rPr>
                    <w:t>油桶体积200L，地面向导流槽方向设3°倾斜收集</w:t>
                  </w:r>
                  <w:r>
                    <w:rPr>
                      <w:rFonts w:hint="eastAsia" w:ascii="Times New Roman" w:hAnsi="Times New Roman" w:cs="Times New Roman"/>
                      <w:color w:val="auto"/>
                      <w:sz w:val="21"/>
                      <w:szCs w:val="21"/>
                      <w:highlight w:val="none"/>
                      <w:lang w:val="en-US" w:eastAsia="zh-CN"/>
                    </w:rPr>
                    <w:t>池最</w:t>
                  </w:r>
                  <w:r>
                    <w:rPr>
                      <w:rFonts w:hint="default" w:ascii="Times New Roman" w:hAnsi="Times New Roman" w:cs="Times New Roman"/>
                      <w:color w:val="auto"/>
                      <w:sz w:val="21"/>
                      <w:szCs w:val="21"/>
                      <w:highlight w:val="none"/>
                      <w:lang w:val="en-US" w:eastAsia="zh-CN"/>
                    </w:rPr>
                    <w:t>小容积不低于200L，设置50cm高裙角。危废暂存间四周设置50cm高的裙角，地面结构为钢板+涂胶+覆2mm厚HDPE膜+胶垫；裙角、收集池及导流槽采取2mm厚HDPE土工膜防渗，渗透系数≤10</w:t>
                  </w:r>
                  <w:r>
                    <w:rPr>
                      <w:rFonts w:hint="default" w:ascii="Times New Roman" w:hAnsi="Times New Roman" w:cs="Times New Roman"/>
                      <w:color w:val="auto"/>
                      <w:sz w:val="21"/>
                      <w:szCs w:val="21"/>
                      <w:highlight w:val="none"/>
                      <w:vertAlign w:val="superscript"/>
                      <w:lang w:val="en-US" w:eastAsia="zh-CN"/>
                    </w:rPr>
                    <w:t>-10</w:t>
                  </w:r>
                  <w:r>
                    <w:rPr>
                      <w:rFonts w:hint="default" w:ascii="Times New Roman" w:hAnsi="Times New Roman" w:cs="Times New Roman"/>
                      <w:color w:val="auto"/>
                      <w:sz w:val="21"/>
                      <w:szCs w:val="21"/>
                      <w:highlight w:val="none"/>
                      <w:lang w:val="en-US" w:eastAsia="zh-CN"/>
                    </w:rPr>
                    <w:t>cm/s。危废库设置危废转运台账、强制通风设施、防爆灯、观察窗。</w:t>
                  </w:r>
                </w:p>
              </w:tc>
            </w:tr>
          </w:tbl>
          <w:p w14:paraId="38625C0C">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2）</w:t>
            </w:r>
            <w:r>
              <w:rPr>
                <w:rFonts w:ascii="Times New Roman" w:hAnsi="Times New Roman" w:cs="Times New Roman"/>
                <w:color w:val="auto"/>
                <w:highlight w:val="none"/>
              </w:rPr>
              <w:t>防渗设计：</w:t>
            </w:r>
          </w:p>
          <w:p w14:paraId="7F4AF634">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①重点防渗区</w:t>
            </w:r>
          </w:p>
          <w:p w14:paraId="1BCF1654">
            <w:pPr>
              <w:snapToGrid w:val="0"/>
              <w:spacing w:line="360" w:lineRule="auto"/>
              <w:ind w:firstLine="480" w:firstLineChars="200"/>
              <w:rPr>
                <w:rFonts w:ascii="Times New Roman" w:hAnsi="Times New Roman" w:cs="Times New Roman"/>
                <w:color w:val="auto"/>
                <w:highlight w:val="none"/>
                <w:vertAlign w:val="baseline"/>
              </w:rPr>
            </w:pPr>
            <w:r>
              <w:rPr>
                <w:rFonts w:ascii="Times New Roman" w:hAnsi="Times New Roman" w:cs="Times New Roman"/>
                <w:color w:val="auto"/>
                <w:highlight w:val="none"/>
              </w:rPr>
              <w:t>本次新建危废暂存间，</w:t>
            </w:r>
            <w:r>
              <w:rPr>
                <w:rFonts w:hint="eastAsia" w:ascii="Times New Roman" w:hAnsi="Times New Roman" w:cs="Times New Roman"/>
                <w:color w:val="auto"/>
                <w:highlight w:val="none"/>
                <w:vertAlign w:val="baseline"/>
                <w:lang w:val="en-US" w:eastAsia="zh-CN"/>
              </w:rPr>
              <w:t>建筑面积为50m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vertAlign w:val="baseline"/>
                <w:lang w:val="en-US" w:eastAsia="zh-CN"/>
              </w:rPr>
              <w:t>，钢架结构。用于存放废矿物油和废油桶。暂存间进行分区存放，厂内产生的废矿物油存放于废铁油桶内，加盖密封，放置在防渗漏的托盘上，存放在危废间东北侧；废油桶加盖密封，并放置在防渗漏的托盘上，存放在危废间西侧；暂存间四周铺设导流槽（导流槽尺寸为宽15cm，深15cm），地面向导流槽方向设3°倾斜，防渗集液池位于危废暂存间西南角地下，集液池深度为0.5m，集液池内放置一个体积0.3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的收集桶；危废暂存间四周设置50cm高的裙角，地面结构为钢板+涂胶+覆2mm厚HDPE膜+胶垫；裙角、收集池及导流槽采取2mm厚HDPE土工膜防渗，渗透系数≤10</w:t>
            </w:r>
            <w:r>
              <w:rPr>
                <w:rFonts w:hint="eastAsia" w:ascii="Times New Roman" w:hAnsi="Times New Roman" w:cs="Times New Roman"/>
                <w:color w:val="auto"/>
                <w:highlight w:val="none"/>
                <w:vertAlign w:val="superscript"/>
                <w:lang w:val="en-US" w:eastAsia="zh-CN"/>
              </w:rPr>
              <w:t>-10</w:t>
            </w:r>
            <w:r>
              <w:rPr>
                <w:rFonts w:hint="eastAsia" w:ascii="Times New Roman" w:hAnsi="Times New Roman" w:cs="Times New Roman"/>
                <w:color w:val="auto"/>
                <w:highlight w:val="none"/>
                <w:vertAlign w:val="baseline"/>
                <w:lang w:val="en-US" w:eastAsia="zh-CN"/>
              </w:rPr>
              <w:t>cm/s。危废库设置危废转运台账、强制通风设施、防爆灯、观察窗。</w:t>
            </w:r>
          </w:p>
          <w:p w14:paraId="4DD940FB">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本项目在施工过程中，可直接按本环评防渗设计施工建设，也可根据实际情况采取针对性的防渗措施，其防渗技术要求满足《危险废物贮存污染控制标准》（GB18597-20</w:t>
            </w:r>
            <w:r>
              <w:rPr>
                <w:rFonts w:hint="eastAsia" w:ascii="Times New Roman" w:hAnsi="Times New Roman" w:cs="Times New Roman"/>
                <w:color w:val="auto"/>
                <w:highlight w:val="none"/>
              </w:rPr>
              <w:t>23</w:t>
            </w:r>
            <w:r>
              <w:rPr>
                <w:rFonts w:ascii="Times New Roman" w:hAnsi="Times New Roman" w:cs="Times New Roman"/>
                <w:color w:val="auto"/>
                <w:highlight w:val="none"/>
              </w:rPr>
              <w:t>）防渗技术要求。</w:t>
            </w:r>
          </w:p>
          <w:p w14:paraId="66A6DBC4">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（三）</w:t>
            </w:r>
            <w:r>
              <w:rPr>
                <w:rFonts w:ascii="Times New Roman" w:hAnsi="Times New Roman" w:cs="Times New Roman"/>
                <w:color w:val="auto"/>
                <w:highlight w:val="none"/>
              </w:rPr>
              <w:t>应急响应</w:t>
            </w:r>
          </w:p>
          <w:p w14:paraId="2F878DEA">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结合本项目情况，现有工程环境风险应急预案体系将本项目一并纳入，统筹进行考虑，无需单独编制应急预案。</w:t>
            </w:r>
            <w:r>
              <w:rPr>
                <w:rFonts w:ascii="Times New Roman" w:hAnsi="Times New Roman" w:cs="Times New Roman"/>
                <w:color w:val="auto"/>
                <w:highlight w:val="none"/>
              </w:rPr>
              <w:t>明确污染状况下应采取的控制污染源、切断污染途径等措施。及时发现地下水污染事故，启动应急预案，采取应急措施控制地下水污染，并使污染得到治理。</w:t>
            </w:r>
          </w:p>
          <w:p w14:paraId="5E6AF09E">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①一旦地下水监测过程</w:t>
            </w:r>
            <w:r>
              <w:rPr>
                <w:rFonts w:hint="eastAsia" w:ascii="Times New Roman" w:hAnsi="Times New Roman" w:cs="Times New Roman"/>
                <w:color w:val="auto"/>
                <w:highlight w:val="none"/>
                <w:lang w:eastAsia="zh-CN"/>
              </w:rPr>
              <w:t>检测</w:t>
            </w:r>
            <w:r>
              <w:rPr>
                <w:rFonts w:ascii="Times New Roman" w:hAnsi="Times New Roman" w:cs="Times New Roman"/>
                <w:color w:val="auto"/>
                <w:highlight w:val="none"/>
              </w:rPr>
              <w:t>出地下水受到污染或一旦发现防渗层发生破裂污染地下水，立即对渗漏处进行封堵，清理污染源。</w:t>
            </w:r>
          </w:p>
          <w:p w14:paraId="0EA91B0A">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②立即通知下游居民停止取水，并立即对可能受到污染的水源井采水化验，直至地下水污染物消除之后方可继续取水。在停水期间，企业应及时制定供水方案为不能取水的居民供给生活用水。</w:t>
            </w:r>
          </w:p>
          <w:p w14:paraId="07ECDA10">
            <w:pPr>
              <w:snapToGrid w:val="0"/>
              <w:spacing w:line="360" w:lineRule="auto"/>
              <w:ind w:firstLine="480" w:firstLineChars="200"/>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6</w:t>
            </w:r>
            <w:r>
              <w:rPr>
                <w:rFonts w:ascii="Times New Roman" w:hAnsi="Times New Roman" w:eastAsia="黑体" w:cs="Times New Roman"/>
                <w:color w:val="auto"/>
                <w:highlight w:val="none"/>
              </w:rPr>
              <w:t>、</w:t>
            </w:r>
            <w:r>
              <w:rPr>
                <w:rFonts w:hint="eastAsia" w:ascii="Times New Roman" w:hAnsi="Times New Roman" w:eastAsia="黑体" w:cs="Times New Roman"/>
                <w:color w:val="auto"/>
                <w:highlight w:val="none"/>
              </w:rPr>
              <w:t>土壤</w:t>
            </w:r>
            <w:r>
              <w:rPr>
                <w:rFonts w:ascii="Times New Roman" w:hAnsi="Times New Roman" w:eastAsia="黑体" w:cs="Times New Roman"/>
                <w:color w:val="auto"/>
                <w:highlight w:val="none"/>
              </w:rPr>
              <w:t>环境影响分析</w:t>
            </w:r>
          </w:p>
          <w:p w14:paraId="71349FC4">
            <w:pPr>
              <w:snapToGrid w:val="0"/>
              <w:spacing w:line="360" w:lineRule="auto"/>
              <w:ind w:firstLine="480" w:firstLineChars="200"/>
              <w:rPr>
                <w:rFonts w:ascii="Times New Roman" w:hAnsi="Times New Roman" w:cs="宋体"/>
                <w:bCs/>
                <w:color w:val="auto"/>
                <w:highlight w:val="none"/>
              </w:rPr>
            </w:pPr>
            <w:r>
              <w:rPr>
                <w:rFonts w:hint="eastAsia" w:ascii="Times New Roman" w:hAnsi="Times New Roman" w:cs="宋体"/>
                <w:bCs/>
                <w:color w:val="auto"/>
                <w:highlight w:val="none"/>
              </w:rPr>
              <w:t>项目运营期间储存的废矿物油，由危废暂存间交由有资质单位处理处置。</w:t>
            </w:r>
          </w:p>
          <w:p w14:paraId="575F47F2">
            <w:pPr>
              <w:pStyle w:val="30"/>
              <w:snapToGrid w:val="0"/>
              <w:spacing w:line="360" w:lineRule="auto"/>
              <w:ind w:firstLine="480" w:firstLineChars="200"/>
              <w:rPr>
                <w:color w:val="auto"/>
                <w:highlight w:val="none"/>
              </w:rPr>
            </w:pPr>
            <w:r>
              <w:rPr>
                <w:color w:val="auto"/>
                <w:highlight w:val="none"/>
              </w:rPr>
              <w:t>土壤污染防治措施主要包括源头控制措施、过程控制措施。</w:t>
            </w:r>
          </w:p>
          <w:p w14:paraId="57897E8E">
            <w:pPr>
              <w:pStyle w:val="30"/>
              <w:snapToGrid w:val="0"/>
              <w:spacing w:line="360" w:lineRule="auto"/>
              <w:rPr>
                <w:rFonts w:hint="default" w:ascii="Times New Roman" w:hAnsi="Times New Roman" w:cs="Times New Roman"/>
                <w:color w:val="auto"/>
                <w:highlight w:val="none"/>
              </w:rPr>
            </w:pPr>
            <w:bookmarkStart w:id="4" w:name="6.2.6.1源头控制措施"/>
            <w:bookmarkEnd w:id="4"/>
            <w:r>
              <w:rPr>
                <w:rFonts w:hint="default" w:ascii="Times New Roman" w:hAnsi="Times New Roman" w:cs="Times New Roman"/>
                <w:color w:val="auto"/>
                <w:highlight w:val="none"/>
              </w:rPr>
              <w:t>（1）源头控制措施</w:t>
            </w:r>
          </w:p>
          <w:p w14:paraId="60F69C26">
            <w:pPr>
              <w:pStyle w:val="30"/>
              <w:snapToGrid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本项目土壤污染源头控制措施主要是减少项目固废污染物的产生及排放量。本环评报告主要提出如下措施：</w:t>
            </w:r>
          </w:p>
          <w:p w14:paraId="036E0A30">
            <w:pPr>
              <w:pStyle w:val="30"/>
              <w:snapToGrid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确保固废的处理处置量，严格固体废物合法合规处理处置。</w:t>
            </w:r>
          </w:p>
          <w:p w14:paraId="4ADC4486">
            <w:pPr>
              <w:pStyle w:val="30"/>
              <w:snapToGrid w:val="0"/>
              <w:spacing w:line="360" w:lineRule="auto"/>
              <w:rPr>
                <w:rFonts w:hint="default" w:ascii="Times New Roman" w:hAnsi="Times New Roman" w:cs="Times New Roman"/>
                <w:color w:val="auto"/>
                <w:highlight w:val="none"/>
              </w:rPr>
            </w:pPr>
            <w:bookmarkStart w:id="5" w:name="6.2.6.2过程控制措施"/>
            <w:bookmarkEnd w:id="5"/>
            <w:r>
              <w:rPr>
                <w:rFonts w:hint="default" w:ascii="Times New Roman" w:hAnsi="Times New Roman" w:cs="Times New Roman"/>
                <w:color w:val="auto"/>
                <w:highlight w:val="none"/>
              </w:rPr>
              <w:t>（2）过程控制措施</w:t>
            </w:r>
          </w:p>
          <w:p w14:paraId="395505F6">
            <w:pPr>
              <w:pStyle w:val="30"/>
              <w:snapToGrid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项目针对土壤污染的途径提出相应的过程控制措施：</w:t>
            </w:r>
          </w:p>
          <w:p w14:paraId="7FF11A13">
            <w:pPr>
              <w:pStyle w:val="30"/>
              <w:snapToGrid w:val="0"/>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废矿物油采用加盖</w:t>
            </w:r>
            <w:r>
              <w:rPr>
                <w:rFonts w:hint="eastAsia" w:ascii="Times New Roman" w:hAnsi="Times New Roman" w:cs="Times New Roman"/>
                <w:color w:val="auto"/>
                <w:highlight w:val="none"/>
                <w:lang w:val="en-US" w:eastAsia="zh-CN"/>
              </w:rPr>
              <w:t>铁</w:t>
            </w:r>
            <w:r>
              <w:rPr>
                <w:rFonts w:hint="default" w:ascii="Times New Roman" w:hAnsi="Times New Roman" w:cs="Times New Roman"/>
                <w:color w:val="auto"/>
                <w:highlight w:val="none"/>
              </w:rPr>
              <w:t>桶贮存，存放于危废暂存间内，采用密闭储存，定期委托有资质单位处理处置。</w:t>
            </w:r>
          </w:p>
          <w:p w14:paraId="1E99EACF">
            <w:pPr>
              <w:snapToGrid w:val="0"/>
              <w:spacing w:line="360" w:lineRule="auto"/>
              <w:ind w:firstLine="480" w:firstLineChars="200"/>
              <w:rPr>
                <w:rFonts w:ascii="Times New Roman" w:hAnsi="Times New Roman" w:eastAsia="黑体" w:cs="Times New Roman"/>
                <w:color w:val="auto"/>
                <w:highlight w:val="none"/>
              </w:rPr>
            </w:pPr>
            <w:r>
              <w:rPr>
                <w:rFonts w:hint="eastAsia" w:ascii="Times New Roman" w:hAnsi="Times New Roman" w:eastAsia="黑体" w:cs="Times New Roman"/>
                <w:color w:val="auto"/>
                <w:highlight w:val="none"/>
              </w:rPr>
              <w:t>7、环境风险分析</w:t>
            </w:r>
          </w:p>
          <w:p w14:paraId="0C427E73">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宋体"/>
                <w:color w:val="auto"/>
                <w:highlight w:val="none"/>
              </w:rPr>
              <w:t>根据</w:t>
            </w:r>
            <w:r>
              <w:rPr>
                <w:rFonts w:hint="eastAsia" w:ascii="Times New Roman" w:hAnsi="Times New Roman" w:cs="宋体"/>
                <w:color w:val="auto"/>
                <w:highlight w:val="none"/>
                <w:lang w:eastAsia="zh-CN"/>
              </w:rPr>
              <w:t>生态环境部</w:t>
            </w:r>
            <w:r>
              <w:rPr>
                <w:rFonts w:hint="eastAsia" w:ascii="Times New Roman" w:hAnsi="Times New Roman" w:cs="宋体"/>
                <w:color w:val="auto"/>
                <w:highlight w:val="none"/>
              </w:rPr>
              <w:t>2018年10月14日发布的《建设项目环境风险评价技术导则》（HJ169-2018）要求，对于涉及有毒有害和易燃易爆物质的生产、使用、贮运等建设、改建和技术改造项目进行环境风险评价。</w:t>
            </w:r>
            <w:r>
              <w:rPr>
                <w:rFonts w:ascii="Times New Roman" w:hAnsi="Times New Roman" w:cs="Times New Roman"/>
                <w:color w:val="auto"/>
                <w:highlight w:val="none"/>
              </w:rPr>
              <w:t>风险评价的目的是分析和预测建设项目存在的潜在危险、有害因素，项目建设和运行期间可预测</w:t>
            </w:r>
            <w:r>
              <w:rPr>
                <w:rFonts w:hint="eastAsia" w:ascii="Times New Roman" w:hAnsi="Times New Roman" w:cs="Times New Roman"/>
                <w:color w:val="auto"/>
                <w:highlight w:val="none"/>
                <w:lang w:eastAsia="zh-CN"/>
              </w:rPr>
              <w:t>突发性</w:t>
            </w:r>
            <w:r>
              <w:rPr>
                <w:rFonts w:ascii="Times New Roman" w:hAnsi="Times New Roman" w:cs="Times New Roman"/>
                <w:color w:val="auto"/>
                <w:highlight w:val="none"/>
              </w:rPr>
              <w:t>事故（一般不包括人为破坏及自然灾害），引起有毒有害和易燃易爆等物质泄漏，或突发事件产生的新的有毒有害物质，所造成的人身安全与环境的影响和损害，提出防范、应急与减缓措施。</w:t>
            </w:r>
          </w:p>
          <w:p w14:paraId="125C92AD">
            <w:pPr>
              <w:snapToGrid w:val="0"/>
              <w:spacing w:line="360" w:lineRule="auto"/>
              <w:ind w:firstLine="482" w:firstLineChars="200"/>
              <w:rPr>
                <w:rFonts w:ascii="Times New Roman" w:hAnsi="Times New Roman" w:cs="Times New Roman"/>
                <w:b/>
                <w:bCs/>
                <w:color w:val="auto"/>
                <w:highlight w:val="none"/>
              </w:rPr>
            </w:pPr>
            <w:r>
              <w:rPr>
                <w:rFonts w:ascii="Times New Roman" w:hAnsi="Times New Roman" w:cs="Times New Roman"/>
                <w:b/>
                <w:bCs/>
                <w:color w:val="auto"/>
                <w:highlight w:val="none"/>
              </w:rPr>
              <w:t>7.1风险源项分析</w:t>
            </w:r>
          </w:p>
          <w:p w14:paraId="1A72C92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eastAsia="宋体"/>
                <w:color w:val="auto"/>
                <w:sz w:val="24"/>
                <w:szCs w:val="22"/>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eastAsia="zh-CN"/>
              </w:rPr>
              <w:t>）</w:t>
            </w:r>
            <w:r>
              <w:rPr>
                <w:rFonts w:hAnsi="宋体" w:eastAsia="宋体"/>
                <w:color w:val="auto"/>
                <w:sz w:val="24"/>
                <w:szCs w:val="22"/>
                <w:highlight w:val="none"/>
              </w:rPr>
              <w:t>风险</w:t>
            </w:r>
            <w:r>
              <w:rPr>
                <w:rFonts w:hint="eastAsia" w:hAnsi="宋体" w:eastAsia="宋体"/>
                <w:color w:val="auto"/>
                <w:sz w:val="24"/>
                <w:szCs w:val="22"/>
                <w:highlight w:val="none"/>
                <w:lang w:val="en-US" w:eastAsia="zh-CN"/>
              </w:rPr>
              <w:t>源</w:t>
            </w:r>
            <w:r>
              <w:rPr>
                <w:rFonts w:hAnsi="宋体" w:eastAsia="宋体"/>
                <w:color w:val="auto"/>
                <w:sz w:val="24"/>
                <w:szCs w:val="22"/>
                <w:highlight w:val="none"/>
              </w:rPr>
              <w:t>调查</w:t>
            </w:r>
          </w:p>
          <w:p w14:paraId="762FEBA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宋体"/>
                <w:color w:val="auto"/>
                <w:sz w:val="24"/>
                <w:highlight w:val="none"/>
                <w:lang w:val="en-US" w:eastAsia="zh-CN"/>
              </w:rPr>
            </w:pPr>
            <w:r>
              <w:rPr>
                <w:rFonts w:ascii="Times New Roman" w:hAnsi="Times New Roman" w:cs="Times New Roman"/>
                <w:color w:val="auto"/>
                <w:highlight w:val="none"/>
              </w:rPr>
              <w:t>本次新建</w:t>
            </w:r>
            <w:r>
              <w:rPr>
                <w:rFonts w:hint="eastAsia" w:ascii="Times New Roman" w:hAnsi="Times New Roman" w:cs="Times New Roman"/>
                <w:color w:val="auto"/>
                <w:highlight w:val="none"/>
                <w:lang w:eastAsia="zh-CN"/>
              </w:rPr>
              <w:t>1间</w:t>
            </w:r>
            <w:r>
              <w:rPr>
                <w:rFonts w:ascii="Times New Roman" w:hAnsi="Times New Roman" w:cs="Times New Roman"/>
                <w:color w:val="auto"/>
                <w:highlight w:val="none"/>
              </w:rPr>
              <w:t>危废暂存间，用于存放</w:t>
            </w:r>
            <w:r>
              <w:rPr>
                <w:rFonts w:hint="eastAsia" w:ascii="Times New Roman" w:hAnsi="Times New Roman" w:cs="Times New Roman"/>
                <w:color w:val="auto"/>
                <w:highlight w:val="none"/>
                <w:lang w:eastAsia="zh-CN"/>
              </w:rPr>
              <w:t>废矿物油</w:t>
            </w:r>
            <w:r>
              <w:rPr>
                <w:rFonts w:hint="eastAsia" w:ascii="Times New Roman" w:hAnsi="Times New Roman" w:cs="Times New Roman"/>
                <w:color w:val="auto"/>
                <w:highlight w:val="none"/>
                <w:lang w:val="en-US" w:eastAsia="zh-CN"/>
              </w:rPr>
              <w:t>和废油桶。</w:t>
            </w:r>
          </w:p>
          <w:p w14:paraId="6DF6B99A">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宋体" w:eastAsia="宋体" w:cs="Times New Roman"/>
                <w:b/>
                <w:color w:val="auto"/>
                <w:sz w:val="24"/>
                <w:szCs w:val="24"/>
                <w:highlight w:val="none"/>
              </w:rPr>
            </w:pPr>
            <w:r>
              <w:rPr>
                <w:rFonts w:hint="eastAsia" w:ascii="Times New Roman" w:hAnsi="宋体" w:eastAsia="宋体" w:cs="Times New Roman"/>
                <w:b/>
                <w:color w:val="auto"/>
                <w:sz w:val="24"/>
                <w:szCs w:val="24"/>
                <w:highlight w:val="none"/>
              </w:rPr>
              <w:t>表</w:t>
            </w:r>
            <w:r>
              <w:rPr>
                <w:rFonts w:hint="eastAsia" w:ascii="Times New Roman" w:hAnsi="宋体" w:cs="Times New Roman"/>
                <w:b/>
                <w:color w:val="auto"/>
                <w:sz w:val="24"/>
                <w:szCs w:val="24"/>
                <w:highlight w:val="none"/>
                <w:lang w:val="en-US" w:eastAsia="zh-CN"/>
              </w:rPr>
              <w:t>23</w:t>
            </w:r>
            <w:r>
              <w:rPr>
                <w:rFonts w:hint="eastAsia" w:ascii="Times New Roman" w:hAnsi="宋体" w:eastAsia="宋体" w:cs="Times New Roman"/>
                <w:b/>
                <w:color w:val="auto"/>
                <w:sz w:val="24"/>
                <w:szCs w:val="24"/>
                <w:highlight w:val="none"/>
              </w:rPr>
              <w:t xml:space="preserve">  </w:t>
            </w:r>
            <w:r>
              <w:rPr>
                <w:rFonts w:hint="eastAsia" w:ascii="Times New Roman" w:hAnsi="宋体" w:eastAsia="宋体" w:cs="Times New Roman"/>
                <w:b/>
                <w:color w:val="auto"/>
                <w:sz w:val="24"/>
                <w:szCs w:val="24"/>
                <w:highlight w:val="none"/>
                <w:lang w:eastAsia="zh-CN"/>
              </w:rPr>
              <w:t>废矿物油</w:t>
            </w:r>
            <w:r>
              <w:rPr>
                <w:rFonts w:hint="eastAsia" w:ascii="Times New Roman" w:hAnsi="宋体" w:eastAsia="宋体" w:cs="Times New Roman"/>
                <w:b/>
                <w:color w:val="auto"/>
                <w:sz w:val="24"/>
                <w:szCs w:val="24"/>
                <w:highlight w:val="none"/>
              </w:rPr>
              <w:t>理化性质</w:t>
            </w:r>
          </w:p>
          <w:tbl>
            <w:tblPr>
              <w:tblStyle w:val="24"/>
              <w:tblW w:w="4998"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7"/>
              <w:gridCol w:w="3328"/>
              <w:gridCol w:w="4151"/>
            </w:tblGrid>
            <w:tr w14:paraId="69AA118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410" w:type="pct"/>
                  <w:vMerge w:val="restart"/>
                  <w:tcBorders>
                    <w:tl2br w:val="nil"/>
                    <w:tr2bl w:val="nil"/>
                  </w:tcBorders>
                  <w:vAlign w:val="center"/>
                </w:tcPr>
                <w:p w14:paraId="6DA86127">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标识</w:t>
                  </w:r>
                </w:p>
              </w:tc>
              <w:tc>
                <w:tcPr>
                  <w:tcW w:w="2042" w:type="pct"/>
                  <w:tcBorders>
                    <w:tl2br w:val="nil"/>
                    <w:tr2bl w:val="nil"/>
                  </w:tcBorders>
                  <w:vAlign w:val="center"/>
                </w:tcPr>
                <w:p w14:paraId="15064EF5">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中文名：机油（润滑油）</w:t>
                  </w:r>
                </w:p>
              </w:tc>
              <w:tc>
                <w:tcPr>
                  <w:tcW w:w="2547" w:type="pct"/>
                  <w:tcBorders>
                    <w:tl2br w:val="nil"/>
                    <w:tr2bl w:val="nil"/>
                  </w:tcBorders>
                  <w:vAlign w:val="center"/>
                </w:tcPr>
                <w:p w14:paraId="1AA67A5E">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英文名</w:t>
                  </w:r>
                  <w:r>
                    <w:rPr>
                      <w:rFonts w:hint="default" w:ascii="Times New Roman" w:hAnsi="Times New Roman" w:eastAsia="宋体" w:cs="Times New Roman"/>
                      <w:color w:val="auto"/>
                      <w:sz w:val="21"/>
                      <w:szCs w:val="21"/>
                      <w:lang w:val="en-GB"/>
                    </w:rPr>
                    <w:t>：</w:t>
                  </w:r>
                  <w:r>
                    <w:rPr>
                      <w:rFonts w:hint="default" w:ascii="Times New Roman" w:hAnsi="Times New Roman" w:eastAsia="宋体" w:cs="Times New Roman"/>
                      <w:color w:val="auto"/>
                      <w:sz w:val="21"/>
                      <w:szCs w:val="21"/>
                    </w:rPr>
                    <w:t>Lube oil</w:t>
                  </w:r>
                </w:p>
              </w:tc>
            </w:tr>
            <w:tr w14:paraId="6B5F9ED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410" w:type="pct"/>
                  <w:vMerge w:val="continue"/>
                  <w:tcBorders>
                    <w:tl2br w:val="nil"/>
                    <w:tr2bl w:val="nil"/>
                  </w:tcBorders>
                  <w:vAlign w:val="center"/>
                </w:tcPr>
                <w:p w14:paraId="7D94AC73">
                  <w:pPr>
                    <w:widowControl/>
                    <w:spacing w:line="240" w:lineRule="atLeast"/>
                    <w:contextualSpacing/>
                    <w:jc w:val="center"/>
                    <w:rPr>
                      <w:rFonts w:hint="default" w:ascii="Times New Roman" w:hAnsi="Times New Roman" w:eastAsia="宋体" w:cs="Times New Roman"/>
                      <w:color w:val="auto"/>
                      <w:sz w:val="21"/>
                      <w:szCs w:val="21"/>
                    </w:rPr>
                  </w:pPr>
                </w:p>
              </w:tc>
              <w:tc>
                <w:tcPr>
                  <w:tcW w:w="2042" w:type="pct"/>
                  <w:tcBorders>
                    <w:tl2br w:val="nil"/>
                    <w:tr2bl w:val="nil"/>
                  </w:tcBorders>
                  <w:vAlign w:val="center"/>
                </w:tcPr>
                <w:p w14:paraId="25503BA0">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分子式</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w:t>
                  </w:r>
                </w:p>
              </w:tc>
              <w:tc>
                <w:tcPr>
                  <w:tcW w:w="2547" w:type="pct"/>
                  <w:tcBorders>
                    <w:tl2br w:val="nil"/>
                    <w:tr2bl w:val="nil"/>
                  </w:tcBorders>
                  <w:vAlign w:val="center"/>
                </w:tcPr>
                <w:p w14:paraId="4F17FBB9">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分子量：230-500</w:t>
                  </w:r>
                </w:p>
              </w:tc>
            </w:tr>
            <w:tr w14:paraId="1EAABBA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410" w:type="pct"/>
                  <w:tcBorders>
                    <w:tl2br w:val="nil"/>
                    <w:tr2bl w:val="nil"/>
                  </w:tcBorders>
                  <w:vAlign w:val="center"/>
                </w:tcPr>
                <w:p w14:paraId="76B5FEF9">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理化性质</w:t>
                  </w:r>
                </w:p>
              </w:tc>
              <w:tc>
                <w:tcPr>
                  <w:tcW w:w="2042" w:type="pct"/>
                  <w:tcBorders>
                    <w:tl2br w:val="nil"/>
                    <w:tr2bl w:val="nil"/>
                  </w:tcBorders>
                  <w:vAlign w:val="center"/>
                </w:tcPr>
                <w:p w14:paraId="2DB29C4C">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外观与形状</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油状液体，淡黄色至褐色，无色味或略带异味</w:t>
                  </w:r>
                </w:p>
              </w:tc>
              <w:tc>
                <w:tcPr>
                  <w:tcW w:w="2547" w:type="pct"/>
                  <w:tcBorders>
                    <w:tl2br w:val="nil"/>
                    <w:tr2bl w:val="nil"/>
                  </w:tcBorders>
                  <w:vAlign w:val="center"/>
                </w:tcPr>
                <w:p w14:paraId="3A287224">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溶解性</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不溶于水</w:t>
                  </w:r>
                </w:p>
              </w:tc>
            </w:tr>
            <w:tr w14:paraId="12E0CCE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10" w:type="pct"/>
                  <w:vMerge w:val="restart"/>
                  <w:tcBorders>
                    <w:tl2br w:val="nil"/>
                    <w:tr2bl w:val="nil"/>
                  </w:tcBorders>
                  <w:vAlign w:val="center"/>
                </w:tcPr>
                <w:p w14:paraId="50443C2B">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危险特性</w:t>
                  </w:r>
                </w:p>
              </w:tc>
              <w:tc>
                <w:tcPr>
                  <w:tcW w:w="2042" w:type="pct"/>
                  <w:tcBorders>
                    <w:tl2br w:val="nil"/>
                    <w:tr2bl w:val="nil"/>
                  </w:tcBorders>
                  <w:vAlign w:val="center"/>
                </w:tcPr>
                <w:p w14:paraId="7115A179">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燃烧性</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可燃</w:t>
                  </w:r>
                </w:p>
              </w:tc>
              <w:tc>
                <w:tcPr>
                  <w:tcW w:w="2547" w:type="pct"/>
                  <w:tcBorders>
                    <w:tl2br w:val="nil"/>
                    <w:tr2bl w:val="nil"/>
                  </w:tcBorders>
                  <w:vAlign w:val="center"/>
                </w:tcPr>
                <w:p w14:paraId="5A3D7E7B">
                  <w:pPr>
                    <w:spacing w:line="240" w:lineRule="atLeast"/>
                    <w:contextualSpacing/>
                    <w:jc w:val="center"/>
                    <w:rPr>
                      <w:rFonts w:hint="default" w:ascii="Times New Roman" w:hAnsi="Times New Roman" w:eastAsia="宋体" w:cs="Times New Roman"/>
                      <w:color w:val="auto"/>
                      <w:sz w:val="21"/>
                      <w:szCs w:val="21"/>
                    </w:rPr>
                  </w:pPr>
                </w:p>
              </w:tc>
            </w:tr>
            <w:tr w14:paraId="6DAD9BE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10" w:type="pct"/>
                  <w:vMerge w:val="continue"/>
                  <w:tcBorders>
                    <w:tl2br w:val="nil"/>
                    <w:tr2bl w:val="nil"/>
                  </w:tcBorders>
                  <w:vAlign w:val="center"/>
                </w:tcPr>
                <w:p w14:paraId="4049CDFE">
                  <w:pPr>
                    <w:widowControl/>
                    <w:spacing w:line="240" w:lineRule="atLeast"/>
                    <w:contextualSpacing/>
                    <w:jc w:val="center"/>
                    <w:rPr>
                      <w:rFonts w:hint="default" w:ascii="Times New Roman" w:hAnsi="Times New Roman" w:eastAsia="宋体" w:cs="Times New Roman"/>
                      <w:color w:val="auto"/>
                      <w:sz w:val="21"/>
                      <w:szCs w:val="21"/>
                    </w:rPr>
                  </w:pPr>
                </w:p>
              </w:tc>
              <w:tc>
                <w:tcPr>
                  <w:tcW w:w="2042" w:type="pct"/>
                  <w:tcBorders>
                    <w:tl2br w:val="nil"/>
                    <w:tr2bl w:val="nil"/>
                  </w:tcBorders>
                  <w:vAlign w:val="center"/>
                </w:tcPr>
                <w:p w14:paraId="0FC93CED">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引燃温度(℃)</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248</w:t>
                  </w:r>
                </w:p>
              </w:tc>
              <w:tc>
                <w:tcPr>
                  <w:tcW w:w="2547" w:type="pct"/>
                  <w:tcBorders>
                    <w:tl2br w:val="nil"/>
                    <w:tr2bl w:val="nil"/>
                  </w:tcBorders>
                  <w:vAlign w:val="center"/>
                </w:tcPr>
                <w:p w14:paraId="002B9646">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闪点(℃)</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76</w:t>
                  </w:r>
                </w:p>
              </w:tc>
            </w:tr>
            <w:tr w14:paraId="77BDE62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10" w:type="pct"/>
                  <w:vMerge w:val="continue"/>
                  <w:tcBorders>
                    <w:tl2br w:val="nil"/>
                    <w:tr2bl w:val="nil"/>
                  </w:tcBorders>
                  <w:vAlign w:val="center"/>
                </w:tcPr>
                <w:p w14:paraId="3745EB23">
                  <w:pPr>
                    <w:widowControl/>
                    <w:spacing w:line="240" w:lineRule="atLeast"/>
                    <w:contextualSpacing/>
                    <w:jc w:val="center"/>
                    <w:rPr>
                      <w:rFonts w:hint="default" w:ascii="Times New Roman" w:hAnsi="Times New Roman" w:eastAsia="宋体" w:cs="Times New Roman"/>
                      <w:color w:val="auto"/>
                      <w:sz w:val="21"/>
                      <w:szCs w:val="21"/>
                    </w:rPr>
                  </w:pPr>
                </w:p>
              </w:tc>
              <w:tc>
                <w:tcPr>
                  <w:tcW w:w="4589" w:type="pct"/>
                  <w:gridSpan w:val="2"/>
                  <w:tcBorders>
                    <w:tl2br w:val="nil"/>
                    <w:tr2bl w:val="nil"/>
                  </w:tcBorders>
                  <w:vAlign w:val="center"/>
                </w:tcPr>
                <w:p w14:paraId="35BDDFEC">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危险特性：</w:t>
                  </w:r>
                  <w:r>
                    <w:rPr>
                      <w:rFonts w:hint="default" w:ascii="Times New Roman" w:hAnsi="Times New Roman" w:eastAsia="宋体" w:cs="Times New Roman"/>
                      <w:color w:val="auto"/>
                      <w:kern w:val="0"/>
                      <w:sz w:val="21"/>
                      <w:szCs w:val="21"/>
                    </w:rPr>
                    <w:t>遇明火、高热可燃</w:t>
                  </w:r>
                </w:p>
              </w:tc>
            </w:tr>
            <w:tr w14:paraId="73C4A8D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0" w:type="pct"/>
                  <w:vMerge w:val="continue"/>
                  <w:tcBorders>
                    <w:tl2br w:val="nil"/>
                    <w:tr2bl w:val="nil"/>
                  </w:tcBorders>
                  <w:vAlign w:val="center"/>
                </w:tcPr>
                <w:p w14:paraId="6EDA4CA0">
                  <w:pPr>
                    <w:widowControl/>
                    <w:spacing w:line="240" w:lineRule="atLeast"/>
                    <w:contextualSpacing/>
                    <w:jc w:val="center"/>
                    <w:rPr>
                      <w:rFonts w:hint="default" w:ascii="Times New Roman" w:hAnsi="Times New Roman" w:eastAsia="宋体" w:cs="Times New Roman"/>
                      <w:color w:val="auto"/>
                      <w:sz w:val="21"/>
                      <w:szCs w:val="21"/>
                    </w:rPr>
                  </w:pPr>
                </w:p>
              </w:tc>
              <w:tc>
                <w:tcPr>
                  <w:tcW w:w="4589" w:type="pct"/>
                  <w:gridSpan w:val="2"/>
                  <w:tcBorders>
                    <w:tl2br w:val="nil"/>
                    <w:tr2bl w:val="nil"/>
                  </w:tcBorders>
                  <w:vAlign w:val="center"/>
                </w:tcPr>
                <w:p w14:paraId="76B5956B">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灭火方法</w:t>
                  </w:r>
                  <w:r>
                    <w:rPr>
                      <w:rFonts w:hint="eastAsia"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消防人员须佩戴防毒面具、穿全身消防服，在上风向灭火。尽可能将容器从火场移至空旷处。喷水保持火场容器冷却，直至灭火结束。处在火场中的容器若已变色或从安全泄压装置中产生声音，必须马上撤离</w:t>
                  </w:r>
                </w:p>
              </w:tc>
            </w:tr>
            <w:tr w14:paraId="726E86A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10" w:type="pct"/>
                  <w:vMerge w:val="continue"/>
                  <w:tcBorders>
                    <w:tl2br w:val="nil"/>
                    <w:tr2bl w:val="nil"/>
                  </w:tcBorders>
                  <w:vAlign w:val="center"/>
                </w:tcPr>
                <w:p w14:paraId="2487D6F4">
                  <w:pPr>
                    <w:widowControl/>
                    <w:spacing w:line="240" w:lineRule="atLeast"/>
                    <w:contextualSpacing/>
                    <w:jc w:val="center"/>
                    <w:rPr>
                      <w:rFonts w:hint="default" w:ascii="Times New Roman" w:hAnsi="Times New Roman" w:eastAsia="宋体" w:cs="Times New Roman"/>
                      <w:color w:val="auto"/>
                      <w:sz w:val="21"/>
                      <w:szCs w:val="21"/>
                    </w:rPr>
                  </w:pPr>
                </w:p>
              </w:tc>
              <w:tc>
                <w:tcPr>
                  <w:tcW w:w="4589" w:type="pct"/>
                  <w:gridSpan w:val="2"/>
                  <w:tcBorders>
                    <w:tl2br w:val="nil"/>
                    <w:tr2bl w:val="nil"/>
                  </w:tcBorders>
                  <w:vAlign w:val="center"/>
                </w:tcPr>
                <w:p w14:paraId="63BDE655">
                  <w:pPr>
                    <w:autoSpaceDE w:val="0"/>
                    <w:autoSpaceDN w:val="0"/>
                    <w:spacing w:line="24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灭火剂</w:t>
                  </w:r>
                  <w:r>
                    <w:rPr>
                      <w:rFonts w:hint="eastAsia" w:ascii="Times New Roman" w:hAnsi="Times New Roman" w:cs="Times New Roman"/>
                      <w:color w:val="auto"/>
                      <w:kern w:val="0"/>
                      <w:sz w:val="21"/>
                      <w:szCs w:val="21"/>
                      <w:lang w:eastAsia="zh-CN"/>
                    </w:rPr>
                    <w:t>：</w:t>
                  </w:r>
                  <w:r>
                    <w:rPr>
                      <w:rFonts w:hint="default" w:ascii="Times New Roman" w:hAnsi="Times New Roman" w:eastAsia="宋体" w:cs="Times New Roman"/>
                      <w:color w:val="auto"/>
                      <w:kern w:val="0"/>
                      <w:sz w:val="21"/>
                      <w:szCs w:val="21"/>
                    </w:rPr>
                    <w:t>泡沫、二氧化碳、雾状水、干粉、砂土</w:t>
                  </w:r>
                </w:p>
              </w:tc>
            </w:tr>
            <w:tr w14:paraId="3BCEF89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410" w:type="pct"/>
                  <w:vMerge w:val="restart"/>
                  <w:tcBorders>
                    <w:tl2br w:val="nil"/>
                    <w:tr2bl w:val="nil"/>
                  </w:tcBorders>
                  <w:vAlign w:val="center"/>
                </w:tcPr>
                <w:p w14:paraId="5681D25E">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健康危害</w:t>
                  </w:r>
                </w:p>
              </w:tc>
              <w:tc>
                <w:tcPr>
                  <w:tcW w:w="4589" w:type="pct"/>
                  <w:gridSpan w:val="2"/>
                  <w:tcBorders>
                    <w:tl2br w:val="nil"/>
                    <w:tr2bl w:val="nil"/>
                  </w:tcBorders>
                  <w:vAlign w:val="center"/>
                </w:tcPr>
                <w:p w14:paraId="17E7B109">
                  <w:pPr>
                    <w:spacing w:line="24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侵入途径</w:t>
                  </w:r>
                  <w:r>
                    <w:rPr>
                      <w:rFonts w:hint="eastAsia" w:ascii="Times New Roman" w:hAnsi="Times New Roman" w:cs="Times New Roman"/>
                      <w:color w:val="auto"/>
                      <w:kern w:val="0"/>
                      <w:sz w:val="21"/>
                      <w:szCs w:val="21"/>
                      <w:lang w:eastAsia="zh-CN"/>
                    </w:rPr>
                    <w:t>：</w:t>
                  </w:r>
                  <w:r>
                    <w:rPr>
                      <w:rFonts w:hint="default" w:ascii="Times New Roman" w:hAnsi="Times New Roman" w:eastAsia="宋体" w:cs="Times New Roman"/>
                      <w:color w:val="auto"/>
                      <w:kern w:val="0"/>
                      <w:sz w:val="21"/>
                      <w:szCs w:val="21"/>
                    </w:rPr>
                    <w:t>吸入、食入</w:t>
                  </w:r>
                </w:p>
              </w:tc>
            </w:tr>
            <w:tr w14:paraId="663C954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410" w:type="pct"/>
                  <w:vMerge w:val="continue"/>
                  <w:tcBorders>
                    <w:tl2br w:val="nil"/>
                    <w:tr2bl w:val="nil"/>
                  </w:tcBorders>
                  <w:vAlign w:val="center"/>
                </w:tcPr>
                <w:p w14:paraId="62E8D1F1">
                  <w:pPr>
                    <w:widowControl/>
                    <w:spacing w:line="240" w:lineRule="atLeast"/>
                    <w:contextualSpacing/>
                    <w:jc w:val="center"/>
                    <w:rPr>
                      <w:rFonts w:hint="default" w:ascii="Times New Roman" w:hAnsi="Times New Roman" w:eastAsia="宋体" w:cs="Times New Roman"/>
                      <w:color w:val="auto"/>
                      <w:sz w:val="21"/>
                      <w:szCs w:val="21"/>
                    </w:rPr>
                  </w:pPr>
                </w:p>
              </w:tc>
              <w:tc>
                <w:tcPr>
                  <w:tcW w:w="4589" w:type="pct"/>
                  <w:gridSpan w:val="2"/>
                  <w:tcBorders>
                    <w:tl2br w:val="nil"/>
                    <w:tr2bl w:val="nil"/>
                  </w:tcBorders>
                  <w:vAlign w:val="center"/>
                </w:tcPr>
                <w:p w14:paraId="24919E22">
                  <w:pPr>
                    <w:spacing w:line="240" w:lineRule="atLeast"/>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急性吸入，可出现乏力、头晕、头痛、恶心，严重者可引起油脂性肺炎。慢接触者，暴露部位可发生油性痤疮和接触性皮炎。可引起神经衰弱综合征，呼吸道和眼刺激症状及慢性油脂性肺炎</w:t>
                  </w:r>
                </w:p>
              </w:tc>
            </w:tr>
            <w:tr w14:paraId="4FCC83C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5" w:hRule="atLeast"/>
                <w:jc w:val="center"/>
              </w:trPr>
              <w:tc>
                <w:tcPr>
                  <w:tcW w:w="410" w:type="pct"/>
                  <w:tcBorders>
                    <w:tl2br w:val="nil"/>
                    <w:tr2bl w:val="nil"/>
                  </w:tcBorders>
                  <w:vAlign w:val="center"/>
                </w:tcPr>
                <w:p w14:paraId="56E16B6C">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急救</w:t>
                  </w:r>
                </w:p>
              </w:tc>
              <w:tc>
                <w:tcPr>
                  <w:tcW w:w="4589" w:type="pct"/>
                  <w:gridSpan w:val="2"/>
                  <w:tcBorders>
                    <w:tl2br w:val="nil"/>
                    <w:tr2bl w:val="nil"/>
                  </w:tcBorders>
                  <w:vAlign w:val="center"/>
                </w:tcPr>
                <w:p w14:paraId="6DDFE320">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皮肤接触：立即脱去被污染者的衣着，用大量清水冲洗；</w:t>
                  </w:r>
                </w:p>
                <w:p w14:paraId="6887A2F1">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眼睛接触：立即提起眼睑，用大量流动清水或生理盐水冲洗，就医；</w:t>
                  </w:r>
                </w:p>
                <w:p w14:paraId="090BD983">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吸入：迅速脱离现场至空气新鲜处，保持呼吸道通畅，如呼吸困难，输氧，如停止呼吸，立即进行人工呼吸，就医；</w:t>
                  </w:r>
                </w:p>
                <w:p w14:paraId="705F09C8">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食入：饮足量水，催吐，就医</w:t>
                  </w:r>
                </w:p>
              </w:tc>
            </w:tr>
            <w:tr w14:paraId="7E37A61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410" w:type="pct"/>
                  <w:tcBorders>
                    <w:tl2br w:val="nil"/>
                    <w:tr2bl w:val="nil"/>
                  </w:tcBorders>
                  <w:vAlign w:val="center"/>
                </w:tcPr>
                <w:p w14:paraId="56A7A71F">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泄漏处理</w:t>
                  </w:r>
                </w:p>
              </w:tc>
              <w:tc>
                <w:tcPr>
                  <w:tcW w:w="4589" w:type="pct"/>
                  <w:gridSpan w:val="2"/>
                  <w:tcBorders>
                    <w:tl2br w:val="nil"/>
                    <w:tr2bl w:val="nil"/>
                  </w:tcBorders>
                  <w:vAlign w:val="center"/>
                </w:tcPr>
                <w:p w14:paraId="54372853">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迅速撤离泄漏污染区人员至安全处，并立即隔离，严格限制出入。切断火源，戴自给式呼吸器，穿防毒</w:t>
                  </w:r>
                  <w:r>
                    <w:rPr>
                      <w:rFonts w:hint="eastAsia" w:ascii="Times New Roman" w:hAnsi="Times New Roman" w:cs="Times New Roman"/>
                      <w:color w:val="auto"/>
                      <w:sz w:val="21"/>
                      <w:szCs w:val="21"/>
                      <w:lang w:eastAsia="zh-CN"/>
                    </w:rPr>
                    <w:t>服</w:t>
                  </w:r>
                  <w:r>
                    <w:rPr>
                      <w:rFonts w:hint="default" w:ascii="Times New Roman" w:hAnsi="Times New Roman" w:eastAsia="宋体" w:cs="Times New Roman"/>
                      <w:color w:val="auto"/>
                      <w:sz w:val="21"/>
                      <w:szCs w:val="21"/>
                    </w:rPr>
                    <w:t>。切断泄漏源，防止流入下水道、排洪沟等限制性空间</w:t>
                  </w:r>
                </w:p>
              </w:tc>
            </w:tr>
            <w:tr w14:paraId="4B256D3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10" w:type="pct"/>
                  <w:tcBorders>
                    <w:tl2br w:val="nil"/>
                    <w:tr2bl w:val="nil"/>
                  </w:tcBorders>
                  <w:vAlign w:val="center"/>
                </w:tcPr>
                <w:p w14:paraId="6852D535">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储运</w:t>
                  </w:r>
                </w:p>
              </w:tc>
              <w:tc>
                <w:tcPr>
                  <w:tcW w:w="4589" w:type="pct"/>
                  <w:gridSpan w:val="2"/>
                  <w:tcBorders>
                    <w:tl2br w:val="nil"/>
                    <w:tr2bl w:val="nil"/>
                  </w:tcBorders>
                  <w:vAlign w:val="center"/>
                </w:tcPr>
                <w:p w14:paraId="0A6998BE">
                  <w:pPr>
                    <w:spacing w:line="240" w:lineRule="atLeast"/>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储运于阴凉、通风仓间内。</w:t>
                  </w:r>
                  <w:r>
                    <w:rPr>
                      <w:rFonts w:hint="default" w:ascii="Times New Roman" w:hAnsi="Times New Roman" w:eastAsia="宋体" w:cs="Times New Roman"/>
                      <w:color w:val="auto"/>
                      <w:kern w:val="0"/>
                      <w:sz w:val="21"/>
                      <w:szCs w:val="21"/>
                    </w:rPr>
                    <w:t>远离火种、热源。切忌混储混运。配备相应品种和数量的消防器材。储区应备有泄漏应急处理设备和合适的收容材料</w:t>
                  </w:r>
                </w:p>
              </w:tc>
            </w:tr>
          </w:tbl>
          <w:p w14:paraId="17620962">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w:t>
            </w:r>
            <w:r>
              <w:rPr>
                <w:rFonts w:hint="eastAsia" w:ascii="Times New Roman" w:hAnsi="Times New Roman" w:cs="宋体"/>
                <w:color w:val="auto"/>
                <w:highlight w:val="none"/>
                <w:lang w:val="en-US" w:eastAsia="zh-CN"/>
              </w:rPr>
              <w:t>2</w:t>
            </w:r>
            <w:r>
              <w:rPr>
                <w:rFonts w:hint="eastAsia" w:ascii="Times New Roman" w:hAnsi="Times New Roman" w:cs="宋体"/>
                <w:color w:val="auto"/>
                <w:highlight w:val="none"/>
              </w:rPr>
              <w:t>）危险物质及工艺系统危险性（P）的分级确定</w:t>
            </w:r>
          </w:p>
          <w:p w14:paraId="0DADFD26">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分析本项目危险废物储存过程的有毒有害、易燃易爆物质，参照《建设项目环境风险评价技术导则》（HJ169-2018）附录B确定危险物质的临界量。定量分析危险物质数量与临界量的比值（Q）和所属行业及生产工艺特点（M），按照附录C对危险物质及工艺系统危险性（P）等级进行判断。</w:t>
            </w:r>
          </w:p>
          <w:p w14:paraId="7A7DCBAD">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①危险物质数量与临界量的比值（Q）</w:t>
            </w:r>
          </w:p>
          <w:p w14:paraId="30E0C109">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计算所涉及的每种危险物质在厂界内的最大存在总量与其在附录B中对应临界量的比值Q。在不同</w:t>
            </w:r>
            <w:r>
              <w:rPr>
                <w:rFonts w:hint="eastAsia" w:hAnsi="宋体"/>
                <w:bCs/>
                <w:color w:val="auto"/>
                <w:szCs w:val="20"/>
                <w:highlight w:val="none"/>
              </w:rPr>
              <w:t>场区</w:t>
            </w:r>
            <w:r>
              <w:rPr>
                <w:rFonts w:hint="eastAsia" w:ascii="Times New Roman" w:hAnsi="Times New Roman" w:cs="宋体"/>
                <w:color w:val="auto"/>
                <w:highlight w:val="none"/>
              </w:rPr>
              <w:t>的同一种物质，按其在厂界内的最大存在总量计算。</w:t>
            </w:r>
          </w:p>
          <w:p w14:paraId="7747E0E7">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当只涉及一种危险物质时，计算该物质的总量与其临界值比值，即为Q；</w:t>
            </w:r>
          </w:p>
          <w:p w14:paraId="084D514D">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当存在多种危险物质时，则按下式计算物质总量与其临界值比值Q；</w:t>
            </w:r>
          </w:p>
          <w:p w14:paraId="61CC4AA9">
            <w:pPr>
              <w:snapToGrid w:val="0"/>
              <w:spacing w:line="360" w:lineRule="auto"/>
              <w:ind w:firstLine="480" w:firstLineChars="200"/>
              <w:jc w:val="center"/>
              <w:rPr>
                <w:rFonts w:ascii="Times New Roman" w:hAnsi="Times New Roman" w:cs="宋体"/>
                <w:color w:val="auto"/>
                <w:highlight w:val="none"/>
              </w:rPr>
            </w:pPr>
            <m:oMathPara>
              <m:oMath>
                <m:r>
                  <m:rPr/>
                  <w:rPr>
                    <w:rFonts w:ascii="Cambria Math" w:hAnsi="Cambria Math"/>
                    <w:color w:val="auto"/>
                    <w:highlight w:val="none"/>
                  </w:rPr>
                  <m:t>Q</m:t>
                </m:r>
                <m:r>
                  <m:rPr>
                    <m:sty m:val="p"/>
                  </m:rPr>
                  <w:rPr>
                    <w:rFonts w:ascii="Cambria Math" w:hAnsi="Cambria Math"/>
                    <w:color w:val="auto"/>
                    <w:highlight w:val="none"/>
                  </w:rPr>
                  <m:t>=</m:t>
                </m:r>
                <m:f>
                  <m:fPr>
                    <m:ctrlPr>
                      <w:rPr>
                        <w:rFonts w:ascii="Cambria Math" w:hAnsi="Cambria Math"/>
                        <w:color w:val="auto"/>
                        <w:highlight w:val="none"/>
                      </w:rPr>
                    </m:ctrlPr>
                  </m:fPr>
                  <m:num>
                    <m:sSub>
                      <m:sSubPr>
                        <m:ctrlPr>
                          <w:rPr>
                            <w:rFonts w:ascii="Cambria Math" w:hAnsi="Cambria Math"/>
                            <w:i/>
                            <w:color w:val="auto"/>
                            <w:highlight w:val="none"/>
                          </w:rPr>
                        </m:ctrlPr>
                      </m:sSubPr>
                      <m:e>
                        <m:r>
                          <m:rPr/>
                          <w:rPr>
                            <w:rFonts w:ascii="Cambria Math" w:hAnsi="Cambria Math"/>
                            <w:color w:val="auto"/>
                            <w:highlight w:val="none"/>
                          </w:rPr>
                          <m:t>q</m:t>
                        </m:r>
                        <m:ctrlPr>
                          <w:rPr>
                            <w:rFonts w:ascii="Cambria Math" w:hAnsi="Cambria Math"/>
                            <w:i/>
                            <w:color w:val="auto"/>
                            <w:highlight w:val="none"/>
                          </w:rPr>
                        </m:ctrlPr>
                      </m:e>
                      <m:sub>
                        <m:r>
                          <m:rPr/>
                          <w:rPr>
                            <w:rFonts w:ascii="Cambria Math" w:hAnsi="Cambria Math"/>
                            <w:color w:val="auto"/>
                            <w:highlight w:val="none"/>
                          </w:rPr>
                          <m:t>1</m:t>
                        </m:r>
                        <m:ctrlPr>
                          <w:rPr>
                            <w:rFonts w:ascii="Cambria Math" w:hAnsi="Cambria Math"/>
                            <w:i/>
                            <w:color w:val="auto"/>
                            <w:highlight w:val="none"/>
                          </w:rPr>
                        </m:ctrlPr>
                      </m:sub>
                    </m:sSub>
                    <m:ctrlPr>
                      <w:rPr>
                        <w:rFonts w:ascii="Cambria Math" w:hAnsi="Cambria Math"/>
                        <w:color w:val="auto"/>
                        <w:highlight w:val="none"/>
                      </w:rPr>
                    </m:ctrlPr>
                  </m:num>
                  <m:den>
                    <m:sSub>
                      <m:sSubPr>
                        <m:ctrlPr>
                          <w:rPr>
                            <w:rFonts w:ascii="Cambria Math" w:hAnsi="Cambria Math"/>
                            <w:i/>
                            <w:color w:val="auto"/>
                            <w:highlight w:val="none"/>
                          </w:rPr>
                        </m:ctrlPr>
                      </m:sSubPr>
                      <m:e>
                        <m:r>
                          <m:rPr/>
                          <w:rPr>
                            <w:rFonts w:ascii="Cambria Math" w:hAnsi="Cambria Math"/>
                            <w:color w:val="auto"/>
                            <w:highlight w:val="none"/>
                          </w:rPr>
                          <m:t>Q</m:t>
                        </m:r>
                        <m:ctrlPr>
                          <w:rPr>
                            <w:rFonts w:ascii="Cambria Math" w:hAnsi="Cambria Math"/>
                            <w:i/>
                            <w:color w:val="auto"/>
                            <w:highlight w:val="none"/>
                          </w:rPr>
                        </m:ctrlPr>
                      </m:e>
                      <m:sub>
                        <m:r>
                          <m:rPr/>
                          <w:rPr>
                            <w:rFonts w:ascii="Cambria Math" w:hAnsi="Cambria Math"/>
                            <w:color w:val="auto"/>
                            <w:highlight w:val="none"/>
                          </w:rPr>
                          <m:t>1</m:t>
                        </m:r>
                        <m:ctrlPr>
                          <w:rPr>
                            <w:rFonts w:ascii="Cambria Math" w:hAnsi="Cambria Math"/>
                            <w:i/>
                            <w:color w:val="auto"/>
                            <w:highlight w:val="none"/>
                          </w:rPr>
                        </m:ctrlPr>
                      </m:sub>
                    </m:sSub>
                    <m:ctrlPr>
                      <w:rPr>
                        <w:rFonts w:ascii="Cambria Math" w:hAnsi="Cambria Math"/>
                        <w:color w:val="auto"/>
                        <w:highlight w:val="none"/>
                      </w:rPr>
                    </m:ctrlPr>
                  </m:den>
                </m:f>
                <m:r>
                  <m:rPr/>
                  <w:rPr>
                    <w:rFonts w:ascii="Cambria Math" w:hAnsi="Cambria Math"/>
                    <w:color w:val="auto"/>
                    <w:highlight w:val="none"/>
                  </w:rPr>
                  <m:t>+</m:t>
                </m:r>
                <m:f>
                  <m:fPr>
                    <m:ctrlPr>
                      <w:rPr>
                        <w:rFonts w:ascii="Cambria Math" w:hAnsi="Cambria Math"/>
                        <w:i/>
                        <w:color w:val="auto"/>
                        <w:highlight w:val="none"/>
                      </w:rPr>
                    </m:ctrlPr>
                  </m:fPr>
                  <m:num>
                    <m:sSub>
                      <m:sSubPr>
                        <m:ctrlPr>
                          <w:rPr>
                            <w:rFonts w:ascii="Cambria Math" w:hAnsi="Cambria Math"/>
                            <w:i/>
                            <w:color w:val="auto"/>
                            <w:highlight w:val="none"/>
                          </w:rPr>
                        </m:ctrlPr>
                      </m:sSubPr>
                      <m:e>
                        <m:r>
                          <m:rPr/>
                          <w:rPr>
                            <w:rFonts w:ascii="Cambria Math" w:hAnsi="Cambria Math"/>
                            <w:color w:val="auto"/>
                            <w:highlight w:val="none"/>
                          </w:rPr>
                          <m:t>q</m:t>
                        </m:r>
                        <m:ctrlPr>
                          <w:rPr>
                            <w:rFonts w:ascii="Cambria Math" w:hAnsi="Cambria Math"/>
                            <w:i/>
                            <w:color w:val="auto"/>
                            <w:highlight w:val="none"/>
                          </w:rPr>
                        </m:ctrlPr>
                      </m:e>
                      <m:sub>
                        <m:r>
                          <m:rPr/>
                          <w:rPr>
                            <w:rFonts w:ascii="Cambria Math" w:hAnsi="Cambria Math"/>
                            <w:color w:val="auto"/>
                            <w:highlight w:val="none"/>
                          </w:rPr>
                          <m:t>2</m:t>
                        </m:r>
                        <m:ctrlPr>
                          <w:rPr>
                            <w:rFonts w:ascii="Cambria Math" w:hAnsi="Cambria Math"/>
                            <w:i/>
                            <w:color w:val="auto"/>
                            <w:highlight w:val="none"/>
                          </w:rPr>
                        </m:ctrlPr>
                      </m:sub>
                    </m:sSub>
                    <m:ctrlPr>
                      <w:rPr>
                        <w:rFonts w:ascii="Cambria Math" w:hAnsi="Cambria Math"/>
                        <w:i/>
                        <w:color w:val="auto"/>
                        <w:highlight w:val="none"/>
                      </w:rPr>
                    </m:ctrlPr>
                  </m:num>
                  <m:den>
                    <m:sSub>
                      <m:sSubPr>
                        <m:ctrlPr>
                          <w:rPr>
                            <w:rFonts w:ascii="Cambria Math" w:hAnsi="Cambria Math"/>
                            <w:i/>
                            <w:color w:val="auto"/>
                            <w:highlight w:val="none"/>
                          </w:rPr>
                        </m:ctrlPr>
                      </m:sSubPr>
                      <m:e>
                        <m:r>
                          <m:rPr/>
                          <w:rPr>
                            <w:rFonts w:ascii="Cambria Math" w:hAnsi="Cambria Math"/>
                            <w:color w:val="auto"/>
                            <w:highlight w:val="none"/>
                          </w:rPr>
                          <m:t>Q</m:t>
                        </m:r>
                        <m:ctrlPr>
                          <w:rPr>
                            <w:rFonts w:ascii="Cambria Math" w:hAnsi="Cambria Math"/>
                            <w:i/>
                            <w:color w:val="auto"/>
                            <w:highlight w:val="none"/>
                          </w:rPr>
                        </m:ctrlPr>
                      </m:e>
                      <m:sub>
                        <m:r>
                          <m:rPr/>
                          <w:rPr>
                            <w:rFonts w:ascii="Cambria Math" w:hAnsi="Cambria Math"/>
                            <w:color w:val="auto"/>
                            <w:highlight w:val="none"/>
                          </w:rPr>
                          <m:t>2</m:t>
                        </m:r>
                        <m:ctrlPr>
                          <w:rPr>
                            <w:rFonts w:ascii="Cambria Math" w:hAnsi="Cambria Math"/>
                            <w:i/>
                            <w:color w:val="auto"/>
                            <w:highlight w:val="none"/>
                          </w:rPr>
                        </m:ctrlPr>
                      </m:sub>
                    </m:sSub>
                    <m:ctrlPr>
                      <w:rPr>
                        <w:rFonts w:ascii="Cambria Math" w:hAnsi="Cambria Math"/>
                        <w:i/>
                        <w:color w:val="auto"/>
                        <w:highlight w:val="none"/>
                      </w:rPr>
                    </m:ctrlPr>
                  </m:den>
                </m:f>
                <m:r>
                  <m:rPr/>
                  <w:rPr>
                    <w:rFonts w:ascii="Cambria Math" w:hAnsi="Cambria Math"/>
                    <w:color w:val="auto"/>
                    <w:highlight w:val="none"/>
                  </w:rPr>
                  <m:t>+⋯+</m:t>
                </m:r>
                <m:f>
                  <m:fPr>
                    <m:ctrlPr>
                      <w:rPr>
                        <w:rFonts w:ascii="Cambria Math" w:hAnsi="Cambria Math"/>
                        <w:i/>
                        <w:color w:val="auto"/>
                        <w:highlight w:val="none"/>
                      </w:rPr>
                    </m:ctrlPr>
                  </m:fPr>
                  <m:num>
                    <m:sSub>
                      <m:sSubPr>
                        <m:ctrlPr>
                          <w:rPr>
                            <w:rFonts w:ascii="Cambria Math" w:hAnsi="Cambria Math"/>
                            <w:i/>
                            <w:color w:val="auto"/>
                            <w:highlight w:val="none"/>
                          </w:rPr>
                        </m:ctrlPr>
                      </m:sSubPr>
                      <m:e>
                        <m:r>
                          <m:rPr/>
                          <w:rPr>
                            <w:rFonts w:ascii="Cambria Math" w:hAnsi="Cambria Math"/>
                            <w:color w:val="auto"/>
                            <w:highlight w:val="none"/>
                          </w:rPr>
                          <m:t>q</m:t>
                        </m:r>
                        <m:ctrlPr>
                          <w:rPr>
                            <w:rFonts w:ascii="Cambria Math" w:hAnsi="Cambria Math"/>
                            <w:i/>
                            <w:color w:val="auto"/>
                            <w:highlight w:val="none"/>
                          </w:rPr>
                        </m:ctrlPr>
                      </m:e>
                      <m:sub>
                        <m:r>
                          <m:rPr/>
                          <w:rPr>
                            <w:rFonts w:ascii="Cambria Math" w:hAnsi="Cambria Math"/>
                            <w:color w:val="auto"/>
                            <w:highlight w:val="none"/>
                          </w:rPr>
                          <m:t>n</m:t>
                        </m:r>
                        <m:ctrlPr>
                          <w:rPr>
                            <w:rFonts w:ascii="Cambria Math" w:hAnsi="Cambria Math"/>
                            <w:i/>
                            <w:color w:val="auto"/>
                            <w:highlight w:val="none"/>
                          </w:rPr>
                        </m:ctrlPr>
                      </m:sub>
                    </m:sSub>
                    <m:ctrlPr>
                      <w:rPr>
                        <w:rFonts w:ascii="Cambria Math" w:hAnsi="Cambria Math"/>
                        <w:i/>
                        <w:color w:val="auto"/>
                        <w:highlight w:val="none"/>
                      </w:rPr>
                    </m:ctrlPr>
                  </m:num>
                  <m:den>
                    <m:sSub>
                      <m:sSubPr>
                        <m:ctrlPr>
                          <w:rPr>
                            <w:rFonts w:ascii="Cambria Math" w:hAnsi="Cambria Math"/>
                            <w:i/>
                            <w:color w:val="auto"/>
                            <w:highlight w:val="none"/>
                          </w:rPr>
                        </m:ctrlPr>
                      </m:sSubPr>
                      <m:e>
                        <m:r>
                          <m:rPr/>
                          <w:rPr>
                            <w:rFonts w:ascii="Cambria Math" w:hAnsi="Cambria Math"/>
                            <w:color w:val="auto"/>
                            <w:highlight w:val="none"/>
                          </w:rPr>
                          <m:t>Q</m:t>
                        </m:r>
                        <m:ctrlPr>
                          <w:rPr>
                            <w:rFonts w:ascii="Cambria Math" w:hAnsi="Cambria Math"/>
                            <w:i/>
                            <w:color w:val="auto"/>
                            <w:highlight w:val="none"/>
                          </w:rPr>
                        </m:ctrlPr>
                      </m:e>
                      <m:sub>
                        <m:r>
                          <m:rPr/>
                          <w:rPr>
                            <w:rFonts w:ascii="Cambria Math" w:hAnsi="Cambria Math"/>
                            <w:color w:val="auto"/>
                            <w:highlight w:val="none"/>
                          </w:rPr>
                          <m:t>n</m:t>
                        </m:r>
                        <m:ctrlPr>
                          <w:rPr>
                            <w:rFonts w:ascii="Cambria Math" w:hAnsi="Cambria Math"/>
                            <w:i/>
                            <w:color w:val="auto"/>
                            <w:highlight w:val="none"/>
                          </w:rPr>
                        </m:ctrlPr>
                      </m:sub>
                    </m:sSub>
                    <m:ctrlPr>
                      <w:rPr>
                        <w:rFonts w:ascii="Cambria Math" w:hAnsi="Cambria Math"/>
                        <w:i/>
                        <w:color w:val="auto"/>
                        <w:highlight w:val="none"/>
                      </w:rPr>
                    </m:ctrlPr>
                  </m:den>
                </m:f>
              </m:oMath>
            </m:oMathPara>
          </w:p>
          <w:p w14:paraId="56D967BD">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式中：q</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，q</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，…，q</w:t>
            </w:r>
            <w:r>
              <w:rPr>
                <w:rFonts w:hint="eastAsia" w:ascii="Times New Roman" w:hAnsi="Times New Roman" w:cs="宋体"/>
                <w:color w:val="auto"/>
                <w:highlight w:val="none"/>
                <w:vertAlign w:val="subscript"/>
              </w:rPr>
              <w:t>n</w:t>
            </w:r>
            <w:r>
              <w:rPr>
                <w:rFonts w:hint="eastAsia" w:ascii="Times New Roman" w:hAnsi="Times New Roman" w:cs="宋体"/>
                <w:color w:val="auto"/>
                <w:highlight w:val="none"/>
              </w:rPr>
              <w:t>——每种危险物质的最大存在总量，t；</w:t>
            </w:r>
          </w:p>
          <w:p w14:paraId="28CBFD1D">
            <w:pPr>
              <w:snapToGrid w:val="0"/>
              <w:spacing w:line="360" w:lineRule="auto"/>
              <w:ind w:firstLine="1200" w:firstLineChars="500"/>
              <w:rPr>
                <w:rFonts w:ascii="Times New Roman" w:hAnsi="Times New Roman" w:cs="宋体"/>
                <w:color w:val="auto"/>
                <w:highlight w:val="none"/>
              </w:rPr>
            </w:pPr>
            <w:r>
              <w:rPr>
                <w:rFonts w:hint="eastAsia" w:ascii="Times New Roman" w:hAnsi="Times New Roman" w:cs="宋体"/>
                <w:color w:val="auto"/>
                <w:highlight w:val="none"/>
              </w:rPr>
              <w:t>Q</w:t>
            </w:r>
            <w:r>
              <w:rPr>
                <w:rFonts w:hint="eastAsia" w:ascii="Times New Roman" w:hAnsi="Times New Roman" w:cs="宋体"/>
                <w:color w:val="auto"/>
                <w:highlight w:val="none"/>
                <w:vertAlign w:val="subscript"/>
              </w:rPr>
              <w:t>1</w:t>
            </w:r>
            <w:r>
              <w:rPr>
                <w:rFonts w:hint="eastAsia" w:ascii="Times New Roman" w:hAnsi="Times New Roman" w:cs="宋体"/>
                <w:color w:val="auto"/>
                <w:highlight w:val="none"/>
              </w:rPr>
              <w:t>，Q</w:t>
            </w:r>
            <w:r>
              <w:rPr>
                <w:rFonts w:hint="eastAsia" w:ascii="Times New Roman" w:hAnsi="Times New Roman" w:cs="宋体"/>
                <w:color w:val="auto"/>
                <w:highlight w:val="none"/>
                <w:vertAlign w:val="subscript"/>
              </w:rPr>
              <w:t>2</w:t>
            </w:r>
            <w:r>
              <w:rPr>
                <w:rFonts w:hint="eastAsia" w:ascii="Times New Roman" w:hAnsi="Times New Roman" w:cs="宋体"/>
                <w:color w:val="auto"/>
                <w:highlight w:val="none"/>
              </w:rPr>
              <w:t>，…，Q</w:t>
            </w:r>
            <w:r>
              <w:rPr>
                <w:rFonts w:hint="eastAsia" w:ascii="Times New Roman" w:hAnsi="Times New Roman" w:cs="宋体"/>
                <w:color w:val="auto"/>
                <w:highlight w:val="none"/>
                <w:vertAlign w:val="subscript"/>
              </w:rPr>
              <w:t>n</w:t>
            </w:r>
            <w:r>
              <w:rPr>
                <w:rFonts w:hint="eastAsia" w:ascii="Times New Roman" w:hAnsi="Times New Roman" w:cs="宋体"/>
                <w:color w:val="auto"/>
                <w:highlight w:val="none"/>
              </w:rPr>
              <w:t>——每种危险物质的临界量，t；</w:t>
            </w:r>
          </w:p>
          <w:p w14:paraId="5934CFB7">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当Q&lt;1时，该项目环境风险潜势为Ⅰ。</w:t>
            </w:r>
          </w:p>
          <w:p w14:paraId="7809DC62">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当Q≥1时，将Q值划分为：（1）1≤Q&lt;10；（2）10≤Q&lt;100（3）Q≥100</w:t>
            </w:r>
          </w:p>
          <w:p w14:paraId="7EAF90A9">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本项目废矿物油最大储存量为</w:t>
            </w:r>
            <w:r>
              <w:rPr>
                <w:rFonts w:hint="eastAsia" w:ascii="Times New Roman" w:hAnsi="Times New Roman" w:cs="宋体"/>
                <w:color w:val="auto"/>
                <w:highlight w:val="none"/>
                <w:lang w:val="en-US" w:eastAsia="zh-CN"/>
              </w:rPr>
              <w:t>2.4</w:t>
            </w:r>
            <w:r>
              <w:rPr>
                <w:rFonts w:hint="eastAsia" w:ascii="Times New Roman" w:hAnsi="Times New Roman" w:cs="宋体"/>
                <w:color w:val="auto"/>
                <w:highlight w:val="none"/>
              </w:rPr>
              <w:t>t，项目主要危险物质储存数量见表2</w:t>
            </w:r>
            <w:r>
              <w:rPr>
                <w:rFonts w:hint="eastAsia" w:ascii="Times New Roman" w:hAnsi="Times New Roman" w:cs="宋体"/>
                <w:color w:val="auto"/>
                <w:highlight w:val="none"/>
                <w:lang w:val="en-US" w:eastAsia="zh-CN"/>
              </w:rPr>
              <w:t>4</w:t>
            </w:r>
            <w:r>
              <w:rPr>
                <w:rFonts w:hint="eastAsia" w:ascii="Times New Roman" w:hAnsi="Times New Roman" w:cs="宋体"/>
                <w:color w:val="auto"/>
                <w:highlight w:val="none"/>
              </w:rPr>
              <w:t>所示。</w:t>
            </w:r>
          </w:p>
          <w:p w14:paraId="41E559B4">
            <w:pPr>
              <w:snapToGrid w:val="0"/>
              <w:spacing w:line="360" w:lineRule="auto"/>
              <w:ind w:firstLine="482" w:firstLineChars="200"/>
              <w:jc w:val="center"/>
              <w:rPr>
                <w:rFonts w:ascii="Times New Roman" w:hAnsi="宋体" w:cs="Times New Roman"/>
                <w:b/>
                <w:color w:val="auto"/>
                <w:highlight w:val="none"/>
              </w:rPr>
            </w:pPr>
            <w:r>
              <w:rPr>
                <w:rFonts w:hint="eastAsia" w:ascii="Times New Roman" w:hAnsi="宋体" w:cs="Times New Roman"/>
                <w:b/>
                <w:color w:val="auto"/>
                <w:highlight w:val="none"/>
              </w:rPr>
              <w:t>表2</w:t>
            </w:r>
            <w:r>
              <w:rPr>
                <w:rFonts w:hint="eastAsia" w:ascii="Times New Roman" w:hAnsi="宋体" w:cs="Times New Roman"/>
                <w:b/>
                <w:color w:val="auto"/>
                <w:highlight w:val="none"/>
                <w:lang w:val="en-US" w:eastAsia="zh-CN"/>
              </w:rPr>
              <w:t>4</w:t>
            </w:r>
            <w:r>
              <w:rPr>
                <w:rFonts w:hint="eastAsia" w:ascii="Times New Roman" w:hAnsi="宋体" w:cs="Times New Roman"/>
                <w:b/>
                <w:color w:val="auto"/>
                <w:highlight w:val="none"/>
              </w:rPr>
              <w:t xml:space="preserve">  项目</w:t>
            </w:r>
            <w:r>
              <w:rPr>
                <w:rFonts w:ascii="Times New Roman" w:hAnsi="宋体" w:cs="Times New Roman"/>
                <w:b/>
                <w:color w:val="auto"/>
                <w:highlight w:val="none"/>
              </w:rPr>
              <w:t>危险物质数量</w:t>
            </w:r>
            <w:r>
              <w:rPr>
                <w:rFonts w:hint="eastAsia" w:ascii="Times New Roman" w:hAnsi="宋体" w:cs="Times New Roman"/>
                <w:b/>
                <w:color w:val="auto"/>
                <w:highlight w:val="none"/>
              </w:rPr>
              <w:t>、</w:t>
            </w:r>
            <w:r>
              <w:rPr>
                <w:rFonts w:ascii="Times New Roman" w:hAnsi="宋体" w:cs="Times New Roman"/>
                <w:b/>
                <w:color w:val="auto"/>
                <w:highlight w:val="none"/>
              </w:rPr>
              <w:t>分布情况一览表</w:t>
            </w:r>
          </w:p>
          <w:tbl>
            <w:tblPr>
              <w:tblStyle w:val="24"/>
              <w:tblW w:w="4998"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1545"/>
              <w:gridCol w:w="915"/>
              <w:gridCol w:w="1395"/>
              <w:gridCol w:w="1305"/>
              <w:gridCol w:w="1187"/>
            </w:tblGrid>
            <w:tr w14:paraId="026FABF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104" w:type="pct"/>
                  <w:tcBorders>
                    <w:tl2br w:val="nil"/>
                    <w:tr2bl w:val="nil"/>
                  </w:tcBorders>
                  <w:noWrap/>
                  <w:vAlign w:val="center"/>
                </w:tcPr>
                <w:p w14:paraId="6BF889E5">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原辅材料名称</w:t>
                  </w:r>
                </w:p>
              </w:tc>
              <w:tc>
                <w:tcPr>
                  <w:tcW w:w="948" w:type="pct"/>
                  <w:tcBorders>
                    <w:tl2br w:val="nil"/>
                    <w:tr2bl w:val="nil"/>
                  </w:tcBorders>
                  <w:noWrap/>
                  <w:vAlign w:val="center"/>
                </w:tcPr>
                <w:p w14:paraId="7A128451">
                  <w:pPr>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物质名称</w:t>
                  </w:r>
                </w:p>
              </w:tc>
              <w:tc>
                <w:tcPr>
                  <w:tcW w:w="561" w:type="pct"/>
                  <w:tcBorders>
                    <w:tl2br w:val="nil"/>
                    <w:tr2bl w:val="nil"/>
                  </w:tcBorders>
                  <w:noWrap/>
                  <w:vAlign w:val="center"/>
                </w:tcPr>
                <w:p w14:paraId="14AF1281">
                  <w:pPr>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CAS号</w:t>
                  </w:r>
                </w:p>
              </w:tc>
              <w:tc>
                <w:tcPr>
                  <w:tcW w:w="856" w:type="pct"/>
                  <w:tcBorders>
                    <w:tl2br w:val="nil"/>
                    <w:tr2bl w:val="nil"/>
                  </w:tcBorders>
                  <w:noWrap/>
                  <w:vAlign w:val="center"/>
                </w:tcPr>
                <w:p w14:paraId="6F27C8AA">
                  <w:pPr>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临界值</w:t>
                  </w:r>
                  <w:r>
                    <w:rPr>
                      <w:rFonts w:ascii="Times New Roman" w:hAnsi="Times New Roman" w:cs="Times New Roman"/>
                      <w:color w:val="auto"/>
                      <w:sz w:val="21"/>
                      <w:szCs w:val="21"/>
                      <w:highlight w:val="none"/>
                    </w:rPr>
                    <w:t>（t）</w:t>
                  </w:r>
                </w:p>
              </w:tc>
              <w:tc>
                <w:tcPr>
                  <w:tcW w:w="801" w:type="pct"/>
                  <w:tcBorders>
                    <w:tl2br w:val="nil"/>
                    <w:tr2bl w:val="nil"/>
                  </w:tcBorders>
                  <w:noWrap/>
                  <w:vAlign w:val="center"/>
                </w:tcPr>
                <w:p w14:paraId="410EAF0F">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最大储存量（t）</w:t>
                  </w:r>
                </w:p>
              </w:tc>
              <w:tc>
                <w:tcPr>
                  <w:tcW w:w="728" w:type="pct"/>
                  <w:tcBorders>
                    <w:tl2br w:val="nil"/>
                    <w:tr2bl w:val="nil"/>
                  </w:tcBorders>
                  <w:noWrap/>
                  <w:vAlign w:val="center"/>
                </w:tcPr>
                <w:p w14:paraId="2C58969E">
                  <w:pPr>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highlight w:val="none"/>
                    </w:rPr>
                    <w:t>Q</w:t>
                  </w:r>
                  <w:r>
                    <w:rPr>
                      <w:rFonts w:ascii="Times New Roman" w:hAnsi="Times New Roman" w:cs="Times New Roman"/>
                      <w:color w:val="auto"/>
                      <w:highlight w:val="none"/>
                    </w:rPr>
                    <w:t>(q</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/Q</w:t>
                  </w:r>
                  <w:r>
                    <w:rPr>
                      <w:rFonts w:ascii="Times New Roman" w:hAnsi="Times New Roman" w:cs="Times New Roman"/>
                      <w:color w:val="auto"/>
                      <w:highlight w:val="none"/>
                      <w:vertAlign w:val="subscript"/>
                    </w:rPr>
                    <w:t>i</w:t>
                  </w:r>
                  <w:r>
                    <w:rPr>
                      <w:rFonts w:ascii="Times New Roman" w:hAnsi="Times New Roman" w:cs="Times New Roman"/>
                      <w:color w:val="auto"/>
                      <w:highlight w:val="none"/>
                    </w:rPr>
                    <w:t>)</w:t>
                  </w:r>
                </w:p>
              </w:tc>
            </w:tr>
            <w:tr w14:paraId="68B6AFB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104" w:type="pct"/>
                  <w:tcBorders>
                    <w:tl2br w:val="nil"/>
                    <w:tr2bl w:val="nil"/>
                  </w:tcBorders>
                  <w:noWrap/>
                  <w:vAlign w:val="center"/>
                </w:tcPr>
                <w:p w14:paraId="0339A0B6">
                  <w:pPr>
                    <w:adjustRightInd w:val="0"/>
                    <w:snapToGrid w:val="0"/>
                    <w:jc w:val="center"/>
                    <w:rPr>
                      <w:rFonts w:ascii="Times New Roman" w:hAnsi="Times New Roman" w:cs="Times New Roman"/>
                      <w:color w:val="auto"/>
                      <w:sz w:val="21"/>
                      <w:szCs w:val="21"/>
                      <w:highlight w:val="none"/>
                    </w:rPr>
                  </w:pPr>
                  <w:r>
                    <w:rPr>
                      <w:rFonts w:hint="eastAsia"/>
                      <w:color w:val="auto"/>
                      <w:sz w:val="21"/>
                      <w:szCs w:val="21"/>
                      <w:highlight w:val="none"/>
                    </w:rPr>
                    <w:t>油类物质（矿物油类，如石油、汽油、柴油等，生物柴油等）</w:t>
                  </w:r>
                </w:p>
              </w:tc>
              <w:tc>
                <w:tcPr>
                  <w:tcW w:w="948" w:type="pct"/>
                  <w:tcBorders>
                    <w:tl2br w:val="nil"/>
                    <w:tr2bl w:val="nil"/>
                  </w:tcBorders>
                  <w:noWrap/>
                  <w:vAlign w:val="center"/>
                </w:tcPr>
                <w:p w14:paraId="4620CBDA">
                  <w:pPr>
                    <w:adjustRightInd w:val="0"/>
                    <w:snapToGrid w:val="0"/>
                    <w:jc w:val="center"/>
                    <w:rPr>
                      <w:rFonts w:ascii="Times New Roman" w:hAnsi="Times New Roman" w:cs="Times New Roman"/>
                      <w:color w:val="auto"/>
                      <w:sz w:val="21"/>
                      <w:szCs w:val="21"/>
                      <w:highlight w:val="none"/>
                    </w:rPr>
                  </w:pPr>
                  <w:r>
                    <w:rPr>
                      <w:rFonts w:hint="eastAsia"/>
                      <w:color w:val="auto"/>
                      <w:sz w:val="21"/>
                      <w:szCs w:val="21"/>
                      <w:highlight w:val="none"/>
                    </w:rPr>
                    <w:t>废矿物油</w:t>
                  </w:r>
                </w:p>
              </w:tc>
              <w:tc>
                <w:tcPr>
                  <w:tcW w:w="561" w:type="pct"/>
                  <w:tcBorders>
                    <w:tl2br w:val="nil"/>
                    <w:tr2bl w:val="nil"/>
                  </w:tcBorders>
                  <w:noWrap/>
                  <w:vAlign w:val="center"/>
                </w:tcPr>
                <w:p w14:paraId="34FE0E0E">
                  <w:pPr>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856" w:type="pct"/>
                  <w:tcBorders>
                    <w:tl2br w:val="nil"/>
                    <w:tr2bl w:val="nil"/>
                  </w:tcBorders>
                  <w:noWrap/>
                  <w:vAlign w:val="center"/>
                </w:tcPr>
                <w:p w14:paraId="1AC414D5">
                  <w:pPr>
                    <w:adjustRightInd w:val="0"/>
                    <w:snapToGrid w:val="0"/>
                    <w:jc w:val="center"/>
                    <w:rPr>
                      <w:rFonts w:ascii="Times New Roman" w:hAnsi="Times New Roman" w:cs="Times New Roman"/>
                      <w:color w:val="auto"/>
                      <w:sz w:val="21"/>
                      <w:szCs w:val="21"/>
                      <w:highlight w:val="none"/>
                    </w:rPr>
                  </w:pPr>
                  <w:r>
                    <w:rPr>
                      <w:rFonts w:hint="eastAsia" w:ascii="Times New Roman" w:hAnsi="宋体" w:cs="Times New Roman"/>
                      <w:color w:val="auto"/>
                      <w:sz w:val="21"/>
                      <w:szCs w:val="21"/>
                      <w:highlight w:val="none"/>
                    </w:rPr>
                    <w:t>2500</w:t>
                  </w:r>
                </w:p>
              </w:tc>
              <w:tc>
                <w:tcPr>
                  <w:tcW w:w="801" w:type="pct"/>
                  <w:tcBorders>
                    <w:tl2br w:val="nil"/>
                    <w:tr2bl w:val="nil"/>
                  </w:tcBorders>
                  <w:noWrap/>
                  <w:vAlign w:val="center"/>
                </w:tcPr>
                <w:p w14:paraId="6FED2D4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728" w:type="pct"/>
                  <w:tcBorders>
                    <w:tl2br w:val="nil"/>
                    <w:tr2bl w:val="nil"/>
                  </w:tcBorders>
                  <w:noWrap/>
                  <w:vAlign w:val="center"/>
                </w:tcPr>
                <w:p w14:paraId="23FC6242">
                  <w:pPr>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rPr>
                    <w:t>0.00</w:t>
                  </w:r>
                  <w:r>
                    <w:rPr>
                      <w:rFonts w:hint="eastAsia" w:ascii="Times New Roman" w:hAnsi="Times New Roman" w:cs="Times New Roman"/>
                      <w:color w:val="auto"/>
                      <w:highlight w:val="none"/>
                      <w:lang w:val="en-US" w:eastAsia="zh-CN"/>
                    </w:rPr>
                    <w:t>096</w:t>
                  </w:r>
                </w:p>
              </w:tc>
            </w:tr>
            <w:tr w14:paraId="3B50980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104" w:type="pct"/>
                  <w:tcBorders>
                    <w:tl2br w:val="nil"/>
                    <w:tr2bl w:val="nil"/>
                  </w:tcBorders>
                  <w:noWrap/>
                  <w:vAlign w:val="center"/>
                </w:tcPr>
                <w:p w14:paraId="60AFA6B2">
                  <w:pPr>
                    <w:spacing w:line="240" w:lineRule="auto"/>
                    <w:jc w:val="center"/>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健康危险急性毒性物质（类别2，类别3）</w:t>
                  </w:r>
                </w:p>
              </w:tc>
              <w:tc>
                <w:tcPr>
                  <w:tcW w:w="948" w:type="pct"/>
                  <w:tcBorders>
                    <w:tl2br w:val="nil"/>
                    <w:tr2bl w:val="nil"/>
                  </w:tcBorders>
                  <w:noWrap/>
                  <w:vAlign w:val="center"/>
                </w:tcPr>
                <w:p w14:paraId="54FA48BF">
                  <w:pPr>
                    <w:spacing w:line="240" w:lineRule="auto"/>
                    <w:jc w:val="center"/>
                    <w:rPr>
                      <w:rFonts w:hint="default" w:eastAsia="宋体"/>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废油桶</w:t>
                  </w:r>
                </w:p>
              </w:tc>
              <w:tc>
                <w:tcPr>
                  <w:tcW w:w="561" w:type="pct"/>
                  <w:tcBorders>
                    <w:tl2br w:val="nil"/>
                    <w:tr2bl w:val="nil"/>
                  </w:tcBorders>
                  <w:noWrap/>
                  <w:vAlign w:val="center"/>
                </w:tcPr>
                <w:p w14:paraId="665ABD58">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56" w:type="pct"/>
                  <w:tcBorders>
                    <w:tl2br w:val="nil"/>
                    <w:tr2bl w:val="nil"/>
                  </w:tcBorders>
                  <w:noWrap/>
                  <w:vAlign w:val="center"/>
                </w:tcPr>
                <w:p w14:paraId="4FE44CEE">
                  <w:pPr>
                    <w:adjustRightInd w:val="0"/>
                    <w:snapToGrid w:val="0"/>
                    <w:jc w:val="center"/>
                    <w:rPr>
                      <w:rFonts w:ascii="Times New Roman" w:hAnsi="宋体" w:cs="Times New Roman"/>
                      <w:color w:val="auto"/>
                      <w:sz w:val="21"/>
                      <w:szCs w:val="21"/>
                      <w:highlight w:val="none"/>
                    </w:rPr>
                  </w:pPr>
                  <w:r>
                    <w:rPr>
                      <w:rFonts w:hint="default" w:ascii="Times New Roman" w:hAnsi="Times New Roman" w:cs="Times New Roman"/>
                      <w:b w:val="0"/>
                      <w:bCs/>
                      <w:color w:val="auto"/>
                      <w:sz w:val="21"/>
                      <w:szCs w:val="21"/>
                      <w:highlight w:val="none"/>
                      <w:vertAlign w:val="baseline"/>
                      <w:lang w:val="en-US" w:eastAsia="zh-CN"/>
                    </w:rPr>
                    <w:t>50</w:t>
                  </w:r>
                </w:p>
              </w:tc>
              <w:tc>
                <w:tcPr>
                  <w:tcW w:w="801" w:type="pct"/>
                  <w:tcBorders>
                    <w:tl2br w:val="nil"/>
                    <w:tr2bl w:val="nil"/>
                  </w:tcBorders>
                  <w:noWrap/>
                  <w:vAlign w:val="center"/>
                </w:tcPr>
                <w:p w14:paraId="2EDC56D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w:t>
                  </w:r>
                </w:p>
              </w:tc>
              <w:tc>
                <w:tcPr>
                  <w:tcW w:w="728" w:type="pct"/>
                  <w:tcBorders>
                    <w:tl2br w:val="nil"/>
                    <w:tr2bl w:val="nil"/>
                  </w:tcBorders>
                  <w:noWrap/>
                  <w:vAlign w:val="center"/>
                </w:tcPr>
                <w:p w14:paraId="21A0CADC">
                  <w:pPr>
                    <w:adjustRightInd w:val="0"/>
                    <w:snapToGrid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0.032</w:t>
                  </w:r>
                </w:p>
              </w:tc>
            </w:tr>
            <w:tr w14:paraId="751529E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104" w:type="pct"/>
                  <w:tcBorders>
                    <w:tl2br w:val="nil"/>
                    <w:tr2bl w:val="nil"/>
                  </w:tcBorders>
                  <w:shd w:val="clear"/>
                  <w:noWrap/>
                  <w:vAlign w:val="center"/>
                </w:tcPr>
                <w:p w14:paraId="2F0EA549">
                  <w:pPr>
                    <w:pStyle w:val="4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eastAsia="宋体" w:cs="Times New Roman" w:asciiTheme="minorHAnsi" w:hAnsiTheme="minorHAnsi"/>
                      <w:color w:val="auto"/>
                      <w:kern w:val="2"/>
                      <w:sz w:val="21"/>
                      <w:szCs w:val="21"/>
                      <w:highlight w:val="none"/>
                      <w:lang w:val="en-US" w:eastAsia="zh-CN" w:bidi="ar-SA"/>
                    </w:rPr>
                  </w:pPr>
                  <w:r>
                    <w:rPr>
                      <w:rFonts w:hint="eastAsia" w:cs="Times New Roman"/>
                      <w:color w:val="auto"/>
                      <w:sz w:val="21"/>
                      <w:szCs w:val="21"/>
                      <w:highlight w:val="none"/>
                      <w:lang w:val="en-US" w:eastAsia="zh-CN"/>
                    </w:rPr>
                    <w:t>废活性炭</w:t>
                  </w:r>
                </w:p>
              </w:tc>
              <w:tc>
                <w:tcPr>
                  <w:tcW w:w="948" w:type="pct"/>
                  <w:tcBorders>
                    <w:tl2br w:val="nil"/>
                    <w:tr2bl w:val="nil"/>
                  </w:tcBorders>
                  <w:shd w:val="clear"/>
                  <w:noWrap/>
                  <w:vAlign w:val="center"/>
                </w:tcPr>
                <w:p w14:paraId="5BDBF754">
                  <w:pPr>
                    <w:pStyle w:val="50"/>
                    <w:adjustRightInd w:val="0"/>
                    <w:snapToGrid w:val="0"/>
                    <w:spacing w:line="240" w:lineRule="auto"/>
                    <w:ind w:firstLine="0" w:firstLineChars="0"/>
                    <w:jc w:val="center"/>
                    <w:rPr>
                      <w:rFonts w:hint="eastAsia" w:eastAsia="宋体" w:cs="Times New Roman" w:asciiTheme="minorHAnsi" w:hAnsiTheme="minorHAnsi"/>
                      <w:snapToGrid w:val="0"/>
                      <w:color w:val="auto"/>
                      <w:kern w:val="2"/>
                      <w:sz w:val="21"/>
                      <w:szCs w:val="21"/>
                      <w:highlight w:val="none"/>
                      <w:lang w:val="en-US" w:eastAsia="zh-CN" w:bidi="ar-SA"/>
                    </w:rPr>
                  </w:pPr>
                  <w:r>
                    <w:rPr>
                      <w:rFonts w:hint="eastAsia" w:cs="Times New Roman"/>
                      <w:color w:val="auto"/>
                      <w:sz w:val="21"/>
                      <w:szCs w:val="21"/>
                      <w:highlight w:val="none"/>
                      <w:lang w:val="en-US" w:eastAsia="zh-CN"/>
                    </w:rPr>
                    <w:t>废活性炭</w:t>
                  </w:r>
                </w:p>
              </w:tc>
              <w:tc>
                <w:tcPr>
                  <w:tcW w:w="561" w:type="pct"/>
                  <w:tcBorders>
                    <w:tl2br w:val="nil"/>
                    <w:tr2bl w:val="nil"/>
                  </w:tcBorders>
                  <w:noWrap/>
                  <w:vAlign w:val="center"/>
                </w:tcPr>
                <w:p w14:paraId="5F004905">
                  <w:pPr>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856" w:type="pct"/>
                  <w:tcBorders>
                    <w:tl2br w:val="nil"/>
                    <w:tr2bl w:val="nil"/>
                  </w:tcBorders>
                  <w:noWrap/>
                  <w:vAlign w:val="center"/>
                </w:tcPr>
                <w:p w14:paraId="621E00E8">
                  <w:pPr>
                    <w:adjustRightInd w:val="0"/>
                    <w:snapToGrid w:val="0"/>
                    <w:jc w:val="center"/>
                    <w:rPr>
                      <w:rFonts w:hint="default" w:ascii="Times New Roman" w:hAnsi="Times New Roman"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50</w:t>
                  </w:r>
                </w:p>
              </w:tc>
              <w:tc>
                <w:tcPr>
                  <w:tcW w:w="801" w:type="pct"/>
                  <w:tcBorders>
                    <w:tl2br w:val="nil"/>
                    <w:tr2bl w:val="nil"/>
                  </w:tcBorders>
                  <w:noWrap/>
                  <w:vAlign w:val="center"/>
                </w:tcPr>
                <w:p w14:paraId="70825148">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728" w:type="pct"/>
                  <w:tcBorders>
                    <w:tl2br w:val="nil"/>
                    <w:tr2bl w:val="nil"/>
                  </w:tcBorders>
                  <w:noWrap/>
                  <w:vAlign w:val="center"/>
                </w:tcPr>
                <w:p w14:paraId="17ADBB50">
                  <w:pPr>
                    <w:adjustRightInd w:val="0"/>
                    <w:snapToGrid w:val="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w:t>
                  </w:r>
                </w:p>
              </w:tc>
            </w:tr>
            <w:tr w14:paraId="0971FBD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4271" w:type="pct"/>
                  <w:gridSpan w:val="5"/>
                  <w:tcBorders>
                    <w:tl2br w:val="nil"/>
                    <w:tr2bl w:val="nil"/>
                  </w:tcBorders>
                  <w:noWrap/>
                  <w:vAlign w:val="center"/>
                </w:tcPr>
                <w:p w14:paraId="0D85C456">
                  <w:pPr>
                    <w:adjustRightInd w:val="0"/>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合计</w:t>
                  </w:r>
                </w:p>
              </w:tc>
              <w:tc>
                <w:tcPr>
                  <w:tcW w:w="728" w:type="pct"/>
                  <w:tcBorders>
                    <w:tl2br w:val="nil"/>
                    <w:tr2bl w:val="nil"/>
                  </w:tcBorders>
                  <w:noWrap/>
                  <w:vAlign w:val="center"/>
                </w:tcPr>
                <w:p w14:paraId="5368B09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0.03296</w:t>
                  </w:r>
                </w:p>
              </w:tc>
            </w:tr>
          </w:tbl>
          <w:p w14:paraId="00920A5C">
            <w:pPr>
              <w:snapToGrid w:val="0"/>
              <w:spacing w:line="360" w:lineRule="auto"/>
              <w:ind w:firstLine="480" w:firstLineChars="200"/>
              <w:rPr>
                <w:rFonts w:ascii="Times New Roman" w:hAnsi="Times New Roman" w:cs="宋体"/>
                <w:color w:val="auto"/>
                <w:highlight w:val="none"/>
              </w:rPr>
            </w:pPr>
            <w:r>
              <w:rPr>
                <w:rFonts w:hint="eastAsia" w:ascii="Times New Roman" w:hAnsi="Times New Roman" w:cs="宋体"/>
                <w:color w:val="auto"/>
                <w:highlight w:val="none"/>
              </w:rPr>
              <w:t>本项目Q=0.</w:t>
            </w:r>
            <w:r>
              <w:rPr>
                <w:rFonts w:hint="eastAsia" w:ascii="Times New Roman" w:hAnsi="Times New Roman" w:cs="宋体"/>
                <w:color w:val="auto"/>
                <w:highlight w:val="none"/>
                <w:lang w:val="en-US" w:eastAsia="zh-CN"/>
              </w:rPr>
              <w:t>03296</w:t>
            </w:r>
            <w:r>
              <w:rPr>
                <w:rFonts w:hint="eastAsia" w:ascii="Times New Roman" w:hAnsi="Times New Roman" w:cs="宋体"/>
                <w:color w:val="auto"/>
                <w:highlight w:val="none"/>
              </w:rPr>
              <w:t>＜1，环境风险潜势为Ⅰ。根据下表，本项目的环境风险评价等级为简单分析，按照《建设项目环境风险评价技术导则》（HJ169-2018）附录A要求在描述危险物质、环境影响途径、环境危害后果、风险防范措施等方面给出定性说明。</w:t>
            </w:r>
          </w:p>
          <w:p w14:paraId="1E1F542F">
            <w:pPr>
              <w:snapToGrid w:val="0"/>
              <w:spacing w:line="360" w:lineRule="auto"/>
              <w:jc w:val="center"/>
              <w:rPr>
                <w:rFonts w:ascii="Times New Roman" w:hAnsi="Times New Roman" w:cs="宋体"/>
                <w:b/>
                <w:bCs/>
                <w:color w:val="auto"/>
                <w:highlight w:val="none"/>
              </w:rPr>
            </w:pPr>
            <w:r>
              <w:rPr>
                <w:rFonts w:hint="eastAsia" w:ascii="Times New Roman" w:hAnsi="Times New Roman" w:cs="宋体"/>
                <w:b/>
                <w:bCs/>
                <w:color w:val="auto"/>
                <w:highlight w:val="none"/>
              </w:rPr>
              <w:t>表2</w:t>
            </w:r>
            <w:r>
              <w:rPr>
                <w:rFonts w:hint="eastAsia" w:ascii="Times New Roman" w:hAnsi="Times New Roman" w:cs="宋体"/>
                <w:b/>
                <w:bCs/>
                <w:color w:val="auto"/>
                <w:highlight w:val="none"/>
                <w:lang w:val="en-US" w:eastAsia="zh-CN"/>
              </w:rPr>
              <w:t>5</w:t>
            </w:r>
            <w:r>
              <w:rPr>
                <w:rFonts w:hint="eastAsia" w:ascii="Times New Roman" w:hAnsi="Times New Roman" w:cs="宋体"/>
                <w:b/>
                <w:bCs/>
                <w:color w:val="auto"/>
                <w:highlight w:val="none"/>
              </w:rPr>
              <w:t xml:space="preserve">  环境风险评价工作等级划分</w:t>
            </w:r>
          </w:p>
          <w:tbl>
            <w:tblPr>
              <w:tblStyle w:val="24"/>
              <w:tblW w:w="5000"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5"/>
              <w:gridCol w:w="1803"/>
              <w:gridCol w:w="841"/>
              <w:gridCol w:w="841"/>
              <w:gridCol w:w="2080"/>
            </w:tblGrid>
            <w:tr w14:paraId="4119171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86" w:type="pct"/>
                  <w:tcBorders>
                    <w:tl2br w:val="nil"/>
                    <w:tr2bl w:val="nil"/>
                  </w:tcBorders>
                  <w:noWrap/>
                  <w:vAlign w:val="center"/>
                </w:tcPr>
                <w:p w14:paraId="5F1A906D">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环境风险潜势</w:t>
                  </w:r>
                </w:p>
              </w:tc>
              <w:tc>
                <w:tcPr>
                  <w:tcW w:w="1106" w:type="pct"/>
                  <w:tcBorders>
                    <w:tl2br w:val="nil"/>
                    <w:tr2bl w:val="nil"/>
                  </w:tcBorders>
                  <w:noWrap/>
                  <w:vAlign w:val="center"/>
                </w:tcPr>
                <w:p w14:paraId="29F726DC">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Ⅳ、Ⅳ+</w:t>
                  </w:r>
                </w:p>
              </w:tc>
              <w:tc>
                <w:tcPr>
                  <w:tcW w:w="516" w:type="pct"/>
                  <w:tcBorders>
                    <w:tl2br w:val="nil"/>
                    <w:tr2bl w:val="nil"/>
                  </w:tcBorders>
                  <w:noWrap/>
                  <w:vAlign w:val="center"/>
                </w:tcPr>
                <w:p w14:paraId="001009C7">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Ⅲ</w:t>
                  </w:r>
                </w:p>
              </w:tc>
              <w:tc>
                <w:tcPr>
                  <w:tcW w:w="516" w:type="pct"/>
                  <w:tcBorders>
                    <w:tl2br w:val="nil"/>
                    <w:tr2bl w:val="nil"/>
                  </w:tcBorders>
                  <w:noWrap/>
                  <w:vAlign w:val="center"/>
                </w:tcPr>
                <w:p w14:paraId="13220204">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Ⅱ</w:t>
                  </w:r>
                </w:p>
              </w:tc>
              <w:tc>
                <w:tcPr>
                  <w:tcW w:w="1273" w:type="pct"/>
                  <w:tcBorders>
                    <w:tl2br w:val="nil"/>
                    <w:tr2bl w:val="nil"/>
                  </w:tcBorders>
                  <w:noWrap/>
                  <w:vAlign w:val="center"/>
                </w:tcPr>
                <w:p w14:paraId="73E864A8">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Ⅰ</w:t>
                  </w:r>
                </w:p>
              </w:tc>
            </w:tr>
            <w:tr w14:paraId="31D0318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586" w:type="pct"/>
                  <w:tcBorders>
                    <w:tl2br w:val="nil"/>
                    <w:tr2bl w:val="nil"/>
                  </w:tcBorders>
                  <w:noWrap/>
                  <w:vAlign w:val="center"/>
                </w:tcPr>
                <w:p w14:paraId="61223D23">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评价工作等级</w:t>
                  </w:r>
                </w:p>
              </w:tc>
              <w:tc>
                <w:tcPr>
                  <w:tcW w:w="1106" w:type="pct"/>
                  <w:tcBorders>
                    <w:tl2br w:val="nil"/>
                    <w:tr2bl w:val="nil"/>
                  </w:tcBorders>
                  <w:noWrap/>
                  <w:vAlign w:val="center"/>
                </w:tcPr>
                <w:p w14:paraId="5AC3BD3C">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一</w:t>
                  </w:r>
                </w:p>
              </w:tc>
              <w:tc>
                <w:tcPr>
                  <w:tcW w:w="516" w:type="pct"/>
                  <w:tcBorders>
                    <w:tl2br w:val="nil"/>
                    <w:tr2bl w:val="nil"/>
                  </w:tcBorders>
                  <w:noWrap/>
                  <w:vAlign w:val="center"/>
                </w:tcPr>
                <w:p w14:paraId="77981693">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二</w:t>
                  </w:r>
                </w:p>
              </w:tc>
              <w:tc>
                <w:tcPr>
                  <w:tcW w:w="516" w:type="pct"/>
                  <w:tcBorders>
                    <w:tl2br w:val="nil"/>
                    <w:tr2bl w:val="nil"/>
                  </w:tcBorders>
                  <w:noWrap/>
                  <w:vAlign w:val="center"/>
                </w:tcPr>
                <w:p w14:paraId="698520F0">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三</w:t>
                  </w:r>
                </w:p>
              </w:tc>
              <w:tc>
                <w:tcPr>
                  <w:tcW w:w="1273" w:type="pct"/>
                  <w:tcBorders>
                    <w:tl2br w:val="nil"/>
                    <w:tr2bl w:val="nil"/>
                  </w:tcBorders>
                  <w:noWrap/>
                  <w:vAlign w:val="center"/>
                </w:tcPr>
                <w:p w14:paraId="5D30EC58">
                  <w:pPr>
                    <w:spacing w:line="480" w:lineRule="exact"/>
                    <w:jc w:val="center"/>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简单分析</w:t>
                  </w:r>
                  <w:r>
                    <w:rPr>
                      <w:rFonts w:hint="eastAsia" w:ascii="Times New Roman" w:hAnsi="Times New Roman" w:cs="宋体"/>
                      <w:color w:val="auto"/>
                      <w:sz w:val="21"/>
                      <w:szCs w:val="21"/>
                      <w:highlight w:val="none"/>
                      <w:vertAlign w:val="superscript"/>
                    </w:rPr>
                    <w:t>a</w:t>
                  </w:r>
                </w:p>
              </w:tc>
            </w:tr>
            <w:tr w14:paraId="701AB32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5000" w:type="pct"/>
                  <w:gridSpan w:val="5"/>
                  <w:tcBorders>
                    <w:tl2br w:val="nil"/>
                    <w:tr2bl w:val="nil"/>
                  </w:tcBorders>
                  <w:noWrap/>
                  <w:vAlign w:val="center"/>
                </w:tcPr>
                <w:p w14:paraId="6D9DE5CA">
                  <w:pPr>
                    <w:spacing w:line="480" w:lineRule="exact"/>
                    <w:jc w:val="left"/>
                    <w:rPr>
                      <w:rFonts w:ascii="Times New Roman" w:hAnsi="Times New Roman" w:cs="宋体"/>
                      <w:color w:val="auto"/>
                      <w:sz w:val="21"/>
                      <w:szCs w:val="21"/>
                      <w:highlight w:val="none"/>
                    </w:rPr>
                  </w:pPr>
                  <w:r>
                    <w:rPr>
                      <w:rFonts w:hint="eastAsia" w:ascii="Times New Roman" w:hAnsi="Times New Roman" w:cs="宋体"/>
                      <w:color w:val="auto"/>
                      <w:sz w:val="21"/>
                      <w:szCs w:val="21"/>
                      <w:highlight w:val="none"/>
                    </w:rPr>
                    <w:t>a 是相对于详细评价工作内容而言，在描述危险物质、环境影响途径、环境危害后果、风险防范措施等方面给出定性说明。</w:t>
                  </w:r>
                </w:p>
              </w:tc>
            </w:tr>
          </w:tbl>
          <w:p w14:paraId="31A8B5EE">
            <w:pPr>
              <w:snapToGrid w:val="0"/>
              <w:spacing w:line="360" w:lineRule="auto"/>
              <w:ind w:firstLine="482" w:firstLineChars="200"/>
              <w:rPr>
                <w:rFonts w:ascii="Times New Roman" w:hAnsi="Times New Roman" w:cs="Times New Roman"/>
                <w:b/>
                <w:bCs/>
                <w:color w:val="auto"/>
                <w:highlight w:val="none"/>
              </w:rPr>
            </w:pPr>
            <w:bookmarkStart w:id="6" w:name="_Toc246784531"/>
            <w:bookmarkStart w:id="7" w:name="_Toc238739603"/>
            <w:bookmarkStart w:id="8" w:name="_Toc14584"/>
            <w:bookmarkStart w:id="9" w:name="_Toc312417041"/>
            <w:bookmarkStart w:id="10" w:name="_Toc323114413"/>
            <w:bookmarkStart w:id="11" w:name="_Toc9446"/>
            <w:bookmarkStart w:id="12" w:name="_Toc415640698"/>
            <w:r>
              <w:rPr>
                <w:rFonts w:ascii="Times New Roman" w:hAnsi="Times New Roman" w:cs="Times New Roman"/>
                <w:b/>
                <w:bCs/>
                <w:color w:val="auto"/>
                <w:highlight w:val="none"/>
              </w:rPr>
              <w:t>7.2事故风险分析</w:t>
            </w:r>
            <w:bookmarkEnd w:id="6"/>
            <w:bookmarkEnd w:id="7"/>
            <w:r>
              <w:rPr>
                <w:rFonts w:ascii="Times New Roman" w:hAnsi="Times New Roman" w:cs="Times New Roman"/>
                <w:b/>
                <w:bCs/>
                <w:color w:val="auto"/>
                <w:highlight w:val="none"/>
              </w:rPr>
              <w:t>及防范措施</w:t>
            </w:r>
            <w:bookmarkEnd w:id="8"/>
            <w:bookmarkEnd w:id="9"/>
            <w:bookmarkEnd w:id="10"/>
            <w:bookmarkEnd w:id="11"/>
            <w:bookmarkEnd w:id="12"/>
          </w:p>
          <w:p w14:paraId="06F7EF09">
            <w:pPr>
              <w:snapToGrid w:val="0"/>
              <w:spacing w:line="360" w:lineRule="auto"/>
              <w:ind w:firstLine="480" w:firstLineChars="200"/>
              <w:rPr>
                <w:rFonts w:ascii="Times New Roman" w:hAnsi="Times New Roman" w:cs="Times New Roman"/>
                <w:color w:val="auto"/>
                <w:highlight w:val="none"/>
              </w:rPr>
            </w:pPr>
            <w:bookmarkStart w:id="13" w:name="_Toc238739604"/>
            <w:bookmarkStart w:id="14" w:name="_Toc27611"/>
            <w:bookmarkStart w:id="15" w:name="_Toc312417042"/>
            <w:bookmarkStart w:id="16" w:name="_Toc2696"/>
            <w:r>
              <w:rPr>
                <w:rFonts w:ascii="Times New Roman" w:hAnsi="Times New Roman" w:cs="Times New Roman"/>
                <w:color w:val="auto"/>
                <w:highlight w:val="none"/>
              </w:rPr>
              <w:t>7.2.1</w:t>
            </w:r>
            <w:bookmarkEnd w:id="13"/>
            <w:bookmarkEnd w:id="14"/>
            <w:bookmarkEnd w:id="15"/>
            <w:bookmarkEnd w:id="16"/>
            <w:r>
              <w:rPr>
                <w:rFonts w:ascii="Times New Roman" w:hAnsi="Times New Roman" w:cs="Times New Roman"/>
                <w:color w:val="auto"/>
                <w:highlight w:val="none"/>
              </w:rPr>
              <w:t>风险管理</w:t>
            </w:r>
          </w:p>
          <w:p w14:paraId="28898F66">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项目环境风险主要是危险废物收集、运输、暂存等生产设施和贮运过程发生泄漏、火灾、爆炸等风险事故，以及污染防治设施非正常使用引起的环境污染。安全事故发生后，不仅对人员、财产造成损失，而且对周围环境有着难以弥补的损害。为避免风险事故发生，避免风险事故发生后对环境造成的严重污染，建设单位首先应树立环境风险意识，并在管理过程当中强化环境风险意识。在实际工作与管理过程当中应落实环境风险</w:t>
            </w:r>
            <w:r>
              <w:rPr>
                <w:rFonts w:hint="eastAsia" w:ascii="Times New Roman" w:hAnsi="Times New Roman" w:cs="Times New Roman"/>
                <w:color w:val="auto"/>
                <w:highlight w:val="none"/>
                <w:lang w:val="en-US" w:eastAsia="zh-CN"/>
              </w:rPr>
              <w:t>防控</w:t>
            </w:r>
            <w:r>
              <w:rPr>
                <w:rFonts w:ascii="Times New Roman" w:hAnsi="Times New Roman" w:cs="Times New Roman"/>
                <w:color w:val="auto"/>
                <w:highlight w:val="none"/>
              </w:rPr>
              <w:t>措施。</w:t>
            </w:r>
          </w:p>
          <w:p w14:paraId="1CE5054D">
            <w:pPr>
              <w:snapToGrid w:val="0"/>
              <w:spacing w:line="360" w:lineRule="auto"/>
              <w:ind w:firstLine="48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7.2</w:t>
            </w:r>
            <w:r>
              <w:rPr>
                <w:rFonts w:hint="eastAsia" w:ascii="Times New Roman" w:hAnsi="Times New Roman" w:eastAsia="宋体" w:cs="Times New Roman"/>
                <w:color w:val="auto"/>
                <w:highlight w:val="none"/>
              </w:rPr>
              <w:t>.2</w:t>
            </w:r>
            <w:r>
              <w:rPr>
                <w:rFonts w:ascii="Times New Roman" w:hAnsi="Times New Roman" w:eastAsia="宋体" w:cs="Times New Roman"/>
                <w:color w:val="auto"/>
                <w:highlight w:val="none"/>
              </w:rPr>
              <w:t>风险防范措施</w:t>
            </w:r>
          </w:p>
          <w:p w14:paraId="763A4A1D">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①总图布置与风险防范在厂区内的总平面设计上，应严格按照国家相关规范、标准和规定以及按照安监、消防、供电、卫生等相关部门的要求进行设计。项目仓库间距及建筑物耐火等级必须符合《建筑</w:t>
            </w:r>
            <w:r>
              <w:rPr>
                <w:rFonts w:hint="eastAsia" w:ascii="Times New Roman" w:hAnsi="Times New Roman" w:cs="Times New Roman"/>
                <w:color w:val="auto"/>
                <w:highlight w:val="none"/>
                <w:lang w:val="en-US" w:eastAsia="zh-CN"/>
              </w:rPr>
              <w:t>防火通用规范</w:t>
            </w:r>
            <w:r>
              <w:rPr>
                <w:rFonts w:ascii="Times New Roman" w:hAnsi="Times New Roman" w:eastAsia="宋体" w:cs="Times New Roman"/>
                <w:color w:val="auto"/>
                <w:highlight w:val="none"/>
              </w:rPr>
              <w:t>》(GB5</w:t>
            </w:r>
            <w:r>
              <w:rPr>
                <w:rFonts w:hint="eastAsia" w:ascii="Times New Roman" w:hAnsi="Times New Roman" w:cs="Times New Roman"/>
                <w:color w:val="auto"/>
                <w:highlight w:val="none"/>
                <w:lang w:val="en-US" w:eastAsia="zh-CN"/>
              </w:rPr>
              <w:t>5037</w:t>
            </w:r>
            <w:r>
              <w:rPr>
                <w:rFonts w:ascii="Times New Roman" w:hAnsi="Times New Roman" w:eastAsia="宋体" w:cs="Times New Roman"/>
                <w:color w:val="auto"/>
                <w:highlight w:val="none"/>
              </w:rPr>
              <w:t>-20</w:t>
            </w:r>
            <w:r>
              <w:rPr>
                <w:rFonts w:hint="eastAsia" w:ascii="Times New Roman" w:hAnsi="Times New Roman" w:cs="Times New Roman"/>
                <w:color w:val="auto"/>
                <w:highlight w:val="none"/>
                <w:lang w:val="en-US" w:eastAsia="zh-CN"/>
              </w:rPr>
              <w:t>22</w:t>
            </w:r>
            <w:r>
              <w:rPr>
                <w:rFonts w:ascii="Times New Roman" w:hAnsi="Times New Roman" w:eastAsia="宋体" w:cs="Times New Roman"/>
                <w:color w:val="auto"/>
                <w:highlight w:val="none"/>
              </w:rPr>
              <w:t>)要求。</w:t>
            </w:r>
          </w:p>
          <w:p w14:paraId="08A00398">
            <w:pPr>
              <w:snapToGrid w:val="0"/>
              <w:spacing w:line="360" w:lineRule="auto"/>
              <w:ind w:firstLine="480" w:firstLineChars="200"/>
              <w:rPr>
                <w:rFonts w:hint="eastAsia" w:ascii="Times New Roman" w:hAnsi="Times New Roman" w:eastAsia="宋体" w:cs="Times New Roman"/>
                <w:color w:val="auto"/>
                <w:highlight w:val="none"/>
                <w:lang w:eastAsia="zh-CN"/>
              </w:rPr>
            </w:pPr>
            <w:r>
              <w:rPr>
                <w:rFonts w:ascii="Times New Roman" w:hAnsi="Times New Roman" w:eastAsia="宋体" w:cs="Times New Roman"/>
                <w:color w:val="auto"/>
                <w:highlight w:val="none"/>
              </w:rPr>
              <w:t>②收集运输过程事故风险防范措施为防止危险废物在收集运输过程中的泄漏以及减缓泄漏事故造成的危害，建设单位应根据安监、消防、交通部门的要求做好以下防范措施</w:t>
            </w:r>
            <w:r>
              <w:rPr>
                <w:rFonts w:hint="eastAsia" w:ascii="Times New Roman" w:hAnsi="Times New Roman" w:eastAsia="宋体" w:cs="Times New Roman"/>
                <w:color w:val="auto"/>
                <w:highlight w:val="none"/>
                <w:lang w:eastAsia="zh-CN"/>
              </w:rPr>
              <w:t>：</w:t>
            </w:r>
          </w:p>
          <w:p w14:paraId="58868EB8">
            <w:pPr>
              <w:snapToGrid w:val="0"/>
              <w:spacing w:line="360" w:lineRule="auto"/>
              <w:ind w:firstLine="480" w:firstLineChars="200"/>
              <w:rPr>
                <w:rFonts w:ascii="Times New Roman" w:hAnsi="Times New Roman" w:eastAsia="宋体" w:cs="Times New Roman"/>
                <w:color w:val="auto"/>
                <w:highlight w:val="none"/>
              </w:rPr>
            </w:pPr>
            <w:r>
              <w:rPr>
                <w:rFonts w:hint="eastAsia" w:ascii="Times New Roman" w:hAnsi="Times New Roman" w:cs="Times New Roman"/>
                <w:color w:val="auto"/>
                <w:highlight w:val="none"/>
                <w:lang w:val="en-US" w:eastAsia="zh-CN"/>
              </w:rPr>
              <w:t>a.</w:t>
            </w:r>
            <w:r>
              <w:rPr>
                <w:rFonts w:ascii="Times New Roman" w:hAnsi="Times New Roman" w:eastAsia="宋体" w:cs="Times New Roman"/>
                <w:color w:val="auto"/>
                <w:highlight w:val="none"/>
              </w:rPr>
              <w:t>制定详细的收集计划可根据危险废物的排放周期、危险废物特性等因素制定收集计划，收集计划应包括收集任务概述、收集目标及原则、危险废物特性评估、危险废物收集量估算、收集作业范围和方法、收集设备与包装容器、安全生产与个人防护、工程防护与事故应急、进度安排与组织管理等。</w:t>
            </w:r>
          </w:p>
          <w:p w14:paraId="25AD3590">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b.制定可靠的操作规程危险废物的收集应制定详细的操作规程，内容应包括适用范围、操作程序和方法、专用设备和工具、转移和交接、安全保障和应急防护等。</w:t>
            </w:r>
          </w:p>
          <w:p w14:paraId="46551640">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c.配备</w:t>
            </w:r>
            <w:r>
              <w:rPr>
                <w:rFonts w:hint="eastAsia" w:ascii="Times New Roman" w:hAnsi="Times New Roman" w:cs="Times New Roman"/>
                <w:color w:val="auto"/>
                <w:highlight w:val="none"/>
                <w:lang w:eastAsia="zh-CN"/>
              </w:rPr>
              <w:t>必需的</w:t>
            </w:r>
            <w:r>
              <w:rPr>
                <w:rFonts w:ascii="Times New Roman" w:hAnsi="Times New Roman" w:eastAsia="宋体" w:cs="Times New Roman"/>
                <w:color w:val="auto"/>
                <w:highlight w:val="none"/>
              </w:rPr>
              <w:t>个人防护装备危险废物收集和转运作业人员应根据工作需要配备必要的个人防护装备，如手套、防护镜、防护服、防毒面具或口罩等。</w:t>
            </w:r>
          </w:p>
          <w:p w14:paraId="58140A89">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d.危险废物的包装要求应采用密封的储器对危险废物进行包装，储器的材质要与危险废物相容，并达到防渗、防漏的要求</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性质不相容的危险废物不应混合装存</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装好的危险废物应设置相应的标签，标签信息应填写完整详实</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装过危险废物的容器破损后应按危险废物进行管理和处置。</w:t>
            </w:r>
          </w:p>
          <w:p w14:paraId="6F3EFB27">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e.运输车辆及运输路线的要求危险废物的运输车辆应是密封的专用车辆，车辆外应按GB13392的相关要求设置车辆标志。专用车辆上除驾驶人员外，还应配有押运人员，驾驶人员和押运人员应具备相应的从业资格证，其中押运人员对运输全过程进行监管。专用车辆应符合《道路危险货物运输管理规定》的有关规定，满足防泄漏、防溢出、防扬尘的要求，并禁止超载、超限运输。</w:t>
            </w:r>
          </w:p>
          <w:p w14:paraId="18DEC7F7">
            <w:pPr>
              <w:snapToGrid w:val="0"/>
              <w:spacing w:line="360" w:lineRule="auto"/>
              <w:ind w:firstLine="48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f.</w:t>
            </w:r>
            <w:r>
              <w:rPr>
                <w:rFonts w:ascii="Times New Roman" w:hAnsi="Times New Roman" w:eastAsia="宋体" w:cs="Times New Roman"/>
                <w:color w:val="auto"/>
                <w:highlight w:val="none"/>
              </w:rPr>
              <w:t>危险废物的运输路线应尽量避开村庄等居民集中区、城市中心区、居住区、水源地以及自然保护区等环境敏感区。</w:t>
            </w:r>
          </w:p>
          <w:p w14:paraId="2838762F">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g.其他要求根据实际情况确定相应作业区域，作业区域的边界应设置界限标志和警示牌</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作业区域应布设危险废物收集专用通道和人员避险通道，应配备必要的消防设备，并应设置隔离设施</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收集结束后应及时清理和恢复作业区域。</w:t>
            </w:r>
          </w:p>
          <w:p w14:paraId="487D3E56">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h.危险废物的收集应参照《危险废物收集贮存运输技术规范(HJ2025-2012)》的要求填写记录表，并妥善保管好危险废物的记录表。</w:t>
            </w:r>
          </w:p>
          <w:p w14:paraId="37CFB28D">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③暂存过程事故风险防范措施</w:t>
            </w:r>
          </w:p>
          <w:p w14:paraId="6F11C238">
            <w:pPr>
              <w:snapToGrid w:val="0"/>
              <w:spacing w:line="360" w:lineRule="auto"/>
              <w:ind w:firstLine="480" w:firstLineChars="200"/>
              <w:rPr>
                <w:rFonts w:hint="eastAsia" w:ascii="Times New Roman" w:hAnsi="Times New Roman" w:eastAsia="宋体" w:cs="Times New Roman"/>
                <w:color w:val="auto"/>
                <w:highlight w:val="none"/>
              </w:rPr>
            </w:pPr>
            <w:r>
              <w:rPr>
                <w:rFonts w:ascii="Times New Roman" w:hAnsi="Times New Roman" w:eastAsia="宋体" w:cs="Times New Roman"/>
                <w:color w:val="auto"/>
                <w:highlight w:val="none"/>
              </w:rPr>
              <w:t>建设单位在危险废物暂存期间，应按安监、消防部门的要求做好以下防范措施</w:t>
            </w:r>
            <w:r>
              <w:rPr>
                <w:rFonts w:hint="eastAsia" w:ascii="Times New Roman" w:hAnsi="Times New Roman" w:eastAsia="宋体" w:cs="Times New Roman"/>
                <w:color w:val="auto"/>
                <w:highlight w:val="none"/>
              </w:rPr>
              <w:t>：</w:t>
            </w:r>
          </w:p>
          <w:p w14:paraId="7EA1AF0E">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a.标识清楚危险废物的贮存车间应根据储存废物的种类和特性，在显眼的位置上张贴标志。张贴的标志应符合GB18597的有关要求。</w:t>
            </w:r>
          </w:p>
          <w:p w14:paraId="5D586260">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b.配备必要的设施危险废物暂存仓应配备通讯设备、照明设施、消防设施和污染防治设施。仓库门口应设置挡水板，防止雨水的渗入。且仓库内应布设良好的通风净化装置，根据《建筑</w:t>
            </w:r>
            <w:r>
              <w:rPr>
                <w:rFonts w:hint="eastAsia" w:ascii="Times New Roman" w:hAnsi="Times New Roman" w:cs="Times New Roman"/>
                <w:color w:val="auto"/>
                <w:highlight w:val="none"/>
                <w:lang w:val="en-US" w:eastAsia="zh-CN"/>
              </w:rPr>
              <w:t>防火通用规范</w:t>
            </w:r>
            <w:r>
              <w:rPr>
                <w:rFonts w:ascii="Times New Roman" w:hAnsi="Times New Roman" w:eastAsia="宋体" w:cs="Times New Roman"/>
                <w:color w:val="auto"/>
                <w:highlight w:val="none"/>
              </w:rPr>
              <w:t>》(GB5</w:t>
            </w:r>
            <w:r>
              <w:rPr>
                <w:rFonts w:hint="eastAsia" w:ascii="Times New Roman" w:hAnsi="Times New Roman" w:cs="Times New Roman"/>
                <w:color w:val="auto"/>
                <w:highlight w:val="none"/>
                <w:lang w:val="en-US" w:eastAsia="zh-CN"/>
              </w:rPr>
              <w:t>5037</w:t>
            </w:r>
            <w:r>
              <w:rPr>
                <w:rFonts w:ascii="Times New Roman" w:hAnsi="Times New Roman" w:eastAsia="宋体" w:cs="Times New Roman"/>
                <w:color w:val="auto"/>
                <w:highlight w:val="none"/>
              </w:rPr>
              <w:t>-20</w:t>
            </w:r>
            <w:r>
              <w:rPr>
                <w:rFonts w:hint="eastAsia" w:ascii="Times New Roman" w:hAnsi="Times New Roman" w:cs="Times New Roman"/>
                <w:color w:val="auto"/>
                <w:highlight w:val="none"/>
                <w:lang w:val="en-US" w:eastAsia="zh-CN"/>
              </w:rPr>
              <w:t>22</w:t>
            </w:r>
            <w:r>
              <w:rPr>
                <w:rFonts w:ascii="Times New Roman" w:hAnsi="Times New Roman" w:eastAsia="宋体" w:cs="Times New Roman"/>
                <w:color w:val="auto"/>
                <w:highlight w:val="none"/>
              </w:rPr>
              <w:t>)</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，车间空气不应循环使用。又根据《仓库防火安全管理规则》</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中华人民共和国公安部令第6号</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，危险废物应存放在温度较低，通风良好的仓库。为了防止泄漏的废液污染土壤，暂存的地面做好防渗处理，危险废物暂存参考《危险废物收集贮存运输技术规范》</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HJ2025-2012</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《危险废物贮存污染控制标准》</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GB18597-20</w:t>
            </w:r>
            <w:r>
              <w:rPr>
                <w:rFonts w:hint="eastAsia" w:ascii="Times New Roman" w:hAnsi="Times New Roman" w:cs="Times New Roman"/>
                <w:color w:val="auto"/>
                <w:highlight w:val="none"/>
                <w:lang w:val="en-US" w:eastAsia="zh-CN"/>
              </w:rPr>
              <w:t>23</w:t>
            </w:r>
            <w:r>
              <w:rPr>
                <w:rFonts w:hint="eastAsia" w:ascii="Times New Roman" w:hAnsi="Times New Roman" w:cs="Times New Roman"/>
                <w:color w:val="auto"/>
                <w:highlight w:val="none"/>
                <w:lang w:eastAsia="zh-CN"/>
              </w:rPr>
              <w:t>）</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防渗层为至少1</w:t>
            </w:r>
            <w:r>
              <w:rPr>
                <w:rFonts w:hint="eastAsia" w:ascii="Times New Roman" w:hAnsi="Times New Roman" w:cs="Times New Roman"/>
                <w:color w:val="auto"/>
                <w:highlight w:val="none"/>
                <w:lang w:val="en-US" w:eastAsia="zh-CN"/>
              </w:rPr>
              <w:t>m</w:t>
            </w:r>
            <w:r>
              <w:rPr>
                <w:rFonts w:ascii="Times New Roman" w:hAnsi="Times New Roman" w:eastAsia="宋体" w:cs="Times New Roman"/>
                <w:color w:val="auto"/>
                <w:highlight w:val="none"/>
              </w:rPr>
              <w:t>厚</w:t>
            </w:r>
            <w:r>
              <w:rPr>
                <w:rFonts w:hint="eastAsia" w:ascii="Times New Roman" w:hAnsi="Times New Roman" w:cs="Times New Roman"/>
                <w:color w:val="auto"/>
                <w:highlight w:val="none"/>
                <w:lang w:eastAsia="zh-CN"/>
              </w:rPr>
              <w:t>黏</w:t>
            </w:r>
            <w:r>
              <w:rPr>
                <w:rFonts w:ascii="Times New Roman" w:hAnsi="Times New Roman" w:eastAsia="宋体" w:cs="Times New Roman"/>
                <w:color w:val="auto"/>
                <w:highlight w:val="none"/>
              </w:rPr>
              <w:t>土层</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渗透系数&lt;10</w:t>
            </w:r>
            <w:r>
              <w:rPr>
                <w:rFonts w:ascii="Times New Roman" w:hAnsi="Times New Roman" w:eastAsia="宋体" w:cs="Times New Roman"/>
                <w:color w:val="auto"/>
                <w:highlight w:val="none"/>
                <w:vertAlign w:val="superscript"/>
              </w:rPr>
              <w:t>-7</w:t>
            </w:r>
            <w:r>
              <w:rPr>
                <w:rFonts w:hint="eastAsia" w:ascii="Times New Roman" w:hAnsi="Times New Roman" w:eastAsia="宋体" w:cs="Times New Roman"/>
                <w:color w:val="auto"/>
                <w:highlight w:val="none"/>
              </w:rPr>
              <w:t>cm</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s</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，或2</w:t>
            </w:r>
            <w:r>
              <w:rPr>
                <w:rFonts w:hint="eastAsia" w:ascii="Times New Roman" w:hAnsi="Times New Roman" w:cs="Times New Roman"/>
                <w:color w:val="auto"/>
                <w:highlight w:val="none"/>
                <w:lang w:val="en-US" w:eastAsia="zh-CN"/>
              </w:rPr>
              <w:t>mm</w:t>
            </w:r>
            <w:r>
              <w:rPr>
                <w:rFonts w:ascii="Times New Roman" w:hAnsi="Times New Roman" w:eastAsia="宋体" w:cs="Times New Roman"/>
                <w:color w:val="auto"/>
                <w:highlight w:val="none"/>
              </w:rPr>
              <w:t>厚高密度聚乙烯</w:t>
            </w:r>
            <w:r>
              <w:rPr>
                <w:rFonts w:hint="eastAsia" w:ascii="Times New Roman" w:hAnsi="Times New Roman" w:cs="Times New Roman"/>
                <w:color w:val="auto"/>
                <w:highlight w:val="none"/>
                <w:lang w:val="en-US" w:eastAsia="zh-CN"/>
              </w:rPr>
              <w:t>膜等</w:t>
            </w:r>
            <w:r>
              <w:rPr>
                <w:rFonts w:ascii="Times New Roman" w:hAnsi="Times New Roman" w:eastAsia="宋体" w:cs="Times New Roman"/>
                <w:color w:val="auto"/>
                <w:highlight w:val="none"/>
              </w:rPr>
              <w:t>人工</w:t>
            </w:r>
            <w:r>
              <w:rPr>
                <w:rFonts w:hint="eastAsia" w:ascii="Times New Roman" w:hAnsi="Times New Roman" w:cs="Times New Roman"/>
                <w:color w:val="auto"/>
                <w:highlight w:val="none"/>
                <w:lang w:val="en-US" w:eastAsia="zh-CN"/>
              </w:rPr>
              <w:t>防渗</w:t>
            </w:r>
            <w:r>
              <w:rPr>
                <w:rFonts w:ascii="Times New Roman" w:hAnsi="Times New Roman" w:eastAsia="宋体" w:cs="Times New Roman"/>
                <w:color w:val="auto"/>
                <w:highlight w:val="none"/>
              </w:rPr>
              <w:t>材料</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渗透系数&lt;10</w:t>
            </w:r>
            <w:r>
              <w:rPr>
                <w:rFonts w:ascii="Times New Roman" w:hAnsi="Times New Roman" w:eastAsia="宋体" w:cs="Times New Roman"/>
                <w:color w:val="auto"/>
                <w:highlight w:val="none"/>
                <w:vertAlign w:val="superscript"/>
              </w:rPr>
              <w:t>-10</w:t>
            </w:r>
            <w:r>
              <w:rPr>
                <w:rFonts w:hint="eastAsia" w:ascii="Times New Roman" w:hAnsi="Times New Roman" w:eastAsia="宋体" w:cs="Times New Roman"/>
                <w:color w:val="auto"/>
                <w:highlight w:val="none"/>
              </w:rPr>
              <w:t>cm/s</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或其他防渗性能等效的材料</w:t>
            </w:r>
            <w:r>
              <w:rPr>
                <w:rFonts w:ascii="Times New Roman" w:hAnsi="Times New Roman" w:eastAsia="宋体" w:cs="Times New Roman"/>
                <w:color w:val="auto"/>
                <w:highlight w:val="none"/>
              </w:rPr>
              <w:t>的要求，</w:t>
            </w:r>
            <w:r>
              <w:rPr>
                <w:rFonts w:hint="default" w:ascii="Times New Roman" w:hAnsi="Times New Roman" w:eastAsia="宋体" w:cs="Times New Roman"/>
                <w:color w:val="auto"/>
                <w:highlight w:val="none"/>
                <w:lang w:val="en-US" w:eastAsia="zh-CN"/>
              </w:rPr>
              <w:t>地面结构为钢板+涂胶+覆2mm厚HDPE膜+胶垫；裙角、收集池及导流槽采取2mm厚HDPE土工膜防渗，渗透系数≤10</w:t>
            </w:r>
            <w:r>
              <w:rPr>
                <w:rFonts w:hint="default" w:ascii="Times New Roman" w:hAnsi="Times New Roman" w:eastAsia="宋体" w:cs="Times New Roman"/>
                <w:color w:val="auto"/>
                <w:highlight w:val="none"/>
                <w:vertAlign w:val="superscript"/>
                <w:lang w:val="en-US" w:eastAsia="zh-CN"/>
              </w:rPr>
              <w:t>-10</w:t>
            </w:r>
            <w:r>
              <w:rPr>
                <w:rFonts w:hint="default" w:ascii="Times New Roman" w:hAnsi="Times New Roman" w:eastAsia="宋体" w:cs="Times New Roman"/>
                <w:color w:val="auto"/>
                <w:highlight w:val="none"/>
                <w:lang w:val="en-US" w:eastAsia="zh-CN"/>
              </w:rPr>
              <w:t>cm/s。</w:t>
            </w:r>
          </w:p>
          <w:p w14:paraId="43CA13B6">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c.分库、分区储存，不同危险等级的废物废液应按照规定，存入不同类别的暂存仓。仓库与仓库之间应按规定，留有足够的防火距离。仓库里面应按危险废物的种类和特性进行分区暂存，每个储存区域之间宜设置挡墙间隔，并应设置防雨、防火、防雷、防扬尘装置。</w:t>
            </w:r>
          </w:p>
          <w:p w14:paraId="34C94E27">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d.加强仓库管理</w:t>
            </w:r>
          </w:p>
          <w:p w14:paraId="66645C8E">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建设单位应建立危险废物储存的</w:t>
            </w:r>
            <w:r>
              <w:rPr>
                <w:rFonts w:hint="eastAsia" w:ascii="Times New Roman" w:hAnsi="Times New Roman" w:cs="Times New Roman"/>
                <w:color w:val="auto"/>
                <w:highlight w:val="none"/>
                <w:lang w:val="en-US" w:eastAsia="zh-CN"/>
              </w:rPr>
              <w:t>台账</w:t>
            </w:r>
            <w:r>
              <w:rPr>
                <w:rFonts w:ascii="Times New Roman" w:hAnsi="Times New Roman" w:eastAsia="宋体" w:cs="Times New Roman"/>
                <w:color w:val="auto"/>
                <w:highlight w:val="none"/>
              </w:rPr>
              <w:t>制度，危险废物出入库交接记录内容应参照《危险废物收集贮存运输技术规范》的有关规定执行。本项目危险废物暂存仓应充分考虑防盗要求，采用双钥匙封闭式管理。</w:t>
            </w:r>
          </w:p>
          <w:p w14:paraId="36737907">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暂存易燃易爆物品的区域应加强对火源的管理，严禁明火进入仓库。仓库内的所有设备、装置都应满足防火防爆的要求。对设备维修</w:t>
            </w:r>
            <w:r>
              <w:rPr>
                <w:rFonts w:hint="eastAsia" w:ascii="Times New Roman" w:hAnsi="Times New Roman" w:cs="Times New Roman"/>
                <w:color w:val="auto"/>
                <w:highlight w:val="none"/>
                <w:lang w:eastAsia="zh-CN"/>
              </w:rPr>
              <w:t>检查</w:t>
            </w:r>
            <w:r>
              <w:rPr>
                <w:rFonts w:ascii="Times New Roman" w:hAnsi="Times New Roman" w:eastAsia="宋体" w:cs="Times New Roman"/>
                <w:color w:val="auto"/>
                <w:highlight w:val="none"/>
              </w:rPr>
              <w:t>，需进行维修焊接，应经安全部门确认、准许，</w:t>
            </w:r>
            <w:r>
              <w:rPr>
                <w:rFonts w:hint="eastAsia" w:ascii="Times New Roman" w:hAnsi="Times New Roman" w:cs="Times New Roman"/>
                <w:color w:val="auto"/>
                <w:highlight w:val="none"/>
                <w:lang w:eastAsia="zh-CN"/>
              </w:rPr>
              <w:t>并</w:t>
            </w:r>
            <w:r>
              <w:rPr>
                <w:rFonts w:ascii="Times New Roman" w:hAnsi="Times New Roman" w:eastAsia="宋体" w:cs="Times New Roman"/>
                <w:color w:val="auto"/>
                <w:highlight w:val="none"/>
              </w:rPr>
              <w:t>记录在案。汽车、拖拉机等机动车在工作区行驶，须安装阻火器，必要设备安装防火、防爆装置。</w:t>
            </w:r>
          </w:p>
          <w:p w14:paraId="09E3B1E5">
            <w:pPr>
              <w:snapToGrid w:val="0"/>
              <w:spacing w:line="360" w:lineRule="auto"/>
              <w:ind w:firstLine="48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7.2</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3危险废物运输事故</w:t>
            </w:r>
            <w:r>
              <w:rPr>
                <w:rFonts w:ascii="Times New Roman" w:hAnsi="Times New Roman" w:eastAsia="宋体" w:cs="Times New Roman"/>
                <w:color w:val="auto"/>
                <w:highlight w:val="none"/>
              </w:rPr>
              <w:t>风险及防范措施</w:t>
            </w:r>
          </w:p>
          <w:p w14:paraId="161BE21F">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a.根据车辆局部泄漏</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散落</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的现象，清理人员穿戴好防护服、手套、口罩、耐酸碱胶靴等防护用品，需要时配置氧气呼吸器等防护装置。逐一查找局部泄漏</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散落</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的准确部位，对泄漏</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散落</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部位实施规范的污染隔离。</w:t>
            </w:r>
          </w:p>
          <w:p w14:paraId="501B34F7">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b.根据发生泄漏</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散落</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液体、半固体、固体的不同化学性质，实施拦截、隔绝、稀释、中和、泄压等有效措施采取先堵后清理。只有经过培训合格的人员在佩戴适当防护服及装备时才能处理及清洁溢漏、散落的危险化学废物。</w:t>
            </w:r>
          </w:p>
          <w:p w14:paraId="52359619">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c.若泄漏的废物为大量液体，迅速进行收集、清理和防渗和吸附处理。并采用便携泵、勺铲等手提器具把废物转入合适的容器内。若为小量的溢漏废物，采用纸巾、木糠、干软沙或蛭石等适当的吸附剂加以覆盖及混合，将之作固体危险废物处理并转入适当的容器内暂时贮存，</w:t>
            </w:r>
            <w:r>
              <w:rPr>
                <w:rFonts w:hint="eastAsia" w:ascii="Times New Roman" w:hAnsi="Times New Roman" w:cs="Times New Roman"/>
                <w:color w:val="auto"/>
                <w:highlight w:val="none"/>
                <w:lang w:eastAsia="zh-CN"/>
              </w:rPr>
              <w:t>后续</w:t>
            </w:r>
            <w:r>
              <w:rPr>
                <w:rFonts w:ascii="Times New Roman" w:hAnsi="Times New Roman" w:eastAsia="宋体" w:cs="Times New Roman"/>
                <w:color w:val="auto"/>
                <w:highlight w:val="none"/>
              </w:rPr>
              <w:t>交妥善处理处置。</w:t>
            </w:r>
          </w:p>
          <w:p w14:paraId="05528849">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d.若泄漏的废物属剧毒、高挥发性或高危险废物，应立即实行化学氧化、还原、消解的方法进一步开展积极有效的现场处置工作。</w:t>
            </w:r>
          </w:p>
          <w:p w14:paraId="175B2DA7">
            <w:pPr>
              <w:snapToGrid w:val="0"/>
              <w:spacing w:line="360" w:lineRule="auto"/>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e.针对堵漏效果不明显等存在的问题和困难，立即采取规范更换有关包装桶</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袋</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的应急措施，切实从泄漏</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散落</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问题的源头上去解决。在完成局部泄漏</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散落</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包装桶</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袋</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的更换工作后，采用木糠或活性炭等吸附剂仔细对受污染了地面实施3-5次反复吸附清理工作，将吸附所产生污染了的吸附剂规范进行桶</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袋</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装。</w:t>
            </w:r>
          </w:p>
          <w:p w14:paraId="4C8D63CB">
            <w:pPr>
              <w:snapToGrid w:val="0"/>
              <w:spacing w:line="360" w:lineRule="auto"/>
              <w:ind w:firstLine="480" w:firstLineChars="20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val="en-US" w:eastAsia="zh-CN"/>
              </w:rPr>
              <w:t>f.</w:t>
            </w:r>
            <w:r>
              <w:rPr>
                <w:rFonts w:ascii="Times New Roman" w:hAnsi="Times New Roman" w:eastAsia="宋体" w:cs="Times New Roman"/>
                <w:color w:val="auto"/>
                <w:highlight w:val="none"/>
              </w:rPr>
              <w:t>遭泄漏危险废物所污染的地方，必须进行规范清洗。若有关的危险废物是含水性或</w:t>
            </w:r>
            <w:r>
              <w:rPr>
                <w:rFonts w:hint="eastAsia" w:ascii="Times New Roman" w:hAnsi="Times New Roman" w:cs="Times New Roman"/>
                <w:color w:val="auto"/>
                <w:highlight w:val="none"/>
                <w:lang w:eastAsia="zh-CN"/>
              </w:rPr>
              <w:t>水溶性</w:t>
            </w:r>
            <w:r>
              <w:rPr>
                <w:rFonts w:ascii="Times New Roman" w:hAnsi="Times New Roman" w:eastAsia="宋体" w:cs="Times New Roman"/>
                <w:color w:val="auto"/>
                <w:highlight w:val="none"/>
              </w:rPr>
              <w:t>有机物，可用清水作溶剂。若是不溶于水的有机化学废物，可用酒精或煤油作溶剂。清理过程中所产生的一切废物，应作危险废物处理处置。</w:t>
            </w:r>
          </w:p>
          <w:p w14:paraId="07CFF656">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7.2.</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泄漏风险及防范措施</w:t>
            </w:r>
          </w:p>
          <w:p w14:paraId="3D7AE316">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本工程</w:t>
            </w:r>
            <w:r>
              <w:rPr>
                <w:rFonts w:hint="eastAsia" w:ascii="Times New Roman" w:hAnsi="Times New Roman" w:cs="Times New Roman"/>
                <w:color w:val="auto"/>
                <w:highlight w:val="none"/>
                <w:lang w:val="en-US" w:eastAsia="zh-CN"/>
              </w:rPr>
              <w:t>废活性炭和</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在贮存过程如人工转移导致坠地或装卸、操作过程不当将导致其</w:t>
            </w:r>
            <w:r>
              <w:rPr>
                <w:rFonts w:hint="eastAsia" w:ascii="Times New Roman" w:hAnsi="Times New Roman" w:cs="Times New Roman"/>
                <w:color w:val="auto"/>
                <w:highlight w:val="none"/>
              </w:rPr>
              <w:t>包装物破损</w:t>
            </w:r>
            <w:r>
              <w:rPr>
                <w:rFonts w:ascii="Times New Roman" w:hAnsi="Times New Roman" w:cs="Times New Roman"/>
                <w:color w:val="auto"/>
                <w:highlight w:val="none"/>
              </w:rPr>
              <w:t>引起泄漏，</w:t>
            </w:r>
            <w:r>
              <w:rPr>
                <w:rFonts w:hint="eastAsia" w:ascii="Times New Roman" w:hAnsi="Times New Roman" w:cs="Times New Roman"/>
                <w:color w:val="auto"/>
                <w:highlight w:val="none"/>
              </w:rPr>
              <w:t>或</w:t>
            </w:r>
            <w:r>
              <w:rPr>
                <w:rFonts w:ascii="Times New Roman" w:hAnsi="Times New Roman" w:cs="Times New Roman"/>
                <w:color w:val="auto"/>
                <w:highlight w:val="none"/>
              </w:rPr>
              <w:t>操作不当导致的倾倒泄漏，若不及时收集将对周边环境造成一定影响。建设方应采取以下措施，具体如下：</w:t>
            </w:r>
          </w:p>
          <w:p w14:paraId="44A4FB6D">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（1）控制存放高度，防止因堆存高度较高发生高空坠地事故引起</w:t>
            </w:r>
            <w:r>
              <w:rPr>
                <w:rFonts w:hint="eastAsia" w:ascii="Times New Roman" w:hAnsi="Times New Roman" w:cs="Times New Roman"/>
                <w:color w:val="auto"/>
                <w:highlight w:val="none"/>
              </w:rPr>
              <w:t>包装物</w:t>
            </w:r>
            <w:r>
              <w:rPr>
                <w:rFonts w:ascii="Times New Roman" w:hAnsi="Times New Roman" w:cs="Times New Roman"/>
                <w:color w:val="auto"/>
                <w:highlight w:val="none"/>
              </w:rPr>
              <w:t>破损导致泄漏。加强</w:t>
            </w:r>
            <w:r>
              <w:rPr>
                <w:rFonts w:hint="eastAsia" w:hAnsi="宋体"/>
                <w:bCs/>
                <w:color w:val="auto"/>
                <w:szCs w:val="20"/>
                <w:highlight w:val="none"/>
              </w:rPr>
              <w:t>场区</w:t>
            </w:r>
            <w:r>
              <w:rPr>
                <w:rFonts w:ascii="Times New Roman" w:hAnsi="Times New Roman" w:cs="Times New Roman"/>
                <w:color w:val="auto"/>
                <w:highlight w:val="none"/>
              </w:rPr>
              <w:t>监管，定期巡查，检查各</w:t>
            </w:r>
            <w:r>
              <w:rPr>
                <w:rFonts w:hint="eastAsia" w:ascii="Times New Roman" w:hAnsi="Times New Roman" w:cs="Times New Roman"/>
                <w:color w:val="auto"/>
                <w:highlight w:val="none"/>
              </w:rPr>
              <w:t>包装物、托盘</w:t>
            </w:r>
            <w:r>
              <w:rPr>
                <w:rFonts w:ascii="Times New Roman" w:hAnsi="Times New Roman" w:cs="Times New Roman"/>
                <w:color w:val="auto"/>
                <w:highlight w:val="none"/>
              </w:rPr>
              <w:t>的稳固情况、检查货物在</w:t>
            </w:r>
            <w:r>
              <w:rPr>
                <w:rFonts w:hint="eastAsia" w:ascii="Times New Roman" w:hAnsi="Times New Roman" w:cs="Times New Roman"/>
                <w:color w:val="auto"/>
                <w:highlight w:val="none"/>
              </w:rPr>
              <w:t>贮存</w:t>
            </w:r>
            <w:r>
              <w:rPr>
                <w:rFonts w:ascii="Times New Roman" w:hAnsi="Times New Roman" w:cs="Times New Roman"/>
                <w:color w:val="auto"/>
                <w:highlight w:val="none"/>
              </w:rPr>
              <w:t>过程中的稳固情况等，若发生问题，应及时予以解决，防止其</w:t>
            </w:r>
            <w:r>
              <w:rPr>
                <w:rFonts w:hint="eastAsia" w:ascii="Times New Roman" w:hAnsi="Times New Roman" w:cs="Times New Roman"/>
                <w:color w:val="auto"/>
                <w:highlight w:val="none"/>
              </w:rPr>
              <w:t>倾倒</w:t>
            </w:r>
            <w:r>
              <w:rPr>
                <w:rFonts w:ascii="Times New Roman" w:hAnsi="Times New Roman" w:cs="Times New Roman"/>
                <w:color w:val="auto"/>
                <w:highlight w:val="none"/>
              </w:rPr>
              <w:t>、坠地风险发生。</w:t>
            </w:r>
          </w:p>
          <w:p w14:paraId="1395E21D">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（2）配备事故应急设施：如</w:t>
            </w:r>
            <w:r>
              <w:rPr>
                <w:rFonts w:hint="eastAsia" w:ascii="Times New Roman" w:hAnsi="Times New Roman" w:cs="Times New Roman"/>
                <w:color w:val="auto"/>
                <w:highlight w:val="none"/>
                <w:lang w:eastAsia="zh-CN"/>
              </w:rPr>
              <w:t>铁锹</w:t>
            </w:r>
            <w:r>
              <w:rPr>
                <w:rFonts w:ascii="Times New Roman" w:hAnsi="Times New Roman" w:cs="Times New Roman"/>
                <w:color w:val="auto"/>
                <w:highlight w:val="none"/>
              </w:rPr>
              <w:t>、</w:t>
            </w:r>
            <w:r>
              <w:rPr>
                <w:rFonts w:hint="eastAsia" w:ascii="Times New Roman" w:hAnsi="Times New Roman" w:cs="Times New Roman"/>
                <w:color w:val="auto"/>
                <w:highlight w:val="none"/>
                <w:lang w:eastAsia="zh-CN"/>
              </w:rPr>
              <w:t>沙箱</w:t>
            </w:r>
            <w:r>
              <w:rPr>
                <w:rFonts w:hint="eastAsia" w:ascii="Times New Roman" w:hAnsi="Times New Roman" w:cs="Times New Roman"/>
                <w:color w:val="auto"/>
                <w:highlight w:val="none"/>
              </w:rPr>
              <w:t>、备用收集桶</w:t>
            </w:r>
            <w:r>
              <w:rPr>
                <w:rFonts w:ascii="Times New Roman" w:hAnsi="Times New Roman" w:cs="Times New Roman"/>
                <w:color w:val="auto"/>
                <w:highlight w:val="none"/>
              </w:rPr>
              <w:t>等，若事故发生时应第一时间进行处理，防止对周边环境产生影响</w:t>
            </w:r>
            <w:r>
              <w:rPr>
                <w:rFonts w:hint="eastAsia" w:ascii="Times New Roman" w:hAnsi="Times New Roman" w:cs="Times New Roman"/>
                <w:color w:val="auto"/>
                <w:highlight w:val="none"/>
              </w:rPr>
              <w:t>。</w:t>
            </w:r>
          </w:p>
          <w:p w14:paraId="343EA65A">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（3）加强</w:t>
            </w:r>
            <w:r>
              <w:rPr>
                <w:rFonts w:hint="eastAsia" w:hAnsi="宋体"/>
                <w:bCs/>
                <w:color w:val="auto"/>
                <w:szCs w:val="20"/>
                <w:highlight w:val="none"/>
              </w:rPr>
              <w:t>场区</w:t>
            </w:r>
            <w:r>
              <w:rPr>
                <w:rFonts w:ascii="Times New Roman" w:hAnsi="Times New Roman" w:cs="Times New Roman"/>
                <w:color w:val="auto"/>
                <w:highlight w:val="none"/>
              </w:rPr>
              <w:t>巡检，定期对</w:t>
            </w:r>
            <w:r>
              <w:rPr>
                <w:rFonts w:hint="eastAsia" w:ascii="Times New Roman" w:hAnsi="Times New Roman" w:cs="Times New Roman"/>
                <w:color w:val="auto"/>
                <w:highlight w:val="none"/>
              </w:rPr>
              <w:t>托盘</w:t>
            </w:r>
            <w:r>
              <w:rPr>
                <w:rFonts w:ascii="Times New Roman" w:hAnsi="Times New Roman" w:cs="Times New Roman"/>
                <w:color w:val="auto"/>
                <w:highlight w:val="none"/>
              </w:rPr>
              <w:t>进行检修维护，做到早发现，早处理，避免发生泄漏事故。</w:t>
            </w:r>
          </w:p>
          <w:p w14:paraId="4FDBA588">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w:t>
            </w:r>
            <w:r>
              <w:rPr>
                <w:rFonts w:hint="eastAsia" w:ascii="Times New Roman" w:hAnsi="Times New Roman" w:cs="Times New Roman"/>
                <w:color w:val="auto"/>
                <w:highlight w:val="none"/>
              </w:rPr>
              <w:t>4</w:t>
            </w:r>
            <w:r>
              <w:rPr>
                <w:rFonts w:ascii="Times New Roman" w:hAnsi="Times New Roman" w:cs="Times New Roman"/>
                <w:color w:val="auto"/>
                <w:highlight w:val="none"/>
              </w:rPr>
              <w:t>）在上下车过程中，应文明装、卸，禁止野蛮操作，严防发生</w:t>
            </w:r>
            <w:r>
              <w:rPr>
                <w:rFonts w:hint="eastAsia" w:ascii="Times New Roman" w:hAnsi="Times New Roman" w:cs="Times New Roman"/>
                <w:color w:val="auto"/>
                <w:highlight w:val="none"/>
                <w:lang w:val="en-US" w:eastAsia="zh-CN"/>
              </w:rPr>
              <w:t>废活性炭和</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坠地等事故发生。</w:t>
            </w:r>
          </w:p>
          <w:p w14:paraId="302423E7">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w:t>
            </w:r>
            <w:r>
              <w:rPr>
                <w:rFonts w:hint="eastAsia" w:ascii="Times New Roman" w:hAnsi="Times New Roman" w:cs="Times New Roman"/>
                <w:color w:val="auto"/>
                <w:highlight w:val="none"/>
              </w:rPr>
              <w:t>5</w:t>
            </w:r>
            <w:r>
              <w:rPr>
                <w:rFonts w:ascii="Times New Roman" w:hAnsi="Times New Roman" w:cs="Times New Roman"/>
                <w:color w:val="auto"/>
                <w:highlight w:val="none"/>
              </w:rPr>
              <w:t>）若在贮存间发生事故，</w:t>
            </w:r>
            <w:r>
              <w:rPr>
                <w:rFonts w:hint="eastAsia" w:ascii="Times New Roman" w:hAnsi="Times New Roman" w:cs="Times New Roman"/>
                <w:color w:val="auto"/>
                <w:highlight w:val="none"/>
                <w:lang w:val="en-US" w:eastAsia="zh-CN"/>
              </w:rPr>
              <w:t>废活性炭和</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泄漏时，所产生的泄漏液经</w:t>
            </w:r>
            <w:r>
              <w:rPr>
                <w:rFonts w:hint="eastAsia" w:ascii="Times New Roman" w:hAnsi="Times New Roman" w:cs="Times New Roman"/>
                <w:color w:val="auto"/>
                <w:highlight w:val="none"/>
              </w:rPr>
              <w:t>导流槽</w:t>
            </w:r>
            <w:r>
              <w:rPr>
                <w:rFonts w:ascii="Times New Roman" w:hAnsi="Times New Roman" w:cs="Times New Roman"/>
                <w:color w:val="auto"/>
                <w:highlight w:val="none"/>
              </w:rPr>
              <w:t>进</w:t>
            </w:r>
            <w:r>
              <w:rPr>
                <w:rFonts w:hint="eastAsia" w:ascii="Times New Roman" w:hAnsi="Times New Roman" w:cs="Times New Roman"/>
                <w:color w:val="auto"/>
                <w:highlight w:val="none"/>
              </w:rPr>
              <w:t>入收集池</w:t>
            </w:r>
            <w:r>
              <w:rPr>
                <w:rFonts w:ascii="Times New Roman" w:hAnsi="Times New Roman" w:cs="Times New Roman"/>
                <w:color w:val="auto"/>
                <w:highlight w:val="none"/>
              </w:rPr>
              <w:t>进行收集，同时</w:t>
            </w:r>
            <w:r>
              <w:rPr>
                <w:rFonts w:hint="eastAsia" w:ascii="Times New Roman" w:hAnsi="Times New Roman" w:cs="Times New Roman"/>
                <w:color w:val="auto"/>
                <w:highlight w:val="none"/>
              </w:rPr>
              <w:t>将</w:t>
            </w:r>
            <w:r>
              <w:rPr>
                <w:rFonts w:ascii="Times New Roman" w:hAnsi="Times New Roman" w:cs="Times New Roman"/>
                <w:color w:val="auto"/>
                <w:highlight w:val="none"/>
              </w:rPr>
              <w:t>破损的</w:t>
            </w:r>
            <w:r>
              <w:rPr>
                <w:rFonts w:hint="eastAsia" w:ascii="Times New Roman" w:hAnsi="Times New Roman" w:cs="Times New Roman"/>
                <w:color w:val="auto"/>
                <w:highlight w:val="none"/>
              </w:rPr>
              <w:t>包装物内的残留</w:t>
            </w:r>
            <w:r>
              <w:rPr>
                <w:rFonts w:hint="eastAsia" w:ascii="Times New Roman" w:hAnsi="Times New Roman" w:cs="Times New Roman"/>
                <w:color w:val="auto"/>
                <w:highlight w:val="none"/>
                <w:lang w:val="en-US" w:eastAsia="zh-CN"/>
              </w:rPr>
              <w:t>废活性炭和</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及时</w:t>
            </w:r>
            <w:r>
              <w:rPr>
                <w:rFonts w:hint="eastAsia" w:ascii="Times New Roman" w:hAnsi="Times New Roman" w:cs="Times New Roman"/>
                <w:color w:val="auto"/>
                <w:highlight w:val="none"/>
              </w:rPr>
              <w:t>转移至完好的收集桶内</w:t>
            </w:r>
            <w:r>
              <w:rPr>
                <w:rFonts w:ascii="Times New Roman" w:hAnsi="Times New Roman" w:cs="Times New Roman"/>
                <w:color w:val="auto"/>
                <w:highlight w:val="none"/>
              </w:rPr>
              <w:t>，并</w:t>
            </w:r>
            <w:r>
              <w:rPr>
                <w:rFonts w:hint="eastAsia" w:ascii="Times New Roman" w:hAnsi="Times New Roman" w:cs="Times New Roman"/>
                <w:color w:val="auto"/>
                <w:highlight w:val="none"/>
              </w:rPr>
              <w:t>及早</w:t>
            </w:r>
            <w:r>
              <w:rPr>
                <w:rFonts w:ascii="Times New Roman" w:hAnsi="Times New Roman" w:cs="Times New Roman"/>
                <w:color w:val="auto"/>
                <w:highlight w:val="none"/>
              </w:rPr>
              <w:t>运走，</w:t>
            </w:r>
            <w:r>
              <w:rPr>
                <w:rFonts w:hint="eastAsia" w:ascii="Times New Roman" w:hAnsi="Times New Roman" w:cs="Times New Roman"/>
                <w:color w:val="auto"/>
                <w:highlight w:val="none"/>
              </w:rPr>
              <w:t>减少</w:t>
            </w:r>
            <w:r>
              <w:rPr>
                <w:rFonts w:hint="eastAsia" w:hAnsi="宋体"/>
                <w:bCs/>
                <w:color w:val="auto"/>
                <w:szCs w:val="20"/>
                <w:highlight w:val="none"/>
              </w:rPr>
              <w:t>场区内</w:t>
            </w:r>
            <w:r>
              <w:rPr>
                <w:rFonts w:ascii="Times New Roman" w:hAnsi="Times New Roman" w:cs="Times New Roman"/>
                <w:color w:val="auto"/>
                <w:highlight w:val="none"/>
              </w:rPr>
              <w:t>贮存</w:t>
            </w:r>
            <w:r>
              <w:rPr>
                <w:rFonts w:hint="eastAsia" w:ascii="Times New Roman" w:hAnsi="Times New Roman" w:cs="Times New Roman"/>
                <w:color w:val="auto"/>
                <w:highlight w:val="none"/>
              </w:rPr>
              <w:t>时间</w:t>
            </w:r>
            <w:r>
              <w:rPr>
                <w:rFonts w:ascii="Times New Roman" w:hAnsi="Times New Roman" w:cs="Times New Roman"/>
                <w:color w:val="auto"/>
                <w:highlight w:val="none"/>
              </w:rPr>
              <w:t>，交由资质单位处理处置。</w:t>
            </w:r>
          </w:p>
          <w:p w14:paraId="3B3F28B2">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7.2.</w:t>
            </w:r>
            <w:r>
              <w:rPr>
                <w:rFonts w:hint="eastAsia" w:ascii="Times New Roman" w:hAnsi="Times New Roman" w:cs="Times New Roman"/>
                <w:color w:val="auto"/>
                <w:highlight w:val="none"/>
                <w:lang w:val="en-US" w:eastAsia="zh-CN"/>
              </w:rPr>
              <w:t>5</w:t>
            </w:r>
            <w:r>
              <w:rPr>
                <w:rFonts w:hint="eastAsia" w:ascii="Times New Roman" w:hAnsi="Times New Roman" w:cs="Times New Roman"/>
                <w:color w:val="auto"/>
                <w:highlight w:val="none"/>
              </w:rPr>
              <w:t>贮存过程中的</w:t>
            </w:r>
            <w:r>
              <w:rPr>
                <w:rFonts w:ascii="Times New Roman" w:hAnsi="Times New Roman" w:cs="Times New Roman"/>
                <w:color w:val="auto"/>
                <w:highlight w:val="none"/>
              </w:rPr>
              <w:t>风险防范措施</w:t>
            </w:r>
          </w:p>
          <w:p w14:paraId="25C3ECB0">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（1）</w:t>
            </w:r>
            <w:r>
              <w:rPr>
                <w:rFonts w:ascii="Times New Roman" w:hAnsi="Times New Roman" w:cs="Times New Roman"/>
                <w:color w:val="auto"/>
                <w:highlight w:val="none"/>
              </w:rPr>
              <w:t>建设方对危险废物贮存库的建设和管理应引起高度重视，落实各项安全环保措施。</w:t>
            </w:r>
          </w:p>
          <w:p w14:paraId="4FBA3372">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（2）</w:t>
            </w:r>
            <w:r>
              <w:rPr>
                <w:rFonts w:ascii="Times New Roman" w:hAnsi="Times New Roman" w:cs="Times New Roman"/>
                <w:color w:val="auto"/>
                <w:highlight w:val="none"/>
              </w:rPr>
              <w:t>危险废物的贮存须按照《危险废物贮存污染控制标准》的要求进行。</w:t>
            </w:r>
            <w:r>
              <w:rPr>
                <w:rFonts w:hint="eastAsia" w:ascii="Times New Roman" w:hAnsi="Times New Roman" w:cs="Times New Roman"/>
                <w:color w:val="auto"/>
                <w:highlight w:val="none"/>
                <w:lang w:val="en-US" w:eastAsia="zh-CN"/>
              </w:rPr>
              <w:t>表面</w:t>
            </w:r>
            <w:r>
              <w:rPr>
                <w:rFonts w:ascii="Times New Roman" w:hAnsi="Times New Roman" w:cs="Times New Roman"/>
                <w:color w:val="auto"/>
                <w:highlight w:val="none"/>
              </w:rPr>
              <w:t>设置防渗层，渗透系数≤10</w:t>
            </w:r>
            <w:r>
              <w:rPr>
                <w:rFonts w:ascii="Times New Roman" w:hAnsi="Times New Roman" w:cs="Times New Roman"/>
                <w:color w:val="auto"/>
                <w:highlight w:val="none"/>
                <w:vertAlign w:val="superscript"/>
              </w:rPr>
              <w:t>-10</w:t>
            </w:r>
            <w:r>
              <w:rPr>
                <w:rFonts w:ascii="Times New Roman" w:hAnsi="Times New Roman" w:cs="Times New Roman"/>
                <w:color w:val="auto"/>
                <w:highlight w:val="none"/>
              </w:rPr>
              <w:t>cm/s。日常情况下对其运行情况进行安全检查，</w:t>
            </w:r>
            <w:r>
              <w:rPr>
                <w:rFonts w:hint="eastAsia" w:ascii="Times New Roman" w:hAnsi="Times New Roman" w:cs="Times New Roman"/>
                <w:color w:val="auto"/>
                <w:highlight w:val="none"/>
                <w:lang w:eastAsia="zh-CN"/>
              </w:rPr>
              <w:t>一旦</w:t>
            </w:r>
            <w:r>
              <w:rPr>
                <w:rFonts w:ascii="Times New Roman" w:hAnsi="Times New Roman" w:cs="Times New Roman"/>
                <w:color w:val="auto"/>
                <w:highlight w:val="none"/>
              </w:rPr>
              <w:t>发现问题，应立即停产检查，确保危险废物贮存场地安全可靠地运行。</w:t>
            </w:r>
          </w:p>
          <w:p w14:paraId="63631281">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（3）</w:t>
            </w:r>
            <w:r>
              <w:rPr>
                <w:rFonts w:ascii="Times New Roman" w:hAnsi="Times New Roman" w:cs="Times New Roman"/>
                <w:color w:val="auto"/>
                <w:highlight w:val="none"/>
              </w:rPr>
              <w:t>本项目各种设备要严格遵照国家有关的</w:t>
            </w:r>
            <w:r>
              <w:rPr>
                <w:rFonts w:hint="eastAsia" w:ascii="Times New Roman" w:hAnsi="Times New Roman" w:cs="Times New Roman"/>
                <w:color w:val="auto"/>
                <w:highlight w:val="none"/>
                <w:lang w:eastAsia="zh-CN"/>
              </w:rPr>
              <w:t>法律法规</w:t>
            </w:r>
            <w:r>
              <w:rPr>
                <w:rFonts w:ascii="Times New Roman" w:hAnsi="Times New Roman" w:cs="Times New Roman"/>
                <w:color w:val="auto"/>
                <w:highlight w:val="none"/>
              </w:rPr>
              <w:t>、设计规范、操作规程进行选购、设计、施工、安装、建设工程建成后，须经消防、环保等有关部门全面验收合格后方可</w:t>
            </w:r>
            <w:r>
              <w:rPr>
                <w:rFonts w:hint="eastAsia" w:ascii="Times New Roman" w:hAnsi="Times New Roman" w:cs="Times New Roman"/>
                <w:color w:val="auto"/>
                <w:highlight w:val="none"/>
              </w:rPr>
              <w:t>使用</w:t>
            </w:r>
            <w:r>
              <w:rPr>
                <w:rFonts w:ascii="Times New Roman" w:hAnsi="Times New Roman" w:cs="Times New Roman"/>
                <w:color w:val="auto"/>
                <w:highlight w:val="none"/>
              </w:rPr>
              <w:t>，重点保证设备的防腐性和密封性。</w:t>
            </w:r>
          </w:p>
          <w:p w14:paraId="29030E85">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（4）</w:t>
            </w:r>
            <w:r>
              <w:rPr>
                <w:rFonts w:ascii="Times New Roman" w:hAnsi="Times New Roman" w:cs="Times New Roman"/>
                <w:color w:val="auto"/>
                <w:highlight w:val="none"/>
              </w:rPr>
              <w:t>加强容器、设备、管道、阀门等密封检查与维护，发现问题及时解决。保证设备完好。</w:t>
            </w:r>
          </w:p>
          <w:p w14:paraId="5C82DB99">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（5）</w:t>
            </w:r>
            <w:r>
              <w:rPr>
                <w:rFonts w:ascii="Times New Roman" w:hAnsi="Times New Roman" w:cs="Times New Roman"/>
                <w:color w:val="auto"/>
                <w:highlight w:val="none"/>
              </w:rPr>
              <w:t>加强安全生产教育。让所有员工了解</w:t>
            </w:r>
            <w:r>
              <w:rPr>
                <w:rFonts w:hint="eastAsia" w:ascii="Times New Roman" w:hAnsi="Times New Roman" w:cs="Times New Roman"/>
                <w:color w:val="auto"/>
                <w:highlight w:val="none"/>
              </w:rPr>
              <w:t>所贮存危险废物</w:t>
            </w:r>
            <w:r>
              <w:rPr>
                <w:rFonts w:ascii="Times New Roman" w:hAnsi="Times New Roman" w:cs="Times New Roman"/>
                <w:color w:val="auto"/>
                <w:highlight w:val="none"/>
              </w:rPr>
              <w:t>的物理、化学和生理特性及其毒性，所有防护措施、环境影响等。</w:t>
            </w:r>
          </w:p>
          <w:p w14:paraId="7A022290">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（6）</w:t>
            </w:r>
            <w:r>
              <w:rPr>
                <w:rFonts w:ascii="Times New Roman" w:hAnsi="Times New Roman" w:cs="Times New Roman"/>
                <w:color w:val="auto"/>
                <w:highlight w:val="none"/>
              </w:rPr>
              <w:t>泄漏、火灾等事故发生后，应严格按照有关规定及时处理，防止事故扩大，向事故状态下有可能受影响的敏感区居民告知事故危害性、传授自我防范的基本方法。</w:t>
            </w:r>
          </w:p>
          <w:p w14:paraId="530273BF">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（7）</w:t>
            </w:r>
            <w:r>
              <w:rPr>
                <w:rFonts w:ascii="Times New Roman" w:hAnsi="Times New Roman" w:cs="Times New Roman"/>
                <w:color w:val="auto"/>
                <w:highlight w:val="none"/>
              </w:rPr>
              <w:t>泄漏、中毒等事故发生后，应严格按照有关规定及时处理，防止事故扩大，发生事故的车间，应迅速查明事故发生源点、泄漏部位及原因，及时</w:t>
            </w:r>
            <w:r>
              <w:rPr>
                <w:rFonts w:hint="eastAsia" w:ascii="Times New Roman" w:hAnsi="Times New Roman" w:cs="Times New Roman"/>
                <w:color w:val="auto"/>
                <w:highlight w:val="none"/>
              </w:rPr>
              <w:t>对事故进行处理。若事故影响到场外环境，应及时报告当地管理部门和相应单位。</w:t>
            </w:r>
          </w:p>
          <w:p w14:paraId="6ACB8872">
            <w:pPr>
              <w:snapToGrid w:val="0"/>
              <w:spacing w:line="360" w:lineRule="auto"/>
              <w:ind w:firstLine="480" w:firstLineChars="200"/>
              <w:rPr>
                <w:rFonts w:ascii="Times New Roman" w:hAnsi="Times New Roman" w:cs="Times New Roman"/>
                <w:color w:val="auto"/>
                <w:highlight w:val="none"/>
              </w:rPr>
            </w:pPr>
            <w:bookmarkStart w:id="17" w:name="_Toc20555"/>
            <w:bookmarkStart w:id="18" w:name="_Toc238739605"/>
            <w:bookmarkStart w:id="19" w:name="_Toc7475"/>
            <w:bookmarkStart w:id="20" w:name="_Toc312417044"/>
            <w:r>
              <w:rPr>
                <w:rFonts w:ascii="Times New Roman" w:hAnsi="Times New Roman" w:cs="Times New Roman"/>
                <w:color w:val="auto"/>
                <w:highlight w:val="none"/>
              </w:rPr>
              <w:t>7.2.</w:t>
            </w:r>
            <w:bookmarkEnd w:id="17"/>
            <w:bookmarkEnd w:id="18"/>
            <w:bookmarkEnd w:id="19"/>
            <w:bookmarkEnd w:id="20"/>
            <w:r>
              <w:rPr>
                <w:rFonts w:hint="eastAsia" w:ascii="Times New Roman" w:hAnsi="Times New Roman" w:cs="Times New Roman"/>
                <w:color w:val="auto"/>
                <w:highlight w:val="none"/>
                <w:lang w:val="en-US" w:eastAsia="zh-CN"/>
              </w:rPr>
              <w:t>6</w:t>
            </w:r>
            <w:r>
              <w:rPr>
                <w:rFonts w:ascii="Times New Roman" w:hAnsi="Times New Roman" w:cs="Times New Roman"/>
                <w:color w:val="auto"/>
                <w:highlight w:val="none"/>
              </w:rPr>
              <w:t>消防及火灾报警</w:t>
            </w:r>
          </w:p>
          <w:p w14:paraId="0197783D">
            <w:pPr>
              <w:snapToGrid w:val="0"/>
              <w:spacing w:line="360" w:lineRule="auto"/>
              <w:ind w:firstLine="480" w:firstLineChars="200"/>
              <w:rPr>
                <w:rFonts w:ascii="Times New Roman" w:hAnsi="Times New Roman" w:cs="Times New Roman"/>
                <w:bCs/>
                <w:color w:val="auto"/>
                <w:highlight w:val="none"/>
              </w:rPr>
            </w:pPr>
            <w:r>
              <w:rPr>
                <w:rFonts w:ascii="Times New Roman" w:hAnsi="Times New Roman" w:cs="Times New Roman"/>
                <w:bCs/>
                <w:color w:val="auto"/>
                <w:highlight w:val="none"/>
              </w:rPr>
              <w:t>（1）危险区域的消防根据</w:t>
            </w:r>
            <w:r>
              <w:rPr>
                <w:rFonts w:ascii="Times New Roman" w:hAnsi="Times New Roman" w:eastAsia="宋体" w:cs="Times New Roman"/>
                <w:color w:val="auto"/>
                <w:highlight w:val="none"/>
              </w:rPr>
              <w:t>《建筑</w:t>
            </w:r>
            <w:r>
              <w:rPr>
                <w:rFonts w:hint="eastAsia" w:ascii="Times New Roman" w:hAnsi="Times New Roman" w:cs="Times New Roman"/>
                <w:color w:val="auto"/>
                <w:highlight w:val="none"/>
                <w:lang w:val="en-US" w:eastAsia="zh-CN"/>
              </w:rPr>
              <w:t>防火通用规范</w:t>
            </w:r>
            <w:r>
              <w:rPr>
                <w:rFonts w:ascii="Times New Roman" w:hAnsi="Times New Roman" w:eastAsia="宋体" w:cs="Times New Roman"/>
                <w:color w:val="auto"/>
                <w:highlight w:val="none"/>
              </w:rPr>
              <w:t>》(GB5</w:t>
            </w:r>
            <w:r>
              <w:rPr>
                <w:rFonts w:hint="eastAsia" w:ascii="Times New Roman" w:hAnsi="Times New Roman" w:cs="Times New Roman"/>
                <w:color w:val="auto"/>
                <w:highlight w:val="none"/>
                <w:lang w:val="en-US" w:eastAsia="zh-CN"/>
              </w:rPr>
              <w:t>5037</w:t>
            </w:r>
            <w:r>
              <w:rPr>
                <w:rFonts w:ascii="Times New Roman" w:hAnsi="Times New Roman" w:eastAsia="宋体" w:cs="Times New Roman"/>
                <w:color w:val="auto"/>
                <w:highlight w:val="none"/>
              </w:rPr>
              <w:t>-20</w:t>
            </w:r>
            <w:r>
              <w:rPr>
                <w:rFonts w:hint="eastAsia" w:ascii="Times New Roman" w:hAnsi="Times New Roman" w:cs="Times New Roman"/>
                <w:color w:val="auto"/>
                <w:highlight w:val="none"/>
                <w:lang w:val="en-US" w:eastAsia="zh-CN"/>
              </w:rPr>
              <w:t>22</w:t>
            </w:r>
            <w:r>
              <w:rPr>
                <w:rFonts w:ascii="Times New Roman" w:hAnsi="Times New Roman" w:eastAsia="宋体" w:cs="Times New Roman"/>
                <w:color w:val="auto"/>
                <w:highlight w:val="none"/>
              </w:rPr>
              <w:t>)</w:t>
            </w:r>
            <w:r>
              <w:rPr>
                <w:rFonts w:ascii="Times New Roman" w:hAnsi="Times New Roman" w:cs="Times New Roman"/>
                <w:bCs/>
                <w:color w:val="auto"/>
                <w:highlight w:val="none"/>
              </w:rPr>
              <w:t>的要求应设置可燃气体</w:t>
            </w:r>
            <w:r>
              <w:rPr>
                <w:rFonts w:hint="eastAsia" w:ascii="Times New Roman" w:hAnsi="Times New Roman" w:cs="Times New Roman"/>
                <w:bCs/>
                <w:color w:val="auto"/>
                <w:highlight w:val="none"/>
                <w:lang w:eastAsia="zh-CN"/>
              </w:rPr>
              <w:t>监测</w:t>
            </w:r>
            <w:r>
              <w:rPr>
                <w:rFonts w:ascii="Times New Roman" w:hAnsi="Times New Roman" w:cs="Times New Roman"/>
                <w:bCs/>
                <w:color w:val="auto"/>
                <w:highlight w:val="none"/>
              </w:rPr>
              <w:t>报警系统。</w:t>
            </w:r>
          </w:p>
          <w:p w14:paraId="4CBFA8FA">
            <w:pPr>
              <w:snapToGrid w:val="0"/>
              <w:spacing w:line="360" w:lineRule="auto"/>
              <w:ind w:firstLine="480" w:firstLineChars="200"/>
              <w:rPr>
                <w:rFonts w:ascii="Times New Roman" w:hAnsi="Times New Roman" w:cs="Times New Roman"/>
                <w:bCs/>
                <w:color w:val="auto"/>
                <w:highlight w:val="none"/>
              </w:rPr>
            </w:pPr>
            <w:r>
              <w:rPr>
                <w:rFonts w:ascii="Times New Roman" w:hAnsi="Times New Roman" w:cs="Times New Roman"/>
                <w:bCs/>
                <w:color w:val="auto"/>
                <w:highlight w:val="none"/>
              </w:rPr>
              <w:t>（2）本工程应按《火灾自动报警系统设计规范》（GB50116-98）等有关规范要求设置可燃气体浓度</w:t>
            </w:r>
            <w:r>
              <w:rPr>
                <w:rFonts w:hint="eastAsia" w:ascii="Times New Roman" w:hAnsi="Times New Roman" w:cs="Times New Roman"/>
                <w:bCs/>
                <w:color w:val="auto"/>
                <w:highlight w:val="none"/>
                <w:lang w:eastAsia="zh-CN"/>
              </w:rPr>
              <w:t>监测</w:t>
            </w:r>
            <w:r>
              <w:rPr>
                <w:rFonts w:ascii="Times New Roman" w:hAnsi="Times New Roman" w:cs="Times New Roman"/>
                <w:bCs/>
                <w:color w:val="auto"/>
                <w:highlight w:val="none"/>
              </w:rPr>
              <w:t>报警装置，并应设置火灾探测及报警系统，设置感温感烟探测器。</w:t>
            </w:r>
          </w:p>
          <w:p w14:paraId="76964FBD">
            <w:pPr>
              <w:snapToGrid w:val="0"/>
              <w:spacing w:line="360" w:lineRule="auto"/>
              <w:ind w:firstLine="480" w:firstLineChars="200"/>
              <w:rPr>
                <w:rFonts w:ascii="Times New Roman" w:hAnsi="Times New Roman" w:cs="Times New Roman"/>
                <w:bCs/>
                <w:color w:val="auto"/>
                <w:highlight w:val="none"/>
              </w:rPr>
            </w:pPr>
            <w:r>
              <w:rPr>
                <w:rFonts w:ascii="Times New Roman" w:hAnsi="Times New Roman" w:cs="Times New Roman"/>
                <w:bCs/>
                <w:color w:val="auto"/>
                <w:highlight w:val="none"/>
              </w:rPr>
              <w:t>（3）装置区建构筑物内将按规范要求配置必要的各类灭火器材，以利于</w:t>
            </w:r>
            <w:r>
              <w:rPr>
                <w:rFonts w:hint="eastAsia" w:ascii="Times New Roman" w:hAnsi="Times New Roman" w:cs="Times New Roman"/>
                <w:bCs/>
                <w:color w:val="auto"/>
                <w:highlight w:val="none"/>
                <w:lang w:eastAsia="zh-CN"/>
              </w:rPr>
              <w:t>工作人员</w:t>
            </w:r>
            <w:r>
              <w:rPr>
                <w:rFonts w:ascii="Times New Roman" w:hAnsi="Times New Roman" w:cs="Times New Roman"/>
                <w:bCs/>
                <w:color w:val="auto"/>
                <w:highlight w:val="none"/>
              </w:rPr>
              <w:t>扑灭初起火灾。</w:t>
            </w:r>
          </w:p>
          <w:p w14:paraId="50286B66">
            <w:pPr>
              <w:snapToGrid w:val="0"/>
              <w:spacing w:line="360" w:lineRule="auto"/>
              <w:ind w:firstLine="480" w:firstLineChars="200"/>
              <w:rPr>
                <w:rFonts w:ascii="Times New Roman" w:hAnsi="Times New Roman" w:cs="Times New Roman"/>
                <w:bCs/>
                <w:color w:val="auto"/>
                <w:highlight w:val="none"/>
              </w:rPr>
            </w:pPr>
            <w:r>
              <w:rPr>
                <w:rFonts w:ascii="Times New Roman" w:hAnsi="Times New Roman" w:cs="Times New Roman"/>
                <w:bCs/>
                <w:color w:val="auto"/>
                <w:highlight w:val="none"/>
              </w:rPr>
              <w:t>（4）保证</w:t>
            </w:r>
            <w:r>
              <w:rPr>
                <w:rFonts w:hint="eastAsia" w:ascii="Times New Roman" w:hAnsi="Times New Roman" w:cs="Times New Roman"/>
                <w:bCs/>
                <w:color w:val="auto"/>
                <w:highlight w:val="none"/>
              </w:rPr>
              <w:t>场区</w:t>
            </w:r>
            <w:r>
              <w:rPr>
                <w:rFonts w:ascii="Times New Roman" w:hAnsi="Times New Roman" w:cs="Times New Roman"/>
                <w:bCs/>
                <w:color w:val="auto"/>
                <w:highlight w:val="none"/>
              </w:rPr>
              <w:t>消防通道畅通。</w:t>
            </w:r>
          </w:p>
          <w:p w14:paraId="1CDAD36C">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7.2.</w:t>
            </w:r>
            <w:r>
              <w:rPr>
                <w:rFonts w:hint="eastAsia" w:ascii="Times New Roman" w:hAnsi="Times New Roman" w:cs="Times New Roman"/>
                <w:color w:val="auto"/>
                <w:highlight w:val="none"/>
                <w:lang w:val="en-US" w:eastAsia="zh-CN"/>
              </w:rPr>
              <w:t>7</w:t>
            </w:r>
            <w:r>
              <w:rPr>
                <w:rFonts w:ascii="Times New Roman" w:hAnsi="Times New Roman" w:cs="Times New Roman"/>
                <w:color w:val="auto"/>
                <w:highlight w:val="none"/>
              </w:rPr>
              <w:t>管理措施</w:t>
            </w:r>
          </w:p>
          <w:p w14:paraId="18B1CD04">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（1）项目</w:t>
            </w:r>
            <w:r>
              <w:rPr>
                <w:rFonts w:hint="eastAsia" w:ascii="Times New Roman" w:hAnsi="Times New Roman" w:cs="Times New Roman"/>
                <w:color w:val="auto"/>
                <w:highlight w:val="none"/>
              </w:rPr>
              <w:t>运行</w:t>
            </w:r>
            <w:r>
              <w:rPr>
                <w:rFonts w:ascii="Times New Roman" w:hAnsi="Times New Roman" w:cs="Times New Roman"/>
                <w:color w:val="auto"/>
                <w:highlight w:val="none"/>
              </w:rPr>
              <w:t>前，各岗位应制定科学严密的工艺规程、岗位操作法和安全技术规程，并且要能满足生产的同时也要保证安全要求。安全生产管理人员、特种作业操作工以及岗位操作工必须按规定培训，持证上岗。</w:t>
            </w:r>
          </w:p>
          <w:p w14:paraId="267E21B9">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（2）按要求配备防护服等事故处理应急救援器材，制定事故应急预案，配备相应的应急药品和设备。</w:t>
            </w:r>
          </w:p>
          <w:p w14:paraId="34CB2EC3">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（3）定期对职工进行安全教育和安全生产培训，不断提高企业职工灭火操作技能和事故处理能力，能够熟悉掌握和使用消防器材。</w:t>
            </w:r>
          </w:p>
          <w:p w14:paraId="57D957A7">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（4）做好个人防护，如上岗按规定着装，戴好防护用具；严格按照工艺设计参数要求认真操作。</w:t>
            </w:r>
          </w:p>
          <w:p w14:paraId="07622C66">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（5）认真落实本项目环保设施和安全设</w:t>
            </w:r>
            <w:r>
              <w:rPr>
                <w:rFonts w:hint="eastAsia" w:ascii="宋体" w:hAnsi="宋体" w:cs="宋体"/>
                <w:color w:val="auto"/>
                <w:highlight w:val="none"/>
              </w:rPr>
              <w:t>施“三同时”工</w:t>
            </w:r>
            <w:r>
              <w:rPr>
                <w:rFonts w:ascii="Times New Roman" w:hAnsi="Times New Roman" w:cs="Times New Roman"/>
                <w:color w:val="auto"/>
                <w:highlight w:val="none"/>
              </w:rPr>
              <w:t>作。</w:t>
            </w:r>
          </w:p>
          <w:p w14:paraId="7830EF19">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7.2.</w:t>
            </w:r>
            <w:r>
              <w:rPr>
                <w:rFonts w:hint="eastAsia" w:ascii="Times New Roman" w:hAnsi="Times New Roman" w:cs="Times New Roman"/>
                <w:color w:val="auto"/>
                <w:highlight w:val="none"/>
                <w:lang w:val="en-US" w:eastAsia="zh-CN"/>
              </w:rPr>
              <w:t>8</w:t>
            </w:r>
            <w:r>
              <w:rPr>
                <w:rFonts w:ascii="Times New Roman" w:hAnsi="Times New Roman" w:cs="Times New Roman"/>
                <w:color w:val="auto"/>
                <w:highlight w:val="none"/>
              </w:rPr>
              <w:t>人员撤离措施</w:t>
            </w:r>
          </w:p>
          <w:p w14:paraId="40693AE8">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按照事故现场、</w:t>
            </w:r>
            <w:r>
              <w:rPr>
                <w:rFonts w:hint="eastAsia" w:ascii="Times New Roman" w:hAnsi="Times New Roman" w:cs="Times New Roman"/>
                <w:color w:val="auto"/>
                <w:highlight w:val="none"/>
              </w:rPr>
              <w:t>场区</w:t>
            </w:r>
            <w:r>
              <w:rPr>
                <w:rFonts w:ascii="Times New Roman" w:hAnsi="Times New Roman" w:cs="Times New Roman"/>
                <w:color w:val="auto"/>
                <w:highlight w:val="none"/>
              </w:rPr>
              <w:t>临近区的区域人员及公众对毒物应急剂量控制的规定，制定人员紧急撤离、疏散计划和医疗救护程序。包括人员紧急撤离、疏散，制定医疗救护程序，确定紧急事故情况下的安全疏散路线。事故发生后，应根据泄漏的扩散情况及时通知政府相关部门，通知</w:t>
            </w:r>
            <w:r>
              <w:rPr>
                <w:rFonts w:hint="eastAsia" w:ascii="Times New Roman" w:hAnsi="Times New Roman" w:cs="Times New Roman"/>
                <w:color w:val="auto"/>
                <w:highlight w:val="none"/>
              </w:rPr>
              <w:t>员工及</w:t>
            </w:r>
            <w:r>
              <w:rPr>
                <w:rFonts w:ascii="Times New Roman" w:hAnsi="Times New Roman" w:cs="Times New Roman"/>
                <w:color w:val="auto"/>
                <w:highlight w:val="none"/>
              </w:rPr>
              <w:t>附近</w:t>
            </w:r>
            <w:r>
              <w:rPr>
                <w:rFonts w:hint="eastAsia" w:ascii="Times New Roman" w:hAnsi="Times New Roman" w:cs="Times New Roman"/>
                <w:color w:val="auto"/>
                <w:highlight w:val="none"/>
              </w:rPr>
              <w:t>居民</w:t>
            </w:r>
            <w:r>
              <w:rPr>
                <w:rFonts w:ascii="Times New Roman" w:hAnsi="Times New Roman" w:cs="Times New Roman"/>
                <w:color w:val="auto"/>
                <w:highlight w:val="none"/>
              </w:rPr>
              <w:t>疏散。并建立警戒区，除消防及应急处理人员外，其他人员禁止进入警戒区，区域内严禁火种。迅速将警戒区内与事故应急处理无关的人员撤离，以减少不必要的人员伤亡。紧急疏散时应注意：应向上风方向转移。为使疏散工作顺利进行，</w:t>
            </w:r>
            <w:r>
              <w:rPr>
                <w:rFonts w:hint="eastAsia" w:ascii="Times New Roman" w:hAnsi="Times New Roman" w:cs="Times New Roman"/>
                <w:color w:val="auto"/>
                <w:highlight w:val="none"/>
              </w:rPr>
              <w:t>场区</w:t>
            </w:r>
            <w:r>
              <w:rPr>
                <w:rFonts w:ascii="Times New Roman" w:hAnsi="Times New Roman" w:cs="Times New Roman"/>
                <w:color w:val="auto"/>
                <w:highlight w:val="none"/>
              </w:rPr>
              <w:t>应至少有两个畅通无阻的紧急出口，并有明显标志。</w:t>
            </w:r>
          </w:p>
          <w:p w14:paraId="3A42ACD2">
            <w:pPr>
              <w:snapToGrid w:val="0"/>
              <w:spacing w:line="360" w:lineRule="auto"/>
              <w:ind w:firstLine="480" w:firstLineChars="200"/>
              <w:rPr>
                <w:rFonts w:ascii="Times New Roman" w:hAnsi="Times New Roman" w:cs="Times New Roman"/>
                <w:color w:val="auto"/>
                <w:highlight w:val="none"/>
              </w:rPr>
            </w:pPr>
            <w:r>
              <w:rPr>
                <w:rFonts w:hint="eastAsia" w:ascii="Times New Roman" w:hAnsi="Times New Roman" w:cs="Times New Roman"/>
                <w:color w:val="auto"/>
                <w:highlight w:val="none"/>
              </w:rPr>
              <w:t>场区</w:t>
            </w:r>
            <w:r>
              <w:rPr>
                <w:rFonts w:ascii="Times New Roman" w:hAnsi="Times New Roman" w:cs="Times New Roman"/>
                <w:color w:val="auto"/>
                <w:highlight w:val="none"/>
              </w:rPr>
              <w:t>设立监控系统，并设置紧急报警电话一览表，注明各级政府、公安消防、环保部门及附近村庄主要负责人的电话号码，一旦发生事故，工作人员及时通知各级政府、公安、环保等有关部门，采取相应的措施及启动应急预案。公安、环保等部门建立</w:t>
            </w:r>
            <w:r>
              <w:rPr>
                <w:rFonts w:hint="eastAsia" w:ascii="Times New Roman" w:hAnsi="Times New Roman" w:cs="Times New Roman"/>
                <w:color w:val="auto"/>
                <w:highlight w:val="none"/>
                <w:lang w:eastAsia="zh-CN"/>
              </w:rPr>
              <w:t>联动机制</w:t>
            </w:r>
            <w:r>
              <w:rPr>
                <w:rFonts w:ascii="Times New Roman" w:hAnsi="Times New Roman" w:cs="Times New Roman"/>
                <w:color w:val="auto"/>
                <w:highlight w:val="none"/>
              </w:rPr>
              <w:t>，并通知附近人员及时疏散。</w:t>
            </w:r>
          </w:p>
          <w:p w14:paraId="50151F74">
            <w:pPr>
              <w:snapToGrid w:val="0"/>
              <w:spacing w:line="360" w:lineRule="auto"/>
              <w:ind w:firstLine="480" w:firstLineChars="200"/>
              <w:rPr>
                <w:rFonts w:ascii="Times New Roman" w:hAnsi="Times New Roman" w:cs="Times New Roman"/>
                <w:color w:val="auto"/>
                <w:highlight w:val="none"/>
              </w:rPr>
            </w:pPr>
            <w:bookmarkStart w:id="21" w:name="_Toc312417046"/>
            <w:bookmarkStart w:id="22" w:name="_Toc1273"/>
            <w:bookmarkStart w:id="23" w:name="_Toc12871"/>
            <w:r>
              <w:rPr>
                <w:rFonts w:ascii="Times New Roman" w:hAnsi="Times New Roman" w:cs="Times New Roman"/>
                <w:color w:val="auto"/>
                <w:highlight w:val="none"/>
              </w:rPr>
              <w:t>7.2.</w:t>
            </w:r>
            <w:bookmarkEnd w:id="21"/>
            <w:bookmarkEnd w:id="22"/>
            <w:bookmarkEnd w:id="23"/>
            <w:r>
              <w:rPr>
                <w:rFonts w:hint="eastAsia" w:ascii="Times New Roman" w:hAnsi="Times New Roman" w:cs="Times New Roman"/>
                <w:color w:val="auto"/>
                <w:highlight w:val="none"/>
                <w:lang w:val="en-US" w:eastAsia="zh-CN"/>
              </w:rPr>
              <w:t>9</w:t>
            </w:r>
            <w:r>
              <w:rPr>
                <w:rFonts w:ascii="Times New Roman" w:hAnsi="Times New Roman" w:cs="Times New Roman"/>
                <w:color w:val="auto"/>
                <w:highlight w:val="none"/>
              </w:rPr>
              <w:t>事故应急预案</w:t>
            </w:r>
          </w:p>
          <w:p w14:paraId="4CCA348D">
            <w:pPr>
              <w:snapToGrid w:val="0"/>
              <w:spacing w:line="360" w:lineRule="auto"/>
              <w:ind w:firstLine="480" w:firstLineChars="200"/>
              <w:rPr>
                <w:rFonts w:ascii="Times New Roman" w:hAnsi="Times New Roman" w:cs="Times New Roman"/>
                <w:color w:val="auto"/>
                <w:highlight w:val="none"/>
              </w:rPr>
            </w:pPr>
            <w:r>
              <w:rPr>
                <w:rFonts w:ascii="Times New Roman" w:hAnsi="Times New Roman" w:cs="Times New Roman"/>
                <w:color w:val="auto"/>
                <w:highlight w:val="none"/>
              </w:rPr>
              <w:t>应急预案主要内容汇总见表</w:t>
            </w:r>
            <w:r>
              <w:rPr>
                <w:rFonts w:hint="eastAsia" w:ascii="Times New Roman" w:hAnsi="Times New Roman" w:cs="Times New Roman"/>
                <w:color w:val="auto"/>
                <w:highlight w:val="none"/>
              </w:rPr>
              <w:t>2</w:t>
            </w:r>
            <w:r>
              <w:rPr>
                <w:rFonts w:hint="eastAsia" w:ascii="Times New Roman" w:hAnsi="Times New Roman" w:cs="Times New Roman"/>
                <w:color w:val="auto"/>
                <w:highlight w:val="none"/>
                <w:lang w:val="en-US" w:eastAsia="zh-CN"/>
              </w:rPr>
              <w:t>6</w:t>
            </w:r>
            <w:r>
              <w:rPr>
                <w:rFonts w:ascii="Times New Roman" w:hAnsi="Times New Roman" w:cs="Times New Roman"/>
                <w:color w:val="auto"/>
                <w:highlight w:val="none"/>
              </w:rPr>
              <w:t>。</w:t>
            </w:r>
          </w:p>
          <w:p w14:paraId="4B649E47">
            <w:pPr>
              <w:snapToGrid w:val="0"/>
              <w:spacing w:line="360" w:lineRule="auto"/>
              <w:jc w:val="center"/>
              <w:rPr>
                <w:rFonts w:ascii="Times New Roman" w:hAnsi="Times New Roman" w:cs="Times New Roman"/>
                <w:b/>
                <w:bCs/>
                <w:color w:val="auto"/>
                <w:highlight w:val="none"/>
              </w:rPr>
            </w:pPr>
            <w:r>
              <w:rPr>
                <w:rFonts w:ascii="Times New Roman" w:hAnsi="Times New Roman" w:cs="Times New Roman"/>
                <w:b/>
                <w:bCs/>
                <w:color w:val="auto"/>
                <w:highlight w:val="none"/>
              </w:rPr>
              <w:t>表</w:t>
            </w:r>
            <w:r>
              <w:rPr>
                <w:rFonts w:hint="eastAsia" w:ascii="Times New Roman" w:hAnsi="Times New Roman" w:cs="Times New Roman"/>
                <w:b/>
                <w:bCs/>
                <w:color w:val="auto"/>
                <w:highlight w:val="none"/>
              </w:rPr>
              <w:t>2</w:t>
            </w:r>
            <w:r>
              <w:rPr>
                <w:rFonts w:hint="eastAsia" w:ascii="Times New Roman" w:hAnsi="Times New Roman" w:cs="Times New Roman"/>
                <w:b/>
                <w:bCs/>
                <w:color w:val="auto"/>
                <w:highlight w:val="none"/>
                <w:lang w:val="en-US" w:eastAsia="zh-CN"/>
              </w:rPr>
              <w:t xml:space="preserve">6  </w:t>
            </w:r>
            <w:r>
              <w:rPr>
                <w:rFonts w:ascii="Times New Roman" w:hAnsi="Times New Roman" w:cs="Times New Roman"/>
                <w:b/>
                <w:color w:val="auto"/>
                <w:highlight w:val="none"/>
              </w:rPr>
              <w:t>应急预案编写基本内容</w:t>
            </w:r>
          </w:p>
          <w:tbl>
            <w:tblPr>
              <w:tblStyle w:val="24"/>
              <w:tblW w:w="8099"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2"/>
              <w:gridCol w:w="2120"/>
              <w:gridCol w:w="5097"/>
            </w:tblGrid>
            <w:tr w14:paraId="625F75F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762" w:type="dxa"/>
                  <w:tcBorders>
                    <w:tl2br w:val="nil"/>
                    <w:tr2bl w:val="nil"/>
                  </w:tcBorders>
                  <w:noWrap/>
                  <w:vAlign w:val="center"/>
                </w:tcPr>
                <w:p w14:paraId="7E4A5590">
                  <w:pPr>
                    <w:adjustRightInd w:val="0"/>
                    <w:snapToGrid w:val="0"/>
                    <w:jc w:val="center"/>
                    <w:rPr>
                      <w:rFonts w:ascii="Times New Roman" w:hAnsi="Times New Roman" w:cs="Times New Roman"/>
                      <w:color w:val="auto"/>
                      <w:sz w:val="21"/>
                      <w:szCs w:val="21"/>
                      <w:highlight w:val="none"/>
                    </w:rPr>
                  </w:pPr>
                  <w:bookmarkStart w:id="24" w:name="_Toc261421804"/>
                  <w:bookmarkStart w:id="25" w:name="_Toc261421496"/>
                  <w:r>
                    <w:rPr>
                      <w:rFonts w:ascii="Times New Roman" w:hAnsi="Times New Roman" w:cs="Times New Roman"/>
                      <w:color w:val="auto"/>
                      <w:sz w:val="21"/>
                      <w:szCs w:val="21"/>
                      <w:highlight w:val="none"/>
                    </w:rPr>
                    <w:t>序号</w:t>
                  </w:r>
                  <w:bookmarkEnd w:id="24"/>
                  <w:bookmarkEnd w:id="25"/>
                </w:p>
              </w:tc>
              <w:tc>
                <w:tcPr>
                  <w:tcW w:w="2154" w:type="dxa"/>
                  <w:tcBorders>
                    <w:tl2br w:val="nil"/>
                    <w:tr2bl w:val="nil"/>
                  </w:tcBorders>
                  <w:noWrap/>
                  <w:vAlign w:val="center"/>
                </w:tcPr>
                <w:p w14:paraId="1D698569">
                  <w:pPr>
                    <w:adjustRightInd w:val="0"/>
                    <w:snapToGrid w:val="0"/>
                    <w:jc w:val="center"/>
                    <w:rPr>
                      <w:rFonts w:ascii="Times New Roman" w:hAnsi="Times New Roman" w:cs="Times New Roman"/>
                      <w:color w:val="auto"/>
                      <w:sz w:val="21"/>
                      <w:szCs w:val="21"/>
                      <w:highlight w:val="none"/>
                    </w:rPr>
                  </w:pPr>
                  <w:bookmarkStart w:id="26" w:name="_Toc261421805"/>
                  <w:bookmarkStart w:id="27" w:name="_Toc261421497"/>
                  <w:r>
                    <w:rPr>
                      <w:rFonts w:ascii="Times New Roman" w:hAnsi="Times New Roman" w:cs="Times New Roman"/>
                      <w:color w:val="auto"/>
                      <w:sz w:val="21"/>
                      <w:szCs w:val="21"/>
                      <w:highlight w:val="none"/>
                    </w:rPr>
                    <w:t>项目</w:t>
                  </w:r>
                  <w:bookmarkEnd w:id="26"/>
                  <w:bookmarkEnd w:id="27"/>
                </w:p>
              </w:tc>
              <w:tc>
                <w:tcPr>
                  <w:tcW w:w="5183" w:type="dxa"/>
                  <w:tcBorders>
                    <w:tl2br w:val="nil"/>
                    <w:tr2bl w:val="nil"/>
                  </w:tcBorders>
                  <w:noWrap/>
                  <w:vAlign w:val="center"/>
                </w:tcPr>
                <w:p w14:paraId="7B1FC5B0">
                  <w:pPr>
                    <w:adjustRightInd w:val="0"/>
                    <w:snapToGrid w:val="0"/>
                    <w:jc w:val="center"/>
                    <w:rPr>
                      <w:rFonts w:ascii="Times New Roman" w:hAnsi="Times New Roman" w:cs="Times New Roman"/>
                      <w:color w:val="auto"/>
                      <w:sz w:val="21"/>
                      <w:szCs w:val="21"/>
                      <w:highlight w:val="none"/>
                    </w:rPr>
                  </w:pPr>
                  <w:bookmarkStart w:id="28" w:name="_Toc261421806"/>
                  <w:bookmarkStart w:id="29" w:name="_Toc261421498"/>
                  <w:r>
                    <w:rPr>
                      <w:rFonts w:ascii="Times New Roman" w:hAnsi="Times New Roman" w:cs="Times New Roman"/>
                      <w:color w:val="auto"/>
                      <w:sz w:val="21"/>
                      <w:szCs w:val="21"/>
                      <w:highlight w:val="none"/>
                    </w:rPr>
                    <w:t>内容及要求</w:t>
                  </w:r>
                  <w:bookmarkEnd w:id="28"/>
                  <w:bookmarkEnd w:id="29"/>
                </w:p>
              </w:tc>
            </w:tr>
            <w:tr w14:paraId="26261F1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62" w:type="dxa"/>
                  <w:tcBorders>
                    <w:tl2br w:val="nil"/>
                    <w:tr2bl w:val="nil"/>
                  </w:tcBorders>
                  <w:noWrap/>
                  <w:vAlign w:val="center"/>
                </w:tcPr>
                <w:p w14:paraId="0A694865">
                  <w:pPr>
                    <w:adjustRightInd w:val="0"/>
                    <w:snapToGrid w:val="0"/>
                    <w:jc w:val="center"/>
                    <w:rPr>
                      <w:rFonts w:ascii="Times New Roman" w:hAnsi="Times New Roman" w:cs="Times New Roman"/>
                      <w:color w:val="auto"/>
                      <w:sz w:val="21"/>
                      <w:szCs w:val="21"/>
                      <w:highlight w:val="none"/>
                    </w:rPr>
                  </w:pPr>
                  <w:bookmarkStart w:id="30" w:name="_Toc261421807"/>
                  <w:bookmarkStart w:id="31" w:name="_Toc261421499"/>
                  <w:r>
                    <w:rPr>
                      <w:rFonts w:ascii="Times New Roman" w:hAnsi="Times New Roman" w:cs="Times New Roman"/>
                      <w:color w:val="auto"/>
                      <w:sz w:val="21"/>
                      <w:szCs w:val="21"/>
                      <w:highlight w:val="none"/>
                    </w:rPr>
                    <w:t>1</w:t>
                  </w:r>
                  <w:bookmarkEnd w:id="30"/>
                  <w:bookmarkEnd w:id="31"/>
                </w:p>
              </w:tc>
              <w:tc>
                <w:tcPr>
                  <w:tcW w:w="2154" w:type="dxa"/>
                  <w:tcBorders>
                    <w:tl2br w:val="nil"/>
                    <w:tr2bl w:val="nil"/>
                  </w:tcBorders>
                  <w:noWrap/>
                  <w:vAlign w:val="center"/>
                </w:tcPr>
                <w:p w14:paraId="62C5E650">
                  <w:pPr>
                    <w:adjustRightInd w:val="0"/>
                    <w:snapToGrid w:val="0"/>
                    <w:jc w:val="center"/>
                    <w:rPr>
                      <w:rFonts w:ascii="Times New Roman" w:hAnsi="Times New Roman" w:cs="Times New Roman"/>
                      <w:color w:val="auto"/>
                      <w:sz w:val="21"/>
                      <w:szCs w:val="21"/>
                      <w:highlight w:val="none"/>
                    </w:rPr>
                  </w:pPr>
                  <w:bookmarkStart w:id="32" w:name="_Toc261421500"/>
                  <w:bookmarkStart w:id="33" w:name="_Toc261421808"/>
                  <w:r>
                    <w:rPr>
                      <w:rFonts w:ascii="Times New Roman" w:hAnsi="Times New Roman" w:cs="Times New Roman"/>
                      <w:color w:val="auto"/>
                      <w:sz w:val="21"/>
                      <w:szCs w:val="21"/>
                      <w:highlight w:val="none"/>
                    </w:rPr>
                    <w:t>应急计划区</w:t>
                  </w:r>
                  <w:bookmarkEnd w:id="32"/>
                  <w:bookmarkEnd w:id="33"/>
                </w:p>
              </w:tc>
              <w:tc>
                <w:tcPr>
                  <w:tcW w:w="5183" w:type="dxa"/>
                  <w:tcBorders>
                    <w:tl2br w:val="nil"/>
                    <w:tr2bl w:val="nil"/>
                  </w:tcBorders>
                  <w:noWrap/>
                  <w:vAlign w:val="center"/>
                </w:tcPr>
                <w:p w14:paraId="71B6FA30">
                  <w:pPr>
                    <w:adjustRightInd w:val="0"/>
                    <w:snapToGrid w:val="0"/>
                    <w:jc w:val="center"/>
                    <w:rPr>
                      <w:rFonts w:ascii="Times New Roman" w:hAnsi="Times New Roman" w:cs="Times New Roman"/>
                      <w:color w:val="auto"/>
                      <w:sz w:val="21"/>
                      <w:szCs w:val="21"/>
                      <w:highlight w:val="none"/>
                    </w:rPr>
                  </w:pPr>
                  <w:bookmarkStart w:id="34" w:name="_Toc261421809"/>
                  <w:bookmarkStart w:id="35" w:name="_Toc261421501"/>
                  <w:r>
                    <w:rPr>
                      <w:rFonts w:ascii="Times New Roman" w:hAnsi="Times New Roman" w:cs="Times New Roman"/>
                      <w:color w:val="auto"/>
                      <w:sz w:val="21"/>
                      <w:szCs w:val="21"/>
                      <w:highlight w:val="none"/>
                    </w:rPr>
                    <w:t>危险目标：</w:t>
                  </w:r>
                  <w:bookmarkEnd w:id="34"/>
                  <w:bookmarkEnd w:id="35"/>
                  <w:r>
                    <w:rPr>
                      <w:rFonts w:hint="eastAsia" w:ascii="Times New Roman" w:hAnsi="Times New Roman" w:cs="Times New Roman"/>
                      <w:color w:val="auto"/>
                      <w:sz w:val="21"/>
                      <w:szCs w:val="21"/>
                      <w:highlight w:val="none"/>
                    </w:rPr>
                    <w:t>危废暂存间</w:t>
                  </w:r>
                </w:p>
              </w:tc>
            </w:tr>
            <w:tr w14:paraId="14D9FD0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62" w:type="dxa"/>
                  <w:tcBorders>
                    <w:tl2br w:val="nil"/>
                    <w:tr2bl w:val="nil"/>
                  </w:tcBorders>
                  <w:noWrap/>
                  <w:vAlign w:val="center"/>
                </w:tcPr>
                <w:p w14:paraId="21FCC690">
                  <w:pPr>
                    <w:adjustRightInd w:val="0"/>
                    <w:snapToGrid w:val="0"/>
                    <w:jc w:val="center"/>
                    <w:rPr>
                      <w:rFonts w:ascii="Times New Roman" w:hAnsi="Times New Roman" w:cs="Times New Roman"/>
                      <w:color w:val="auto"/>
                      <w:sz w:val="21"/>
                      <w:szCs w:val="21"/>
                      <w:highlight w:val="none"/>
                    </w:rPr>
                  </w:pPr>
                  <w:bookmarkStart w:id="36" w:name="_Toc261421502"/>
                  <w:bookmarkStart w:id="37" w:name="_Toc261421810"/>
                  <w:r>
                    <w:rPr>
                      <w:rFonts w:ascii="Times New Roman" w:hAnsi="Times New Roman" w:cs="Times New Roman"/>
                      <w:color w:val="auto"/>
                      <w:sz w:val="21"/>
                      <w:szCs w:val="21"/>
                      <w:highlight w:val="none"/>
                    </w:rPr>
                    <w:t>2</w:t>
                  </w:r>
                  <w:bookmarkEnd w:id="36"/>
                  <w:bookmarkEnd w:id="37"/>
                </w:p>
              </w:tc>
              <w:tc>
                <w:tcPr>
                  <w:tcW w:w="2154" w:type="dxa"/>
                  <w:tcBorders>
                    <w:tl2br w:val="nil"/>
                    <w:tr2bl w:val="nil"/>
                  </w:tcBorders>
                  <w:noWrap/>
                  <w:vAlign w:val="center"/>
                </w:tcPr>
                <w:p w14:paraId="375C6747">
                  <w:pPr>
                    <w:adjustRightInd w:val="0"/>
                    <w:snapToGrid w:val="0"/>
                    <w:jc w:val="center"/>
                    <w:rPr>
                      <w:rFonts w:ascii="Times New Roman" w:hAnsi="Times New Roman" w:cs="Times New Roman"/>
                      <w:color w:val="auto"/>
                      <w:sz w:val="21"/>
                      <w:szCs w:val="21"/>
                      <w:highlight w:val="none"/>
                    </w:rPr>
                  </w:pPr>
                  <w:bookmarkStart w:id="38" w:name="_Toc261421503"/>
                  <w:bookmarkStart w:id="39" w:name="_Toc261421811"/>
                  <w:r>
                    <w:rPr>
                      <w:rFonts w:ascii="Times New Roman" w:hAnsi="Times New Roman" w:cs="Times New Roman"/>
                      <w:color w:val="auto"/>
                      <w:sz w:val="21"/>
                      <w:szCs w:val="21"/>
                      <w:highlight w:val="none"/>
                    </w:rPr>
                    <w:t>应急组织机构、人员</w:t>
                  </w:r>
                  <w:bookmarkEnd w:id="38"/>
                  <w:bookmarkEnd w:id="39"/>
                </w:p>
              </w:tc>
              <w:tc>
                <w:tcPr>
                  <w:tcW w:w="5183" w:type="dxa"/>
                  <w:tcBorders>
                    <w:tl2br w:val="nil"/>
                    <w:tr2bl w:val="nil"/>
                  </w:tcBorders>
                  <w:noWrap/>
                  <w:vAlign w:val="center"/>
                </w:tcPr>
                <w:p w14:paraId="3585937A">
                  <w:pPr>
                    <w:adjustRightInd w:val="0"/>
                    <w:snapToGrid w:val="0"/>
                    <w:jc w:val="center"/>
                    <w:rPr>
                      <w:rFonts w:ascii="Times New Roman" w:hAnsi="Times New Roman" w:cs="Times New Roman"/>
                      <w:color w:val="auto"/>
                      <w:sz w:val="21"/>
                      <w:szCs w:val="21"/>
                      <w:highlight w:val="none"/>
                    </w:rPr>
                  </w:pPr>
                  <w:bookmarkStart w:id="40" w:name="_Toc261421812"/>
                  <w:bookmarkStart w:id="41" w:name="_Toc261421504"/>
                  <w:r>
                    <w:rPr>
                      <w:rFonts w:ascii="Times New Roman" w:hAnsi="Times New Roman" w:cs="Times New Roman"/>
                      <w:color w:val="auto"/>
                      <w:sz w:val="21"/>
                      <w:szCs w:val="21"/>
                      <w:highlight w:val="none"/>
                    </w:rPr>
                    <w:t>应急组织领导小组</w:t>
                  </w:r>
                  <w:bookmarkEnd w:id="40"/>
                  <w:bookmarkEnd w:id="41"/>
                </w:p>
              </w:tc>
            </w:tr>
            <w:tr w14:paraId="064D1F7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62" w:type="dxa"/>
                  <w:tcBorders>
                    <w:tl2br w:val="nil"/>
                    <w:tr2bl w:val="nil"/>
                  </w:tcBorders>
                  <w:noWrap/>
                  <w:vAlign w:val="center"/>
                </w:tcPr>
                <w:p w14:paraId="14B68990">
                  <w:pPr>
                    <w:adjustRightInd w:val="0"/>
                    <w:snapToGrid w:val="0"/>
                    <w:jc w:val="center"/>
                    <w:rPr>
                      <w:rFonts w:ascii="Times New Roman" w:hAnsi="Times New Roman" w:cs="Times New Roman"/>
                      <w:color w:val="auto"/>
                      <w:sz w:val="21"/>
                      <w:szCs w:val="21"/>
                      <w:highlight w:val="none"/>
                    </w:rPr>
                  </w:pPr>
                  <w:bookmarkStart w:id="42" w:name="_Toc261421505"/>
                  <w:bookmarkStart w:id="43" w:name="_Toc261421813"/>
                  <w:r>
                    <w:rPr>
                      <w:rFonts w:ascii="Times New Roman" w:hAnsi="Times New Roman" w:cs="Times New Roman"/>
                      <w:color w:val="auto"/>
                      <w:sz w:val="21"/>
                      <w:szCs w:val="21"/>
                      <w:highlight w:val="none"/>
                    </w:rPr>
                    <w:t>3</w:t>
                  </w:r>
                  <w:bookmarkEnd w:id="42"/>
                  <w:bookmarkEnd w:id="43"/>
                </w:p>
              </w:tc>
              <w:tc>
                <w:tcPr>
                  <w:tcW w:w="2154" w:type="dxa"/>
                  <w:tcBorders>
                    <w:tl2br w:val="nil"/>
                    <w:tr2bl w:val="nil"/>
                  </w:tcBorders>
                  <w:noWrap/>
                  <w:vAlign w:val="center"/>
                </w:tcPr>
                <w:p w14:paraId="054073D9">
                  <w:pPr>
                    <w:adjustRightInd w:val="0"/>
                    <w:snapToGrid w:val="0"/>
                    <w:jc w:val="center"/>
                    <w:rPr>
                      <w:rFonts w:ascii="Times New Roman" w:hAnsi="Times New Roman" w:cs="Times New Roman"/>
                      <w:color w:val="auto"/>
                      <w:sz w:val="21"/>
                      <w:szCs w:val="21"/>
                      <w:highlight w:val="none"/>
                    </w:rPr>
                  </w:pPr>
                  <w:bookmarkStart w:id="44" w:name="_Toc261421506"/>
                  <w:bookmarkStart w:id="45" w:name="_Toc261421814"/>
                  <w:r>
                    <w:rPr>
                      <w:rFonts w:ascii="Times New Roman" w:hAnsi="Times New Roman" w:cs="Times New Roman"/>
                      <w:color w:val="auto"/>
                      <w:sz w:val="21"/>
                      <w:szCs w:val="21"/>
                      <w:highlight w:val="none"/>
                    </w:rPr>
                    <w:t>预案分级响应条件</w:t>
                  </w:r>
                  <w:bookmarkEnd w:id="44"/>
                  <w:bookmarkEnd w:id="45"/>
                </w:p>
              </w:tc>
              <w:tc>
                <w:tcPr>
                  <w:tcW w:w="5183" w:type="dxa"/>
                  <w:tcBorders>
                    <w:tl2br w:val="nil"/>
                    <w:tr2bl w:val="nil"/>
                  </w:tcBorders>
                  <w:noWrap/>
                  <w:vAlign w:val="center"/>
                </w:tcPr>
                <w:p w14:paraId="5C9EA9AE">
                  <w:pPr>
                    <w:adjustRightInd w:val="0"/>
                    <w:snapToGrid w:val="0"/>
                    <w:jc w:val="center"/>
                    <w:rPr>
                      <w:rFonts w:ascii="Times New Roman" w:hAnsi="Times New Roman" w:cs="Times New Roman"/>
                      <w:color w:val="auto"/>
                      <w:sz w:val="21"/>
                      <w:szCs w:val="21"/>
                      <w:highlight w:val="none"/>
                    </w:rPr>
                  </w:pPr>
                  <w:bookmarkStart w:id="46" w:name="_Toc261421507"/>
                  <w:bookmarkStart w:id="47" w:name="_Toc261421815"/>
                  <w:r>
                    <w:rPr>
                      <w:rFonts w:ascii="Times New Roman" w:hAnsi="Times New Roman" w:cs="Times New Roman"/>
                      <w:color w:val="auto"/>
                      <w:sz w:val="21"/>
                      <w:szCs w:val="21"/>
                      <w:highlight w:val="none"/>
                    </w:rPr>
                    <w:t>规定预案的级别及分级响应程序</w:t>
                  </w:r>
                  <w:bookmarkEnd w:id="46"/>
                  <w:bookmarkEnd w:id="47"/>
                </w:p>
              </w:tc>
            </w:tr>
            <w:tr w14:paraId="10139D2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62" w:type="dxa"/>
                  <w:tcBorders>
                    <w:tl2br w:val="nil"/>
                    <w:tr2bl w:val="nil"/>
                  </w:tcBorders>
                  <w:noWrap/>
                  <w:vAlign w:val="center"/>
                </w:tcPr>
                <w:p w14:paraId="06C83BC3">
                  <w:pPr>
                    <w:adjustRightInd w:val="0"/>
                    <w:snapToGrid w:val="0"/>
                    <w:jc w:val="center"/>
                    <w:rPr>
                      <w:rFonts w:ascii="Times New Roman" w:hAnsi="Times New Roman" w:cs="Times New Roman"/>
                      <w:color w:val="auto"/>
                      <w:sz w:val="21"/>
                      <w:szCs w:val="21"/>
                      <w:highlight w:val="none"/>
                    </w:rPr>
                  </w:pPr>
                  <w:bookmarkStart w:id="48" w:name="_Toc261421816"/>
                  <w:bookmarkStart w:id="49" w:name="_Toc261421508"/>
                  <w:r>
                    <w:rPr>
                      <w:rFonts w:ascii="Times New Roman" w:hAnsi="Times New Roman" w:cs="Times New Roman"/>
                      <w:color w:val="auto"/>
                      <w:sz w:val="21"/>
                      <w:szCs w:val="21"/>
                      <w:highlight w:val="none"/>
                    </w:rPr>
                    <w:t>4</w:t>
                  </w:r>
                  <w:bookmarkEnd w:id="48"/>
                  <w:bookmarkEnd w:id="49"/>
                </w:p>
              </w:tc>
              <w:tc>
                <w:tcPr>
                  <w:tcW w:w="2154" w:type="dxa"/>
                  <w:tcBorders>
                    <w:tl2br w:val="nil"/>
                    <w:tr2bl w:val="nil"/>
                  </w:tcBorders>
                  <w:noWrap/>
                  <w:vAlign w:val="center"/>
                </w:tcPr>
                <w:p w14:paraId="45E8B4F4">
                  <w:pPr>
                    <w:adjustRightInd w:val="0"/>
                    <w:snapToGrid w:val="0"/>
                    <w:jc w:val="center"/>
                    <w:rPr>
                      <w:rFonts w:ascii="Times New Roman" w:hAnsi="Times New Roman" w:cs="Times New Roman"/>
                      <w:color w:val="auto"/>
                      <w:sz w:val="21"/>
                      <w:szCs w:val="21"/>
                      <w:highlight w:val="none"/>
                    </w:rPr>
                  </w:pPr>
                  <w:bookmarkStart w:id="50" w:name="_Toc261421817"/>
                  <w:bookmarkStart w:id="51" w:name="_Toc261421509"/>
                  <w:r>
                    <w:rPr>
                      <w:rFonts w:ascii="Times New Roman" w:hAnsi="Times New Roman" w:cs="Times New Roman"/>
                      <w:color w:val="auto"/>
                      <w:sz w:val="21"/>
                      <w:szCs w:val="21"/>
                      <w:highlight w:val="none"/>
                    </w:rPr>
                    <w:t>应急救援保障</w:t>
                  </w:r>
                  <w:bookmarkEnd w:id="50"/>
                  <w:bookmarkEnd w:id="51"/>
                </w:p>
              </w:tc>
              <w:tc>
                <w:tcPr>
                  <w:tcW w:w="5183" w:type="dxa"/>
                  <w:tcBorders>
                    <w:tl2br w:val="nil"/>
                    <w:tr2bl w:val="nil"/>
                  </w:tcBorders>
                  <w:noWrap/>
                  <w:vAlign w:val="center"/>
                </w:tcPr>
                <w:p w14:paraId="7B99BAC1">
                  <w:pPr>
                    <w:adjustRightInd w:val="0"/>
                    <w:snapToGrid w:val="0"/>
                    <w:jc w:val="center"/>
                    <w:rPr>
                      <w:rFonts w:ascii="Times New Roman" w:hAnsi="Times New Roman" w:cs="Times New Roman"/>
                      <w:color w:val="auto"/>
                      <w:sz w:val="21"/>
                      <w:szCs w:val="21"/>
                      <w:highlight w:val="none"/>
                    </w:rPr>
                  </w:pPr>
                  <w:bookmarkStart w:id="52" w:name="_Toc261421510"/>
                  <w:bookmarkStart w:id="53" w:name="_Toc261421818"/>
                  <w:r>
                    <w:rPr>
                      <w:rFonts w:ascii="Times New Roman" w:hAnsi="Times New Roman" w:cs="Times New Roman"/>
                      <w:color w:val="auto"/>
                      <w:sz w:val="21"/>
                      <w:szCs w:val="21"/>
                      <w:highlight w:val="none"/>
                    </w:rPr>
                    <w:t>应急设施，设备与器材等</w:t>
                  </w:r>
                  <w:bookmarkEnd w:id="52"/>
                  <w:bookmarkEnd w:id="53"/>
                </w:p>
              </w:tc>
            </w:tr>
            <w:tr w14:paraId="684CDFD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62" w:type="dxa"/>
                  <w:tcBorders>
                    <w:tl2br w:val="nil"/>
                    <w:tr2bl w:val="nil"/>
                  </w:tcBorders>
                  <w:noWrap/>
                  <w:vAlign w:val="center"/>
                </w:tcPr>
                <w:p w14:paraId="03277516">
                  <w:pPr>
                    <w:adjustRightInd w:val="0"/>
                    <w:snapToGrid w:val="0"/>
                    <w:jc w:val="center"/>
                    <w:rPr>
                      <w:rFonts w:ascii="Times New Roman" w:hAnsi="Times New Roman" w:cs="Times New Roman"/>
                      <w:color w:val="auto"/>
                      <w:sz w:val="21"/>
                      <w:szCs w:val="21"/>
                      <w:highlight w:val="none"/>
                    </w:rPr>
                  </w:pPr>
                  <w:bookmarkStart w:id="54" w:name="_Toc261421511"/>
                  <w:bookmarkStart w:id="55" w:name="_Toc261421819"/>
                  <w:r>
                    <w:rPr>
                      <w:rFonts w:ascii="Times New Roman" w:hAnsi="Times New Roman" w:cs="Times New Roman"/>
                      <w:color w:val="auto"/>
                      <w:sz w:val="21"/>
                      <w:szCs w:val="21"/>
                      <w:highlight w:val="none"/>
                    </w:rPr>
                    <w:t>5</w:t>
                  </w:r>
                  <w:bookmarkEnd w:id="54"/>
                  <w:bookmarkEnd w:id="55"/>
                </w:p>
              </w:tc>
              <w:tc>
                <w:tcPr>
                  <w:tcW w:w="2154" w:type="dxa"/>
                  <w:tcBorders>
                    <w:tl2br w:val="nil"/>
                    <w:tr2bl w:val="nil"/>
                  </w:tcBorders>
                  <w:noWrap/>
                  <w:vAlign w:val="center"/>
                </w:tcPr>
                <w:p w14:paraId="375DC29C">
                  <w:pPr>
                    <w:adjustRightInd w:val="0"/>
                    <w:snapToGrid w:val="0"/>
                    <w:jc w:val="center"/>
                    <w:rPr>
                      <w:rFonts w:ascii="Times New Roman" w:hAnsi="Times New Roman" w:cs="Times New Roman"/>
                      <w:color w:val="auto"/>
                      <w:sz w:val="21"/>
                      <w:szCs w:val="21"/>
                      <w:highlight w:val="none"/>
                    </w:rPr>
                  </w:pPr>
                  <w:bookmarkStart w:id="56" w:name="_Toc261421512"/>
                  <w:bookmarkStart w:id="57" w:name="_Toc261421820"/>
                  <w:r>
                    <w:rPr>
                      <w:rFonts w:ascii="Times New Roman" w:hAnsi="Times New Roman" w:cs="Times New Roman"/>
                      <w:color w:val="auto"/>
                      <w:sz w:val="21"/>
                      <w:szCs w:val="21"/>
                      <w:highlight w:val="none"/>
                    </w:rPr>
                    <w:t>报警、通信联络方式</w:t>
                  </w:r>
                  <w:bookmarkEnd w:id="56"/>
                  <w:bookmarkEnd w:id="57"/>
                </w:p>
              </w:tc>
              <w:tc>
                <w:tcPr>
                  <w:tcW w:w="5183" w:type="dxa"/>
                  <w:tcBorders>
                    <w:tl2br w:val="nil"/>
                    <w:tr2bl w:val="nil"/>
                  </w:tcBorders>
                  <w:noWrap/>
                  <w:vAlign w:val="center"/>
                </w:tcPr>
                <w:p w14:paraId="75FE3E67">
                  <w:pPr>
                    <w:adjustRightInd w:val="0"/>
                    <w:snapToGrid w:val="0"/>
                    <w:jc w:val="center"/>
                    <w:rPr>
                      <w:rFonts w:ascii="Times New Roman" w:hAnsi="Times New Roman" w:cs="Times New Roman"/>
                      <w:color w:val="auto"/>
                      <w:sz w:val="21"/>
                      <w:szCs w:val="21"/>
                      <w:highlight w:val="none"/>
                    </w:rPr>
                  </w:pPr>
                  <w:bookmarkStart w:id="58" w:name="_Toc261421821"/>
                  <w:bookmarkStart w:id="59" w:name="_Toc261421513"/>
                  <w:r>
                    <w:rPr>
                      <w:rFonts w:ascii="Times New Roman" w:hAnsi="Times New Roman" w:cs="Times New Roman"/>
                      <w:color w:val="auto"/>
                      <w:sz w:val="21"/>
                      <w:szCs w:val="21"/>
                      <w:highlight w:val="none"/>
                    </w:rPr>
                    <w:t>规定应急状态下的</w:t>
                  </w:r>
                  <w:r>
                    <w:rPr>
                      <w:rFonts w:hint="eastAsia" w:ascii="Times New Roman" w:hAnsi="Times New Roman" w:cs="Times New Roman"/>
                      <w:color w:val="auto"/>
                      <w:sz w:val="21"/>
                      <w:szCs w:val="21"/>
                      <w:highlight w:val="none"/>
                      <w:lang w:eastAsia="zh-CN"/>
                    </w:rPr>
                    <w:t>报警通信</w:t>
                  </w:r>
                  <w:r>
                    <w:rPr>
                      <w:rFonts w:ascii="Times New Roman" w:hAnsi="Times New Roman" w:cs="Times New Roman"/>
                      <w:color w:val="auto"/>
                      <w:sz w:val="21"/>
                      <w:szCs w:val="21"/>
                      <w:highlight w:val="none"/>
                    </w:rPr>
                    <w:t>方式、通知方式和交通保障、管制</w:t>
                  </w:r>
                  <w:bookmarkEnd w:id="58"/>
                  <w:bookmarkEnd w:id="59"/>
                </w:p>
              </w:tc>
            </w:tr>
            <w:tr w14:paraId="574A8A8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762" w:type="dxa"/>
                  <w:tcBorders>
                    <w:tl2br w:val="nil"/>
                    <w:tr2bl w:val="nil"/>
                  </w:tcBorders>
                  <w:noWrap/>
                  <w:vAlign w:val="center"/>
                </w:tcPr>
                <w:p w14:paraId="66FC28D9">
                  <w:pPr>
                    <w:adjustRightInd w:val="0"/>
                    <w:snapToGrid w:val="0"/>
                    <w:jc w:val="center"/>
                    <w:rPr>
                      <w:rFonts w:ascii="Times New Roman" w:hAnsi="Times New Roman" w:cs="Times New Roman"/>
                      <w:color w:val="auto"/>
                      <w:sz w:val="21"/>
                      <w:szCs w:val="21"/>
                      <w:highlight w:val="none"/>
                    </w:rPr>
                  </w:pPr>
                  <w:bookmarkStart w:id="60" w:name="_Toc261421822"/>
                  <w:bookmarkStart w:id="61" w:name="_Toc261421514"/>
                  <w:r>
                    <w:rPr>
                      <w:rFonts w:ascii="Times New Roman" w:hAnsi="Times New Roman" w:cs="Times New Roman"/>
                      <w:color w:val="auto"/>
                      <w:sz w:val="21"/>
                      <w:szCs w:val="21"/>
                      <w:highlight w:val="none"/>
                    </w:rPr>
                    <w:t>6</w:t>
                  </w:r>
                  <w:bookmarkEnd w:id="60"/>
                  <w:bookmarkEnd w:id="61"/>
                </w:p>
              </w:tc>
              <w:tc>
                <w:tcPr>
                  <w:tcW w:w="2154" w:type="dxa"/>
                  <w:tcBorders>
                    <w:tl2br w:val="nil"/>
                    <w:tr2bl w:val="nil"/>
                  </w:tcBorders>
                  <w:noWrap/>
                  <w:vAlign w:val="center"/>
                </w:tcPr>
                <w:p w14:paraId="0EE42121">
                  <w:pPr>
                    <w:adjustRightInd w:val="0"/>
                    <w:snapToGrid w:val="0"/>
                    <w:jc w:val="center"/>
                    <w:rPr>
                      <w:rFonts w:ascii="Times New Roman" w:hAnsi="Times New Roman" w:cs="Times New Roman"/>
                      <w:color w:val="auto"/>
                      <w:sz w:val="21"/>
                      <w:szCs w:val="21"/>
                      <w:highlight w:val="none"/>
                    </w:rPr>
                  </w:pPr>
                  <w:bookmarkStart w:id="62" w:name="_Toc261421823"/>
                  <w:bookmarkStart w:id="63" w:name="_Toc261421515"/>
                  <w:r>
                    <w:rPr>
                      <w:rFonts w:ascii="Times New Roman" w:hAnsi="Times New Roman" w:cs="Times New Roman"/>
                      <w:color w:val="auto"/>
                      <w:sz w:val="21"/>
                      <w:szCs w:val="21"/>
                      <w:highlight w:val="none"/>
                    </w:rPr>
                    <w:t>应急环境监测、抢险、救援及控制措施</w:t>
                  </w:r>
                  <w:bookmarkEnd w:id="62"/>
                  <w:bookmarkEnd w:id="63"/>
                </w:p>
              </w:tc>
              <w:tc>
                <w:tcPr>
                  <w:tcW w:w="5183" w:type="dxa"/>
                  <w:tcBorders>
                    <w:tl2br w:val="nil"/>
                    <w:tr2bl w:val="nil"/>
                  </w:tcBorders>
                  <w:noWrap/>
                  <w:vAlign w:val="center"/>
                </w:tcPr>
                <w:p w14:paraId="345CB6E6">
                  <w:pPr>
                    <w:adjustRightInd w:val="0"/>
                    <w:snapToGrid w:val="0"/>
                    <w:jc w:val="center"/>
                    <w:rPr>
                      <w:rFonts w:ascii="Times New Roman" w:hAnsi="Times New Roman" w:cs="Times New Roman"/>
                      <w:color w:val="auto"/>
                      <w:sz w:val="21"/>
                      <w:szCs w:val="21"/>
                      <w:highlight w:val="none"/>
                    </w:rPr>
                  </w:pPr>
                  <w:bookmarkStart w:id="64" w:name="_Toc261421516"/>
                  <w:bookmarkStart w:id="65" w:name="_Toc261421824"/>
                  <w:r>
                    <w:rPr>
                      <w:rFonts w:ascii="Times New Roman" w:hAnsi="Times New Roman" w:cs="Times New Roman"/>
                      <w:color w:val="auto"/>
                      <w:sz w:val="21"/>
                      <w:szCs w:val="21"/>
                      <w:highlight w:val="none"/>
                    </w:rPr>
                    <w:t>由专业队伍负责对事故现场进行侦察监测，对事故性质、参数与后果进行评估，为指挥部门提供决策依据</w:t>
                  </w:r>
                  <w:bookmarkEnd w:id="64"/>
                  <w:bookmarkEnd w:id="65"/>
                </w:p>
              </w:tc>
            </w:tr>
            <w:tr w14:paraId="6EC12FF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762" w:type="dxa"/>
                  <w:tcBorders>
                    <w:tl2br w:val="nil"/>
                    <w:tr2bl w:val="nil"/>
                  </w:tcBorders>
                  <w:noWrap/>
                  <w:vAlign w:val="center"/>
                </w:tcPr>
                <w:p w14:paraId="08F64DC8">
                  <w:pPr>
                    <w:adjustRightInd w:val="0"/>
                    <w:snapToGrid w:val="0"/>
                    <w:jc w:val="center"/>
                    <w:rPr>
                      <w:rFonts w:ascii="Times New Roman" w:hAnsi="Times New Roman" w:cs="Times New Roman"/>
                      <w:color w:val="auto"/>
                      <w:sz w:val="21"/>
                      <w:szCs w:val="21"/>
                      <w:highlight w:val="none"/>
                    </w:rPr>
                  </w:pPr>
                  <w:bookmarkStart w:id="66" w:name="_Toc261421825"/>
                  <w:bookmarkStart w:id="67" w:name="_Toc261421517"/>
                  <w:r>
                    <w:rPr>
                      <w:rFonts w:ascii="Times New Roman" w:hAnsi="Times New Roman" w:cs="Times New Roman"/>
                      <w:color w:val="auto"/>
                      <w:sz w:val="21"/>
                      <w:szCs w:val="21"/>
                      <w:highlight w:val="none"/>
                    </w:rPr>
                    <w:t>7</w:t>
                  </w:r>
                  <w:bookmarkEnd w:id="66"/>
                  <w:bookmarkEnd w:id="67"/>
                </w:p>
              </w:tc>
              <w:tc>
                <w:tcPr>
                  <w:tcW w:w="2154" w:type="dxa"/>
                  <w:tcBorders>
                    <w:tl2br w:val="nil"/>
                    <w:tr2bl w:val="nil"/>
                  </w:tcBorders>
                  <w:noWrap/>
                  <w:vAlign w:val="center"/>
                </w:tcPr>
                <w:p w14:paraId="3E7B9F13">
                  <w:pPr>
                    <w:adjustRightInd w:val="0"/>
                    <w:snapToGrid w:val="0"/>
                    <w:jc w:val="center"/>
                    <w:rPr>
                      <w:rFonts w:ascii="Times New Roman" w:hAnsi="Times New Roman" w:cs="Times New Roman"/>
                      <w:color w:val="auto"/>
                      <w:sz w:val="21"/>
                      <w:szCs w:val="21"/>
                      <w:highlight w:val="none"/>
                    </w:rPr>
                  </w:pPr>
                  <w:bookmarkStart w:id="68" w:name="_Toc261421518"/>
                  <w:bookmarkStart w:id="69" w:name="_Toc261421826"/>
                  <w:r>
                    <w:rPr>
                      <w:rFonts w:ascii="Times New Roman" w:hAnsi="Times New Roman" w:cs="Times New Roman"/>
                      <w:color w:val="auto"/>
                      <w:sz w:val="21"/>
                      <w:szCs w:val="21"/>
                      <w:highlight w:val="none"/>
                    </w:rPr>
                    <w:t>应急</w:t>
                  </w:r>
                  <w:r>
                    <w:rPr>
                      <w:rFonts w:hint="eastAsia" w:ascii="Times New Roman" w:hAnsi="Times New Roman" w:cs="Times New Roman"/>
                      <w:color w:val="auto"/>
                      <w:sz w:val="21"/>
                      <w:szCs w:val="21"/>
                      <w:highlight w:val="none"/>
                      <w:lang w:eastAsia="zh-CN"/>
                    </w:rPr>
                    <w:t>监测</w:t>
                  </w:r>
                  <w:r>
                    <w:rPr>
                      <w:rFonts w:ascii="Times New Roman" w:hAnsi="Times New Roman" w:cs="Times New Roman"/>
                      <w:color w:val="auto"/>
                      <w:sz w:val="21"/>
                      <w:szCs w:val="21"/>
                      <w:highlight w:val="none"/>
                    </w:rPr>
                    <w:t>、防护措施、清除泄漏措施和器材</w:t>
                  </w:r>
                  <w:bookmarkEnd w:id="68"/>
                  <w:bookmarkEnd w:id="69"/>
                </w:p>
              </w:tc>
              <w:tc>
                <w:tcPr>
                  <w:tcW w:w="5183" w:type="dxa"/>
                  <w:tcBorders>
                    <w:tl2br w:val="nil"/>
                    <w:tr2bl w:val="nil"/>
                  </w:tcBorders>
                  <w:noWrap/>
                  <w:vAlign w:val="center"/>
                </w:tcPr>
                <w:p w14:paraId="2F51C46C">
                  <w:pPr>
                    <w:adjustRightInd w:val="0"/>
                    <w:snapToGrid w:val="0"/>
                    <w:jc w:val="center"/>
                    <w:rPr>
                      <w:rFonts w:ascii="Times New Roman" w:hAnsi="Times New Roman" w:cs="Times New Roman"/>
                      <w:color w:val="auto"/>
                      <w:sz w:val="21"/>
                      <w:szCs w:val="21"/>
                      <w:highlight w:val="none"/>
                    </w:rPr>
                  </w:pPr>
                  <w:bookmarkStart w:id="70" w:name="_Toc261421519"/>
                  <w:bookmarkStart w:id="71" w:name="_Toc261421827"/>
                  <w:r>
                    <w:rPr>
                      <w:rFonts w:ascii="Times New Roman" w:hAnsi="Times New Roman" w:cs="Times New Roman"/>
                      <w:color w:val="auto"/>
                      <w:sz w:val="21"/>
                      <w:szCs w:val="21"/>
                      <w:highlight w:val="none"/>
                    </w:rPr>
                    <w:t>事故现场、邻近区域、控制防火区域，控制和清除污染措施及相应设备</w:t>
                  </w:r>
                  <w:bookmarkEnd w:id="70"/>
                  <w:bookmarkEnd w:id="71"/>
                </w:p>
              </w:tc>
            </w:tr>
            <w:tr w14:paraId="2AD9A5A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jc w:val="center"/>
              </w:trPr>
              <w:tc>
                <w:tcPr>
                  <w:tcW w:w="762" w:type="dxa"/>
                  <w:tcBorders>
                    <w:tl2br w:val="nil"/>
                    <w:tr2bl w:val="nil"/>
                  </w:tcBorders>
                  <w:noWrap/>
                  <w:vAlign w:val="center"/>
                </w:tcPr>
                <w:p w14:paraId="15F2946D">
                  <w:pPr>
                    <w:adjustRightInd w:val="0"/>
                    <w:snapToGrid w:val="0"/>
                    <w:jc w:val="center"/>
                    <w:rPr>
                      <w:rFonts w:ascii="Times New Roman" w:hAnsi="Times New Roman" w:cs="Times New Roman"/>
                      <w:color w:val="auto"/>
                      <w:sz w:val="21"/>
                      <w:szCs w:val="21"/>
                      <w:highlight w:val="none"/>
                    </w:rPr>
                  </w:pPr>
                  <w:bookmarkStart w:id="72" w:name="_Toc261421828"/>
                  <w:bookmarkStart w:id="73" w:name="_Toc261421520"/>
                  <w:r>
                    <w:rPr>
                      <w:rFonts w:ascii="Times New Roman" w:hAnsi="Times New Roman" w:cs="Times New Roman"/>
                      <w:color w:val="auto"/>
                      <w:sz w:val="21"/>
                      <w:szCs w:val="21"/>
                      <w:highlight w:val="none"/>
                    </w:rPr>
                    <w:t>8</w:t>
                  </w:r>
                  <w:bookmarkEnd w:id="72"/>
                  <w:bookmarkEnd w:id="73"/>
                </w:p>
              </w:tc>
              <w:tc>
                <w:tcPr>
                  <w:tcW w:w="2154" w:type="dxa"/>
                  <w:tcBorders>
                    <w:tl2br w:val="nil"/>
                    <w:tr2bl w:val="nil"/>
                  </w:tcBorders>
                  <w:noWrap/>
                  <w:vAlign w:val="center"/>
                </w:tcPr>
                <w:p w14:paraId="7E16170A">
                  <w:pPr>
                    <w:adjustRightInd w:val="0"/>
                    <w:snapToGrid w:val="0"/>
                    <w:jc w:val="center"/>
                    <w:rPr>
                      <w:rFonts w:ascii="Times New Roman" w:hAnsi="Times New Roman" w:cs="Times New Roman"/>
                      <w:color w:val="auto"/>
                      <w:sz w:val="21"/>
                      <w:szCs w:val="21"/>
                      <w:highlight w:val="none"/>
                    </w:rPr>
                  </w:pPr>
                  <w:bookmarkStart w:id="74" w:name="_Toc261421829"/>
                  <w:bookmarkStart w:id="75" w:name="_Toc261421521"/>
                  <w:r>
                    <w:rPr>
                      <w:rFonts w:ascii="Times New Roman" w:hAnsi="Times New Roman" w:cs="Times New Roman"/>
                      <w:color w:val="auto"/>
                      <w:sz w:val="21"/>
                      <w:szCs w:val="21"/>
                      <w:highlight w:val="none"/>
                    </w:rPr>
                    <w:t>人员紧急撤离、疏散，应急剂量控制、撤离组织计划</w:t>
                  </w:r>
                  <w:bookmarkEnd w:id="74"/>
                  <w:bookmarkEnd w:id="75"/>
                </w:p>
              </w:tc>
              <w:tc>
                <w:tcPr>
                  <w:tcW w:w="5183" w:type="dxa"/>
                  <w:tcBorders>
                    <w:tl2br w:val="nil"/>
                    <w:tr2bl w:val="nil"/>
                  </w:tcBorders>
                  <w:noWrap/>
                  <w:vAlign w:val="center"/>
                </w:tcPr>
                <w:p w14:paraId="28A822FD">
                  <w:pPr>
                    <w:adjustRightInd w:val="0"/>
                    <w:snapToGrid w:val="0"/>
                    <w:jc w:val="center"/>
                    <w:rPr>
                      <w:rFonts w:ascii="Times New Roman" w:hAnsi="Times New Roman" w:cs="Times New Roman"/>
                      <w:color w:val="auto"/>
                      <w:sz w:val="21"/>
                      <w:szCs w:val="21"/>
                      <w:highlight w:val="none"/>
                    </w:rPr>
                  </w:pPr>
                  <w:bookmarkStart w:id="76" w:name="_Toc261421522"/>
                  <w:bookmarkStart w:id="77" w:name="_Toc261421830"/>
                  <w:r>
                    <w:rPr>
                      <w:rFonts w:ascii="Times New Roman" w:hAnsi="Times New Roman" w:cs="Times New Roman"/>
                      <w:color w:val="auto"/>
                      <w:sz w:val="21"/>
                      <w:szCs w:val="21"/>
                      <w:highlight w:val="none"/>
                    </w:rPr>
                    <w:t>事故现场、</w:t>
                  </w:r>
                  <w:r>
                    <w:rPr>
                      <w:rFonts w:hint="eastAsia" w:ascii="Times New Roman" w:hAnsi="Times New Roman" w:cs="Times New Roman"/>
                      <w:color w:val="auto"/>
                      <w:sz w:val="21"/>
                      <w:szCs w:val="21"/>
                      <w:highlight w:val="none"/>
                    </w:rPr>
                    <w:t>场区</w:t>
                  </w:r>
                  <w:r>
                    <w:rPr>
                      <w:rFonts w:ascii="Times New Roman" w:hAnsi="Times New Roman" w:cs="Times New Roman"/>
                      <w:color w:val="auto"/>
                      <w:sz w:val="21"/>
                      <w:szCs w:val="21"/>
                      <w:highlight w:val="none"/>
                    </w:rPr>
                    <w:t>邻近区、受事故影响的区域人员及公众对有害物应急剂量控制规定，撤离组织计划及救护，医疗救护与公众健康</w:t>
                  </w:r>
                  <w:bookmarkEnd w:id="76"/>
                  <w:bookmarkEnd w:id="77"/>
                </w:p>
              </w:tc>
            </w:tr>
            <w:tr w14:paraId="085570F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62" w:type="dxa"/>
                  <w:tcBorders>
                    <w:tl2br w:val="nil"/>
                    <w:tr2bl w:val="nil"/>
                  </w:tcBorders>
                  <w:noWrap/>
                  <w:vAlign w:val="center"/>
                </w:tcPr>
                <w:p w14:paraId="64C4E819">
                  <w:pPr>
                    <w:adjustRightInd w:val="0"/>
                    <w:snapToGrid w:val="0"/>
                    <w:jc w:val="center"/>
                    <w:rPr>
                      <w:rFonts w:ascii="Times New Roman" w:hAnsi="Times New Roman" w:cs="Times New Roman"/>
                      <w:color w:val="auto"/>
                      <w:sz w:val="21"/>
                      <w:szCs w:val="21"/>
                      <w:highlight w:val="none"/>
                    </w:rPr>
                  </w:pPr>
                  <w:bookmarkStart w:id="78" w:name="_Toc261421523"/>
                  <w:bookmarkStart w:id="79" w:name="_Toc261421831"/>
                  <w:r>
                    <w:rPr>
                      <w:rFonts w:ascii="Times New Roman" w:hAnsi="Times New Roman" w:cs="Times New Roman"/>
                      <w:color w:val="auto"/>
                      <w:sz w:val="21"/>
                      <w:szCs w:val="21"/>
                      <w:highlight w:val="none"/>
                    </w:rPr>
                    <w:t>9</w:t>
                  </w:r>
                  <w:bookmarkEnd w:id="78"/>
                  <w:bookmarkEnd w:id="79"/>
                </w:p>
              </w:tc>
              <w:tc>
                <w:tcPr>
                  <w:tcW w:w="2154" w:type="dxa"/>
                  <w:tcBorders>
                    <w:tl2br w:val="nil"/>
                    <w:tr2bl w:val="nil"/>
                  </w:tcBorders>
                  <w:noWrap/>
                  <w:vAlign w:val="center"/>
                </w:tcPr>
                <w:p w14:paraId="632AFE5B">
                  <w:pPr>
                    <w:adjustRightInd w:val="0"/>
                    <w:snapToGrid w:val="0"/>
                    <w:jc w:val="center"/>
                    <w:rPr>
                      <w:rFonts w:ascii="Times New Roman" w:hAnsi="Times New Roman" w:cs="Times New Roman"/>
                      <w:color w:val="auto"/>
                      <w:sz w:val="21"/>
                      <w:szCs w:val="21"/>
                      <w:highlight w:val="none"/>
                    </w:rPr>
                  </w:pPr>
                  <w:bookmarkStart w:id="80" w:name="_Toc261421524"/>
                  <w:bookmarkStart w:id="81" w:name="_Toc261421832"/>
                  <w:r>
                    <w:rPr>
                      <w:rFonts w:ascii="Times New Roman" w:hAnsi="Times New Roman" w:cs="Times New Roman"/>
                      <w:color w:val="auto"/>
                      <w:sz w:val="21"/>
                      <w:szCs w:val="21"/>
                      <w:highlight w:val="none"/>
                    </w:rPr>
                    <w:t>事故应急救援关闭程序与恢复措施</w:t>
                  </w:r>
                  <w:bookmarkEnd w:id="80"/>
                  <w:bookmarkEnd w:id="81"/>
                </w:p>
              </w:tc>
              <w:tc>
                <w:tcPr>
                  <w:tcW w:w="5183" w:type="dxa"/>
                  <w:tcBorders>
                    <w:tl2br w:val="nil"/>
                    <w:tr2bl w:val="nil"/>
                  </w:tcBorders>
                  <w:noWrap/>
                  <w:vAlign w:val="center"/>
                </w:tcPr>
                <w:p w14:paraId="09B2EBC0">
                  <w:pPr>
                    <w:adjustRightInd w:val="0"/>
                    <w:snapToGrid w:val="0"/>
                    <w:jc w:val="center"/>
                    <w:rPr>
                      <w:rFonts w:ascii="Times New Roman" w:hAnsi="Times New Roman" w:cs="Times New Roman"/>
                      <w:color w:val="auto"/>
                      <w:sz w:val="21"/>
                      <w:szCs w:val="21"/>
                      <w:highlight w:val="none"/>
                    </w:rPr>
                  </w:pPr>
                  <w:bookmarkStart w:id="82" w:name="_Toc261421525"/>
                  <w:bookmarkStart w:id="83" w:name="_Toc261421833"/>
                  <w:r>
                    <w:rPr>
                      <w:rFonts w:ascii="Times New Roman" w:hAnsi="Times New Roman" w:cs="Times New Roman"/>
                      <w:color w:val="auto"/>
                      <w:sz w:val="21"/>
                      <w:szCs w:val="21"/>
                      <w:highlight w:val="none"/>
                    </w:rPr>
                    <w:t>规定应急状态终止程序</w:t>
                  </w:r>
                  <w:bookmarkEnd w:id="82"/>
                  <w:bookmarkEnd w:id="83"/>
                  <w:r>
                    <w:rPr>
                      <w:rFonts w:ascii="Times New Roman" w:hAnsi="Times New Roman" w:cs="Times New Roman"/>
                      <w:color w:val="auto"/>
                      <w:sz w:val="21"/>
                      <w:szCs w:val="21"/>
                      <w:highlight w:val="none"/>
                    </w:rPr>
                    <w:t>，</w:t>
                  </w:r>
                  <w:bookmarkStart w:id="84" w:name="_Toc261421526"/>
                  <w:bookmarkStart w:id="85" w:name="_Toc261421834"/>
                  <w:r>
                    <w:rPr>
                      <w:rFonts w:ascii="Times New Roman" w:hAnsi="Times New Roman" w:cs="Times New Roman"/>
                      <w:color w:val="auto"/>
                      <w:sz w:val="21"/>
                      <w:szCs w:val="21"/>
                      <w:highlight w:val="none"/>
                    </w:rPr>
                    <w:t>事故现场善后处理，恢复措施</w:t>
                  </w:r>
                  <w:bookmarkEnd w:id="84"/>
                  <w:bookmarkEnd w:id="85"/>
                  <w:r>
                    <w:rPr>
                      <w:rFonts w:ascii="Times New Roman" w:hAnsi="Times New Roman" w:cs="Times New Roman"/>
                      <w:color w:val="auto"/>
                      <w:sz w:val="21"/>
                      <w:szCs w:val="21"/>
                      <w:highlight w:val="none"/>
                    </w:rPr>
                    <w:t>，</w:t>
                  </w:r>
                  <w:bookmarkStart w:id="86" w:name="_Toc261421835"/>
                  <w:bookmarkStart w:id="87" w:name="_Toc261421527"/>
                  <w:r>
                    <w:rPr>
                      <w:rFonts w:ascii="Times New Roman" w:hAnsi="Times New Roman" w:cs="Times New Roman"/>
                      <w:color w:val="auto"/>
                      <w:sz w:val="21"/>
                      <w:szCs w:val="21"/>
                      <w:highlight w:val="none"/>
                    </w:rPr>
                    <w:t>邻近区域解除事故警戒及善后恢复措施</w:t>
                  </w:r>
                  <w:bookmarkEnd w:id="86"/>
                  <w:bookmarkEnd w:id="87"/>
                </w:p>
              </w:tc>
            </w:tr>
            <w:tr w14:paraId="1F1EBB6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62" w:type="dxa"/>
                  <w:tcBorders>
                    <w:tl2br w:val="nil"/>
                    <w:tr2bl w:val="nil"/>
                  </w:tcBorders>
                  <w:noWrap/>
                  <w:vAlign w:val="center"/>
                </w:tcPr>
                <w:p w14:paraId="68AC81EF">
                  <w:pPr>
                    <w:adjustRightInd w:val="0"/>
                    <w:snapToGrid w:val="0"/>
                    <w:jc w:val="center"/>
                    <w:rPr>
                      <w:rFonts w:ascii="Times New Roman" w:hAnsi="Times New Roman" w:cs="Times New Roman"/>
                      <w:color w:val="auto"/>
                      <w:sz w:val="21"/>
                      <w:szCs w:val="21"/>
                      <w:highlight w:val="none"/>
                    </w:rPr>
                  </w:pPr>
                  <w:bookmarkStart w:id="88" w:name="_Toc261421528"/>
                  <w:bookmarkStart w:id="89" w:name="_Toc261421836"/>
                  <w:r>
                    <w:rPr>
                      <w:rFonts w:ascii="Times New Roman" w:hAnsi="Times New Roman" w:cs="Times New Roman"/>
                      <w:color w:val="auto"/>
                      <w:sz w:val="21"/>
                      <w:szCs w:val="21"/>
                      <w:highlight w:val="none"/>
                    </w:rPr>
                    <w:t>10</w:t>
                  </w:r>
                  <w:bookmarkEnd w:id="88"/>
                  <w:bookmarkEnd w:id="89"/>
                </w:p>
              </w:tc>
              <w:tc>
                <w:tcPr>
                  <w:tcW w:w="2154" w:type="dxa"/>
                  <w:tcBorders>
                    <w:tl2br w:val="nil"/>
                    <w:tr2bl w:val="nil"/>
                  </w:tcBorders>
                  <w:noWrap/>
                  <w:vAlign w:val="center"/>
                </w:tcPr>
                <w:p w14:paraId="3D64F32C">
                  <w:pPr>
                    <w:adjustRightInd w:val="0"/>
                    <w:snapToGrid w:val="0"/>
                    <w:jc w:val="center"/>
                    <w:rPr>
                      <w:rFonts w:ascii="Times New Roman" w:hAnsi="Times New Roman" w:cs="Times New Roman"/>
                      <w:color w:val="auto"/>
                      <w:sz w:val="21"/>
                      <w:szCs w:val="21"/>
                      <w:highlight w:val="none"/>
                    </w:rPr>
                  </w:pPr>
                  <w:bookmarkStart w:id="90" w:name="_Toc261421529"/>
                  <w:bookmarkStart w:id="91" w:name="_Toc261421837"/>
                  <w:r>
                    <w:rPr>
                      <w:rFonts w:ascii="Times New Roman" w:hAnsi="Times New Roman" w:cs="Times New Roman"/>
                      <w:color w:val="auto"/>
                      <w:sz w:val="21"/>
                      <w:szCs w:val="21"/>
                      <w:highlight w:val="none"/>
                    </w:rPr>
                    <w:t>应急培训计划</w:t>
                  </w:r>
                  <w:bookmarkEnd w:id="90"/>
                  <w:bookmarkEnd w:id="91"/>
                </w:p>
              </w:tc>
              <w:tc>
                <w:tcPr>
                  <w:tcW w:w="5183" w:type="dxa"/>
                  <w:tcBorders>
                    <w:tl2br w:val="nil"/>
                    <w:tr2bl w:val="nil"/>
                  </w:tcBorders>
                  <w:noWrap/>
                  <w:vAlign w:val="center"/>
                </w:tcPr>
                <w:p w14:paraId="58ED44A3">
                  <w:pPr>
                    <w:adjustRightInd w:val="0"/>
                    <w:snapToGrid w:val="0"/>
                    <w:jc w:val="center"/>
                    <w:rPr>
                      <w:rFonts w:ascii="Times New Roman" w:hAnsi="Times New Roman" w:cs="Times New Roman"/>
                      <w:color w:val="auto"/>
                      <w:sz w:val="21"/>
                      <w:szCs w:val="21"/>
                      <w:highlight w:val="none"/>
                    </w:rPr>
                  </w:pPr>
                  <w:bookmarkStart w:id="92" w:name="_Toc261421838"/>
                  <w:r>
                    <w:rPr>
                      <w:rFonts w:ascii="Times New Roman" w:hAnsi="Times New Roman" w:cs="Times New Roman"/>
                      <w:color w:val="auto"/>
                      <w:sz w:val="21"/>
                      <w:szCs w:val="21"/>
                      <w:highlight w:val="none"/>
                    </w:rPr>
                    <w:t>应急计划制定后，平时安排人员培训与演练</w:t>
                  </w:r>
                  <w:bookmarkEnd w:id="92"/>
                </w:p>
              </w:tc>
            </w:tr>
            <w:tr w14:paraId="71A4709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762" w:type="dxa"/>
                  <w:tcBorders>
                    <w:tl2br w:val="nil"/>
                    <w:tr2bl w:val="nil"/>
                  </w:tcBorders>
                  <w:noWrap/>
                  <w:vAlign w:val="center"/>
                </w:tcPr>
                <w:p w14:paraId="4098E551">
                  <w:pPr>
                    <w:adjustRightInd w:val="0"/>
                    <w:snapToGrid w:val="0"/>
                    <w:jc w:val="center"/>
                    <w:rPr>
                      <w:rFonts w:ascii="Times New Roman" w:hAnsi="Times New Roman" w:cs="Times New Roman"/>
                      <w:color w:val="auto"/>
                      <w:sz w:val="21"/>
                      <w:szCs w:val="21"/>
                      <w:highlight w:val="none"/>
                    </w:rPr>
                  </w:pPr>
                  <w:bookmarkStart w:id="93" w:name="_Toc261421839"/>
                  <w:r>
                    <w:rPr>
                      <w:rFonts w:ascii="Times New Roman" w:hAnsi="Times New Roman" w:cs="Times New Roman"/>
                      <w:color w:val="auto"/>
                      <w:sz w:val="21"/>
                      <w:szCs w:val="21"/>
                      <w:highlight w:val="none"/>
                    </w:rPr>
                    <w:t>11</w:t>
                  </w:r>
                  <w:bookmarkEnd w:id="93"/>
                </w:p>
              </w:tc>
              <w:tc>
                <w:tcPr>
                  <w:tcW w:w="2154" w:type="dxa"/>
                  <w:tcBorders>
                    <w:tl2br w:val="nil"/>
                    <w:tr2bl w:val="nil"/>
                  </w:tcBorders>
                  <w:noWrap/>
                  <w:vAlign w:val="center"/>
                </w:tcPr>
                <w:p w14:paraId="726B6B24">
                  <w:pPr>
                    <w:adjustRightInd w:val="0"/>
                    <w:snapToGrid w:val="0"/>
                    <w:jc w:val="center"/>
                    <w:rPr>
                      <w:rFonts w:ascii="Times New Roman" w:hAnsi="Times New Roman" w:cs="Times New Roman"/>
                      <w:color w:val="auto"/>
                      <w:sz w:val="21"/>
                      <w:szCs w:val="21"/>
                      <w:highlight w:val="none"/>
                    </w:rPr>
                  </w:pPr>
                  <w:bookmarkStart w:id="94" w:name="_Toc261421840"/>
                  <w:r>
                    <w:rPr>
                      <w:rFonts w:ascii="Times New Roman" w:hAnsi="Times New Roman" w:cs="Times New Roman"/>
                      <w:color w:val="auto"/>
                      <w:sz w:val="21"/>
                      <w:szCs w:val="21"/>
                      <w:highlight w:val="none"/>
                    </w:rPr>
                    <w:t>公众教育和信息</w:t>
                  </w:r>
                  <w:bookmarkEnd w:id="94"/>
                </w:p>
              </w:tc>
              <w:tc>
                <w:tcPr>
                  <w:tcW w:w="5183" w:type="dxa"/>
                  <w:tcBorders>
                    <w:tl2br w:val="nil"/>
                    <w:tr2bl w:val="nil"/>
                  </w:tcBorders>
                  <w:noWrap/>
                  <w:vAlign w:val="center"/>
                </w:tcPr>
                <w:p w14:paraId="410231AD">
                  <w:pPr>
                    <w:adjustRightInd w:val="0"/>
                    <w:snapToGrid w:val="0"/>
                    <w:jc w:val="center"/>
                    <w:rPr>
                      <w:rFonts w:ascii="Times New Roman" w:hAnsi="Times New Roman" w:cs="Times New Roman"/>
                      <w:color w:val="auto"/>
                      <w:sz w:val="21"/>
                      <w:szCs w:val="21"/>
                      <w:highlight w:val="none"/>
                    </w:rPr>
                  </w:pPr>
                  <w:bookmarkStart w:id="95" w:name="_Toc261421841"/>
                  <w:r>
                    <w:rPr>
                      <w:rFonts w:ascii="Times New Roman" w:hAnsi="Times New Roman" w:cs="Times New Roman"/>
                      <w:color w:val="auto"/>
                      <w:sz w:val="21"/>
                      <w:szCs w:val="21"/>
                      <w:highlight w:val="none"/>
                    </w:rPr>
                    <w:t>对</w:t>
                  </w:r>
                  <w:r>
                    <w:rPr>
                      <w:rFonts w:hint="eastAsia" w:ascii="Times New Roman" w:hAnsi="Times New Roman" w:cs="Times New Roman"/>
                      <w:color w:val="auto"/>
                      <w:sz w:val="21"/>
                      <w:szCs w:val="21"/>
                      <w:highlight w:val="none"/>
                    </w:rPr>
                    <w:t>场区</w:t>
                  </w:r>
                  <w:r>
                    <w:rPr>
                      <w:rFonts w:ascii="Times New Roman" w:hAnsi="Times New Roman" w:cs="Times New Roman"/>
                      <w:color w:val="auto"/>
                      <w:sz w:val="21"/>
                      <w:szCs w:val="21"/>
                      <w:highlight w:val="none"/>
                    </w:rPr>
                    <w:t>邻近地区开展公众教育、培训和发布有关信息</w:t>
                  </w:r>
                  <w:bookmarkEnd w:id="95"/>
                </w:p>
              </w:tc>
            </w:tr>
          </w:tbl>
          <w:p w14:paraId="5BFA5E0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b/>
                <w:color w:val="auto"/>
                <w:highlight w:val="none"/>
              </w:rPr>
            </w:pPr>
            <w:r>
              <w:rPr>
                <w:rFonts w:ascii="Times New Roman" w:hAnsi="Times New Roman" w:cs="Times New Roman"/>
                <w:color w:val="auto"/>
                <w:highlight w:val="none"/>
              </w:rPr>
              <w:t>7.3</w:t>
            </w:r>
            <w:r>
              <w:rPr>
                <w:rFonts w:ascii="Times New Roman" w:hAnsi="Times New Roman" w:cs="Times New Roman"/>
                <w:b/>
                <w:color w:val="auto"/>
                <w:highlight w:val="none"/>
              </w:rPr>
              <w:t>风险评价结论</w:t>
            </w:r>
          </w:p>
          <w:p w14:paraId="4868C32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本项目潜在环境事故为</w:t>
            </w:r>
            <w:r>
              <w:rPr>
                <w:rFonts w:hint="eastAsia" w:ascii="Times New Roman" w:hAnsi="Times New Roman" w:cs="Times New Roman"/>
                <w:color w:val="auto"/>
                <w:highlight w:val="none"/>
                <w:lang w:val="en-US" w:eastAsia="zh-CN"/>
              </w:rPr>
              <w:t>废活性炭和</w:t>
            </w:r>
            <w:r>
              <w:rPr>
                <w:rFonts w:hint="eastAsia" w:ascii="Times New Roman" w:hAnsi="Times New Roman" w:cs="Times New Roman"/>
                <w:color w:val="auto"/>
                <w:highlight w:val="none"/>
              </w:rPr>
              <w:t>废矿物油</w:t>
            </w:r>
            <w:r>
              <w:rPr>
                <w:rFonts w:ascii="Times New Roman" w:hAnsi="Times New Roman" w:cs="Times New Roman"/>
                <w:color w:val="auto"/>
                <w:highlight w:val="none"/>
              </w:rPr>
              <w:t>泄漏风险事故。应加强管理，搞好劳动保护，落实设备、管件的维修管理工作，采取积极的风险防范措施，降低事故发生的概率。本评价认为，只要采取适当的防范措施，在事故发生时依照应急预案</w:t>
            </w:r>
            <w:r>
              <w:rPr>
                <w:rFonts w:hint="eastAsia" w:ascii="Times New Roman" w:hAnsi="Times New Roman" w:cs="Times New Roman"/>
                <w:color w:val="auto"/>
                <w:highlight w:val="none"/>
                <w:lang w:eastAsia="zh-CN"/>
              </w:rPr>
              <w:t>及时处理</w:t>
            </w:r>
            <w:r>
              <w:rPr>
                <w:rFonts w:ascii="Times New Roman" w:hAnsi="Times New Roman" w:cs="Times New Roman"/>
                <w:color w:val="auto"/>
                <w:highlight w:val="none"/>
              </w:rPr>
              <w:t>，本项目造成的风险是可控制的。该项目结合自身实际情况，制定切实可行的应急预案，并形成制度。</w:t>
            </w:r>
          </w:p>
          <w:p w14:paraId="3F49E29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综上所述，本项目风险处于完全可接受的水平，其风险管理措施有效、可靠，从防范风险角度分析是可行的。</w:t>
            </w:r>
          </w:p>
          <w:p w14:paraId="4EE429E4">
            <w:pPr>
              <w:pStyle w:val="21"/>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506" w:firstLineChars="200"/>
              <w:jc w:val="both"/>
              <w:textAlignment w:val="auto"/>
              <w:rPr>
                <w:rFonts w:hint="default" w:ascii="Times New Roman" w:hAnsi="Times New Roman" w:cs="Times New Roman"/>
                <w:b/>
                <w:color w:val="auto"/>
                <w:spacing w:val="6"/>
                <w:kern w:val="2"/>
                <w:highlight w:val="none"/>
              </w:rPr>
            </w:pPr>
            <w:r>
              <w:rPr>
                <w:rFonts w:ascii="Times New Roman" w:hAnsi="Times New Roman" w:cs="Times New Roman"/>
                <w:b/>
                <w:color w:val="auto"/>
                <w:spacing w:val="6"/>
                <w:kern w:val="2"/>
                <w:highlight w:val="none"/>
              </w:rPr>
              <w:t>8</w:t>
            </w:r>
            <w:r>
              <w:rPr>
                <w:rFonts w:hint="default" w:ascii="Times New Roman" w:hAnsi="Times New Roman" w:cs="Times New Roman"/>
                <w:b/>
                <w:color w:val="auto"/>
                <w:spacing w:val="6"/>
                <w:kern w:val="2"/>
                <w:highlight w:val="none"/>
              </w:rPr>
              <w:t>、</w:t>
            </w:r>
            <w:r>
              <w:rPr>
                <w:rFonts w:ascii="Times New Roman" w:hAnsi="Times New Roman" w:cs="Times New Roman"/>
                <w:b/>
                <w:color w:val="auto"/>
                <w:spacing w:val="6"/>
                <w:kern w:val="2"/>
                <w:highlight w:val="none"/>
              </w:rPr>
              <w:t>监测计划</w:t>
            </w:r>
          </w:p>
          <w:p w14:paraId="4DD5BF0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环境监测是该工程项目环保措施与管理的手段和信息基础。监测生产工艺过程中废气等污染物发生情况及污染物控制措施运行情况。监测计划可委托社会监测资质单位按计划进行监测。</w:t>
            </w:r>
          </w:p>
          <w:p w14:paraId="0CE7943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项目环境监测计划见表</w:t>
            </w:r>
            <w:r>
              <w:rPr>
                <w:rFonts w:hint="eastAsia" w:ascii="Times New Roman" w:hAnsi="Times New Roman" w:cs="Times New Roman"/>
                <w:color w:val="auto"/>
                <w:highlight w:val="none"/>
                <w:lang w:val="en-US" w:eastAsia="zh-CN"/>
              </w:rPr>
              <w:t>27</w:t>
            </w:r>
            <w:r>
              <w:rPr>
                <w:rFonts w:hint="eastAsia" w:ascii="Times New Roman" w:hAnsi="Times New Roman" w:eastAsia="宋体" w:cs="Times New Roman"/>
                <w:color w:val="auto"/>
                <w:highlight w:val="none"/>
                <w:lang w:val="en-US" w:eastAsia="zh-CN"/>
              </w:rPr>
              <w:t>所示。</w:t>
            </w:r>
          </w:p>
          <w:p w14:paraId="6A3FF5DA">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w:t>
            </w:r>
            <w:r>
              <w:rPr>
                <w:rFonts w:hint="eastAsia" w:ascii="Times New Roman" w:hAnsi="Times New Roman" w:cs="Times New Roman"/>
                <w:b/>
                <w:bCs/>
                <w:color w:val="auto"/>
                <w:sz w:val="24"/>
                <w:highlight w:val="none"/>
                <w:lang w:val="en-US" w:eastAsia="zh-CN"/>
              </w:rPr>
              <w:t>27</w:t>
            </w:r>
            <w:r>
              <w:rPr>
                <w:rFonts w:hint="eastAsia" w:ascii="Times New Roman" w:hAnsi="Times New Roman" w:eastAsia="宋体" w:cs="Times New Roman"/>
                <w:b/>
                <w:bCs/>
                <w:color w:val="auto"/>
                <w:sz w:val="24"/>
                <w:highlight w:val="none"/>
                <w:lang w:val="en-US" w:eastAsia="zh-CN"/>
              </w:rPr>
              <w:t xml:space="preserve">  项目环境监测计划表</w:t>
            </w:r>
          </w:p>
          <w:tbl>
            <w:tblPr>
              <w:tblStyle w:val="24"/>
              <w:tblW w:w="8098"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8"/>
              <w:gridCol w:w="1255"/>
              <w:gridCol w:w="2220"/>
              <w:gridCol w:w="1380"/>
              <w:gridCol w:w="2195"/>
            </w:tblGrid>
            <w:tr w14:paraId="508A76D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2303" w:type="dxa"/>
                  <w:gridSpan w:val="2"/>
                  <w:tcBorders>
                    <w:tl2br w:val="nil"/>
                    <w:tr2bl w:val="nil"/>
                  </w:tcBorders>
                  <w:noWrap w:val="0"/>
                  <w:vAlign w:val="center"/>
                </w:tcPr>
                <w:p w14:paraId="4F490114">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监测点位/断面</w:t>
                  </w:r>
                </w:p>
              </w:tc>
              <w:tc>
                <w:tcPr>
                  <w:tcW w:w="2220" w:type="dxa"/>
                  <w:tcBorders>
                    <w:tl2br w:val="nil"/>
                    <w:tr2bl w:val="nil"/>
                  </w:tcBorders>
                  <w:noWrap w:val="0"/>
                  <w:vAlign w:val="center"/>
                </w:tcPr>
                <w:p w14:paraId="37F5BA5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监测参数</w:t>
                  </w:r>
                </w:p>
              </w:tc>
              <w:tc>
                <w:tcPr>
                  <w:tcW w:w="1380" w:type="dxa"/>
                  <w:tcBorders>
                    <w:tl2br w:val="nil"/>
                    <w:tr2bl w:val="nil"/>
                  </w:tcBorders>
                  <w:noWrap w:val="0"/>
                  <w:vAlign w:val="center"/>
                </w:tcPr>
                <w:p w14:paraId="29F18720">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监测频率</w:t>
                  </w:r>
                </w:p>
              </w:tc>
              <w:tc>
                <w:tcPr>
                  <w:tcW w:w="2195" w:type="dxa"/>
                  <w:tcBorders>
                    <w:tl2br w:val="nil"/>
                    <w:tr2bl w:val="nil"/>
                  </w:tcBorders>
                  <w:noWrap w:val="0"/>
                  <w:vAlign w:val="center"/>
                </w:tcPr>
                <w:p w14:paraId="3887D80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实施单位</w:t>
                  </w:r>
                </w:p>
              </w:tc>
            </w:tr>
            <w:tr w14:paraId="3BA9176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048" w:type="dxa"/>
                  <w:tcBorders>
                    <w:tl2br w:val="nil"/>
                    <w:tr2bl w:val="nil"/>
                  </w:tcBorders>
                  <w:noWrap w:val="0"/>
                  <w:vAlign w:val="center"/>
                </w:tcPr>
                <w:p w14:paraId="2265E91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w:t>
                  </w:r>
                </w:p>
              </w:tc>
              <w:tc>
                <w:tcPr>
                  <w:tcW w:w="1255" w:type="dxa"/>
                  <w:tcBorders>
                    <w:tl2br w:val="nil"/>
                    <w:tr2bl w:val="nil"/>
                  </w:tcBorders>
                  <w:noWrap w:val="0"/>
                  <w:vAlign w:val="center"/>
                </w:tcPr>
                <w:p w14:paraId="7DAF9DD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厂界四周</w:t>
                  </w:r>
                </w:p>
              </w:tc>
              <w:tc>
                <w:tcPr>
                  <w:tcW w:w="2220" w:type="dxa"/>
                  <w:tcBorders>
                    <w:tl2br w:val="nil"/>
                    <w:tr2bl w:val="nil"/>
                  </w:tcBorders>
                  <w:noWrap w:val="0"/>
                  <w:vAlign w:val="center"/>
                </w:tcPr>
                <w:p w14:paraId="2B25D0D6">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非甲烷总烃</w:t>
                  </w:r>
                </w:p>
              </w:tc>
              <w:tc>
                <w:tcPr>
                  <w:tcW w:w="1380" w:type="dxa"/>
                  <w:tcBorders>
                    <w:tl2br w:val="nil"/>
                    <w:tr2bl w:val="nil"/>
                  </w:tcBorders>
                  <w:noWrap w:val="0"/>
                  <w:vAlign w:val="center"/>
                </w:tcPr>
                <w:p w14:paraId="0C1AC5B6">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每年一次</w:t>
                  </w:r>
                </w:p>
              </w:tc>
              <w:tc>
                <w:tcPr>
                  <w:tcW w:w="2195" w:type="dxa"/>
                  <w:tcBorders>
                    <w:tl2br w:val="nil"/>
                    <w:tr2bl w:val="nil"/>
                  </w:tcBorders>
                  <w:noWrap w:val="0"/>
                  <w:vAlign w:val="center"/>
                </w:tcPr>
                <w:p w14:paraId="3CB6958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委托有资质监测单位</w:t>
                  </w:r>
                </w:p>
              </w:tc>
            </w:tr>
          </w:tbl>
          <w:p w14:paraId="7B5D3F25">
            <w:pPr>
              <w:pStyle w:val="31"/>
              <w:snapToGrid w:val="0"/>
              <w:spacing w:line="360" w:lineRule="auto"/>
              <w:ind w:firstLine="482" w:firstLineChars="200"/>
              <w:jc w:val="both"/>
              <w:rPr>
                <w:rFonts w:ascii="Times New Roman" w:hAnsi="Times New Roman" w:eastAsia="宋体"/>
                <w:b/>
                <w:bCs/>
                <w:color w:val="auto"/>
                <w:highlight w:val="none"/>
              </w:rPr>
            </w:pPr>
            <w:r>
              <w:rPr>
                <w:rFonts w:hint="eastAsia" w:ascii="Times New Roman" w:hAnsi="Times New Roman" w:eastAsia="宋体"/>
                <w:b/>
                <w:bCs/>
                <w:color w:val="auto"/>
                <w:highlight w:val="none"/>
              </w:rPr>
              <w:t>9、环境管理</w:t>
            </w:r>
          </w:p>
          <w:p w14:paraId="34838CCA">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（1）环境信息公开</w:t>
            </w:r>
          </w:p>
          <w:p w14:paraId="3CAC7ADE">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环保机构合理设置对于有效地管理较为重要，一般分为环境管理机构和监测机构两部分。本项目建成后，建设单位应设立专门的环境管理机构，配备专职（可兼职）环保人员，负责公司日常环保监督管理工作。保证工作质量，且专职环保人员需经过专职的培训，并定期参加国家或地方环保部门的考核。</w:t>
            </w:r>
          </w:p>
          <w:p w14:paraId="06D182B2">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（2）环保机构职责</w:t>
            </w:r>
          </w:p>
          <w:p w14:paraId="7EFB7409">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本项目环境管理机构应履行以下主要职责：</w:t>
            </w:r>
          </w:p>
          <w:p w14:paraId="46CC1BD0">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①组织宣传贯彻国家和地方的环境保护方针、政策、标准，对企业员工进行环保知识教育；</w:t>
            </w:r>
          </w:p>
          <w:p w14:paraId="54659333">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②组织制定和修改项目的环境保护管理规章制度并监督执行；</w:t>
            </w:r>
          </w:p>
          <w:p w14:paraId="03E70826">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③根据国家、地方政府等规定的环境质量要求，结合本项目实际情况制定并组织实施各项环境保护规则和计划，协调经济发展和环境保护之间的关系；</w:t>
            </w:r>
          </w:p>
          <w:p w14:paraId="751A2743">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④检查环境保护设施运行状况，配合厂内日常环境监测，确保污染物控制措施可靠、有效；</w:t>
            </w:r>
          </w:p>
          <w:p w14:paraId="178CCC04">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⑤对可能造成的环境污染及时向上级汇报，并提出防治、应急措施；</w:t>
            </w:r>
          </w:p>
          <w:p w14:paraId="505A3066">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⑥组织开展项目的环境保护专业技术培训，提高员工环保素质；</w:t>
            </w:r>
          </w:p>
          <w:p w14:paraId="7F4296E2">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⑦接受地方生态环境局的业务指导和监督，按要求上报各项管理工作的执行情况及有关环境数据，为区域整体环境管理服务；</w:t>
            </w:r>
          </w:p>
          <w:p w14:paraId="10EF09A0">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⑧推广应用环境保护先进技术和经验。</w:t>
            </w:r>
          </w:p>
          <w:p w14:paraId="47D7A245">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（3）环境保护管理制度</w:t>
            </w:r>
          </w:p>
          <w:p w14:paraId="1840181E">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①对技术工人进行上岗前的环保知识法规教育及操作规范的培训，使各项环保设施的操作规范化，保证环保设施的正常运转；</w:t>
            </w:r>
          </w:p>
          <w:p w14:paraId="222C281A">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②定期向环保主管部门汇报环保工作情况，污染治理设施运行情况，监视性监测结果；</w:t>
            </w:r>
          </w:p>
          <w:p w14:paraId="45AE612B">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③加强环境监测工作，重点是各污染源的监测，并注意做好记录，监测中如发现异常情况应及时向有关部门通报，及时采取应急措施，防止事故排放；</w:t>
            </w:r>
          </w:p>
          <w:p w14:paraId="21D1D442">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④建立本企业的环境保护工作档案，包括污染物排放情况；污染治理设施的运行、操作和管理情况；监测记录；污染事故情况及有关记录；其他与污染防治有关的情况和资料等；</w:t>
            </w:r>
          </w:p>
          <w:p w14:paraId="5609F0D4">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⑤贯彻落实建设项目环境影响评价和“三同时”制度。</w:t>
            </w:r>
          </w:p>
          <w:p w14:paraId="30E5F8E8">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（4）环保设施运行维护制度</w:t>
            </w:r>
          </w:p>
          <w:p w14:paraId="607CEA20">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①制定各项环保设施操作规程，定期维修制度，使各项环保设施在生产过程中处于良好的运行状态；</w:t>
            </w:r>
          </w:p>
          <w:p w14:paraId="129FC495">
            <w:pPr>
              <w:pStyle w:val="31"/>
              <w:snapToGrid w:val="0"/>
              <w:spacing w:line="360" w:lineRule="auto"/>
              <w:ind w:firstLine="480" w:firstLineChars="200"/>
              <w:jc w:val="both"/>
              <w:rPr>
                <w:rFonts w:hint="eastAsia" w:ascii="Times New Roman" w:hAnsi="Times New Roman" w:eastAsia="宋体"/>
                <w:color w:val="auto"/>
                <w:kern w:val="2"/>
                <w:highlight w:val="none"/>
                <w:lang w:val="en-US" w:eastAsia="zh-CN"/>
              </w:rPr>
            </w:pPr>
            <w:r>
              <w:rPr>
                <w:rFonts w:hint="eastAsia" w:ascii="Times New Roman" w:hAnsi="Times New Roman" w:eastAsia="宋体"/>
                <w:color w:val="auto"/>
                <w:kern w:val="2"/>
                <w:highlight w:val="none"/>
                <w:lang w:val="en-US" w:eastAsia="zh-CN"/>
              </w:rPr>
              <w:t>②加强对环保设施的运行管理，制定定期维修制度，如环保设施出现故障，应立即停产检修，严禁事故排放；</w:t>
            </w:r>
          </w:p>
          <w:p w14:paraId="482ABE28">
            <w:pPr>
              <w:pStyle w:val="31"/>
              <w:snapToGrid w:val="0"/>
              <w:spacing w:line="360" w:lineRule="auto"/>
              <w:ind w:firstLine="480" w:firstLineChars="200"/>
              <w:jc w:val="both"/>
              <w:rPr>
                <w:rFonts w:ascii="Times New Roman" w:hAnsi="Times New Roman"/>
                <w:color w:val="auto"/>
                <w:highlight w:val="none"/>
              </w:rPr>
            </w:pPr>
            <w:r>
              <w:rPr>
                <w:rFonts w:hint="eastAsia" w:ascii="Times New Roman" w:hAnsi="Times New Roman" w:eastAsia="宋体"/>
                <w:color w:val="auto"/>
                <w:kern w:val="2"/>
                <w:highlight w:val="none"/>
                <w:lang w:val="en-US" w:eastAsia="zh-CN"/>
              </w:rPr>
              <w:t>③保持环保设施与主体生产设备同步保养、同步检修、同步运行，有效发挥环保设施减排能力。对不能达到设计要求的环保设施，逐个排查，制订并落实整改方案，提升处理能力。产生水、气（汽）、声、渣等污染的项目，必须遵守国家和地方的污染物排放标准，并符合污染物排放总量控制的要求。</w:t>
            </w:r>
          </w:p>
        </w:tc>
      </w:tr>
    </w:tbl>
    <w:p w14:paraId="47F2CB12">
      <w:pPr>
        <w:rPr>
          <w:rFonts w:ascii="Times New Roman" w:hAnsi="Times New Roman" w:eastAsia="黑体" w:cs="Times New Roman"/>
          <w:snapToGrid w:val="0"/>
          <w:sz w:val="30"/>
          <w:highlight w:val="yellow"/>
        </w:rPr>
      </w:pPr>
      <w:r>
        <w:rPr>
          <w:rFonts w:ascii="Times New Roman" w:hAnsi="Times New Roman" w:eastAsia="黑体" w:cs="Times New Roman"/>
          <w:snapToGrid w:val="0"/>
          <w:sz w:val="30"/>
          <w:highlight w:val="yellow"/>
        </w:rPr>
        <w:br w:type="page"/>
      </w:r>
    </w:p>
    <w:p w14:paraId="451632EB">
      <w:pPr>
        <w:pStyle w:val="21"/>
        <w:snapToGrid w:val="0"/>
        <w:spacing w:beforeAutospacing="0" w:afterAutospacing="0" w:line="360" w:lineRule="auto"/>
        <w:jc w:val="center"/>
        <w:outlineLvl w:val="0"/>
        <w:rPr>
          <w:rFonts w:hint="default" w:ascii="Times New Roman" w:hAnsi="Times New Roman" w:eastAsia="黑体" w:cs="Times New Roman"/>
          <w:snapToGrid w:val="0"/>
          <w:sz w:val="30"/>
        </w:rPr>
      </w:pPr>
      <w:r>
        <w:rPr>
          <w:rFonts w:hint="default" w:ascii="Times New Roman" w:hAnsi="Times New Roman" w:eastAsia="黑体" w:cs="Times New Roman"/>
          <w:snapToGrid w:val="0"/>
          <w:sz w:val="30"/>
        </w:rPr>
        <w:t>五、</w:t>
      </w:r>
      <w:bookmarkStart w:id="96" w:name="_Hlk54167917"/>
      <w:r>
        <w:rPr>
          <w:rFonts w:hint="default" w:ascii="Times New Roman" w:hAnsi="Times New Roman" w:eastAsia="黑体" w:cs="Times New Roman"/>
          <w:snapToGrid w:val="0"/>
          <w:sz w:val="30"/>
        </w:rPr>
        <w:t>环境保护措施监督检查清单</w:t>
      </w:r>
      <w:bookmarkEnd w:id="96"/>
    </w:p>
    <w:tbl>
      <w:tblPr>
        <w:tblStyle w:val="24"/>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9"/>
        <w:gridCol w:w="1605"/>
        <w:gridCol w:w="1334"/>
        <w:gridCol w:w="1732"/>
        <w:gridCol w:w="2759"/>
        <w:gridCol w:w="21"/>
      </w:tblGrid>
      <w:tr w14:paraId="3D52BE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349" w:type="dxa"/>
            <w:tcBorders>
              <w:top w:val="single" w:color="auto" w:sz="8" w:space="0"/>
              <w:left w:val="single" w:color="auto" w:sz="8" w:space="0"/>
              <w:bottom w:val="single" w:color="auto" w:sz="4" w:space="0"/>
              <w:right w:val="single" w:color="auto" w:sz="4" w:space="0"/>
              <w:tl2br w:val="nil"/>
              <w:tr2bl w:val="nil"/>
            </w:tcBorders>
            <w:vAlign w:val="center"/>
          </w:tcPr>
          <w:p w14:paraId="57BBF46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内容要素</w:t>
            </w:r>
          </w:p>
        </w:tc>
        <w:tc>
          <w:tcPr>
            <w:tcW w:w="1605" w:type="dxa"/>
            <w:tcBorders>
              <w:top w:val="single" w:color="auto" w:sz="8" w:space="0"/>
              <w:left w:val="single" w:color="auto" w:sz="4" w:space="0"/>
              <w:bottom w:val="single" w:color="auto" w:sz="4" w:space="0"/>
              <w:right w:val="single" w:color="auto" w:sz="4" w:space="0"/>
              <w:tl2br w:val="nil"/>
              <w:tr2bl w:val="nil"/>
            </w:tcBorders>
            <w:vAlign w:val="center"/>
          </w:tcPr>
          <w:p w14:paraId="5E2E599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排放口（编号、名称）/污染源</w:t>
            </w:r>
          </w:p>
        </w:tc>
        <w:tc>
          <w:tcPr>
            <w:tcW w:w="1334" w:type="dxa"/>
            <w:tcBorders>
              <w:top w:val="single" w:color="auto" w:sz="8" w:space="0"/>
              <w:left w:val="single" w:color="auto" w:sz="4" w:space="0"/>
              <w:bottom w:val="single" w:color="auto" w:sz="4" w:space="0"/>
              <w:right w:val="single" w:color="auto" w:sz="4" w:space="0"/>
              <w:tl2br w:val="nil"/>
              <w:tr2bl w:val="nil"/>
            </w:tcBorders>
            <w:vAlign w:val="center"/>
          </w:tcPr>
          <w:p w14:paraId="29C806C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污染物项目</w:t>
            </w:r>
          </w:p>
        </w:tc>
        <w:tc>
          <w:tcPr>
            <w:tcW w:w="1732" w:type="dxa"/>
            <w:tcBorders>
              <w:top w:val="single" w:color="auto" w:sz="8" w:space="0"/>
              <w:left w:val="single" w:color="auto" w:sz="4" w:space="0"/>
              <w:bottom w:val="single" w:color="auto" w:sz="4" w:space="0"/>
              <w:right w:val="single" w:color="auto" w:sz="4" w:space="0"/>
              <w:tl2br w:val="nil"/>
              <w:tr2bl w:val="nil"/>
            </w:tcBorders>
            <w:vAlign w:val="center"/>
          </w:tcPr>
          <w:p w14:paraId="438E1BE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环境保护措施</w:t>
            </w:r>
          </w:p>
        </w:tc>
        <w:tc>
          <w:tcPr>
            <w:tcW w:w="2780" w:type="dxa"/>
            <w:gridSpan w:val="2"/>
            <w:tcBorders>
              <w:top w:val="single" w:color="auto" w:sz="8" w:space="0"/>
              <w:left w:val="single" w:color="auto" w:sz="4" w:space="0"/>
              <w:bottom w:val="single" w:color="auto" w:sz="4" w:space="0"/>
              <w:right w:val="single" w:color="auto" w:sz="8" w:space="0"/>
              <w:tl2br w:val="nil"/>
              <w:tr2bl w:val="nil"/>
            </w:tcBorders>
            <w:vAlign w:val="center"/>
          </w:tcPr>
          <w:p w14:paraId="0D23D70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执行标准</w:t>
            </w:r>
          </w:p>
        </w:tc>
      </w:tr>
      <w:tr w14:paraId="054198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2767" w:hRule="atLeast"/>
          <w:jc w:val="center"/>
        </w:trPr>
        <w:tc>
          <w:tcPr>
            <w:tcW w:w="1349" w:type="dxa"/>
            <w:tcBorders>
              <w:top w:val="single" w:color="auto" w:sz="4" w:space="0"/>
              <w:left w:val="single" w:color="auto" w:sz="8" w:space="0"/>
              <w:bottom w:val="single" w:color="auto" w:sz="4" w:space="0"/>
              <w:right w:val="single" w:color="auto" w:sz="4" w:space="0"/>
              <w:tl2br w:val="nil"/>
              <w:tr2bl w:val="nil"/>
            </w:tcBorders>
            <w:vAlign w:val="center"/>
          </w:tcPr>
          <w:p w14:paraId="63AAA60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605" w:type="dxa"/>
            <w:tcBorders>
              <w:top w:val="single" w:color="auto" w:sz="4" w:space="0"/>
              <w:left w:val="single" w:color="auto" w:sz="4" w:space="0"/>
              <w:bottom w:val="single" w:color="auto" w:sz="4" w:space="0"/>
              <w:right w:val="single" w:color="auto" w:sz="4" w:space="0"/>
              <w:tl2br w:val="nil"/>
              <w:tr2bl w:val="nil"/>
            </w:tcBorders>
            <w:vAlign w:val="center"/>
          </w:tcPr>
          <w:p w14:paraId="6DAB21D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危废暂存间</w:t>
            </w:r>
          </w:p>
        </w:tc>
        <w:tc>
          <w:tcPr>
            <w:tcW w:w="1334" w:type="dxa"/>
            <w:tcBorders>
              <w:top w:val="single" w:color="auto" w:sz="4" w:space="0"/>
              <w:left w:val="single" w:color="auto" w:sz="4" w:space="0"/>
              <w:bottom w:val="single" w:color="auto" w:sz="4" w:space="0"/>
              <w:right w:val="single" w:color="auto" w:sz="4" w:space="0"/>
              <w:tl2br w:val="nil"/>
              <w:tr2bl w:val="nil"/>
            </w:tcBorders>
            <w:vAlign w:val="center"/>
          </w:tcPr>
          <w:p w14:paraId="7D7B8A8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1732" w:type="dxa"/>
            <w:tcBorders>
              <w:top w:val="single" w:color="auto" w:sz="4" w:space="0"/>
              <w:left w:val="single" w:color="auto" w:sz="4" w:space="0"/>
              <w:bottom w:val="single" w:color="auto" w:sz="4" w:space="0"/>
              <w:right w:val="single" w:color="auto" w:sz="4" w:space="0"/>
              <w:tl2br w:val="nil"/>
              <w:tr2bl w:val="nil"/>
            </w:tcBorders>
            <w:vAlign w:val="center"/>
          </w:tcPr>
          <w:p w14:paraId="22F6ADE1">
            <w:pPr>
              <w:adjustRightInd w:val="0"/>
              <w:snapToGrid w:val="0"/>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废矿物油存放于废铁油桶内，加盖密封；废油桶加盖密封，均放置防渗漏的托盘上，</w:t>
            </w:r>
            <w:r>
              <w:rPr>
                <w:rFonts w:hint="default" w:ascii="Times New Roman" w:hAnsi="Times New Roman" w:eastAsia="宋体" w:cs="Times New Roman"/>
                <w:color w:val="auto"/>
                <w:sz w:val="21"/>
                <w:szCs w:val="21"/>
                <w:highlight w:val="none"/>
                <w:lang w:val="en-US" w:eastAsia="zh-CN"/>
              </w:rPr>
              <w:t>加强管理，避免无组织逸散，加强通风</w:t>
            </w:r>
            <w:r>
              <w:rPr>
                <w:rFonts w:hint="eastAsia" w:ascii="Times New Roman" w:hAnsi="Times New Roman" w:cs="Times New Roman"/>
                <w:color w:val="auto"/>
                <w:sz w:val="21"/>
                <w:szCs w:val="21"/>
                <w:highlight w:val="none"/>
                <w:lang w:val="en-US" w:eastAsia="zh-CN"/>
              </w:rPr>
              <w:t>；封闭式库房，通风口安装活性炭吸附装置</w:t>
            </w:r>
          </w:p>
        </w:tc>
        <w:tc>
          <w:tcPr>
            <w:tcW w:w="2759" w:type="dxa"/>
            <w:tcBorders>
              <w:top w:val="single" w:color="auto" w:sz="4" w:space="0"/>
              <w:left w:val="single" w:color="auto" w:sz="4" w:space="0"/>
              <w:bottom w:val="single" w:color="auto" w:sz="4" w:space="0"/>
              <w:right w:val="single" w:color="auto" w:sz="8" w:space="0"/>
              <w:tl2br w:val="nil"/>
              <w:tr2bl w:val="nil"/>
            </w:tcBorders>
            <w:vAlign w:val="center"/>
          </w:tcPr>
          <w:p w14:paraId="29C8853B">
            <w:pPr>
              <w:adjustRightInd w:val="0"/>
              <w:snapToGrid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车间无组织非甲烷总烃排放浓度满足《挥发性有机物无组织排放控制标准》（GB37822-2019）附录A中表A.1的限值要求；</w:t>
            </w:r>
            <w:r>
              <w:rPr>
                <w:rFonts w:hint="eastAsia" w:ascii="Times New Roman" w:hAnsi="Times New Roman" w:cs="Times New Roman"/>
                <w:color w:val="auto"/>
                <w:sz w:val="21"/>
                <w:szCs w:val="21"/>
                <w:highlight w:val="none"/>
                <w:lang w:val="en-US" w:eastAsia="zh-CN"/>
              </w:rPr>
              <w:t>厂</w:t>
            </w:r>
            <w:r>
              <w:rPr>
                <w:rFonts w:hint="default" w:ascii="Times New Roman" w:hAnsi="Times New Roman" w:eastAsia="宋体" w:cs="Times New Roman"/>
                <w:color w:val="auto"/>
                <w:sz w:val="21"/>
                <w:szCs w:val="21"/>
                <w:highlight w:val="none"/>
              </w:rPr>
              <w:t>界无组织非甲烷总烃排放浓度满足《大气污染物综合排放标准》（GB16297-1996）表2中限值要求</w:t>
            </w:r>
          </w:p>
        </w:tc>
      </w:tr>
      <w:tr w14:paraId="10A4DF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1077" w:hRule="atLeast"/>
          <w:jc w:val="center"/>
        </w:trPr>
        <w:tc>
          <w:tcPr>
            <w:tcW w:w="1349" w:type="dxa"/>
            <w:tcBorders>
              <w:top w:val="single" w:color="auto" w:sz="4" w:space="0"/>
              <w:left w:val="single" w:color="auto" w:sz="8" w:space="0"/>
              <w:bottom w:val="single" w:color="auto" w:sz="4" w:space="0"/>
              <w:right w:val="single" w:color="auto" w:sz="4" w:space="0"/>
              <w:tl2br w:val="nil"/>
              <w:tr2bl w:val="nil"/>
            </w:tcBorders>
            <w:vAlign w:val="center"/>
          </w:tcPr>
          <w:p w14:paraId="5498D326">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605" w:type="dxa"/>
            <w:tcBorders>
              <w:top w:val="single" w:color="auto" w:sz="4" w:space="0"/>
              <w:left w:val="single" w:color="auto" w:sz="4" w:space="0"/>
              <w:bottom w:val="single" w:color="auto" w:sz="4" w:space="0"/>
              <w:right w:val="single" w:color="auto" w:sz="4" w:space="0"/>
              <w:tl2br w:val="nil"/>
              <w:tr2bl w:val="nil"/>
            </w:tcBorders>
            <w:vAlign w:val="center"/>
          </w:tcPr>
          <w:p w14:paraId="2B86B7A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运输车辆</w:t>
            </w:r>
          </w:p>
        </w:tc>
        <w:tc>
          <w:tcPr>
            <w:tcW w:w="1334" w:type="dxa"/>
            <w:tcBorders>
              <w:top w:val="single" w:color="auto" w:sz="4" w:space="0"/>
              <w:left w:val="single" w:color="auto" w:sz="4" w:space="0"/>
              <w:bottom w:val="single" w:color="auto" w:sz="4" w:space="0"/>
              <w:right w:val="single" w:color="auto" w:sz="4" w:space="0"/>
              <w:tl2br w:val="nil"/>
              <w:tr2bl w:val="nil"/>
            </w:tcBorders>
            <w:vAlign w:val="center"/>
          </w:tcPr>
          <w:p w14:paraId="5FF0E50B">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732" w:type="dxa"/>
            <w:tcBorders>
              <w:top w:val="single" w:color="auto" w:sz="4" w:space="0"/>
              <w:left w:val="single" w:color="auto" w:sz="4" w:space="0"/>
              <w:bottom w:val="single" w:color="auto" w:sz="4" w:space="0"/>
              <w:right w:val="single" w:color="auto" w:sz="4" w:space="0"/>
              <w:tl2br w:val="nil"/>
              <w:tr2bl w:val="nil"/>
            </w:tcBorders>
            <w:vAlign w:val="center"/>
          </w:tcPr>
          <w:p w14:paraId="02D29C6E">
            <w:pPr>
              <w:adjustRightInd w:val="0"/>
              <w:snapToGrid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对运输车辆采取限制车速、禁止鸣笛等措施，通过</w:t>
            </w:r>
            <w:r>
              <w:rPr>
                <w:rFonts w:hint="default" w:ascii="Times New Roman" w:hAnsi="Times New Roman" w:eastAsia="宋体" w:cs="Times New Roman"/>
                <w:color w:val="auto"/>
                <w:sz w:val="21"/>
                <w:szCs w:val="21"/>
                <w:highlight w:val="none"/>
                <w:lang w:val="en-US" w:eastAsia="zh-CN"/>
              </w:rPr>
              <w:t>选用低噪声设备、隔声、减振</w:t>
            </w:r>
            <w:r>
              <w:rPr>
                <w:rFonts w:hint="default" w:ascii="Times New Roman" w:hAnsi="Times New Roman" w:eastAsia="宋体" w:cs="Times New Roman"/>
                <w:color w:val="auto"/>
                <w:sz w:val="21"/>
                <w:szCs w:val="21"/>
                <w:highlight w:val="none"/>
              </w:rPr>
              <w:t>这一系列措施后，可有效降低噪声源强</w:t>
            </w:r>
          </w:p>
        </w:tc>
        <w:tc>
          <w:tcPr>
            <w:tcW w:w="2759" w:type="dxa"/>
            <w:tcBorders>
              <w:top w:val="single" w:color="auto" w:sz="4" w:space="0"/>
              <w:left w:val="single" w:color="auto" w:sz="4" w:space="0"/>
              <w:bottom w:val="single" w:color="auto" w:sz="4" w:space="0"/>
              <w:right w:val="single" w:color="auto" w:sz="8" w:space="0"/>
              <w:tl2br w:val="nil"/>
              <w:tr2bl w:val="nil"/>
            </w:tcBorders>
            <w:vAlign w:val="center"/>
          </w:tcPr>
          <w:p w14:paraId="2E8D1D31">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《工业企业厂界环境噪声排放标准》（GB12348-2008）3类标准</w:t>
            </w:r>
          </w:p>
        </w:tc>
      </w:tr>
      <w:tr w14:paraId="7AC1CF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572" w:hRule="atLeast"/>
          <w:jc w:val="center"/>
        </w:trPr>
        <w:tc>
          <w:tcPr>
            <w:tcW w:w="1349" w:type="dxa"/>
            <w:tcBorders>
              <w:top w:val="single" w:color="auto" w:sz="4" w:space="0"/>
              <w:left w:val="single" w:color="auto" w:sz="8" w:space="0"/>
              <w:bottom w:val="single" w:color="auto" w:sz="4" w:space="0"/>
              <w:right w:val="single" w:color="auto" w:sz="4" w:space="0"/>
              <w:tl2br w:val="nil"/>
              <w:tr2bl w:val="nil"/>
            </w:tcBorders>
            <w:vAlign w:val="center"/>
          </w:tcPr>
          <w:p w14:paraId="1D98AA2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电磁辐射</w:t>
            </w:r>
          </w:p>
        </w:tc>
        <w:tc>
          <w:tcPr>
            <w:tcW w:w="1605" w:type="dxa"/>
            <w:tcBorders>
              <w:top w:val="single" w:color="auto" w:sz="4" w:space="0"/>
              <w:left w:val="single" w:color="auto" w:sz="4" w:space="0"/>
              <w:bottom w:val="single" w:color="auto" w:sz="4" w:space="0"/>
              <w:right w:val="single" w:color="auto" w:sz="4" w:space="0"/>
              <w:tl2br w:val="nil"/>
              <w:tr2bl w:val="nil"/>
            </w:tcBorders>
            <w:vAlign w:val="center"/>
          </w:tcPr>
          <w:p w14:paraId="08BEE78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34" w:type="dxa"/>
            <w:tcBorders>
              <w:top w:val="single" w:color="auto" w:sz="4" w:space="0"/>
              <w:left w:val="single" w:color="auto" w:sz="4" w:space="0"/>
              <w:bottom w:val="single" w:color="auto" w:sz="4" w:space="0"/>
              <w:right w:val="single" w:color="auto" w:sz="4" w:space="0"/>
              <w:tl2br w:val="nil"/>
              <w:tr2bl w:val="nil"/>
            </w:tcBorders>
            <w:vAlign w:val="center"/>
          </w:tcPr>
          <w:p w14:paraId="5CD4CAE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732" w:type="dxa"/>
            <w:tcBorders>
              <w:top w:val="single" w:color="auto" w:sz="4" w:space="0"/>
              <w:left w:val="single" w:color="auto" w:sz="4" w:space="0"/>
              <w:bottom w:val="single" w:color="auto" w:sz="4" w:space="0"/>
              <w:right w:val="single" w:color="auto" w:sz="4" w:space="0"/>
              <w:tl2br w:val="nil"/>
              <w:tr2bl w:val="nil"/>
            </w:tcBorders>
            <w:vAlign w:val="center"/>
          </w:tcPr>
          <w:p w14:paraId="6E565AA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59" w:type="dxa"/>
            <w:tcBorders>
              <w:top w:val="single" w:color="auto" w:sz="4" w:space="0"/>
              <w:left w:val="single" w:color="auto" w:sz="4" w:space="0"/>
              <w:bottom w:val="single" w:color="auto" w:sz="4" w:space="0"/>
              <w:right w:val="single" w:color="auto" w:sz="8" w:space="0"/>
              <w:tl2br w:val="nil"/>
              <w:tr2bl w:val="nil"/>
            </w:tcBorders>
            <w:vAlign w:val="center"/>
          </w:tcPr>
          <w:p w14:paraId="0A73AC4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66C9E8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572" w:hRule="atLeast"/>
          <w:jc w:val="center"/>
        </w:trPr>
        <w:tc>
          <w:tcPr>
            <w:tcW w:w="1349" w:type="dxa"/>
            <w:vMerge w:val="restart"/>
            <w:tcBorders>
              <w:top w:val="single" w:color="auto" w:sz="4" w:space="0"/>
              <w:left w:val="single" w:color="auto" w:sz="8" w:space="0"/>
              <w:right w:val="single" w:color="auto" w:sz="4" w:space="0"/>
              <w:tl2br w:val="nil"/>
              <w:tr2bl w:val="nil"/>
            </w:tcBorders>
            <w:vAlign w:val="center"/>
          </w:tcPr>
          <w:p w14:paraId="7B76FD74">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605" w:type="dxa"/>
            <w:vMerge w:val="restart"/>
            <w:tcBorders>
              <w:top w:val="single" w:color="auto" w:sz="4" w:space="0"/>
              <w:left w:val="single" w:color="auto" w:sz="4" w:space="0"/>
              <w:right w:val="single" w:color="auto" w:sz="4" w:space="0"/>
              <w:tl2br w:val="nil"/>
              <w:tr2bl w:val="nil"/>
            </w:tcBorders>
            <w:vAlign w:val="center"/>
          </w:tcPr>
          <w:p w14:paraId="4CCCC01C">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危废暂存间</w:t>
            </w:r>
          </w:p>
        </w:tc>
        <w:tc>
          <w:tcPr>
            <w:tcW w:w="1334" w:type="dxa"/>
            <w:tcBorders>
              <w:top w:val="single" w:color="auto" w:sz="4" w:space="0"/>
              <w:left w:val="single" w:color="auto" w:sz="4" w:space="0"/>
              <w:bottom w:val="single" w:color="auto" w:sz="4" w:space="0"/>
              <w:right w:val="single" w:color="auto" w:sz="4" w:space="0"/>
              <w:tl2br w:val="nil"/>
              <w:tr2bl w:val="nil"/>
            </w:tcBorders>
            <w:vAlign w:val="center"/>
          </w:tcPr>
          <w:p w14:paraId="0704F0BD">
            <w:pPr>
              <w:adjustRightInd w:val="0"/>
              <w:snapToGrid w:val="0"/>
              <w:spacing w:beforeLines="0" w:afterLine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eastAsia="zh-CN"/>
              </w:rPr>
              <w:t>废矿物油</w:t>
            </w:r>
            <w:r>
              <w:rPr>
                <w:rFonts w:hint="eastAsia" w:ascii="Times New Roman" w:hAnsi="Times New Roman" w:cs="Times New Roman"/>
                <w:color w:val="auto"/>
                <w:sz w:val="21"/>
                <w:szCs w:val="21"/>
                <w:highlight w:val="none"/>
                <w:lang w:val="en-US" w:eastAsia="zh-CN"/>
              </w:rPr>
              <w:t>和废油桶</w:t>
            </w:r>
          </w:p>
        </w:tc>
        <w:tc>
          <w:tcPr>
            <w:tcW w:w="1732" w:type="dxa"/>
            <w:tcBorders>
              <w:top w:val="single" w:color="auto" w:sz="4" w:space="0"/>
              <w:left w:val="single" w:color="auto" w:sz="4" w:space="0"/>
              <w:bottom w:val="single" w:color="auto" w:sz="4" w:space="0"/>
              <w:right w:val="single" w:color="auto" w:sz="4" w:space="0"/>
              <w:tl2br w:val="nil"/>
              <w:tr2bl w:val="nil"/>
            </w:tcBorders>
            <w:vAlign w:val="center"/>
          </w:tcPr>
          <w:p w14:paraId="54A3822C">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暂存于危废暂存库，委托有资质单位处理</w:t>
            </w:r>
          </w:p>
        </w:tc>
        <w:tc>
          <w:tcPr>
            <w:tcW w:w="2759" w:type="dxa"/>
            <w:vMerge w:val="restart"/>
            <w:tcBorders>
              <w:top w:val="single" w:color="auto" w:sz="4" w:space="0"/>
              <w:left w:val="single" w:color="auto" w:sz="4" w:space="0"/>
              <w:right w:val="single" w:color="auto" w:sz="8" w:space="0"/>
              <w:tl2br w:val="nil"/>
              <w:tr2bl w:val="nil"/>
            </w:tcBorders>
            <w:vAlign w:val="center"/>
          </w:tcPr>
          <w:p w14:paraId="072908FC">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《危险废物贮存污染控制标准》（GB18597-2023）</w:t>
            </w:r>
          </w:p>
        </w:tc>
      </w:tr>
      <w:tr w14:paraId="3BBB4F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572" w:hRule="atLeast"/>
          <w:jc w:val="center"/>
        </w:trPr>
        <w:tc>
          <w:tcPr>
            <w:tcW w:w="1349" w:type="dxa"/>
            <w:vMerge w:val="continue"/>
            <w:tcBorders>
              <w:left w:val="single" w:color="auto" w:sz="8" w:space="0"/>
              <w:bottom w:val="single" w:color="auto" w:sz="4" w:space="0"/>
              <w:right w:val="single" w:color="auto" w:sz="4" w:space="0"/>
              <w:tl2br w:val="nil"/>
              <w:tr2bl w:val="nil"/>
            </w:tcBorders>
            <w:vAlign w:val="center"/>
          </w:tcPr>
          <w:p w14:paraId="165E0405">
            <w:pPr>
              <w:adjustRightInd w:val="0"/>
              <w:snapToGrid w:val="0"/>
              <w:spacing w:beforeLines="0" w:afterLines="0"/>
              <w:jc w:val="center"/>
              <w:rPr>
                <w:rFonts w:hint="default" w:ascii="Times New Roman" w:hAnsi="Times New Roman" w:eastAsia="宋体" w:cs="Times New Roman"/>
                <w:color w:val="auto"/>
                <w:sz w:val="21"/>
                <w:szCs w:val="21"/>
                <w:highlight w:val="none"/>
              </w:rPr>
            </w:pPr>
          </w:p>
        </w:tc>
        <w:tc>
          <w:tcPr>
            <w:tcW w:w="1605" w:type="dxa"/>
            <w:vMerge w:val="continue"/>
            <w:tcBorders>
              <w:left w:val="single" w:color="auto" w:sz="4" w:space="0"/>
              <w:bottom w:val="single" w:color="auto" w:sz="4" w:space="0"/>
              <w:right w:val="single" w:color="auto" w:sz="4" w:space="0"/>
              <w:tl2br w:val="nil"/>
              <w:tr2bl w:val="nil"/>
            </w:tcBorders>
            <w:vAlign w:val="center"/>
          </w:tcPr>
          <w:p w14:paraId="2588EFD6">
            <w:pPr>
              <w:adjustRightInd w:val="0"/>
              <w:snapToGrid w:val="0"/>
              <w:spacing w:beforeLines="0" w:afterLines="0"/>
              <w:jc w:val="center"/>
              <w:rPr>
                <w:rFonts w:hint="eastAsia" w:ascii="Times New Roman" w:hAnsi="Times New Roman" w:cs="Times New Roman"/>
                <w:color w:val="auto"/>
                <w:sz w:val="21"/>
                <w:szCs w:val="21"/>
                <w:highlight w:val="none"/>
                <w:lang w:val="en-US" w:eastAsia="zh-CN"/>
              </w:rPr>
            </w:pPr>
          </w:p>
        </w:tc>
        <w:tc>
          <w:tcPr>
            <w:tcW w:w="1334" w:type="dxa"/>
            <w:tcBorders>
              <w:top w:val="single" w:color="auto" w:sz="4" w:space="0"/>
              <w:left w:val="single" w:color="auto" w:sz="4" w:space="0"/>
              <w:bottom w:val="single" w:color="auto" w:sz="4" w:space="0"/>
              <w:right w:val="single" w:color="auto" w:sz="4" w:space="0"/>
              <w:tl2br w:val="nil"/>
              <w:tr2bl w:val="nil"/>
            </w:tcBorders>
            <w:vAlign w:val="center"/>
          </w:tcPr>
          <w:p w14:paraId="7BA02F53">
            <w:pPr>
              <w:adjustRightInd w:val="0"/>
              <w:snapToGrid w:val="0"/>
              <w:spacing w:beforeLines="0" w:afterLine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废活性炭</w:t>
            </w:r>
          </w:p>
        </w:tc>
        <w:tc>
          <w:tcPr>
            <w:tcW w:w="1732" w:type="dxa"/>
            <w:tcBorders>
              <w:top w:val="single" w:color="auto" w:sz="4" w:space="0"/>
              <w:left w:val="single" w:color="auto" w:sz="4" w:space="0"/>
              <w:bottom w:val="single" w:color="auto" w:sz="4" w:space="0"/>
              <w:right w:val="single" w:color="auto" w:sz="4" w:space="0"/>
              <w:tl2br w:val="nil"/>
              <w:tr2bl w:val="nil"/>
            </w:tcBorders>
            <w:vAlign w:val="center"/>
          </w:tcPr>
          <w:p w14:paraId="431E25FA">
            <w:pPr>
              <w:adjustRightInd w:val="0"/>
              <w:snapToGrid w:val="0"/>
              <w:spacing w:beforeLines="0" w:afterLine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每年更换一次，更换后直接交由有资质单位进行处置，不在厂区内贮存</w:t>
            </w:r>
          </w:p>
        </w:tc>
        <w:tc>
          <w:tcPr>
            <w:tcW w:w="2759" w:type="dxa"/>
            <w:vMerge w:val="continue"/>
            <w:tcBorders>
              <w:left w:val="single" w:color="auto" w:sz="4" w:space="0"/>
              <w:bottom w:val="single" w:color="auto" w:sz="4" w:space="0"/>
              <w:right w:val="single" w:color="auto" w:sz="8" w:space="0"/>
              <w:tl2br w:val="nil"/>
              <w:tr2bl w:val="nil"/>
            </w:tcBorders>
            <w:vAlign w:val="center"/>
          </w:tcPr>
          <w:p w14:paraId="73A3F6ED">
            <w:pPr>
              <w:adjustRightInd w:val="0"/>
              <w:snapToGrid w:val="0"/>
              <w:spacing w:beforeLines="0" w:afterLines="0"/>
              <w:jc w:val="center"/>
              <w:rPr>
                <w:rFonts w:hint="default" w:ascii="Times New Roman" w:hAnsi="Times New Roman" w:cs="Times New Roman"/>
                <w:color w:val="auto"/>
                <w:sz w:val="21"/>
                <w:szCs w:val="21"/>
                <w:highlight w:val="none"/>
                <w:lang w:val="en-US" w:eastAsia="zh-CN"/>
              </w:rPr>
            </w:pPr>
          </w:p>
        </w:tc>
      </w:tr>
      <w:tr w14:paraId="721DF6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1341" w:hRule="atLeast"/>
          <w:jc w:val="center"/>
        </w:trPr>
        <w:tc>
          <w:tcPr>
            <w:tcW w:w="1349" w:type="dxa"/>
            <w:tcBorders>
              <w:top w:val="single" w:color="auto" w:sz="4" w:space="0"/>
              <w:left w:val="single" w:color="auto" w:sz="8" w:space="0"/>
              <w:bottom w:val="single" w:color="auto" w:sz="4" w:space="0"/>
              <w:right w:val="single" w:color="auto" w:sz="4" w:space="0"/>
              <w:tl2br w:val="nil"/>
              <w:tr2bl w:val="nil"/>
            </w:tcBorders>
            <w:vAlign w:val="center"/>
          </w:tcPr>
          <w:p w14:paraId="1273BF0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土壤及地下水污染防治措施</w:t>
            </w:r>
          </w:p>
        </w:tc>
        <w:tc>
          <w:tcPr>
            <w:tcW w:w="7430" w:type="dxa"/>
            <w:gridSpan w:val="4"/>
            <w:tcBorders>
              <w:top w:val="single" w:color="auto" w:sz="4" w:space="0"/>
              <w:left w:val="single" w:color="auto" w:sz="4" w:space="0"/>
              <w:bottom w:val="single" w:color="auto" w:sz="4" w:space="0"/>
              <w:right w:val="single" w:color="auto" w:sz="8" w:space="0"/>
              <w:tl2br w:val="nil"/>
              <w:tr2bl w:val="nil"/>
            </w:tcBorders>
            <w:vAlign w:val="center"/>
          </w:tcPr>
          <w:p w14:paraId="655F2748">
            <w:pPr>
              <w:adjustRightInd w:val="0"/>
              <w:snapToGrid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地面结构为钢板+涂胶+覆2mm厚HDPE膜+胶垫；裙角、收集池及导流槽采取2mm厚HDPE土工膜防渗，渗透系数≤10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w:t>
            </w:r>
            <w:r>
              <w:rPr>
                <w:rFonts w:hint="default" w:ascii="Times New Roman" w:hAnsi="Times New Roman" w:eastAsia="宋体" w:cs="Times New Roman"/>
                <w:color w:val="auto"/>
                <w:sz w:val="21"/>
                <w:szCs w:val="21"/>
                <w:highlight w:val="none"/>
              </w:rPr>
              <w:t>彻底干燥后可满足防渗要求。</w:t>
            </w:r>
          </w:p>
        </w:tc>
      </w:tr>
      <w:tr w14:paraId="2D3E92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662" w:hRule="atLeast"/>
          <w:jc w:val="center"/>
        </w:trPr>
        <w:tc>
          <w:tcPr>
            <w:tcW w:w="1349" w:type="dxa"/>
            <w:tcBorders>
              <w:top w:val="single" w:color="auto" w:sz="4" w:space="0"/>
              <w:left w:val="single" w:color="auto" w:sz="8" w:space="0"/>
              <w:bottom w:val="single" w:color="auto" w:sz="4" w:space="0"/>
              <w:right w:val="single" w:color="auto" w:sz="4" w:space="0"/>
              <w:tl2br w:val="nil"/>
              <w:tr2bl w:val="nil"/>
            </w:tcBorders>
            <w:vAlign w:val="center"/>
          </w:tcPr>
          <w:p w14:paraId="4CBABC7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生态保护措施</w:t>
            </w:r>
          </w:p>
        </w:tc>
        <w:tc>
          <w:tcPr>
            <w:tcW w:w="7430" w:type="dxa"/>
            <w:gridSpan w:val="4"/>
            <w:tcBorders>
              <w:top w:val="single" w:color="auto" w:sz="4" w:space="0"/>
              <w:left w:val="single" w:color="auto" w:sz="4" w:space="0"/>
              <w:bottom w:val="single" w:color="auto" w:sz="4" w:space="0"/>
              <w:right w:val="single" w:color="auto" w:sz="8" w:space="0"/>
              <w:tl2br w:val="nil"/>
              <w:tr2bl w:val="nil"/>
            </w:tcBorders>
            <w:vAlign w:val="center"/>
          </w:tcPr>
          <w:p w14:paraId="5DF543B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14:paraId="4708FC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82" w:hRule="atLeast"/>
          <w:jc w:val="center"/>
        </w:trPr>
        <w:tc>
          <w:tcPr>
            <w:tcW w:w="1349" w:type="dxa"/>
            <w:tcBorders>
              <w:top w:val="single" w:color="auto" w:sz="4" w:space="0"/>
              <w:left w:val="single" w:color="auto" w:sz="8" w:space="0"/>
              <w:bottom w:val="single" w:color="auto" w:sz="4" w:space="0"/>
              <w:right w:val="single" w:color="auto" w:sz="4" w:space="0"/>
              <w:tl2br w:val="nil"/>
              <w:tr2bl w:val="nil"/>
            </w:tcBorders>
            <w:vAlign w:val="center"/>
          </w:tcPr>
          <w:p w14:paraId="5FB793CA">
            <w:pPr>
              <w:adjustRightInd w:val="0"/>
              <w:snapToGrid w:val="0"/>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环境风险</w:t>
            </w:r>
          </w:p>
          <w:p w14:paraId="5363354D">
            <w:pPr>
              <w:adjustRightInd w:val="0"/>
              <w:snapToGrid w:val="0"/>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防范措施</w:t>
            </w:r>
          </w:p>
        </w:tc>
        <w:tc>
          <w:tcPr>
            <w:tcW w:w="7430" w:type="dxa"/>
            <w:gridSpan w:val="4"/>
            <w:tcBorders>
              <w:top w:val="single" w:color="auto" w:sz="4" w:space="0"/>
              <w:left w:val="single" w:color="auto" w:sz="4" w:space="0"/>
              <w:bottom w:val="single" w:color="auto" w:sz="4" w:space="0"/>
              <w:right w:val="single" w:color="auto" w:sz="8" w:space="0"/>
              <w:tl2br w:val="nil"/>
              <w:tr2bl w:val="nil"/>
            </w:tcBorders>
            <w:vAlign w:val="center"/>
          </w:tcPr>
          <w:p w14:paraId="5EB174EB">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结合公司实际，制订应急预案，并严格按照应急预案内容及要求做好相应工作。</w:t>
            </w:r>
          </w:p>
        </w:tc>
      </w:tr>
      <w:tr w14:paraId="4EB64D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747" w:hRule="atLeast"/>
          <w:jc w:val="center"/>
        </w:trPr>
        <w:tc>
          <w:tcPr>
            <w:tcW w:w="1349" w:type="dxa"/>
            <w:tcBorders>
              <w:top w:val="single" w:color="auto" w:sz="4" w:space="0"/>
              <w:left w:val="single" w:color="auto" w:sz="8" w:space="0"/>
              <w:bottom w:val="single" w:color="auto" w:sz="8" w:space="0"/>
              <w:right w:val="single" w:color="auto" w:sz="4" w:space="0"/>
              <w:tl2br w:val="nil"/>
              <w:tr2bl w:val="nil"/>
            </w:tcBorders>
            <w:vAlign w:val="center"/>
          </w:tcPr>
          <w:p w14:paraId="438F5465">
            <w:pPr>
              <w:adjustRightInd w:val="0"/>
              <w:snapToGrid w:val="0"/>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其他环境</w:t>
            </w:r>
          </w:p>
          <w:p w14:paraId="5780CE47">
            <w:pPr>
              <w:adjustRightInd w:val="0"/>
              <w:snapToGrid w:val="0"/>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管理要求</w:t>
            </w:r>
          </w:p>
        </w:tc>
        <w:tc>
          <w:tcPr>
            <w:tcW w:w="7430" w:type="dxa"/>
            <w:gridSpan w:val="4"/>
            <w:tcBorders>
              <w:top w:val="single" w:color="auto" w:sz="4" w:space="0"/>
              <w:left w:val="single" w:color="auto" w:sz="4" w:space="0"/>
              <w:bottom w:val="single" w:color="auto" w:sz="8" w:space="0"/>
              <w:right w:val="single" w:color="auto" w:sz="8" w:space="0"/>
              <w:tl2br w:val="nil"/>
              <w:tr2bl w:val="nil"/>
            </w:tcBorders>
            <w:vAlign w:val="center"/>
          </w:tcPr>
          <w:p w14:paraId="74460E4B">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bl>
    <w:p w14:paraId="0C20D892">
      <w:pPr>
        <w:pStyle w:val="21"/>
        <w:spacing w:beforeAutospacing="0"/>
        <w:jc w:val="center"/>
        <w:outlineLvl w:val="0"/>
        <w:rPr>
          <w:rFonts w:hint="default" w:ascii="Times New Roman" w:hAnsi="Times New Roman" w:eastAsia="黑体" w:cs="Times New Roman"/>
          <w:snapToGrid w:val="0"/>
          <w:sz w:val="30"/>
          <w:highlight w:val="yellow"/>
        </w:rPr>
      </w:pPr>
      <w:r>
        <w:rPr>
          <w:rFonts w:hint="default" w:ascii="Times New Roman" w:hAnsi="Times New Roman" w:cs="Times New Roman"/>
          <w:snapToGrid w:val="0"/>
          <w:highlight w:val="yellow"/>
        </w:rPr>
        <w:br w:type="page"/>
      </w:r>
      <w:r>
        <w:rPr>
          <w:rFonts w:hint="default" w:ascii="Times New Roman" w:hAnsi="Times New Roman" w:eastAsia="黑体" w:cs="Times New Roman"/>
          <w:snapToGrid w:val="0"/>
          <w:sz w:val="30"/>
        </w:rPr>
        <w:t>六、结论</w:t>
      </w:r>
    </w:p>
    <w:tbl>
      <w:tblPr>
        <w:tblStyle w:val="24"/>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F9C10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left w:val="single" w:color="auto" w:sz="8" w:space="0"/>
              <w:bottom w:val="single" w:color="auto" w:sz="8" w:space="0"/>
              <w:right w:val="single" w:color="auto" w:sz="8" w:space="0"/>
              <w:tl2br w:val="nil"/>
              <w:tr2bl w:val="nil"/>
            </w:tcBorders>
          </w:tcPr>
          <w:p w14:paraId="5646E1F3">
            <w:pPr>
              <w:spacing w:beforeLines="25" w:line="440" w:lineRule="exact"/>
              <w:rPr>
                <w:rFonts w:ascii="Times New Roman" w:hAnsi="Times New Roman" w:eastAsia="黑体"/>
                <w:color w:val="auto"/>
              </w:rPr>
            </w:pPr>
            <w:r>
              <w:rPr>
                <w:rFonts w:hint="eastAsia" w:ascii="Times New Roman" w:hAnsi="Times New Roman" w:eastAsia="黑体"/>
                <w:color w:val="auto"/>
              </w:rPr>
              <w:t>一、项目的环境可行性</w:t>
            </w:r>
          </w:p>
          <w:p w14:paraId="512FA6C9">
            <w:pPr>
              <w:spacing w:before="60" w:beforeLines="25" w:line="480" w:lineRule="exact"/>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rPr>
              <w:t>本项目位于</w:t>
            </w:r>
            <w:r>
              <w:rPr>
                <w:rFonts w:ascii="Times New Roman" w:hAnsi="Times New Roman" w:cs="Times New Roman"/>
                <w:color w:val="auto"/>
                <w:highlight w:val="none"/>
              </w:rPr>
              <w:t>内蒙古锡林郭勒盟</w:t>
            </w:r>
            <w:r>
              <w:rPr>
                <w:rFonts w:hint="eastAsia" w:ascii="Times New Roman" w:hAnsi="Times New Roman" w:cs="Times New Roman"/>
                <w:color w:val="auto"/>
                <w:highlight w:val="none"/>
                <w:lang w:eastAsia="zh-CN"/>
              </w:rPr>
              <w:t>锡林浩特市远景能源（锡林郭勒）有限公司</w:t>
            </w:r>
            <w:r>
              <w:rPr>
                <w:rFonts w:ascii="Times New Roman" w:hAnsi="Times New Roman" w:cs="Times New Roman"/>
                <w:color w:val="auto"/>
                <w:highlight w:val="none"/>
              </w:rPr>
              <w:t>院</w:t>
            </w:r>
            <w:r>
              <w:rPr>
                <w:rFonts w:hint="default" w:ascii="Times New Roman" w:hAnsi="Times New Roman" w:eastAsia="宋体"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，项目建设符合</w:t>
            </w:r>
            <w:r>
              <w:rPr>
                <w:rFonts w:hint="default" w:ascii="Times New Roman" w:hAnsi="Times New Roman" w:eastAsia="宋体" w:cs="Times New Roman"/>
                <w:color w:val="auto"/>
                <w:sz w:val="24"/>
                <w:szCs w:val="24"/>
                <w:highlight w:val="none"/>
                <w:lang w:val="en-US" w:eastAsia="zh-CN"/>
              </w:rPr>
              <w:t>城市</w:t>
            </w:r>
            <w:r>
              <w:rPr>
                <w:rFonts w:hint="default" w:ascii="Times New Roman" w:hAnsi="Times New Roman" w:eastAsia="宋体" w:cs="Times New Roman"/>
                <w:color w:val="auto"/>
                <w:sz w:val="24"/>
                <w:szCs w:val="24"/>
                <w:highlight w:val="none"/>
              </w:rPr>
              <w:t>规划，同时项目也符合当前的产业政策。项目建成后，废气、噪声以及</w:t>
            </w:r>
            <w:r>
              <w:rPr>
                <w:rFonts w:hint="default" w:ascii="Times New Roman" w:hAnsi="Times New Roman" w:cs="Times New Roman"/>
                <w:color w:val="auto"/>
                <w:sz w:val="24"/>
                <w:szCs w:val="24"/>
                <w:highlight w:val="none"/>
              </w:rPr>
              <w:t>固体废弃物等均采取有效</w:t>
            </w:r>
            <w:r>
              <w:rPr>
                <w:rFonts w:hint="eastAsia" w:ascii="Times New Roman" w:hAnsi="Times New Roman" w:cs="Times New Roman"/>
                <w:color w:val="auto"/>
                <w:sz w:val="24"/>
                <w:szCs w:val="24"/>
                <w:highlight w:val="none"/>
                <w:lang w:eastAsia="zh-CN"/>
              </w:rPr>
              <w:t>的</w:t>
            </w:r>
            <w:r>
              <w:rPr>
                <w:rFonts w:hint="default" w:ascii="Times New Roman" w:hAnsi="Times New Roman" w:cs="Times New Roman"/>
                <w:color w:val="auto"/>
                <w:sz w:val="24"/>
                <w:szCs w:val="24"/>
                <w:highlight w:val="none"/>
              </w:rPr>
              <w:t>治理措施，实现污染物的达标排放，不会对环境造成二次污染。综上所述，本项目采取报告中污染物防治措施后，在环保设施正常运行情况下，污染物排放能够满足相应的排放标准。因此，本次评价认为，在切实做好污染防治工作的前提下，</w:t>
            </w:r>
            <w:r>
              <w:rPr>
                <w:rFonts w:hint="default" w:ascii="Times New Roman" w:hAnsi="Times New Roman" w:cs="Times New Roman"/>
                <w:color w:val="auto"/>
                <w:sz w:val="24"/>
                <w:szCs w:val="24"/>
                <w:highlight w:val="none"/>
                <w:lang w:eastAsia="zh-CN"/>
              </w:rPr>
              <w:t>从环保角度来看，</w:t>
            </w:r>
            <w:r>
              <w:rPr>
                <w:rFonts w:hint="default" w:ascii="Times New Roman" w:hAnsi="Times New Roman" w:cs="Times New Roman"/>
                <w:color w:val="auto"/>
                <w:sz w:val="24"/>
                <w:szCs w:val="24"/>
                <w:highlight w:val="none"/>
              </w:rPr>
              <w:t>本项目的建设是可行的。</w:t>
            </w:r>
          </w:p>
          <w:p w14:paraId="73DE3D1A">
            <w:pPr>
              <w:pStyle w:val="31"/>
              <w:rPr>
                <w:rFonts w:hint="default" w:ascii="Times New Roman" w:hAnsi="Times New Roman" w:cs="Times New Roman"/>
                <w:bCs/>
                <w:color w:val="auto"/>
                <w:sz w:val="24"/>
                <w:highlight w:val="none"/>
              </w:rPr>
            </w:pPr>
          </w:p>
          <w:p w14:paraId="5837C535">
            <w:pPr>
              <w:pStyle w:val="31"/>
              <w:rPr>
                <w:rFonts w:ascii="Times New Roman" w:hAnsi="Times New Roman"/>
                <w:bCs/>
                <w:color w:val="auto"/>
                <w:highlight w:val="yellow"/>
              </w:rPr>
            </w:pPr>
          </w:p>
          <w:p w14:paraId="17484BD2">
            <w:pPr>
              <w:pStyle w:val="31"/>
              <w:rPr>
                <w:rFonts w:ascii="Times New Roman" w:hAnsi="Times New Roman"/>
                <w:bCs/>
                <w:color w:val="auto"/>
                <w:highlight w:val="yellow"/>
              </w:rPr>
            </w:pPr>
          </w:p>
          <w:p w14:paraId="0B1AC1A5">
            <w:pPr>
              <w:pStyle w:val="31"/>
              <w:rPr>
                <w:rFonts w:ascii="Times New Roman" w:hAnsi="Times New Roman"/>
                <w:bCs/>
                <w:color w:val="auto"/>
                <w:highlight w:val="yellow"/>
              </w:rPr>
            </w:pPr>
          </w:p>
          <w:p w14:paraId="6F5D2AE0">
            <w:pPr>
              <w:pStyle w:val="31"/>
              <w:rPr>
                <w:rFonts w:ascii="Times New Roman" w:hAnsi="Times New Roman"/>
                <w:bCs/>
                <w:color w:val="auto"/>
                <w:highlight w:val="yellow"/>
              </w:rPr>
            </w:pPr>
          </w:p>
          <w:p w14:paraId="4BE400AC">
            <w:pPr>
              <w:pStyle w:val="31"/>
              <w:rPr>
                <w:rFonts w:ascii="Times New Roman" w:hAnsi="Times New Roman"/>
                <w:bCs/>
                <w:color w:val="auto"/>
                <w:highlight w:val="yellow"/>
              </w:rPr>
            </w:pPr>
          </w:p>
          <w:p w14:paraId="3AF8C4E4">
            <w:pPr>
              <w:pStyle w:val="31"/>
              <w:rPr>
                <w:rFonts w:ascii="Times New Roman" w:hAnsi="Times New Roman"/>
                <w:bCs/>
                <w:color w:val="auto"/>
                <w:highlight w:val="yellow"/>
              </w:rPr>
            </w:pPr>
          </w:p>
          <w:p w14:paraId="003CE6F2">
            <w:pPr>
              <w:pStyle w:val="31"/>
              <w:rPr>
                <w:rFonts w:ascii="Times New Roman" w:hAnsi="Times New Roman"/>
                <w:bCs/>
                <w:color w:val="auto"/>
                <w:highlight w:val="yellow"/>
              </w:rPr>
            </w:pPr>
          </w:p>
          <w:p w14:paraId="6F999287">
            <w:pPr>
              <w:pStyle w:val="31"/>
              <w:rPr>
                <w:rFonts w:ascii="Times New Roman" w:hAnsi="Times New Roman"/>
                <w:bCs/>
                <w:color w:val="auto"/>
                <w:highlight w:val="yellow"/>
              </w:rPr>
            </w:pPr>
          </w:p>
          <w:p w14:paraId="0E8ED450">
            <w:pPr>
              <w:pStyle w:val="31"/>
              <w:rPr>
                <w:rFonts w:ascii="Times New Roman" w:hAnsi="Times New Roman"/>
                <w:bCs/>
                <w:color w:val="auto"/>
                <w:highlight w:val="yellow"/>
              </w:rPr>
            </w:pPr>
          </w:p>
          <w:p w14:paraId="761A847E">
            <w:pPr>
              <w:pStyle w:val="31"/>
              <w:rPr>
                <w:rFonts w:ascii="Times New Roman" w:hAnsi="Times New Roman"/>
                <w:bCs/>
                <w:color w:val="auto"/>
                <w:highlight w:val="yellow"/>
              </w:rPr>
            </w:pPr>
          </w:p>
          <w:p w14:paraId="78BB851B">
            <w:pPr>
              <w:pStyle w:val="31"/>
              <w:rPr>
                <w:rFonts w:ascii="Times New Roman" w:hAnsi="Times New Roman"/>
                <w:bCs/>
                <w:color w:val="auto"/>
                <w:highlight w:val="yellow"/>
              </w:rPr>
            </w:pPr>
          </w:p>
          <w:p w14:paraId="3132DE30">
            <w:pPr>
              <w:pStyle w:val="31"/>
              <w:rPr>
                <w:rFonts w:ascii="Times New Roman" w:hAnsi="Times New Roman"/>
                <w:bCs/>
                <w:color w:val="auto"/>
                <w:highlight w:val="yellow"/>
              </w:rPr>
            </w:pPr>
          </w:p>
          <w:p w14:paraId="7EE08ABE">
            <w:pPr>
              <w:pStyle w:val="31"/>
              <w:rPr>
                <w:rFonts w:ascii="Times New Roman" w:hAnsi="Times New Roman"/>
                <w:bCs/>
                <w:color w:val="auto"/>
                <w:highlight w:val="yellow"/>
              </w:rPr>
            </w:pPr>
          </w:p>
          <w:p w14:paraId="1FA3CE47">
            <w:pPr>
              <w:pStyle w:val="31"/>
              <w:rPr>
                <w:rFonts w:ascii="Times New Roman" w:hAnsi="Times New Roman"/>
                <w:bCs/>
                <w:color w:val="auto"/>
                <w:highlight w:val="yellow"/>
              </w:rPr>
            </w:pPr>
          </w:p>
          <w:p w14:paraId="6CC41116">
            <w:pPr>
              <w:pStyle w:val="31"/>
              <w:rPr>
                <w:rFonts w:ascii="Times New Roman" w:hAnsi="Times New Roman"/>
                <w:bCs/>
                <w:color w:val="auto"/>
                <w:highlight w:val="yellow"/>
              </w:rPr>
            </w:pPr>
          </w:p>
          <w:p w14:paraId="7EDDDFD8">
            <w:pPr>
              <w:spacing w:line="360" w:lineRule="auto"/>
              <w:rPr>
                <w:rFonts w:ascii="Times New Roman" w:hAnsi="Times New Roman" w:cs="Times New Roman"/>
                <w:color w:val="auto"/>
                <w:highlight w:val="yellow"/>
              </w:rPr>
            </w:pPr>
          </w:p>
        </w:tc>
      </w:tr>
    </w:tbl>
    <w:p w14:paraId="77C2A92D">
      <w:pPr>
        <w:rPr>
          <w:rFonts w:ascii="Times New Roman" w:hAnsi="Times New Roman" w:cs="Times New Roman"/>
          <w:sz w:val="21"/>
          <w:highlight w:val="yellow"/>
        </w:rPr>
        <w:sectPr>
          <w:footerReference r:id="rId4"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type="lines" w:linePitch="312" w:charSpace="0"/>
        </w:sectPr>
      </w:pPr>
    </w:p>
    <w:p w14:paraId="5262A072">
      <w:pPr>
        <w:pStyle w:val="21"/>
        <w:keepNext w:val="0"/>
        <w:keepLines w:val="0"/>
        <w:pageBreakBefore w:val="0"/>
        <w:widowControl/>
        <w:kinsoku/>
        <w:wordWrap/>
        <w:overflowPunct/>
        <w:topLinePunct w:val="0"/>
        <w:autoSpaceDE/>
        <w:autoSpaceDN/>
        <w:bidi w:val="0"/>
        <w:adjustRightInd w:val="0"/>
        <w:snapToGrid w:val="0"/>
        <w:spacing w:beforeAutospacing="0" w:afterAutospacing="0" w:line="360" w:lineRule="auto"/>
        <w:textAlignment w:val="auto"/>
        <w:outlineLvl w:val="0"/>
        <w:rPr>
          <w:rFonts w:hint="default" w:ascii="Times New Roman" w:hAnsi="Times New Roman" w:eastAsia="黑体" w:cs="Times New Roman"/>
          <w:snapToGrid w:val="0"/>
          <w:sz w:val="32"/>
        </w:rPr>
      </w:pPr>
      <w:bookmarkStart w:id="97" w:name="_GoBack"/>
      <w:bookmarkEnd w:id="97"/>
      <w:r>
        <w:rPr>
          <w:rFonts w:hint="default" w:ascii="Times New Roman" w:hAnsi="Times New Roman" w:eastAsia="黑体" w:cs="Times New Roman"/>
          <w:snapToGrid w:val="0"/>
          <w:sz w:val="32"/>
        </w:rPr>
        <w:t>附表</w:t>
      </w:r>
    </w:p>
    <w:p w14:paraId="518CAE1F">
      <w:pPr>
        <w:pStyle w:val="21"/>
        <w:keepNext w:val="0"/>
        <w:keepLines w:val="0"/>
        <w:pageBreakBefore w:val="0"/>
        <w:widowControl/>
        <w:kinsoku/>
        <w:wordWrap/>
        <w:overflowPunct/>
        <w:topLinePunct w:val="0"/>
        <w:autoSpaceDE/>
        <w:autoSpaceDN/>
        <w:bidi w:val="0"/>
        <w:adjustRightInd w:val="0"/>
        <w:snapToGrid w:val="0"/>
        <w:spacing w:beforeAutospacing="0" w:afterAutospacing="0" w:line="360" w:lineRule="auto"/>
        <w:jc w:val="center"/>
        <w:textAlignment w:val="auto"/>
        <w:outlineLvl w:val="0"/>
        <w:rPr>
          <w:rFonts w:hint="default" w:ascii="Times New Roman" w:hAnsi="Times New Roman" w:eastAsia="方正小标宋_GBK" w:cs="Times New Roman"/>
          <w:snapToGrid w:val="0"/>
          <w:sz w:val="38"/>
        </w:rPr>
      </w:pPr>
      <w:r>
        <w:rPr>
          <w:rFonts w:hint="default" w:ascii="Times New Roman" w:hAnsi="Times New Roman" w:eastAsia="方正小标宋_GBK" w:cs="Times New Roman"/>
          <w:snapToGrid w:val="0"/>
          <w:sz w:val="38"/>
        </w:rPr>
        <w:t>建设项目污染物排放量汇总表</w:t>
      </w:r>
    </w:p>
    <w:tbl>
      <w:tblPr>
        <w:tblStyle w:val="24"/>
        <w:tblW w:w="13185" w:type="dxa"/>
        <w:tblInd w:w="144"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535"/>
        <w:gridCol w:w="1500"/>
        <w:gridCol w:w="1275"/>
        <w:gridCol w:w="1770"/>
        <w:gridCol w:w="1725"/>
        <w:gridCol w:w="1485"/>
        <w:gridCol w:w="1590"/>
        <w:gridCol w:w="1110"/>
      </w:tblGrid>
      <w:tr w14:paraId="0CE0C9E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195" w:type="dxa"/>
            <w:tcBorders>
              <w:tl2br w:val="nil"/>
              <w:tr2bl w:val="nil"/>
            </w:tcBorders>
            <w:tcMar>
              <w:left w:w="28" w:type="dxa"/>
              <w:right w:w="28" w:type="dxa"/>
            </w:tcMar>
            <w:vAlign w:val="center"/>
          </w:tcPr>
          <w:p w14:paraId="49EFB160">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分类项目</w:t>
            </w:r>
          </w:p>
        </w:tc>
        <w:tc>
          <w:tcPr>
            <w:tcW w:w="1535" w:type="dxa"/>
            <w:tcBorders>
              <w:tl2br w:val="nil"/>
              <w:tr2bl w:val="nil"/>
            </w:tcBorders>
            <w:tcMar>
              <w:left w:w="28" w:type="dxa"/>
              <w:right w:w="28" w:type="dxa"/>
            </w:tcMar>
            <w:vAlign w:val="center"/>
          </w:tcPr>
          <w:p w14:paraId="312FDCC6">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污染物名称</w:t>
            </w:r>
          </w:p>
        </w:tc>
        <w:tc>
          <w:tcPr>
            <w:tcW w:w="1500" w:type="dxa"/>
            <w:tcBorders>
              <w:tl2br w:val="nil"/>
              <w:tr2bl w:val="nil"/>
            </w:tcBorders>
            <w:tcMar>
              <w:left w:w="28" w:type="dxa"/>
              <w:right w:w="28" w:type="dxa"/>
            </w:tcMar>
            <w:vAlign w:val="center"/>
          </w:tcPr>
          <w:p w14:paraId="02DD37DC">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现有工程排放量（固体废物产生量）</w:t>
            </w:r>
            <w:r>
              <w:rPr>
                <w:rFonts w:hint="default" w:ascii="Times New Roman" w:hAnsi="Times New Roman" w:eastAsia="宋体" w:cs="Times New Roman"/>
                <w:snapToGrid w:val="0"/>
                <w:color w:val="000000"/>
                <w:spacing w:val="-6"/>
                <w:kern w:val="21"/>
                <w:sz w:val="21"/>
                <w:szCs w:val="21"/>
                <w:highlight w:val="none"/>
              </w:rPr>
              <w:fldChar w:fldCharType="begin"/>
            </w:r>
            <w:r>
              <w:rPr>
                <w:rFonts w:hint="default" w:ascii="Times New Roman" w:hAnsi="Times New Roman" w:eastAsia="宋体" w:cs="Times New Roman"/>
                <w:snapToGrid w:val="0"/>
                <w:color w:val="000000"/>
                <w:spacing w:val="-6"/>
                <w:kern w:val="21"/>
                <w:sz w:val="21"/>
                <w:szCs w:val="21"/>
                <w:highlight w:val="none"/>
              </w:rPr>
              <w:instrText xml:space="preserve"> = 1 \* GB3 \* MERGEFORMAT </w:instrText>
            </w:r>
            <w:r>
              <w:rPr>
                <w:rFonts w:hint="default" w:ascii="Times New Roman" w:hAnsi="Times New Roman" w:eastAsia="宋体" w:cs="Times New Roman"/>
                <w:snapToGrid w:val="0"/>
                <w:color w:val="000000"/>
                <w:spacing w:val="-6"/>
                <w:kern w:val="21"/>
                <w:sz w:val="21"/>
                <w:szCs w:val="21"/>
                <w:highlight w:val="none"/>
              </w:rPr>
              <w:fldChar w:fldCharType="separate"/>
            </w:r>
            <w:r>
              <w:rPr>
                <w:rFonts w:hint="default" w:ascii="Times New Roman" w:hAnsi="Times New Roman" w:eastAsia="宋体" w:cs="Times New Roman"/>
                <w:kern w:val="2"/>
                <w:sz w:val="21"/>
                <w:szCs w:val="21"/>
                <w:highlight w:val="none"/>
              </w:rPr>
              <w:t>①</w:t>
            </w:r>
            <w:r>
              <w:rPr>
                <w:rFonts w:hint="default" w:ascii="Times New Roman" w:hAnsi="Times New Roman" w:eastAsia="宋体" w:cs="Times New Roman"/>
                <w:kern w:val="2"/>
                <w:sz w:val="21"/>
                <w:szCs w:val="21"/>
                <w:highlight w:val="none"/>
              </w:rPr>
              <w:fldChar w:fldCharType="end"/>
            </w:r>
          </w:p>
        </w:tc>
        <w:tc>
          <w:tcPr>
            <w:tcW w:w="1275" w:type="dxa"/>
            <w:tcBorders>
              <w:tl2br w:val="nil"/>
              <w:tr2bl w:val="nil"/>
            </w:tcBorders>
            <w:tcMar>
              <w:left w:w="28" w:type="dxa"/>
              <w:right w:w="28" w:type="dxa"/>
            </w:tcMar>
            <w:vAlign w:val="center"/>
          </w:tcPr>
          <w:p w14:paraId="31A2D372">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现有工程许可排放量</w:t>
            </w:r>
            <w:r>
              <w:rPr>
                <w:rFonts w:hint="default" w:ascii="Times New Roman" w:hAnsi="Times New Roman" w:eastAsia="宋体" w:cs="Times New Roman"/>
                <w:snapToGrid w:val="0"/>
                <w:color w:val="000000"/>
                <w:spacing w:val="-6"/>
                <w:kern w:val="21"/>
                <w:sz w:val="21"/>
                <w:szCs w:val="21"/>
                <w:highlight w:val="none"/>
              </w:rPr>
              <w:fldChar w:fldCharType="begin"/>
            </w:r>
            <w:r>
              <w:rPr>
                <w:rFonts w:hint="default" w:ascii="Times New Roman" w:hAnsi="Times New Roman" w:eastAsia="宋体" w:cs="Times New Roman"/>
                <w:snapToGrid w:val="0"/>
                <w:color w:val="000000"/>
                <w:spacing w:val="-6"/>
                <w:kern w:val="21"/>
                <w:sz w:val="21"/>
                <w:szCs w:val="21"/>
                <w:highlight w:val="none"/>
              </w:rPr>
              <w:instrText xml:space="preserve"> = 2 \* GB3 \* MERGEFORMAT </w:instrText>
            </w:r>
            <w:r>
              <w:rPr>
                <w:rFonts w:hint="default" w:ascii="Times New Roman" w:hAnsi="Times New Roman" w:eastAsia="宋体" w:cs="Times New Roman"/>
                <w:snapToGrid w:val="0"/>
                <w:color w:val="000000"/>
                <w:spacing w:val="-6"/>
                <w:kern w:val="21"/>
                <w:sz w:val="21"/>
                <w:szCs w:val="21"/>
                <w:highlight w:val="none"/>
              </w:rPr>
              <w:fldChar w:fldCharType="separate"/>
            </w:r>
            <w:r>
              <w:rPr>
                <w:rFonts w:hint="default" w:ascii="Times New Roman" w:hAnsi="Times New Roman" w:eastAsia="宋体" w:cs="Times New Roman"/>
                <w:snapToGrid w:val="0"/>
                <w:color w:val="000000"/>
                <w:spacing w:val="-6"/>
                <w:kern w:val="21"/>
                <w:sz w:val="21"/>
                <w:szCs w:val="21"/>
                <w:highlight w:val="none"/>
              </w:rPr>
              <w:t>②</w:t>
            </w:r>
            <w:r>
              <w:rPr>
                <w:rFonts w:hint="default" w:ascii="Times New Roman" w:hAnsi="Times New Roman" w:eastAsia="宋体" w:cs="Times New Roman"/>
                <w:snapToGrid w:val="0"/>
                <w:color w:val="000000"/>
                <w:spacing w:val="-6"/>
                <w:kern w:val="21"/>
                <w:sz w:val="21"/>
                <w:szCs w:val="21"/>
                <w:highlight w:val="none"/>
              </w:rPr>
              <w:fldChar w:fldCharType="end"/>
            </w:r>
          </w:p>
        </w:tc>
        <w:tc>
          <w:tcPr>
            <w:tcW w:w="1770" w:type="dxa"/>
            <w:tcBorders>
              <w:tl2br w:val="nil"/>
              <w:tr2bl w:val="nil"/>
            </w:tcBorders>
            <w:tcMar>
              <w:left w:w="28" w:type="dxa"/>
              <w:right w:w="28" w:type="dxa"/>
            </w:tcMar>
            <w:vAlign w:val="center"/>
          </w:tcPr>
          <w:p w14:paraId="563F2A68">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在建工程排放量（固体废物产生量）</w:t>
            </w:r>
            <w:r>
              <w:rPr>
                <w:rFonts w:hint="default" w:ascii="Times New Roman" w:hAnsi="Times New Roman" w:eastAsia="宋体" w:cs="Times New Roman"/>
                <w:snapToGrid w:val="0"/>
                <w:color w:val="000000"/>
                <w:spacing w:val="-6"/>
                <w:kern w:val="21"/>
                <w:sz w:val="21"/>
                <w:szCs w:val="21"/>
                <w:highlight w:val="none"/>
              </w:rPr>
              <w:fldChar w:fldCharType="begin"/>
            </w:r>
            <w:r>
              <w:rPr>
                <w:rFonts w:hint="default" w:ascii="Times New Roman" w:hAnsi="Times New Roman" w:eastAsia="宋体" w:cs="Times New Roman"/>
                <w:snapToGrid w:val="0"/>
                <w:color w:val="000000"/>
                <w:spacing w:val="-6"/>
                <w:kern w:val="21"/>
                <w:sz w:val="21"/>
                <w:szCs w:val="21"/>
                <w:highlight w:val="none"/>
              </w:rPr>
              <w:instrText xml:space="preserve"> = 3 \* GB3 \* MERGEFORMAT </w:instrText>
            </w:r>
            <w:r>
              <w:rPr>
                <w:rFonts w:hint="default" w:ascii="Times New Roman" w:hAnsi="Times New Roman" w:eastAsia="宋体" w:cs="Times New Roman"/>
                <w:snapToGrid w:val="0"/>
                <w:color w:val="000000"/>
                <w:spacing w:val="-6"/>
                <w:kern w:val="21"/>
                <w:sz w:val="21"/>
                <w:szCs w:val="21"/>
                <w:highlight w:val="none"/>
              </w:rPr>
              <w:fldChar w:fldCharType="separate"/>
            </w:r>
            <w:r>
              <w:rPr>
                <w:rFonts w:hint="default" w:ascii="Times New Roman" w:hAnsi="Times New Roman" w:eastAsia="宋体" w:cs="Times New Roman"/>
                <w:kern w:val="2"/>
                <w:sz w:val="21"/>
                <w:szCs w:val="21"/>
                <w:highlight w:val="none"/>
              </w:rPr>
              <w:t>③</w:t>
            </w:r>
            <w:r>
              <w:rPr>
                <w:rFonts w:hint="default" w:ascii="Times New Roman" w:hAnsi="Times New Roman" w:eastAsia="宋体" w:cs="Times New Roman"/>
                <w:kern w:val="2"/>
                <w:sz w:val="21"/>
                <w:szCs w:val="21"/>
                <w:highlight w:val="none"/>
              </w:rPr>
              <w:fldChar w:fldCharType="end"/>
            </w:r>
          </w:p>
        </w:tc>
        <w:tc>
          <w:tcPr>
            <w:tcW w:w="1725" w:type="dxa"/>
            <w:tcBorders>
              <w:tl2br w:val="nil"/>
              <w:tr2bl w:val="nil"/>
            </w:tcBorders>
            <w:tcMar>
              <w:left w:w="28" w:type="dxa"/>
              <w:right w:w="28" w:type="dxa"/>
            </w:tcMar>
            <w:vAlign w:val="center"/>
          </w:tcPr>
          <w:p w14:paraId="23365DFD">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本项目排放量（固体废物产生量）</w:t>
            </w:r>
            <w:r>
              <w:rPr>
                <w:rFonts w:hint="default" w:ascii="Times New Roman" w:hAnsi="Times New Roman" w:eastAsia="宋体" w:cs="Times New Roman"/>
                <w:snapToGrid w:val="0"/>
                <w:color w:val="000000"/>
                <w:spacing w:val="-6"/>
                <w:kern w:val="21"/>
                <w:sz w:val="21"/>
                <w:szCs w:val="21"/>
                <w:highlight w:val="none"/>
              </w:rPr>
              <w:fldChar w:fldCharType="begin"/>
            </w:r>
            <w:r>
              <w:rPr>
                <w:rFonts w:hint="default" w:ascii="Times New Roman" w:hAnsi="Times New Roman" w:eastAsia="宋体" w:cs="Times New Roman"/>
                <w:snapToGrid w:val="0"/>
                <w:color w:val="000000"/>
                <w:spacing w:val="-6"/>
                <w:kern w:val="21"/>
                <w:sz w:val="21"/>
                <w:szCs w:val="21"/>
                <w:highlight w:val="none"/>
              </w:rPr>
              <w:instrText xml:space="preserve"> = 4 \* GB3 \* MERGEFORMAT </w:instrText>
            </w:r>
            <w:r>
              <w:rPr>
                <w:rFonts w:hint="default" w:ascii="Times New Roman" w:hAnsi="Times New Roman" w:eastAsia="宋体" w:cs="Times New Roman"/>
                <w:snapToGrid w:val="0"/>
                <w:color w:val="000000"/>
                <w:spacing w:val="-6"/>
                <w:kern w:val="21"/>
                <w:sz w:val="21"/>
                <w:szCs w:val="21"/>
                <w:highlight w:val="none"/>
              </w:rPr>
              <w:fldChar w:fldCharType="separate"/>
            </w:r>
            <w:r>
              <w:rPr>
                <w:rFonts w:hint="default" w:ascii="Times New Roman" w:hAnsi="Times New Roman" w:eastAsia="宋体" w:cs="Times New Roman"/>
                <w:kern w:val="2"/>
                <w:sz w:val="21"/>
                <w:szCs w:val="21"/>
                <w:highlight w:val="none"/>
              </w:rPr>
              <w:t>④</w:t>
            </w:r>
            <w:r>
              <w:rPr>
                <w:rFonts w:hint="default" w:ascii="Times New Roman" w:hAnsi="Times New Roman" w:eastAsia="宋体" w:cs="Times New Roman"/>
                <w:kern w:val="2"/>
                <w:sz w:val="21"/>
                <w:szCs w:val="21"/>
                <w:highlight w:val="none"/>
              </w:rPr>
              <w:fldChar w:fldCharType="end"/>
            </w:r>
          </w:p>
        </w:tc>
        <w:tc>
          <w:tcPr>
            <w:tcW w:w="1485" w:type="dxa"/>
            <w:tcBorders>
              <w:tl2br w:val="nil"/>
              <w:tr2bl w:val="nil"/>
            </w:tcBorders>
            <w:tcMar>
              <w:left w:w="28" w:type="dxa"/>
              <w:right w:w="28" w:type="dxa"/>
            </w:tcMar>
            <w:vAlign w:val="center"/>
          </w:tcPr>
          <w:p w14:paraId="44DBC45E">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以新带老削减量（新建项目不填）</w:t>
            </w:r>
            <w:r>
              <w:rPr>
                <w:rFonts w:hint="default" w:ascii="Times New Roman" w:hAnsi="Times New Roman" w:eastAsia="宋体" w:cs="Times New Roman"/>
                <w:snapToGrid w:val="0"/>
                <w:color w:val="000000"/>
                <w:spacing w:val="-6"/>
                <w:kern w:val="21"/>
                <w:sz w:val="21"/>
                <w:szCs w:val="21"/>
                <w:highlight w:val="none"/>
              </w:rPr>
              <w:fldChar w:fldCharType="begin"/>
            </w:r>
            <w:r>
              <w:rPr>
                <w:rFonts w:hint="default" w:ascii="Times New Roman" w:hAnsi="Times New Roman" w:eastAsia="宋体" w:cs="Times New Roman"/>
                <w:snapToGrid w:val="0"/>
                <w:color w:val="000000"/>
                <w:spacing w:val="-6"/>
                <w:kern w:val="21"/>
                <w:sz w:val="21"/>
                <w:szCs w:val="21"/>
                <w:highlight w:val="none"/>
              </w:rPr>
              <w:instrText xml:space="preserve"> = 5 \* GB3 \* MERGEFORMAT </w:instrText>
            </w:r>
            <w:r>
              <w:rPr>
                <w:rFonts w:hint="default" w:ascii="Times New Roman" w:hAnsi="Times New Roman" w:eastAsia="宋体" w:cs="Times New Roman"/>
                <w:snapToGrid w:val="0"/>
                <w:color w:val="000000"/>
                <w:spacing w:val="-6"/>
                <w:kern w:val="21"/>
                <w:sz w:val="21"/>
                <w:szCs w:val="21"/>
                <w:highlight w:val="none"/>
              </w:rPr>
              <w:fldChar w:fldCharType="separate"/>
            </w:r>
            <w:r>
              <w:rPr>
                <w:rFonts w:hint="default" w:ascii="Times New Roman" w:hAnsi="Times New Roman" w:eastAsia="宋体" w:cs="Times New Roman"/>
                <w:snapToGrid w:val="0"/>
                <w:color w:val="000000"/>
                <w:spacing w:val="-6"/>
                <w:kern w:val="21"/>
                <w:sz w:val="21"/>
                <w:szCs w:val="21"/>
                <w:highlight w:val="none"/>
              </w:rPr>
              <w:t>⑤</w:t>
            </w:r>
            <w:r>
              <w:rPr>
                <w:rFonts w:hint="default" w:ascii="Times New Roman" w:hAnsi="Times New Roman" w:eastAsia="宋体" w:cs="Times New Roman"/>
                <w:snapToGrid w:val="0"/>
                <w:color w:val="000000"/>
                <w:spacing w:val="-6"/>
                <w:kern w:val="21"/>
                <w:sz w:val="21"/>
                <w:szCs w:val="21"/>
                <w:highlight w:val="none"/>
              </w:rPr>
              <w:fldChar w:fldCharType="end"/>
            </w:r>
          </w:p>
        </w:tc>
        <w:tc>
          <w:tcPr>
            <w:tcW w:w="1590" w:type="dxa"/>
            <w:tcBorders>
              <w:tl2br w:val="nil"/>
              <w:tr2bl w:val="nil"/>
            </w:tcBorders>
            <w:tcMar>
              <w:left w:w="28" w:type="dxa"/>
              <w:right w:w="28" w:type="dxa"/>
            </w:tcMar>
            <w:vAlign w:val="center"/>
          </w:tcPr>
          <w:p w14:paraId="7FFA7BF1">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本项目建成后全厂排放量（固体废物产生量）</w:t>
            </w:r>
            <w:r>
              <w:rPr>
                <w:rFonts w:hint="default" w:ascii="Times New Roman" w:hAnsi="Times New Roman" w:eastAsia="宋体" w:cs="Times New Roman"/>
                <w:snapToGrid w:val="0"/>
                <w:color w:val="000000"/>
                <w:spacing w:val="-6"/>
                <w:kern w:val="21"/>
                <w:sz w:val="21"/>
                <w:szCs w:val="21"/>
                <w:highlight w:val="none"/>
              </w:rPr>
              <w:fldChar w:fldCharType="begin"/>
            </w:r>
            <w:r>
              <w:rPr>
                <w:rFonts w:hint="default" w:ascii="Times New Roman" w:hAnsi="Times New Roman" w:eastAsia="宋体" w:cs="Times New Roman"/>
                <w:snapToGrid w:val="0"/>
                <w:color w:val="000000"/>
                <w:spacing w:val="-6"/>
                <w:kern w:val="21"/>
                <w:sz w:val="21"/>
                <w:szCs w:val="21"/>
                <w:highlight w:val="none"/>
              </w:rPr>
              <w:instrText xml:space="preserve"> = 6 \* GB3 \* MERGEFORMAT </w:instrText>
            </w:r>
            <w:r>
              <w:rPr>
                <w:rFonts w:hint="default" w:ascii="Times New Roman" w:hAnsi="Times New Roman" w:eastAsia="宋体" w:cs="Times New Roman"/>
                <w:snapToGrid w:val="0"/>
                <w:color w:val="000000"/>
                <w:spacing w:val="-6"/>
                <w:kern w:val="21"/>
                <w:sz w:val="21"/>
                <w:szCs w:val="21"/>
                <w:highlight w:val="none"/>
              </w:rPr>
              <w:fldChar w:fldCharType="separate"/>
            </w:r>
            <w:r>
              <w:rPr>
                <w:rFonts w:hint="default" w:ascii="Times New Roman" w:hAnsi="Times New Roman" w:eastAsia="宋体" w:cs="Times New Roman"/>
                <w:snapToGrid w:val="0"/>
                <w:color w:val="000000"/>
                <w:spacing w:val="-6"/>
                <w:kern w:val="21"/>
                <w:sz w:val="21"/>
                <w:szCs w:val="21"/>
                <w:highlight w:val="none"/>
              </w:rPr>
              <w:t>⑥</w:t>
            </w:r>
            <w:r>
              <w:rPr>
                <w:rFonts w:hint="default" w:ascii="Times New Roman" w:hAnsi="Times New Roman" w:eastAsia="宋体" w:cs="Times New Roman"/>
                <w:snapToGrid w:val="0"/>
                <w:color w:val="000000"/>
                <w:spacing w:val="-6"/>
                <w:kern w:val="21"/>
                <w:sz w:val="21"/>
                <w:szCs w:val="21"/>
                <w:highlight w:val="none"/>
              </w:rPr>
              <w:fldChar w:fldCharType="end"/>
            </w:r>
          </w:p>
        </w:tc>
        <w:tc>
          <w:tcPr>
            <w:tcW w:w="1110" w:type="dxa"/>
            <w:tcBorders>
              <w:tl2br w:val="nil"/>
              <w:tr2bl w:val="nil"/>
            </w:tcBorders>
            <w:tcMar>
              <w:left w:w="28" w:type="dxa"/>
              <w:right w:w="28" w:type="dxa"/>
            </w:tcMar>
            <w:vAlign w:val="center"/>
          </w:tcPr>
          <w:p w14:paraId="16A01CEC">
            <w:pPr>
              <w:pStyle w:val="41"/>
              <w:spacing w:beforeLines="0" w:afterLines="0" w:line="240" w:lineRule="auto"/>
              <w:jc w:val="center"/>
              <w:rPr>
                <w:rFonts w:hint="default" w:ascii="Times New Roman" w:hAnsi="Times New Roman" w:eastAsia="宋体" w:cs="Times New Roman"/>
                <w:snapToGrid w:val="0"/>
                <w:color w:val="000000"/>
                <w:spacing w:val="-6"/>
                <w:kern w:val="21"/>
                <w:sz w:val="21"/>
                <w:szCs w:val="21"/>
                <w:highlight w:val="none"/>
              </w:rPr>
            </w:pPr>
            <w:r>
              <w:rPr>
                <w:rFonts w:hint="default" w:ascii="Times New Roman" w:hAnsi="Times New Roman" w:eastAsia="宋体" w:cs="Times New Roman"/>
                <w:snapToGrid w:val="0"/>
                <w:color w:val="000000"/>
                <w:spacing w:val="-6"/>
                <w:kern w:val="21"/>
                <w:sz w:val="21"/>
                <w:szCs w:val="21"/>
                <w:highlight w:val="none"/>
              </w:rPr>
              <w:t>变化量</w:t>
            </w:r>
            <w:r>
              <w:rPr>
                <w:rFonts w:hint="default" w:ascii="Times New Roman" w:hAnsi="Times New Roman" w:eastAsia="宋体" w:cs="Times New Roman"/>
                <w:snapToGrid w:val="0"/>
                <w:color w:val="000000"/>
                <w:spacing w:val="-6"/>
                <w:kern w:val="21"/>
                <w:sz w:val="21"/>
                <w:szCs w:val="21"/>
                <w:highlight w:val="none"/>
              </w:rPr>
              <w:fldChar w:fldCharType="begin"/>
            </w:r>
            <w:r>
              <w:rPr>
                <w:rFonts w:hint="default" w:ascii="Times New Roman" w:hAnsi="Times New Roman" w:eastAsia="宋体" w:cs="Times New Roman"/>
                <w:snapToGrid w:val="0"/>
                <w:color w:val="000000"/>
                <w:spacing w:val="-6"/>
                <w:kern w:val="21"/>
                <w:sz w:val="21"/>
                <w:szCs w:val="21"/>
                <w:highlight w:val="none"/>
              </w:rPr>
              <w:instrText xml:space="preserve"> = 7 \* GB3 \* MERGEFORMAT </w:instrText>
            </w:r>
            <w:r>
              <w:rPr>
                <w:rFonts w:hint="default" w:ascii="Times New Roman" w:hAnsi="Times New Roman" w:eastAsia="宋体" w:cs="Times New Roman"/>
                <w:snapToGrid w:val="0"/>
                <w:color w:val="000000"/>
                <w:spacing w:val="-6"/>
                <w:kern w:val="21"/>
                <w:sz w:val="21"/>
                <w:szCs w:val="21"/>
                <w:highlight w:val="none"/>
              </w:rPr>
              <w:fldChar w:fldCharType="separate"/>
            </w:r>
            <w:r>
              <w:rPr>
                <w:rFonts w:hint="default" w:ascii="Times New Roman" w:hAnsi="Times New Roman" w:eastAsia="宋体" w:cs="Times New Roman"/>
                <w:kern w:val="2"/>
                <w:sz w:val="21"/>
                <w:szCs w:val="21"/>
                <w:highlight w:val="none"/>
              </w:rPr>
              <w:t>⑦</w:t>
            </w:r>
            <w:r>
              <w:rPr>
                <w:rFonts w:hint="default" w:ascii="Times New Roman" w:hAnsi="Times New Roman" w:eastAsia="宋体" w:cs="Times New Roman"/>
                <w:kern w:val="2"/>
                <w:sz w:val="21"/>
                <w:szCs w:val="21"/>
                <w:highlight w:val="none"/>
              </w:rPr>
              <w:fldChar w:fldCharType="end"/>
            </w:r>
          </w:p>
        </w:tc>
      </w:tr>
      <w:tr w14:paraId="3FFF82E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1195" w:type="dxa"/>
            <w:vMerge w:val="restart"/>
            <w:tcBorders>
              <w:tl2br w:val="nil"/>
              <w:tr2bl w:val="nil"/>
            </w:tcBorders>
            <w:vAlign w:val="center"/>
          </w:tcPr>
          <w:p w14:paraId="6FEF4EDB">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危险废物</w:t>
            </w:r>
          </w:p>
        </w:tc>
        <w:tc>
          <w:tcPr>
            <w:tcW w:w="1535" w:type="dxa"/>
            <w:tcBorders>
              <w:tl2br w:val="nil"/>
              <w:tr2bl w:val="nil"/>
            </w:tcBorders>
            <w:vAlign w:val="center"/>
          </w:tcPr>
          <w:p w14:paraId="4FF5C448">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snapToGrid w:val="0"/>
                <w:kern w:val="21"/>
                <w:sz w:val="21"/>
                <w:szCs w:val="21"/>
                <w:highlight w:val="none"/>
              </w:rPr>
            </w:pPr>
            <w:r>
              <w:rPr>
                <w:rFonts w:hint="default" w:ascii="Times New Roman" w:hAnsi="Times New Roman" w:cs="Times New Roman"/>
                <w:b w:val="0"/>
                <w:bCs w:val="0"/>
                <w:sz w:val="21"/>
                <w:szCs w:val="21"/>
                <w:highlight w:val="none"/>
                <w:lang w:val="en-US" w:eastAsia="zh-CN"/>
              </w:rPr>
              <w:t>废</w:t>
            </w:r>
            <w:r>
              <w:rPr>
                <w:rFonts w:hint="eastAsia" w:ascii="Times New Roman" w:hAnsi="Times New Roman" w:cs="Times New Roman"/>
                <w:b w:val="0"/>
                <w:bCs w:val="0"/>
                <w:sz w:val="21"/>
                <w:szCs w:val="21"/>
                <w:highlight w:val="none"/>
                <w:lang w:val="en-US" w:eastAsia="zh-CN"/>
              </w:rPr>
              <w:t>油桶</w:t>
            </w:r>
          </w:p>
        </w:tc>
        <w:tc>
          <w:tcPr>
            <w:tcW w:w="1500" w:type="dxa"/>
            <w:tcBorders>
              <w:tl2br w:val="nil"/>
              <w:tr2bl w:val="nil"/>
            </w:tcBorders>
            <w:vAlign w:val="center"/>
          </w:tcPr>
          <w:p w14:paraId="557CC2A9">
            <w:pPr>
              <w:pStyle w:val="41"/>
              <w:spacing w:beforeLines="0" w:afterLines="0" w:line="240" w:lineRule="auto"/>
              <w:jc w:val="center"/>
              <w:rPr>
                <w:rFonts w:hint="default" w:ascii="Times New Roman" w:hAnsi="Times New Roman" w:eastAsia="宋体" w:cs="Times New Roman"/>
                <w:snapToGrid w:val="0"/>
                <w:kern w:val="21"/>
                <w:sz w:val="21"/>
                <w:szCs w:val="21"/>
                <w:highlight w:val="none"/>
                <w:lang w:val="en-US" w:eastAsia="zh-CN"/>
              </w:rPr>
            </w:pPr>
            <w:r>
              <w:rPr>
                <w:rFonts w:hint="eastAsia" w:ascii="Times New Roman" w:cs="Times New Roman"/>
                <w:snapToGrid w:val="0"/>
                <w:kern w:val="21"/>
                <w:sz w:val="21"/>
                <w:szCs w:val="21"/>
                <w:highlight w:val="none"/>
                <w:lang w:val="en-US" w:eastAsia="zh-CN"/>
              </w:rPr>
              <w:t>2.0t/a</w:t>
            </w:r>
          </w:p>
        </w:tc>
        <w:tc>
          <w:tcPr>
            <w:tcW w:w="1275" w:type="dxa"/>
            <w:tcBorders>
              <w:tl2br w:val="nil"/>
              <w:tr2bl w:val="nil"/>
            </w:tcBorders>
            <w:vAlign w:val="center"/>
          </w:tcPr>
          <w:p w14:paraId="40007726">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w:t>
            </w:r>
          </w:p>
        </w:tc>
        <w:tc>
          <w:tcPr>
            <w:tcW w:w="1770" w:type="dxa"/>
            <w:tcBorders>
              <w:tl2br w:val="nil"/>
              <w:tr2bl w:val="nil"/>
            </w:tcBorders>
            <w:vAlign w:val="center"/>
          </w:tcPr>
          <w:p w14:paraId="316AC2DD">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w:t>
            </w:r>
          </w:p>
        </w:tc>
        <w:tc>
          <w:tcPr>
            <w:tcW w:w="1725" w:type="dxa"/>
            <w:tcBorders>
              <w:tl2br w:val="nil"/>
              <w:tr2bl w:val="nil"/>
            </w:tcBorders>
            <w:vAlign w:val="center"/>
          </w:tcPr>
          <w:p w14:paraId="20CDEA6B">
            <w:pPr>
              <w:pStyle w:val="41"/>
              <w:spacing w:beforeLines="0" w:afterLines="0" w:line="240" w:lineRule="auto"/>
              <w:jc w:val="center"/>
              <w:rPr>
                <w:rFonts w:hint="eastAsia" w:ascii="Times New Roman" w:hAnsi="Times New Roman" w:eastAsia="宋体" w:cs="Times New Roman"/>
                <w:snapToGrid w:val="0"/>
                <w:kern w:val="21"/>
                <w:sz w:val="21"/>
                <w:szCs w:val="21"/>
                <w:highlight w:val="none"/>
                <w:lang w:eastAsia="zh-CN"/>
              </w:rPr>
            </w:pPr>
            <w:r>
              <w:rPr>
                <w:rFonts w:hint="eastAsia" w:ascii="Times New Roman" w:cs="Times New Roman"/>
                <w:snapToGrid w:val="0"/>
                <w:kern w:val="21"/>
                <w:sz w:val="21"/>
                <w:szCs w:val="21"/>
                <w:highlight w:val="none"/>
                <w:lang w:val="en-US" w:eastAsia="zh-CN"/>
              </w:rPr>
              <w:t>0</w:t>
            </w:r>
          </w:p>
        </w:tc>
        <w:tc>
          <w:tcPr>
            <w:tcW w:w="1485" w:type="dxa"/>
            <w:tcBorders>
              <w:tl2br w:val="nil"/>
              <w:tr2bl w:val="nil"/>
            </w:tcBorders>
            <w:vAlign w:val="center"/>
          </w:tcPr>
          <w:p w14:paraId="737FF629">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w:t>
            </w:r>
          </w:p>
        </w:tc>
        <w:tc>
          <w:tcPr>
            <w:tcW w:w="1590" w:type="dxa"/>
            <w:tcBorders>
              <w:tl2br w:val="nil"/>
              <w:tr2bl w:val="nil"/>
            </w:tcBorders>
            <w:vAlign w:val="center"/>
          </w:tcPr>
          <w:p w14:paraId="715B580A">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eastAsia" w:ascii="Times New Roman" w:cs="Times New Roman"/>
                <w:snapToGrid w:val="0"/>
                <w:kern w:val="21"/>
                <w:sz w:val="21"/>
                <w:szCs w:val="21"/>
                <w:highlight w:val="none"/>
                <w:lang w:val="en-US" w:eastAsia="zh-CN"/>
              </w:rPr>
              <w:t>2.0t/a</w:t>
            </w:r>
          </w:p>
        </w:tc>
        <w:tc>
          <w:tcPr>
            <w:tcW w:w="1110" w:type="dxa"/>
            <w:tcBorders>
              <w:tl2br w:val="nil"/>
              <w:tr2bl w:val="nil"/>
            </w:tcBorders>
            <w:vAlign w:val="center"/>
          </w:tcPr>
          <w:p w14:paraId="3300056D">
            <w:pPr>
              <w:jc w:val="center"/>
              <w:rPr>
                <w:rFonts w:hint="eastAsia" w:ascii="Times New Roman" w:hAnsi="Times New Roman" w:eastAsia="宋体" w:cs="Times New Roman"/>
                <w:snapToGrid w:val="0"/>
                <w:kern w:val="21"/>
                <w:sz w:val="21"/>
                <w:szCs w:val="21"/>
                <w:highlight w:val="none"/>
                <w:lang w:eastAsia="zh-CN"/>
              </w:rPr>
            </w:pPr>
            <w:r>
              <w:rPr>
                <w:rFonts w:hint="eastAsia" w:ascii="Times New Roman" w:hAnsi="Times New Roman" w:cs="Times New Roman"/>
                <w:snapToGrid w:val="0"/>
                <w:kern w:val="21"/>
                <w:sz w:val="21"/>
                <w:szCs w:val="21"/>
                <w:highlight w:val="none"/>
                <w:lang w:val="en-US" w:eastAsia="zh-CN"/>
              </w:rPr>
              <w:t>0</w:t>
            </w:r>
          </w:p>
        </w:tc>
      </w:tr>
      <w:tr w14:paraId="068E98F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1195" w:type="dxa"/>
            <w:vMerge w:val="continue"/>
            <w:tcBorders>
              <w:tl2br w:val="nil"/>
              <w:tr2bl w:val="nil"/>
            </w:tcBorders>
            <w:vAlign w:val="center"/>
          </w:tcPr>
          <w:p w14:paraId="163873A1">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p>
        </w:tc>
        <w:tc>
          <w:tcPr>
            <w:tcW w:w="1535" w:type="dxa"/>
            <w:tcBorders>
              <w:tl2br w:val="nil"/>
              <w:tr2bl w:val="nil"/>
            </w:tcBorders>
            <w:vAlign w:val="center"/>
          </w:tcPr>
          <w:p w14:paraId="61727625">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b w:val="0"/>
                <w:bCs w:val="0"/>
                <w:sz w:val="21"/>
                <w:szCs w:val="21"/>
                <w:highlight w:val="none"/>
                <w:lang w:val="en-US" w:eastAsia="zh-CN"/>
              </w:rPr>
            </w:pPr>
            <w:r>
              <w:rPr>
                <w:rFonts w:hint="eastAsia" w:ascii="Times New Roman" w:hAnsi="Times New Roman" w:cs="Times New Roman"/>
                <w:b w:val="0"/>
                <w:bCs w:val="0"/>
                <w:sz w:val="21"/>
                <w:szCs w:val="21"/>
                <w:highlight w:val="none"/>
                <w:lang w:val="en-US" w:eastAsia="zh-CN"/>
              </w:rPr>
              <w:t>废活性炭</w:t>
            </w:r>
          </w:p>
        </w:tc>
        <w:tc>
          <w:tcPr>
            <w:tcW w:w="1500" w:type="dxa"/>
            <w:tcBorders>
              <w:tl2br w:val="nil"/>
              <w:tr2bl w:val="nil"/>
            </w:tcBorders>
            <w:shd w:val="clear"/>
            <w:vAlign w:val="center"/>
          </w:tcPr>
          <w:p w14:paraId="080B8109">
            <w:pPr>
              <w:pStyle w:val="41"/>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0.02t/a</w:t>
            </w:r>
          </w:p>
        </w:tc>
        <w:tc>
          <w:tcPr>
            <w:tcW w:w="1275" w:type="dxa"/>
            <w:tcBorders>
              <w:tl2br w:val="nil"/>
              <w:tr2bl w:val="nil"/>
            </w:tcBorders>
            <w:shd w:val="clear" w:color="auto" w:fill="auto"/>
            <w:vAlign w:val="center"/>
          </w:tcPr>
          <w:p w14:paraId="3B1B68A2">
            <w:pPr>
              <w:pStyle w:val="41"/>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770" w:type="dxa"/>
            <w:tcBorders>
              <w:tl2br w:val="nil"/>
              <w:tr2bl w:val="nil"/>
            </w:tcBorders>
            <w:shd w:val="clear" w:color="auto" w:fill="auto"/>
            <w:vAlign w:val="center"/>
          </w:tcPr>
          <w:p w14:paraId="43505D49">
            <w:pPr>
              <w:pStyle w:val="41"/>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725" w:type="dxa"/>
            <w:tcBorders>
              <w:tl2br w:val="nil"/>
              <w:tr2bl w:val="nil"/>
            </w:tcBorders>
            <w:shd w:val="clear" w:color="auto" w:fill="auto"/>
            <w:vAlign w:val="center"/>
          </w:tcPr>
          <w:p w14:paraId="778760F2">
            <w:pPr>
              <w:pStyle w:val="41"/>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0.02t/a</w:t>
            </w:r>
          </w:p>
        </w:tc>
        <w:tc>
          <w:tcPr>
            <w:tcW w:w="1485" w:type="dxa"/>
            <w:tcBorders>
              <w:tl2br w:val="nil"/>
              <w:tr2bl w:val="nil"/>
            </w:tcBorders>
            <w:shd w:val="clear" w:color="auto" w:fill="auto"/>
            <w:vAlign w:val="center"/>
          </w:tcPr>
          <w:p w14:paraId="64B0963B">
            <w:pPr>
              <w:pStyle w:val="41"/>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590" w:type="dxa"/>
            <w:tcBorders>
              <w:tl2br w:val="nil"/>
              <w:tr2bl w:val="nil"/>
            </w:tcBorders>
            <w:shd w:val="clear"/>
            <w:vAlign w:val="center"/>
          </w:tcPr>
          <w:p w14:paraId="0DFF769F">
            <w:pPr>
              <w:pStyle w:val="41"/>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0.02t/a</w:t>
            </w:r>
          </w:p>
        </w:tc>
        <w:tc>
          <w:tcPr>
            <w:tcW w:w="1110" w:type="dxa"/>
            <w:tcBorders>
              <w:tl2br w:val="nil"/>
              <w:tr2bl w:val="nil"/>
            </w:tcBorders>
            <w:shd w:val="clear"/>
            <w:vAlign w:val="center"/>
          </w:tcPr>
          <w:p w14:paraId="3AD414AA">
            <w:pPr>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rPr>
              <w:t>0.02t/a</w:t>
            </w:r>
          </w:p>
        </w:tc>
      </w:tr>
      <w:tr w14:paraId="00FE466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1195" w:type="dxa"/>
            <w:vMerge w:val="continue"/>
            <w:tcBorders>
              <w:tl2br w:val="nil"/>
              <w:tr2bl w:val="nil"/>
            </w:tcBorders>
            <w:vAlign w:val="center"/>
          </w:tcPr>
          <w:p w14:paraId="38AFA1BD">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p>
        </w:tc>
        <w:tc>
          <w:tcPr>
            <w:tcW w:w="1535" w:type="dxa"/>
            <w:tcBorders>
              <w:tl2br w:val="nil"/>
              <w:tr2bl w:val="nil"/>
            </w:tcBorders>
            <w:vAlign w:val="center"/>
          </w:tcPr>
          <w:p w14:paraId="7E108B5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eastAsia="宋体" w:cs="Times New Roman"/>
                <w:snapToGrid w:val="0"/>
                <w:kern w:val="21"/>
                <w:sz w:val="21"/>
                <w:szCs w:val="21"/>
                <w:highlight w:val="none"/>
              </w:rPr>
            </w:pPr>
            <w:r>
              <w:rPr>
                <w:rFonts w:hint="default" w:ascii="Times New Roman" w:hAnsi="Times New Roman" w:cs="Times New Roman"/>
                <w:b w:val="0"/>
                <w:bCs w:val="0"/>
                <w:sz w:val="21"/>
                <w:szCs w:val="21"/>
                <w:highlight w:val="none"/>
                <w:lang w:val="en-US" w:eastAsia="zh-CN"/>
              </w:rPr>
              <w:t>废矿物油</w:t>
            </w:r>
          </w:p>
        </w:tc>
        <w:tc>
          <w:tcPr>
            <w:tcW w:w="1500" w:type="dxa"/>
            <w:tcBorders>
              <w:tl2br w:val="nil"/>
              <w:tr2bl w:val="nil"/>
            </w:tcBorders>
            <w:vAlign w:val="center"/>
          </w:tcPr>
          <w:p w14:paraId="270AD704">
            <w:pPr>
              <w:pStyle w:val="41"/>
              <w:spacing w:beforeLines="0" w:afterLines="0" w:line="240" w:lineRule="auto"/>
              <w:jc w:val="center"/>
              <w:rPr>
                <w:rFonts w:hint="default" w:ascii="Times New Roman" w:hAnsi="Times New Roman" w:eastAsia="宋体" w:cs="Times New Roman"/>
                <w:snapToGrid w:val="0"/>
                <w:kern w:val="21"/>
                <w:sz w:val="21"/>
                <w:szCs w:val="21"/>
                <w:highlight w:val="none"/>
                <w:lang w:val="en-US" w:eastAsia="zh-CN"/>
              </w:rPr>
            </w:pPr>
            <w:r>
              <w:rPr>
                <w:rFonts w:hint="eastAsia" w:ascii="Times New Roman" w:cs="Times New Roman"/>
                <w:snapToGrid w:val="0"/>
                <w:kern w:val="21"/>
                <w:sz w:val="21"/>
                <w:szCs w:val="21"/>
                <w:highlight w:val="none"/>
                <w:lang w:val="en-US" w:eastAsia="zh-CN"/>
              </w:rPr>
              <w:t>3t/a</w:t>
            </w:r>
          </w:p>
        </w:tc>
        <w:tc>
          <w:tcPr>
            <w:tcW w:w="1275" w:type="dxa"/>
            <w:tcBorders>
              <w:tl2br w:val="nil"/>
              <w:tr2bl w:val="nil"/>
            </w:tcBorders>
            <w:vAlign w:val="center"/>
          </w:tcPr>
          <w:p w14:paraId="0AF91C89">
            <w:pPr>
              <w:pStyle w:val="41"/>
              <w:spacing w:beforeLines="0" w:afterLines="0" w:line="240" w:lineRule="auto"/>
              <w:jc w:val="center"/>
              <w:rPr>
                <w:rFonts w:hint="eastAsia" w:ascii="Times New Roman" w:hAnsi="Times New Roman" w:eastAsia="宋体" w:cs="Times New Roman"/>
                <w:snapToGrid w:val="0"/>
                <w:kern w:val="21"/>
                <w:sz w:val="21"/>
                <w:szCs w:val="21"/>
                <w:highlight w:val="none"/>
                <w:lang w:val="en-US" w:eastAsia="zh-CN"/>
              </w:rPr>
            </w:pPr>
            <w:r>
              <w:rPr>
                <w:rFonts w:hint="eastAsia" w:ascii="Times New Roman" w:cs="Times New Roman"/>
                <w:snapToGrid w:val="0"/>
                <w:kern w:val="21"/>
                <w:sz w:val="21"/>
                <w:szCs w:val="21"/>
                <w:highlight w:val="none"/>
                <w:lang w:val="en-US" w:eastAsia="zh-CN"/>
              </w:rPr>
              <w:t>/</w:t>
            </w:r>
          </w:p>
        </w:tc>
        <w:tc>
          <w:tcPr>
            <w:tcW w:w="1770" w:type="dxa"/>
            <w:tcBorders>
              <w:tl2br w:val="nil"/>
              <w:tr2bl w:val="nil"/>
            </w:tcBorders>
            <w:vAlign w:val="center"/>
          </w:tcPr>
          <w:p w14:paraId="12A60BD1">
            <w:pPr>
              <w:pStyle w:val="41"/>
              <w:spacing w:beforeLines="0" w:afterLines="0" w:line="240" w:lineRule="auto"/>
              <w:jc w:val="center"/>
              <w:rPr>
                <w:rFonts w:hint="eastAsia" w:ascii="Times New Roman" w:hAnsi="Times New Roman" w:eastAsia="宋体" w:cs="Times New Roman"/>
                <w:snapToGrid w:val="0"/>
                <w:kern w:val="21"/>
                <w:sz w:val="21"/>
                <w:szCs w:val="21"/>
                <w:highlight w:val="none"/>
                <w:lang w:val="en-US" w:eastAsia="zh-CN"/>
              </w:rPr>
            </w:pPr>
            <w:r>
              <w:rPr>
                <w:rFonts w:hint="eastAsia" w:ascii="Times New Roman" w:cs="Times New Roman"/>
                <w:snapToGrid w:val="0"/>
                <w:kern w:val="21"/>
                <w:sz w:val="21"/>
                <w:szCs w:val="21"/>
                <w:highlight w:val="none"/>
                <w:lang w:val="en-US" w:eastAsia="zh-CN"/>
              </w:rPr>
              <w:t>/</w:t>
            </w:r>
          </w:p>
        </w:tc>
        <w:tc>
          <w:tcPr>
            <w:tcW w:w="1725" w:type="dxa"/>
            <w:tcBorders>
              <w:tl2br w:val="nil"/>
              <w:tr2bl w:val="nil"/>
            </w:tcBorders>
            <w:vAlign w:val="center"/>
          </w:tcPr>
          <w:p w14:paraId="79683E6F">
            <w:pPr>
              <w:pStyle w:val="41"/>
              <w:spacing w:beforeLines="0" w:afterLines="0" w:line="240" w:lineRule="auto"/>
              <w:jc w:val="center"/>
              <w:rPr>
                <w:rFonts w:hint="eastAsia" w:ascii="Times New Roman" w:hAnsi="Times New Roman" w:eastAsia="宋体" w:cs="Times New Roman"/>
                <w:snapToGrid w:val="0"/>
                <w:kern w:val="21"/>
                <w:sz w:val="21"/>
                <w:szCs w:val="21"/>
                <w:highlight w:val="none"/>
                <w:lang w:val="en-US" w:eastAsia="zh-CN"/>
              </w:rPr>
            </w:pPr>
            <w:r>
              <w:rPr>
                <w:rFonts w:hint="eastAsia" w:ascii="Times New Roman" w:cs="Times New Roman"/>
                <w:snapToGrid w:val="0"/>
                <w:kern w:val="21"/>
                <w:sz w:val="21"/>
                <w:szCs w:val="21"/>
                <w:highlight w:val="none"/>
                <w:lang w:val="en-US" w:eastAsia="zh-CN"/>
              </w:rPr>
              <w:t>0</w:t>
            </w:r>
          </w:p>
        </w:tc>
        <w:tc>
          <w:tcPr>
            <w:tcW w:w="1485" w:type="dxa"/>
            <w:tcBorders>
              <w:tl2br w:val="nil"/>
              <w:tr2bl w:val="nil"/>
            </w:tcBorders>
            <w:vAlign w:val="center"/>
          </w:tcPr>
          <w:p w14:paraId="5BB73131">
            <w:pPr>
              <w:pStyle w:val="41"/>
              <w:spacing w:beforeLines="0" w:afterLines="0" w:line="240" w:lineRule="auto"/>
              <w:jc w:val="center"/>
              <w:rPr>
                <w:rFonts w:hint="eastAsia" w:ascii="Times New Roman" w:hAnsi="Times New Roman" w:eastAsia="宋体" w:cs="Times New Roman"/>
                <w:snapToGrid w:val="0"/>
                <w:kern w:val="21"/>
                <w:sz w:val="21"/>
                <w:szCs w:val="21"/>
                <w:highlight w:val="none"/>
                <w:lang w:val="en-US" w:eastAsia="zh-CN"/>
              </w:rPr>
            </w:pPr>
            <w:r>
              <w:rPr>
                <w:rFonts w:hint="eastAsia" w:ascii="Times New Roman" w:cs="Times New Roman"/>
                <w:snapToGrid w:val="0"/>
                <w:kern w:val="21"/>
                <w:sz w:val="21"/>
                <w:szCs w:val="21"/>
                <w:highlight w:val="none"/>
                <w:lang w:val="en-US" w:eastAsia="zh-CN"/>
              </w:rPr>
              <w:t>/</w:t>
            </w:r>
          </w:p>
        </w:tc>
        <w:tc>
          <w:tcPr>
            <w:tcW w:w="1590" w:type="dxa"/>
            <w:tcBorders>
              <w:tl2br w:val="nil"/>
              <w:tr2bl w:val="nil"/>
            </w:tcBorders>
            <w:vAlign w:val="center"/>
          </w:tcPr>
          <w:p w14:paraId="79DFA31A">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eastAsia" w:ascii="Times New Roman" w:cs="Times New Roman"/>
                <w:snapToGrid w:val="0"/>
                <w:kern w:val="21"/>
                <w:sz w:val="21"/>
                <w:szCs w:val="21"/>
                <w:highlight w:val="none"/>
                <w:lang w:val="en-US" w:eastAsia="zh-CN"/>
              </w:rPr>
              <w:t>3t/a</w:t>
            </w:r>
          </w:p>
        </w:tc>
        <w:tc>
          <w:tcPr>
            <w:tcW w:w="1110" w:type="dxa"/>
            <w:tcBorders>
              <w:tl2br w:val="nil"/>
              <w:tr2bl w:val="nil"/>
            </w:tcBorders>
            <w:vAlign w:val="center"/>
          </w:tcPr>
          <w:p w14:paraId="7D875639">
            <w:pPr>
              <w:jc w:val="center"/>
              <w:rPr>
                <w:rFonts w:hint="eastAsia" w:ascii="Times New Roman" w:hAnsi="Times New Roman" w:eastAsia="宋体" w:cs="Times New Roman"/>
                <w:snapToGrid w:val="0"/>
                <w:kern w:val="21"/>
                <w:sz w:val="21"/>
                <w:szCs w:val="21"/>
                <w:highlight w:val="none"/>
                <w:lang w:val="en-US" w:eastAsia="zh-CN"/>
              </w:rPr>
            </w:pPr>
            <w:r>
              <w:rPr>
                <w:rFonts w:hint="eastAsia" w:ascii="Times New Roman" w:hAnsi="Times New Roman" w:cs="Times New Roman"/>
                <w:snapToGrid w:val="0"/>
                <w:kern w:val="21"/>
                <w:sz w:val="21"/>
                <w:szCs w:val="21"/>
                <w:highlight w:val="none"/>
                <w:lang w:val="en-US" w:eastAsia="zh-CN"/>
              </w:rPr>
              <w:t>0</w:t>
            </w:r>
          </w:p>
        </w:tc>
      </w:tr>
      <w:tr w14:paraId="06A2932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1195" w:type="dxa"/>
            <w:tcBorders>
              <w:tl2br w:val="nil"/>
              <w:tr2bl w:val="nil"/>
            </w:tcBorders>
            <w:vAlign w:val="center"/>
          </w:tcPr>
          <w:p w14:paraId="640F5C24">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废气</w:t>
            </w:r>
          </w:p>
        </w:tc>
        <w:tc>
          <w:tcPr>
            <w:tcW w:w="1535" w:type="dxa"/>
            <w:tcBorders>
              <w:tl2br w:val="nil"/>
              <w:tr2bl w:val="nil"/>
            </w:tcBorders>
            <w:vAlign w:val="center"/>
          </w:tcPr>
          <w:p w14:paraId="510500CA">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非甲烷总烃</w:t>
            </w:r>
          </w:p>
        </w:tc>
        <w:tc>
          <w:tcPr>
            <w:tcW w:w="1500" w:type="dxa"/>
            <w:tcBorders>
              <w:tl2br w:val="nil"/>
              <w:tr2bl w:val="nil"/>
            </w:tcBorders>
            <w:vAlign w:val="center"/>
          </w:tcPr>
          <w:p w14:paraId="71A4D0FA">
            <w:pPr>
              <w:pStyle w:val="41"/>
              <w:spacing w:beforeLines="0" w:afterLines="0"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cs="Times New Roman"/>
                <w:sz w:val="21"/>
                <w:szCs w:val="21"/>
                <w:highlight w:val="none"/>
                <w:lang w:val="en-US" w:eastAsia="zh-CN"/>
              </w:rPr>
              <w:t>0.03kg/a</w:t>
            </w:r>
          </w:p>
        </w:tc>
        <w:tc>
          <w:tcPr>
            <w:tcW w:w="1275" w:type="dxa"/>
            <w:tcBorders>
              <w:tl2br w:val="nil"/>
              <w:tr2bl w:val="nil"/>
            </w:tcBorders>
            <w:vAlign w:val="center"/>
          </w:tcPr>
          <w:p w14:paraId="36614DBC">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w:t>
            </w:r>
          </w:p>
        </w:tc>
        <w:tc>
          <w:tcPr>
            <w:tcW w:w="1770" w:type="dxa"/>
            <w:tcBorders>
              <w:tl2br w:val="nil"/>
              <w:tr2bl w:val="nil"/>
            </w:tcBorders>
            <w:vAlign w:val="center"/>
          </w:tcPr>
          <w:p w14:paraId="0B3298AE">
            <w:pPr>
              <w:pStyle w:val="41"/>
              <w:spacing w:beforeLines="0" w:afterLines="0" w:line="240" w:lineRule="auto"/>
              <w:jc w:val="center"/>
              <w:rPr>
                <w:rFonts w:hint="default" w:ascii="Times New Roman" w:hAnsi="Times New Roman" w:eastAsia="宋体" w:cs="Times New Roman"/>
                <w:snapToGrid w:val="0"/>
                <w:kern w:val="21"/>
                <w:sz w:val="21"/>
                <w:szCs w:val="21"/>
                <w:highlight w:val="none"/>
              </w:rPr>
            </w:pPr>
            <w:r>
              <w:rPr>
                <w:rFonts w:hint="default" w:ascii="Times New Roman" w:hAnsi="Times New Roman" w:eastAsia="宋体" w:cs="Times New Roman"/>
                <w:snapToGrid w:val="0"/>
                <w:kern w:val="21"/>
                <w:sz w:val="21"/>
                <w:szCs w:val="21"/>
                <w:highlight w:val="none"/>
              </w:rPr>
              <w:t>/</w:t>
            </w:r>
          </w:p>
        </w:tc>
        <w:tc>
          <w:tcPr>
            <w:tcW w:w="1725" w:type="dxa"/>
            <w:tcBorders>
              <w:tl2br w:val="nil"/>
              <w:tr2bl w:val="nil"/>
            </w:tcBorders>
            <w:vAlign w:val="center"/>
          </w:tcPr>
          <w:p w14:paraId="4FFD226C">
            <w:pPr>
              <w:spacing w:beforeLines="0" w:afterLines="0" w:line="240" w:lineRule="auto"/>
              <w:jc w:val="center"/>
              <w:rPr>
                <w:rFonts w:hint="eastAsia" w:ascii="Times New Roman" w:hAnsi="Times New Roman" w:eastAsia="宋体" w:cs="Times New Roman"/>
                <w:snapToGrid w:val="0"/>
                <w:kern w:val="21"/>
                <w:sz w:val="21"/>
                <w:szCs w:val="21"/>
                <w:highlight w:val="none"/>
                <w:lang w:val="en-US" w:eastAsia="zh-CN"/>
              </w:rPr>
            </w:pPr>
            <w:r>
              <w:rPr>
                <w:rFonts w:hint="eastAsia" w:ascii="Times New Roman" w:hAnsi="Times New Roman" w:cs="Times New Roman"/>
                <w:snapToGrid w:val="0"/>
                <w:kern w:val="21"/>
                <w:sz w:val="21"/>
                <w:szCs w:val="21"/>
                <w:highlight w:val="none"/>
                <w:lang w:val="en-US" w:eastAsia="zh-CN"/>
              </w:rPr>
              <w:t>0</w:t>
            </w:r>
          </w:p>
        </w:tc>
        <w:tc>
          <w:tcPr>
            <w:tcW w:w="1485" w:type="dxa"/>
            <w:tcBorders>
              <w:tl2br w:val="nil"/>
              <w:tr2bl w:val="nil"/>
            </w:tcBorders>
            <w:vAlign w:val="center"/>
          </w:tcPr>
          <w:p w14:paraId="26DC1777">
            <w:pPr>
              <w:spacing w:beforeLines="0" w:afterLines="0" w:line="240" w:lineRule="auto"/>
              <w:jc w:val="center"/>
              <w:rPr>
                <w:rFonts w:hint="default" w:ascii="Times New Roman" w:hAnsi="Times New Roman" w:eastAsia="宋体" w:cs="Times New Roman"/>
                <w:snapToGrid w:val="0"/>
                <w:kern w:val="21"/>
                <w:sz w:val="21"/>
                <w:szCs w:val="21"/>
                <w:highlight w:val="none"/>
                <w:lang w:val="en-US"/>
              </w:rPr>
            </w:pPr>
            <w:r>
              <w:rPr>
                <w:rFonts w:hint="eastAsia" w:ascii="Times New Roman" w:cs="Times New Roman"/>
                <w:sz w:val="21"/>
                <w:szCs w:val="21"/>
                <w:highlight w:val="none"/>
                <w:lang w:val="en-US" w:eastAsia="zh-CN"/>
              </w:rPr>
              <w:t>/</w:t>
            </w:r>
          </w:p>
        </w:tc>
        <w:tc>
          <w:tcPr>
            <w:tcW w:w="1590" w:type="dxa"/>
            <w:tcBorders>
              <w:tl2br w:val="nil"/>
              <w:tr2bl w:val="nil"/>
            </w:tcBorders>
            <w:vAlign w:val="center"/>
          </w:tcPr>
          <w:p w14:paraId="3D0224E5">
            <w:pPr>
              <w:jc w:val="center"/>
              <w:rPr>
                <w:rFonts w:hint="default" w:ascii="Times New Roman" w:hAnsi="Times New Roman" w:eastAsia="宋体" w:cs="Times New Roman"/>
                <w:snapToGrid w:val="0"/>
                <w:kern w:val="21"/>
                <w:sz w:val="21"/>
                <w:szCs w:val="21"/>
                <w:highlight w:val="none"/>
              </w:rPr>
            </w:pPr>
            <w:r>
              <w:rPr>
                <w:rFonts w:hint="eastAsia" w:ascii="Times New Roman" w:cs="Times New Roman"/>
                <w:sz w:val="21"/>
                <w:szCs w:val="21"/>
                <w:highlight w:val="none"/>
                <w:lang w:val="en-US" w:eastAsia="zh-CN"/>
              </w:rPr>
              <w:t>0.03kg/a</w:t>
            </w:r>
          </w:p>
        </w:tc>
        <w:tc>
          <w:tcPr>
            <w:tcW w:w="1110" w:type="dxa"/>
            <w:tcBorders>
              <w:tl2br w:val="nil"/>
              <w:tr2bl w:val="nil"/>
            </w:tcBorders>
            <w:vAlign w:val="center"/>
          </w:tcPr>
          <w:p w14:paraId="422A6879">
            <w:pPr>
              <w:jc w:val="center"/>
              <w:rPr>
                <w:rFonts w:hint="eastAsia" w:ascii="Times New Roman" w:hAnsi="Times New Roman" w:eastAsia="宋体" w:cs="Times New Roman"/>
                <w:snapToGrid w:val="0"/>
                <w:kern w:val="21"/>
                <w:sz w:val="21"/>
                <w:szCs w:val="21"/>
                <w:highlight w:val="none"/>
                <w:lang w:eastAsia="zh-CN"/>
              </w:rPr>
            </w:pPr>
            <w:r>
              <w:rPr>
                <w:rFonts w:hint="eastAsia" w:ascii="Times New Roman" w:cs="Times New Roman"/>
                <w:sz w:val="21"/>
                <w:szCs w:val="21"/>
                <w:highlight w:val="none"/>
                <w:lang w:val="en-US" w:eastAsia="zh-CN"/>
              </w:rPr>
              <w:t>0</w:t>
            </w:r>
          </w:p>
        </w:tc>
      </w:tr>
    </w:tbl>
    <w:p w14:paraId="312C11EF">
      <w:pPr>
        <w:pStyle w:val="41"/>
        <w:spacing w:beforeLines="80" w:after="31"/>
        <w:jc w:val="left"/>
        <w:rPr>
          <w:rFonts w:hint="default" w:ascii="Times New Roman" w:cs="Times New Roman"/>
          <w:sz w:val="24"/>
        </w:rPr>
        <w:sectPr>
          <w:footerReference r:id="rId5"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type="lines" w:linePitch="312" w:charSpace="0"/>
        </w:sectPr>
      </w:pPr>
      <w:r>
        <w:rPr>
          <w:rFonts w:hint="default" w:ascii="Times New Roman" w:cs="Times New Roman"/>
          <w:snapToGrid w:val="0"/>
          <w:color w:val="000000"/>
          <w:kern w:val="21"/>
        </w:rPr>
        <w:t>注：</w:t>
      </w:r>
      <w:r>
        <w:rPr>
          <w:rFonts w:hint="default" w:ascii="Times New Roman" w:cs="Times New Roman"/>
          <w:snapToGrid w:val="0"/>
          <w:color w:val="000000"/>
          <w:spacing w:val="-16"/>
          <w:kern w:val="21"/>
        </w:rPr>
        <w:fldChar w:fldCharType="begin"/>
      </w:r>
      <w:r>
        <w:rPr>
          <w:rFonts w:hint="default" w:ascii="Times New Roman" w:cs="Times New Roman"/>
          <w:snapToGrid w:val="0"/>
          <w:color w:val="000000"/>
          <w:spacing w:val="-16"/>
          <w:kern w:val="21"/>
        </w:rPr>
        <w:instrText xml:space="preserve"> = 6 \* GB3 \* MERGEFORMAT </w:instrText>
      </w:r>
      <w:r>
        <w:rPr>
          <w:rFonts w:hint="default" w:ascii="Times New Roman" w:cs="Times New Roman"/>
          <w:snapToGrid w:val="0"/>
          <w:color w:val="000000"/>
          <w:spacing w:val="-16"/>
          <w:kern w:val="21"/>
        </w:rPr>
        <w:fldChar w:fldCharType="separate"/>
      </w:r>
      <w:r>
        <w:rPr>
          <w:rFonts w:hint="default" w:ascii="Times New Roman" w:cs="Times New Roman"/>
        </w:rPr>
        <w:t>⑥</w:t>
      </w:r>
      <w:r>
        <w:rPr>
          <w:rFonts w:hint="default" w:ascii="Times New Roman" w:cs="Times New Roman"/>
        </w:rPr>
        <w:fldChar w:fldCharType="end"/>
      </w:r>
      <w:r>
        <w:rPr>
          <w:rFonts w:hint="default" w:ascii="Times New Roman" w:cs="Times New Roman"/>
          <w:snapToGrid w:val="0"/>
          <w:color w:val="000000"/>
          <w:spacing w:val="-16"/>
          <w:kern w:val="21"/>
        </w:rPr>
        <w:t>=</w:t>
      </w:r>
      <w:r>
        <w:rPr>
          <w:rFonts w:hint="default" w:ascii="Times New Roman" w:cs="Times New Roman"/>
          <w:snapToGrid w:val="0"/>
          <w:color w:val="000000"/>
          <w:spacing w:val="-6"/>
          <w:kern w:val="21"/>
        </w:rPr>
        <w:fldChar w:fldCharType="begin"/>
      </w:r>
      <w:r>
        <w:rPr>
          <w:rFonts w:hint="default" w:ascii="Times New Roman" w:cs="Times New Roman"/>
          <w:snapToGrid w:val="0"/>
          <w:color w:val="000000"/>
          <w:spacing w:val="-6"/>
          <w:kern w:val="21"/>
        </w:rPr>
        <w:instrText xml:space="preserve"> = 1 \* GB3 \* MERGEFORMAT </w:instrText>
      </w:r>
      <w:r>
        <w:rPr>
          <w:rFonts w:hint="default" w:ascii="Times New Roman" w:cs="Times New Roman"/>
          <w:snapToGrid w:val="0"/>
          <w:color w:val="000000"/>
          <w:spacing w:val="-6"/>
          <w:kern w:val="21"/>
        </w:rPr>
        <w:fldChar w:fldCharType="separate"/>
      </w:r>
      <w:r>
        <w:rPr>
          <w:rFonts w:hint="default" w:ascii="Times New Roman" w:cs="Times New Roman"/>
        </w:rPr>
        <w:t>①</w:t>
      </w:r>
      <w:r>
        <w:rPr>
          <w:rFonts w:hint="default" w:ascii="Times New Roman" w:cs="Times New Roman"/>
        </w:rPr>
        <w:fldChar w:fldCharType="end"/>
      </w:r>
      <w:r>
        <w:rPr>
          <w:rFonts w:hint="default" w:ascii="Times New Roman" w:cs="Times New Roman"/>
          <w:snapToGrid w:val="0"/>
          <w:color w:val="000000"/>
          <w:spacing w:val="-6"/>
          <w:kern w:val="21"/>
        </w:rPr>
        <w:t>+</w:t>
      </w:r>
      <w:r>
        <w:rPr>
          <w:rFonts w:hint="default" w:ascii="Times New Roman" w:cs="Times New Roman"/>
          <w:snapToGrid w:val="0"/>
          <w:color w:val="000000"/>
          <w:spacing w:val="-6"/>
          <w:kern w:val="21"/>
        </w:rPr>
        <w:fldChar w:fldCharType="begin"/>
      </w:r>
      <w:r>
        <w:rPr>
          <w:rFonts w:hint="default" w:ascii="Times New Roman" w:cs="Times New Roman"/>
          <w:snapToGrid w:val="0"/>
          <w:color w:val="000000"/>
          <w:spacing w:val="-6"/>
          <w:kern w:val="21"/>
        </w:rPr>
        <w:instrText xml:space="preserve"> = 3 \* GB3 \* MERGEFORMAT </w:instrText>
      </w:r>
      <w:r>
        <w:rPr>
          <w:rFonts w:hint="default" w:ascii="Times New Roman" w:cs="Times New Roman"/>
          <w:snapToGrid w:val="0"/>
          <w:color w:val="000000"/>
          <w:spacing w:val="-6"/>
          <w:kern w:val="21"/>
        </w:rPr>
        <w:fldChar w:fldCharType="separate"/>
      </w:r>
      <w:r>
        <w:rPr>
          <w:rFonts w:hint="default" w:ascii="Times New Roman" w:cs="Times New Roman"/>
        </w:rPr>
        <w:t>③</w:t>
      </w:r>
      <w:r>
        <w:rPr>
          <w:rFonts w:hint="default" w:ascii="Times New Roman" w:cs="Times New Roman"/>
        </w:rPr>
        <w:fldChar w:fldCharType="end"/>
      </w:r>
      <w:r>
        <w:rPr>
          <w:rFonts w:hint="default" w:ascii="Times New Roman" w:cs="Times New Roman"/>
          <w:snapToGrid w:val="0"/>
          <w:color w:val="000000"/>
          <w:spacing w:val="-6"/>
          <w:kern w:val="21"/>
        </w:rPr>
        <w:t>+</w:t>
      </w:r>
      <w:r>
        <w:rPr>
          <w:rFonts w:hint="default" w:ascii="Times New Roman" w:cs="Times New Roman"/>
          <w:snapToGrid w:val="0"/>
          <w:color w:val="000000"/>
          <w:spacing w:val="-6"/>
          <w:kern w:val="21"/>
        </w:rPr>
        <w:fldChar w:fldCharType="begin"/>
      </w:r>
      <w:r>
        <w:rPr>
          <w:rFonts w:hint="default" w:ascii="Times New Roman" w:cs="Times New Roman"/>
          <w:snapToGrid w:val="0"/>
          <w:color w:val="000000"/>
          <w:spacing w:val="-6"/>
          <w:kern w:val="21"/>
        </w:rPr>
        <w:instrText xml:space="preserve"> = 4 \* GB3 \* MERGEFORMAT </w:instrText>
      </w:r>
      <w:r>
        <w:rPr>
          <w:rFonts w:hint="default" w:ascii="Times New Roman" w:cs="Times New Roman"/>
          <w:snapToGrid w:val="0"/>
          <w:color w:val="000000"/>
          <w:spacing w:val="-6"/>
          <w:kern w:val="21"/>
        </w:rPr>
        <w:fldChar w:fldCharType="separate"/>
      </w:r>
      <w:r>
        <w:rPr>
          <w:rFonts w:hint="default" w:ascii="Times New Roman" w:cs="Times New Roman"/>
        </w:rPr>
        <w:t>④</w:t>
      </w:r>
      <w:r>
        <w:rPr>
          <w:rFonts w:hint="default" w:ascii="Times New Roman" w:cs="Times New Roman"/>
        </w:rPr>
        <w:fldChar w:fldCharType="end"/>
      </w:r>
      <w:r>
        <w:rPr>
          <w:rFonts w:hint="default" w:ascii="Times New Roman" w:cs="Times New Roman"/>
          <w:snapToGrid w:val="0"/>
          <w:color w:val="000000"/>
          <w:spacing w:val="-6"/>
          <w:kern w:val="21"/>
        </w:rPr>
        <w:t>-</w:t>
      </w:r>
      <w:r>
        <w:rPr>
          <w:rFonts w:hint="default" w:ascii="Times New Roman" w:cs="Times New Roman"/>
          <w:snapToGrid w:val="0"/>
          <w:color w:val="000000"/>
          <w:spacing w:val="-16"/>
          <w:kern w:val="21"/>
        </w:rPr>
        <w:fldChar w:fldCharType="begin"/>
      </w:r>
      <w:r>
        <w:rPr>
          <w:rFonts w:hint="default" w:ascii="Times New Roman" w:cs="Times New Roman"/>
          <w:snapToGrid w:val="0"/>
          <w:color w:val="000000"/>
          <w:spacing w:val="-16"/>
          <w:kern w:val="21"/>
        </w:rPr>
        <w:instrText xml:space="preserve"> = 5 \* GB3 \* MERGEFORMAT </w:instrText>
      </w:r>
      <w:r>
        <w:rPr>
          <w:rFonts w:hint="default" w:ascii="Times New Roman" w:cs="Times New Roman"/>
          <w:snapToGrid w:val="0"/>
          <w:color w:val="000000"/>
          <w:spacing w:val="-16"/>
          <w:kern w:val="21"/>
        </w:rPr>
        <w:fldChar w:fldCharType="separate"/>
      </w:r>
      <w:r>
        <w:rPr>
          <w:rFonts w:hint="default" w:ascii="Times New Roman" w:cs="Times New Roman"/>
        </w:rPr>
        <w:t>⑤</w:t>
      </w:r>
      <w:r>
        <w:rPr>
          <w:rFonts w:hint="default" w:ascii="Times New Roman" w:cs="Times New Roman"/>
        </w:rPr>
        <w:fldChar w:fldCharType="end"/>
      </w:r>
      <w:r>
        <w:rPr>
          <w:rFonts w:hint="default" w:ascii="Times New Roman" w:cs="Times New Roman"/>
          <w:snapToGrid w:val="0"/>
          <w:color w:val="000000"/>
          <w:spacing w:val="-16"/>
          <w:kern w:val="21"/>
        </w:rPr>
        <w:t>；</w:t>
      </w:r>
      <w:r>
        <w:rPr>
          <w:rFonts w:hint="default" w:ascii="Times New Roman" w:cs="Times New Roman"/>
          <w:snapToGrid w:val="0"/>
          <w:color w:val="000000"/>
          <w:spacing w:val="-6"/>
          <w:kern w:val="21"/>
        </w:rPr>
        <w:fldChar w:fldCharType="begin"/>
      </w:r>
      <w:r>
        <w:rPr>
          <w:rFonts w:hint="default" w:ascii="Times New Roman" w:cs="Times New Roman"/>
          <w:snapToGrid w:val="0"/>
          <w:color w:val="000000"/>
          <w:spacing w:val="-6"/>
          <w:kern w:val="21"/>
        </w:rPr>
        <w:instrText xml:space="preserve"> = 7 \* GB3 \* MERGEFORMAT </w:instrText>
      </w:r>
      <w:r>
        <w:rPr>
          <w:rFonts w:hint="default" w:ascii="Times New Roman" w:cs="Times New Roman"/>
          <w:snapToGrid w:val="0"/>
          <w:color w:val="000000"/>
          <w:spacing w:val="-6"/>
          <w:kern w:val="21"/>
        </w:rPr>
        <w:fldChar w:fldCharType="separate"/>
      </w:r>
      <w:r>
        <w:rPr>
          <w:rFonts w:hint="default" w:ascii="Times New Roman" w:cs="Times New Roman"/>
        </w:rPr>
        <w:t>⑦</w:t>
      </w:r>
      <w:r>
        <w:rPr>
          <w:rFonts w:hint="default" w:ascii="Times New Roman" w:cs="Times New Roman"/>
        </w:rPr>
        <w:fldChar w:fldCharType="end"/>
      </w:r>
      <w:r>
        <w:rPr>
          <w:rFonts w:hint="default" w:ascii="Times New Roman" w:cs="Times New Roman"/>
          <w:snapToGrid w:val="0"/>
          <w:color w:val="000000"/>
          <w:spacing w:val="-6"/>
          <w:kern w:val="21"/>
        </w:rPr>
        <w:t>=</w:t>
      </w:r>
      <w:r>
        <w:rPr>
          <w:rFonts w:hint="default" w:ascii="Times New Roman" w:cs="Times New Roman"/>
          <w:snapToGrid w:val="0"/>
          <w:color w:val="000000"/>
          <w:spacing w:val="-16"/>
          <w:kern w:val="21"/>
        </w:rPr>
        <w:fldChar w:fldCharType="begin"/>
      </w:r>
      <w:r>
        <w:rPr>
          <w:rFonts w:hint="default" w:ascii="Times New Roman" w:cs="Times New Roman"/>
          <w:snapToGrid w:val="0"/>
          <w:color w:val="000000"/>
          <w:spacing w:val="-16"/>
          <w:kern w:val="21"/>
        </w:rPr>
        <w:instrText xml:space="preserve"> = 6 \* GB3 \* MERGEFORMAT </w:instrText>
      </w:r>
      <w:r>
        <w:rPr>
          <w:rFonts w:hint="default" w:ascii="Times New Roman" w:cs="Times New Roman"/>
          <w:snapToGrid w:val="0"/>
          <w:color w:val="000000"/>
          <w:spacing w:val="-16"/>
          <w:kern w:val="21"/>
        </w:rPr>
        <w:fldChar w:fldCharType="separate"/>
      </w:r>
      <w:r>
        <w:rPr>
          <w:rFonts w:hint="default" w:ascii="Times New Roman" w:cs="Times New Roman"/>
        </w:rPr>
        <w:t>⑥</w:t>
      </w:r>
      <w:r>
        <w:rPr>
          <w:rFonts w:hint="default" w:ascii="Times New Roman" w:cs="Times New Roman"/>
        </w:rPr>
        <w:fldChar w:fldCharType="end"/>
      </w:r>
      <w:r>
        <w:rPr>
          <w:rFonts w:hint="default" w:ascii="Times New Roman" w:cs="Times New Roman"/>
          <w:snapToGrid w:val="0"/>
          <w:color w:val="000000"/>
          <w:spacing w:val="-16"/>
          <w:kern w:val="21"/>
        </w:rPr>
        <w:t>-</w:t>
      </w:r>
      <w:r>
        <w:rPr>
          <w:rFonts w:hint="default" w:ascii="Times New Roman" w:cs="Times New Roman"/>
          <w:snapToGrid w:val="0"/>
          <w:color w:val="000000"/>
          <w:spacing w:val="-6"/>
          <w:kern w:val="21"/>
        </w:rPr>
        <w:fldChar w:fldCharType="begin"/>
      </w:r>
      <w:r>
        <w:rPr>
          <w:rFonts w:hint="default" w:ascii="Times New Roman" w:cs="Times New Roman"/>
          <w:snapToGrid w:val="0"/>
          <w:color w:val="000000"/>
          <w:spacing w:val="-6"/>
          <w:kern w:val="21"/>
        </w:rPr>
        <w:instrText xml:space="preserve"> = 1 \* GB3 \* MERGEFORMAT </w:instrText>
      </w:r>
      <w:r>
        <w:rPr>
          <w:rFonts w:hint="default" w:ascii="Times New Roman" w:cs="Times New Roman"/>
          <w:snapToGrid w:val="0"/>
          <w:color w:val="000000"/>
          <w:spacing w:val="-6"/>
          <w:kern w:val="21"/>
        </w:rPr>
        <w:fldChar w:fldCharType="separate"/>
      </w:r>
      <w:r>
        <w:rPr>
          <w:rFonts w:hint="default" w:ascii="Times New Roman" w:cs="Times New Roman"/>
        </w:rPr>
        <w:t>①</w:t>
      </w:r>
      <w:r>
        <w:rPr>
          <w:rFonts w:hint="default" w:ascii="Times New Roman" w:cs="Times New Roman"/>
        </w:rPr>
        <w:fldChar w:fldCharType="end"/>
      </w:r>
    </w:p>
    <w:p w14:paraId="65914433">
      <w:pPr>
        <w:spacing w:line="360" w:lineRule="auto"/>
        <w:outlineLvl w:val="0"/>
        <w:rPr>
          <w:rFonts w:ascii="Times New Roman" w:hAnsi="Times New Roman" w:cs="Times New Roman"/>
          <w:b/>
          <w:bCs/>
        </w:rPr>
      </w:pPr>
      <w:r>
        <w:rPr>
          <w:rFonts w:ascii="Times New Roman" w:hAnsi="Times New Roman" w:cs="Times New Roman"/>
          <w:b/>
          <w:bCs/>
        </w:rPr>
        <w:t>附图1  项目</w:t>
      </w:r>
      <w:r>
        <w:rPr>
          <w:rFonts w:hint="eastAsia" w:ascii="Times New Roman" w:hAnsi="Times New Roman" w:cs="Times New Roman"/>
          <w:b/>
          <w:bCs/>
        </w:rPr>
        <w:t>所在</w:t>
      </w:r>
      <w:r>
        <w:rPr>
          <w:rFonts w:ascii="Times New Roman" w:hAnsi="Times New Roman" w:cs="Times New Roman"/>
          <w:b/>
          <w:bCs/>
        </w:rPr>
        <w:t>地理位置图</w:t>
      </w:r>
    </w:p>
    <w:p w14:paraId="1CE24503">
      <w:pPr>
        <w:spacing w:line="360" w:lineRule="auto"/>
        <w:outlineLvl w:val="0"/>
        <w:rPr>
          <w:rFonts w:ascii="Times New Roman" w:hAnsi="Times New Roman" w:cs="Times New Roman"/>
          <w:b/>
          <w:bCs/>
        </w:rPr>
      </w:pPr>
      <w:r>
        <w:rPr>
          <w:rFonts w:ascii="Times New Roman" w:hAnsi="Times New Roman" w:cs="Times New Roman"/>
        </w:rPr>
        <mc:AlternateContent>
          <mc:Choice Requires="wps">
            <w:drawing>
              <wp:anchor distT="0" distB="0" distL="114300" distR="114300" simplePos="0" relativeHeight="251664384" behindDoc="0" locked="0" layoutInCell="1" allowOverlap="1">
                <wp:simplePos x="0" y="0"/>
                <wp:positionH relativeFrom="column">
                  <wp:posOffset>5382895</wp:posOffset>
                </wp:positionH>
                <wp:positionV relativeFrom="paragraph">
                  <wp:posOffset>1677035</wp:posOffset>
                </wp:positionV>
                <wp:extent cx="1043305" cy="284480"/>
                <wp:effectExtent l="520700" t="4445" r="17145" b="701675"/>
                <wp:wrapNone/>
                <wp:docPr id="30" name="矩形标注 6"/>
                <wp:cNvGraphicFramePr/>
                <a:graphic xmlns:a="http://schemas.openxmlformats.org/drawingml/2006/main">
                  <a:graphicData uri="http://schemas.microsoft.com/office/word/2010/wordprocessingShape">
                    <wps:wsp>
                      <wps:cNvSpPr/>
                      <wps:spPr>
                        <a:xfrm>
                          <a:off x="0" y="0"/>
                          <a:ext cx="1043305" cy="284480"/>
                        </a:xfrm>
                        <a:prstGeom prst="wedgeRectCallout">
                          <a:avLst>
                            <a:gd name="adj1" fmla="val -96987"/>
                            <a:gd name="adj2" fmla="val 282142"/>
                          </a:avLst>
                        </a:prstGeom>
                        <a:solidFill>
                          <a:srgbClr val="FFFF00"/>
                        </a:solidFill>
                        <a:ln w="9525" cap="flat" cmpd="sng">
                          <a:solidFill>
                            <a:srgbClr val="000000"/>
                          </a:solidFill>
                          <a:prstDash val="solid"/>
                          <a:miter/>
                          <a:headEnd type="none" w="med" len="med"/>
                          <a:tailEnd type="none" w="med" len="med"/>
                        </a:ln>
                        <a:effectLst/>
                      </wps:spPr>
                      <wps:txbx>
                        <w:txbxContent>
                          <w:p w14:paraId="7A40FB62">
                            <w:pPr>
                              <w:rPr>
                                <w:sz w:val="21"/>
                                <w:szCs w:val="21"/>
                              </w:rPr>
                            </w:pPr>
                            <w:r>
                              <w:rPr>
                                <w:rFonts w:hint="eastAsia"/>
                                <w:sz w:val="21"/>
                                <w:szCs w:val="21"/>
                              </w:rPr>
                              <w:t>项目所在位置</w:t>
                            </w:r>
                          </w:p>
                        </w:txbxContent>
                      </wps:txbx>
                      <wps:bodyPr upright="1"/>
                    </wps:wsp>
                  </a:graphicData>
                </a:graphic>
              </wp:anchor>
            </w:drawing>
          </mc:Choice>
          <mc:Fallback>
            <w:pict>
              <v:shape id="矩形标注 6" o:spid="_x0000_s1026" o:spt="61" type="#_x0000_t61" style="position:absolute;left:0pt;margin-left:423.85pt;margin-top:132.05pt;height:22.4pt;width:82.15pt;z-index:251664384;mso-width-relative:page;mso-height-relative:page;" fillcolor="#FFFF00" filled="t" stroked="t" coordsize="21600,21600" o:gfxdata="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Pobbp2QAAAAwBAAAPAAAAAAAAAAEAIAAA&#10;ACIAAABkcnMvZG93bnJldi54bWxQSwECFAAUAAAACACHTuJA1se0KUQCAACdBAAADgAAAAAAAAAB&#10;ACAAAAAoAQAAZHJzL2Uyb0RvYy54bWxQSwUGAAAAAAYABgBZAQAA3gUAAAAA&#10;" adj="-10149,71743">
                <v:fill on="t" focussize="0,0"/>
                <v:stroke color="#000000" joinstyle="miter"/>
                <v:imagedata o:title=""/>
                <o:lock v:ext="edit" aspectratio="f"/>
                <v:textbox>
                  <w:txbxContent>
                    <w:p w14:paraId="7A40FB62">
                      <w:pPr>
                        <w:rPr>
                          <w:sz w:val="21"/>
                          <w:szCs w:val="21"/>
                        </w:rPr>
                      </w:pPr>
                      <w:r>
                        <w:rPr>
                          <w:rFonts w:hint="eastAsia"/>
                          <w:sz w:val="21"/>
                          <w:szCs w:val="21"/>
                        </w:rPr>
                        <w:t>项目所在位置</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4750435</wp:posOffset>
                </wp:positionH>
                <wp:positionV relativeFrom="paragraph">
                  <wp:posOffset>2598420</wp:posOffset>
                </wp:positionV>
                <wp:extent cx="114300" cy="180975"/>
                <wp:effectExtent l="13335" t="33020" r="24765" b="33655"/>
                <wp:wrapNone/>
                <wp:docPr id="31" name="五角星 7"/>
                <wp:cNvGraphicFramePr/>
                <a:graphic xmlns:a="http://schemas.openxmlformats.org/drawingml/2006/main">
                  <a:graphicData uri="http://schemas.microsoft.com/office/word/2010/wordprocessingShape">
                    <wps:wsp>
                      <wps:cNvSpPr/>
                      <wps:spPr>
                        <a:xfrm>
                          <a:off x="5744845" y="3886835"/>
                          <a:ext cx="114300" cy="180975"/>
                        </a:xfrm>
                        <a:prstGeom prst="star5">
                          <a:avLst/>
                        </a:prstGeom>
                        <a:solidFill>
                          <a:srgbClr val="FF0000"/>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7" o:spid="_x0000_s1026" style="position:absolute;left:0pt;margin-left:374.05pt;margin-top:204.6pt;height:14.25pt;width:9pt;z-index:251665408;v-text-anchor:middle;mso-width-relative:page;mso-height-relative:page;" fillcolor="#FF0000" filled="t" stroked="t" coordsize="114300,180975" o:gfxdata="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8ZM5lNgAAAALAQAADwAAAAAAAAABACAAAAAiAAAAZHJzL2Rvd25yZXYueG1sUEsBAhQAFAAA&#10;AAgAh07iQDbrJXeaAgAAMwUAAA4AAAAAAAAAAQAgAAAAJwEAAGRycy9lMm9Eb2MueG1sUEsFBgAA&#10;AAAGAAYAWQEAADMGAAAAAA==&#10;" path="m0,69126l43658,69126,57150,0,70641,69126,114299,69126,78978,111848,92470,180974,57150,138251,21829,180974,35321,111848xe">
                <v:path o:connectlocs="57150,0;0,69126;21829,180974;92470,180974;114299,69126" o:connectangles="247,164,82,82,0"/>
                <v:fill on="t" focussize="0,0"/>
                <v:stroke weight="1pt" color="#2D5171" miterlimit="8" joinstyle="miter"/>
                <v:imagedata o:title=""/>
                <o:lock v:ext="edit" aspectratio="f"/>
              </v:shape>
            </w:pict>
          </mc:Fallback>
        </mc:AlternateContent>
      </w:r>
      <w:r>
        <w:rPr>
          <w:rFonts w:ascii="宋体" w:hAnsi="宋体" w:eastAsia="宋体" w:cs="宋体"/>
          <w:sz w:val="24"/>
          <w:szCs w:val="24"/>
        </w:rPr>
        <w:drawing>
          <wp:inline distT="0" distB="0" distL="114300" distR="114300">
            <wp:extent cx="8524875" cy="5115560"/>
            <wp:effectExtent l="0" t="0" r="9525" b="8890"/>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8"/>
                    <a:stretch>
                      <a:fillRect/>
                    </a:stretch>
                  </pic:blipFill>
                  <pic:spPr>
                    <a:xfrm>
                      <a:off x="0" y="0"/>
                      <a:ext cx="8524875" cy="5115560"/>
                    </a:xfrm>
                    <a:prstGeom prst="rect">
                      <a:avLst/>
                    </a:prstGeom>
                    <a:noFill/>
                    <a:ln w="9525">
                      <a:noFill/>
                    </a:ln>
                  </pic:spPr>
                </pic:pic>
              </a:graphicData>
            </a:graphic>
          </wp:inline>
        </w:drawing>
      </w:r>
    </w:p>
    <w:p w14:paraId="37F58C58">
      <w:pPr>
        <w:pStyle w:val="31"/>
        <w:jc w:val="both"/>
        <w:outlineLvl w:val="0"/>
        <w:rPr>
          <w:rFonts w:ascii="Times New Roman" w:hAnsi="Times New Roman"/>
        </w:rPr>
      </w:pPr>
      <w:r>
        <w:rPr>
          <w:rFonts w:ascii="Times New Roman" w:hAnsi="Times New Roman"/>
          <w:b/>
          <w:bCs/>
          <w:color w:val="auto"/>
        </w:rPr>
        <w:t>附图</w:t>
      </w:r>
      <w:r>
        <w:rPr>
          <w:rFonts w:hint="eastAsia" w:ascii="Times New Roman" w:hAnsi="Times New Roman"/>
          <w:b/>
          <w:bCs/>
          <w:color w:val="auto"/>
          <w:lang w:val="en-US" w:eastAsia="zh-CN"/>
        </w:rPr>
        <w:t>2</w:t>
      </w:r>
      <w:r>
        <w:rPr>
          <w:rFonts w:ascii="Times New Roman" w:hAnsi="Times New Roman"/>
          <w:b/>
          <w:bCs/>
          <w:color w:val="auto"/>
        </w:rPr>
        <w:t xml:space="preserve">  </w:t>
      </w:r>
      <w:r>
        <w:rPr>
          <w:rFonts w:hint="eastAsia" w:ascii="Times New Roman" w:hAnsi="Times New Roman"/>
          <w:b/>
          <w:bCs/>
          <w:color w:val="auto"/>
        </w:rPr>
        <w:t>项目与综合管控单元位置关系图</w:t>
      </w:r>
    </w:p>
    <w:p w14:paraId="3CCA19B2">
      <w:pPr>
        <w:spacing w:line="360" w:lineRule="auto"/>
        <w:outlineLvl w:val="0"/>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type="lines" w:linePitch="312" w:charSpace="0"/>
        </w:sectPr>
      </w:pPr>
      <w:r>
        <w:rPr>
          <w:rFonts w:ascii="Times New Roman" w:hAnsi="Times New Roman" w:cs="Times New Roman"/>
        </w:rPr>
        <mc:AlternateContent>
          <mc:Choice Requires="wps">
            <w:drawing>
              <wp:anchor distT="0" distB="0" distL="114300" distR="114300" simplePos="0" relativeHeight="251668480" behindDoc="0" locked="0" layoutInCell="1" allowOverlap="1">
                <wp:simplePos x="0" y="0"/>
                <wp:positionH relativeFrom="column">
                  <wp:posOffset>4525645</wp:posOffset>
                </wp:positionH>
                <wp:positionV relativeFrom="paragraph">
                  <wp:posOffset>2023745</wp:posOffset>
                </wp:positionV>
                <wp:extent cx="1043305" cy="284480"/>
                <wp:effectExtent l="520700" t="4445" r="17145" b="701675"/>
                <wp:wrapNone/>
                <wp:docPr id="34" name="矩形标注 6"/>
                <wp:cNvGraphicFramePr/>
                <a:graphic xmlns:a="http://schemas.openxmlformats.org/drawingml/2006/main">
                  <a:graphicData uri="http://schemas.microsoft.com/office/word/2010/wordprocessingShape">
                    <wps:wsp>
                      <wps:cNvSpPr/>
                      <wps:spPr>
                        <a:xfrm>
                          <a:off x="0" y="0"/>
                          <a:ext cx="1043305" cy="284480"/>
                        </a:xfrm>
                        <a:prstGeom prst="wedgeRectCallout">
                          <a:avLst>
                            <a:gd name="adj1" fmla="val -96987"/>
                            <a:gd name="adj2" fmla="val 282142"/>
                          </a:avLst>
                        </a:prstGeom>
                        <a:solidFill>
                          <a:srgbClr val="FFFF00"/>
                        </a:solidFill>
                        <a:ln w="9525" cap="flat" cmpd="sng">
                          <a:solidFill>
                            <a:srgbClr val="000000"/>
                          </a:solidFill>
                          <a:prstDash val="solid"/>
                          <a:miter/>
                          <a:headEnd type="none" w="med" len="med"/>
                          <a:tailEnd type="none" w="med" len="med"/>
                        </a:ln>
                        <a:effectLst/>
                      </wps:spPr>
                      <wps:txbx>
                        <w:txbxContent>
                          <w:p w14:paraId="0D0DFAD1">
                            <w:pPr>
                              <w:rPr>
                                <w:sz w:val="21"/>
                                <w:szCs w:val="21"/>
                              </w:rPr>
                            </w:pPr>
                            <w:r>
                              <w:rPr>
                                <w:rFonts w:hint="eastAsia"/>
                                <w:sz w:val="21"/>
                                <w:szCs w:val="21"/>
                              </w:rPr>
                              <w:t>项目所在位置</w:t>
                            </w:r>
                          </w:p>
                        </w:txbxContent>
                      </wps:txbx>
                      <wps:bodyPr upright="1"/>
                    </wps:wsp>
                  </a:graphicData>
                </a:graphic>
              </wp:anchor>
            </w:drawing>
          </mc:Choice>
          <mc:Fallback>
            <w:pict>
              <v:shape id="矩形标注 6" o:spid="_x0000_s1026" o:spt="61" type="#_x0000_t61" style="position:absolute;left:0pt;margin-left:356.35pt;margin-top:159.35pt;height:22.4pt;width:82.15pt;z-index:251668480;mso-width-relative:page;mso-height-relative:page;" fillcolor="#FFFF00" filled="t" stroked="t" coordsize="21600,21600" o:gfxdata="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u6D+LYAAAACwEAAA8AAAAAAAAAAQAgAAAA&#10;IgAAAGRycy9kb3ducmV2LnhtbFBLAQIUABQAAAAIAIdO4kBIko48RAIAAJ0EAAAOAAAAAAAAAAEA&#10;IAAAACcBAABkcnMvZTJvRG9jLnhtbFBLBQYAAAAABgAGAFkBAADdBQAAAAA=&#10;" adj="-10149,71743">
                <v:fill on="t" focussize="0,0"/>
                <v:stroke color="#000000" joinstyle="miter"/>
                <v:imagedata o:title=""/>
                <o:lock v:ext="edit" aspectratio="f"/>
                <v:textbox>
                  <w:txbxContent>
                    <w:p w14:paraId="0D0DFAD1">
                      <w:pPr>
                        <w:rPr>
                          <w:sz w:val="21"/>
                          <w:szCs w:val="21"/>
                        </w:rPr>
                      </w:pPr>
                      <w:r>
                        <w:rPr>
                          <w:rFonts w:hint="eastAsia"/>
                          <w:sz w:val="21"/>
                          <w:szCs w:val="21"/>
                        </w:rPr>
                        <w:t>项目所在位置</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3893185</wp:posOffset>
                </wp:positionH>
                <wp:positionV relativeFrom="paragraph">
                  <wp:posOffset>2945130</wp:posOffset>
                </wp:positionV>
                <wp:extent cx="114300" cy="180975"/>
                <wp:effectExtent l="13335" t="33020" r="24765" b="33655"/>
                <wp:wrapNone/>
                <wp:docPr id="35" name="五角星 7"/>
                <wp:cNvGraphicFramePr/>
                <a:graphic xmlns:a="http://schemas.openxmlformats.org/drawingml/2006/main">
                  <a:graphicData uri="http://schemas.microsoft.com/office/word/2010/wordprocessingShape">
                    <wps:wsp>
                      <wps:cNvSpPr/>
                      <wps:spPr>
                        <a:xfrm>
                          <a:off x="5744845" y="3886835"/>
                          <a:ext cx="114300" cy="180975"/>
                        </a:xfrm>
                        <a:prstGeom prst="star5">
                          <a:avLst/>
                        </a:prstGeom>
                        <a:solidFill>
                          <a:srgbClr val="FF0000"/>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7" o:spid="_x0000_s1026" style="position:absolute;left:0pt;margin-left:306.55pt;margin-top:231.9pt;height:14.25pt;width:9pt;z-index:251669504;v-text-anchor:middle;mso-width-relative:page;mso-height-relative:page;" fillcolor="#FF0000" filled="t" stroked="t" coordsize="114300,180975" o:gfxdata="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cT3Gp1wAAAAsBAAAPAAAAAAAAAAEAIAAAACIAAABkcnMvZG93bnJldi54bWxQSwECFAAUAAAA&#10;CACHTuJAG/1H9ZoCAAAzBQAADgAAAAAAAAABACAAAAAmAQAAZHJzL2Uyb0RvYy54bWxQSwUGAAAA&#10;AAYABgBZAQAAMgYAAAAA&#10;" path="m0,69126l43658,69126,57150,0,70641,69126,114299,69126,78978,111848,92470,180974,57150,138251,21829,180974,35321,111848xe">
                <v:path o:connectlocs="57150,0;0,69126;21829,180974;92470,180974;114299,69126" o:connectangles="247,164,82,82,0"/>
                <v:fill on="t" focussize="0,0"/>
                <v:stroke weight="1pt" color="#2D5171" miterlimit="8" joinstyle="miter"/>
                <v:imagedata o:title=""/>
                <o:lock v:ext="edit" aspectratio="f"/>
              </v:shape>
            </w:pict>
          </mc:Fallback>
        </mc:AlternateContent>
      </w:r>
      <w:r>
        <w:drawing>
          <wp:inline distT="0" distB="0" distL="114300" distR="114300">
            <wp:extent cx="8529320" cy="5309870"/>
            <wp:effectExtent l="0" t="0" r="5080" b="508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9"/>
                    <a:stretch>
                      <a:fillRect/>
                    </a:stretch>
                  </pic:blipFill>
                  <pic:spPr>
                    <a:xfrm>
                      <a:off x="0" y="0"/>
                      <a:ext cx="8529320" cy="5309870"/>
                    </a:xfrm>
                    <a:prstGeom prst="rect">
                      <a:avLst/>
                    </a:prstGeom>
                    <a:noFill/>
                    <a:ln>
                      <a:noFill/>
                    </a:ln>
                  </pic:spPr>
                </pic:pic>
              </a:graphicData>
            </a:graphic>
          </wp:inline>
        </w:drawing>
      </w:r>
    </w:p>
    <w:p w14:paraId="7866CEBB">
      <w:pPr>
        <w:spacing w:line="360" w:lineRule="auto"/>
        <w:outlineLvl w:val="0"/>
        <w:rPr>
          <w:rFonts w:hint="default" w:ascii="Times New Roman" w:hAnsi="Times New Roman" w:eastAsia="宋体" w:cs="Times New Roman"/>
          <w:b/>
          <w:bCs/>
          <w:sz w:val="24"/>
          <w:szCs w:val="24"/>
          <w:lang w:val="en-US" w:eastAsia="zh-CN"/>
        </w:rPr>
      </w:pPr>
      <w:r>
        <w:rPr>
          <w:rFonts w:ascii="Times New Roman" w:hAnsi="Times New Roman" w:cs="Times New Roman"/>
          <w:b/>
          <w:bCs/>
        </w:rPr>
        <w:t>附图</w:t>
      </w:r>
      <w:r>
        <w:rPr>
          <w:rFonts w:hint="eastAsia" w:ascii="Times New Roman" w:hAnsi="Times New Roman" w:cs="Times New Roman"/>
          <w:b/>
          <w:bCs/>
          <w:lang w:val="en-US" w:eastAsia="zh-CN"/>
        </w:rPr>
        <w:t>3</w:t>
      </w:r>
      <w:r>
        <w:rPr>
          <w:rFonts w:ascii="Times New Roman" w:hAnsi="Times New Roman" w:cs="Times New Roman"/>
          <w:b/>
          <w:bCs/>
        </w:rPr>
        <w:t xml:space="preserve">  </w:t>
      </w:r>
      <w:r>
        <w:rPr>
          <w:rFonts w:hint="eastAsia" w:ascii="Times New Roman" w:hAnsi="Times New Roman" w:cs="Times New Roman"/>
          <w:b/>
          <w:bCs/>
          <w:lang w:val="en-US" w:eastAsia="zh-CN"/>
        </w:rPr>
        <w:t>危废暂存间内的分区情况图</w:t>
      </w:r>
    </w:p>
    <w:p w14:paraId="2DECE653">
      <w:pPr>
        <w:spacing w:line="360" w:lineRule="auto"/>
        <w:outlineLvl w:val="0"/>
        <w:rPr>
          <w:rFonts w:ascii="Times New Roman" w:hAnsi="Times New Roman" w:cs="Times New Roman"/>
          <w:b/>
          <w:bCs/>
        </w:rPr>
      </w:pPr>
      <w:r>
        <w:rPr>
          <w:sz w:val="24"/>
          <w:highlight w:val="none"/>
        </w:rPr>
        <w:drawing>
          <wp:anchor distT="0" distB="0" distL="114300" distR="114300" simplePos="0" relativeHeight="251685888" behindDoc="0" locked="0" layoutInCell="1" allowOverlap="1">
            <wp:simplePos x="0" y="0"/>
            <wp:positionH relativeFrom="column">
              <wp:posOffset>5096510</wp:posOffset>
            </wp:positionH>
            <wp:positionV relativeFrom="margin">
              <wp:posOffset>428625</wp:posOffset>
            </wp:positionV>
            <wp:extent cx="474345" cy="455295"/>
            <wp:effectExtent l="0" t="0" r="1905" b="1905"/>
            <wp:wrapNone/>
            <wp:docPr id="28"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32313538393032313b32313538383439383bd6b8b1b1d5eb"/>
                    <pic:cNvPicPr>
                      <a:picLocks noChangeAspect="1"/>
                    </pic:cNvPicPr>
                  </pic:nvPicPr>
                  <pic:blipFill>
                    <a:blip r:embed="rId10"/>
                    <a:stretch>
                      <a:fillRect/>
                    </a:stretch>
                  </pic:blipFill>
                  <pic:spPr>
                    <a:xfrm rot="5400000">
                      <a:off x="0" y="0"/>
                      <a:ext cx="474345" cy="455295"/>
                    </a:xfrm>
                    <a:prstGeom prst="rect">
                      <a:avLst/>
                    </a:prstGeom>
                    <a:noFill/>
                    <a:ln>
                      <a:noFill/>
                    </a:ln>
                  </pic:spPr>
                </pic:pic>
              </a:graphicData>
            </a:graphic>
          </wp:anchor>
        </w:drawing>
      </w:r>
      <w:r>
        <w:drawing>
          <wp:inline distT="0" distB="0" distL="114300" distR="114300">
            <wp:extent cx="5647690" cy="7800340"/>
            <wp:effectExtent l="0" t="0" r="10160" b="1016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11"/>
                    <a:stretch>
                      <a:fillRect/>
                    </a:stretch>
                  </pic:blipFill>
                  <pic:spPr>
                    <a:xfrm>
                      <a:off x="0" y="0"/>
                      <a:ext cx="5647690" cy="7800340"/>
                    </a:xfrm>
                    <a:prstGeom prst="rect">
                      <a:avLst/>
                    </a:prstGeom>
                    <a:noFill/>
                    <a:ln>
                      <a:noFill/>
                    </a:ln>
                  </pic:spPr>
                </pic:pic>
              </a:graphicData>
            </a:graphic>
          </wp:inline>
        </w:drawing>
      </w:r>
      <w:r>
        <w:rPr>
          <w:sz w:val="24"/>
          <w:highlight w:val="none"/>
        </w:rPr>
        <w:drawing>
          <wp:anchor distT="0" distB="0" distL="114300" distR="114300" simplePos="0" relativeHeight="251683840" behindDoc="0" locked="0" layoutInCell="1" allowOverlap="1">
            <wp:simplePos x="0" y="0"/>
            <wp:positionH relativeFrom="column">
              <wp:posOffset>7805420</wp:posOffset>
            </wp:positionH>
            <wp:positionV relativeFrom="margin">
              <wp:posOffset>24130</wp:posOffset>
            </wp:positionV>
            <wp:extent cx="807085" cy="807085"/>
            <wp:effectExtent l="0" t="0" r="12065" b="12065"/>
            <wp:wrapNone/>
            <wp:docPr id="40"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32313538393032313b32313538383439383bd6b8b1b1d5eb"/>
                    <pic:cNvPicPr>
                      <a:picLocks noChangeAspect="1"/>
                    </pic:cNvPicPr>
                  </pic:nvPicPr>
                  <pic:blipFill>
                    <a:blip r:embed="rId10"/>
                    <a:stretch>
                      <a:fillRect/>
                    </a:stretch>
                  </pic:blipFill>
                  <pic:spPr>
                    <a:xfrm>
                      <a:off x="0" y="0"/>
                      <a:ext cx="807085" cy="807085"/>
                    </a:xfrm>
                    <a:prstGeom prst="rect">
                      <a:avLst/>
                    </a:prstGeom>
                    <a:noFill/>
                    <a:ln>
                      <a:noFill/>
                    </a:ln>
                  </pic:spPr>
                </pic:pic>
              </a:graphicData>
            </a:graphic>
          </wp:anchor>
        </w:drawing>
      </w:r>
      <w:r>
        <w:rPr>
          <w:sz w:val="24"/>
          <w:highlight w:val="none"/>
        </w:rPr>
        <w:drawing>
          <wp:anchor distT="0" distB="0" distL="114300" distR="114300" simplePos="0" relativeHeight="251684864" behindDoc="0" locked="0" layoutInCell="1" allowOverlap="1">
            <wp:simplePos x="0" y="0"/>
            <wp:positionH relativeFrom="column">
              <wp:posOffset>7957820</wp:posOffset>
            </wp:positionH>
            <wp:positionV relativeFrom="margin">
              <wp:posOffset>176530</wp:posOffset>
            </wp:positionV>
            <wp:extent cx="807085" cy="807085"/>
            <wp:effectExtent l="0" t="0" r="12065" b="12065"/>
            <wp:wrapNone/>
            <wp:docPr id="27"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32313538393032313b32313538383439383bd6b8b1b1d5eb"/>
                    <pic:cNvPicPr>
                      <a:picLocks noChangeAspect="1"/>
                    </pic:cNvPicPr>
                  </pic:nvPicPr>
                  <pic:blipFill>
                    <a:blip r:embed="rId10"/>
                    <a:stretch>
                      <a:fillRect/>
                    </a:stretch>
                  </pic:blipFill>
                  <pic:spPr>
                    <a:xfrm>
                      <a:off x="0" y="0"/>
                      <a:ext cx="807085" cy="807085"/>
                    </a:xfrm>
                    <a:prstGeom prst="rect">
                      <a:avLst/>
                    </a:prstGeom>
                    <a:noFill/>
                    <a:ln>
                      <a:noFill/>
                    </a:ln>
                  </pic:spPr>
                </pic:pic>
              </a:graphicData>
            </a:graphic>
          </wp:anchor>
        </w:drawing>
      </w:r>
    </w:p>
    <w:p w14:paraId="7DD72D9B">
      <w:pPr>
        <w:spacing w:line="360" w:lineRule="auto"/>
        <w:outlineLvl w:val="0"/>
        <w:rPr>
          <w:rFonts w:ascii="Times New Roman" w:hAnsi="Times New Roman" w:cs="Times New Roman"/>
          <w:b/>
          <w:bCs/>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type="lines" w:linePitch="312" w:charSpace="0"/>
        </w:sectPr>
      </w:pPr>
    </w:p>
    <w:p w14:paraId="76CB571C">
      <w:pPr>
        <w:spacing w:line="360" w:lineRule="auto"/>
        <w:outlineLvl w:val="0"/>
        <w:rPr>
          <w:rFonts w:hint="default" w:ascii="Times New Roman" w:hAnsi="Times New Roman" w:eastAsia="宋体" w:cs="Times New Roman"/>
          <w:b/>
          <w:bCs/>
          <w:sz w:val="24"/>
          <w:szCs w:val="24"/>
          <w:lang w:val="en-US" w:eastAsia="zh-CN"/>
        </w:rPr>
      </w:pPr>
      <w:r>
        <w:rPr>
          <w:rFonts w:ascii="Times New Roman" w:hAnsi="Times New Roman" w:cs="Times New Roman"/>
          <w:b/>
          <w:bCs/>
        </w:rPr>
        <w:t>附图</w:t>
      </w:r>
      <w:r>
        <w:rPr>
          <w:rFonts w:hint="eastAsia" w:ascii="Times New Roman" w:hAnsi="Times New Roman" w:cs="Times New Roman"/>
          <w:b/>
          <w:bCs/>
          <w:lang w:val="en-US" w:eastAsia="zh-CN"/>
        </w:rPr>
        <w:t>4</w:t>
      </w:r>
      <w:r>
        <w:rPr>
          <w:rFonts w:ascii="Times New Roman" w:hAnsi="Times New Roman" w:cs="Times New Roman"/>
          <w:b/>
          <w:bCs/>
        </w:rPr>
        <w:t xml:space="preserve">  </w:t>
      </w:r>
      <w:r>
        <w:rPr>
          <w:rFonts w:hint="eastAsia" w:ascii="Times New Roman" w:hAnsi="Times New Roman" w:cs="Times New Roman"/>
          <w:b/>
          <w:bCs/>
          <w:lang w:val="en-US" w:eastAsia="zh-CN"/>
        </w:rPr>
        <w:t>厂区平面布置图</w:t>
      </w:r>
    </w:p>
    <w:p w14:paraId="4281706D">
      <w:pPr>
        <w:pStyle w:val="15"/>
        <w:ind w:left="0" w:leftChars="0"/>
        <w:rPr>
          <w:rFonts w:ascii="Times New Roman" w:hAnsi="Times New Roman" w:cs="Times New Roman"/>
          <w:b/>
          <w:bCs/>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type="lines" w:linePitch="312" w:charSpace="0"/>
        </w:sectPr>
      </w:pPr>
      <w:r>
        <w:rPr>
          <w:rFonts w:ascii="Times New Roman" w:hAnsi="Times New Roman" w:cs="Times New Roman"/>
        </w:rPr>
        <mc:AlternateContent>
          <mc:Choice Requires="wps">
            <w:drawing>
              <wp:anchor distT="0" distB="0" distL="114300" distR="114300" simplePos="0" relativeHeight="251661312" behindDoc="0" locked="0" layoutInCell="1" allowOverlap="1">
                <wp:simplePos x="0" y="0"/>
                <wp:positionH relativeFrom="column">
                  <wp:posOffset>3068320</wp:posOffset>
                </wp:positionH>
                <wp:positionV relativeFrom="paragraph">
                  <wp:posOffset>1029335</wp:posOffset>
                </wp:positionV>
                <wp:extent cx="1043305" cy="284480"/>
                <wp:effectExtent l="4445" t="5080" r="247650" b="358140"/>
                <wp:wrapNone/>
                <wp:docPr id="1" name="自选图形 37"/>
                <wp:cNvGraphicFramePr/>
                <a:graphic xmlns:a="http://schemas.openxmlformats.org/drawingml/2006/main">
                  <a:graphicData uri="http://schemas.microsoft.com/office/word/2010/wordprocessingShape">
                    <wps:wsp>
                      <wps:cNvSpPr/>
                      <wps:spPr>
                        <a:xfrm>
                          <a:off x="0" y="0"/>
                          <a:ext cx="1043305" cy="284480"/>
                        </a:xfrm>
                        <a:prstGeom prst="wedgeRectCallout">
                          <a:avLst>
                            <a:gd name="adj1" fmla="val 70148"/>
                            <a:gd name="adj2" fmla="val 164954"/>
                          </a:avLst>
                        </a:prstGeom>
                        <a:solidFill>
                          <a:srgbClr val="FFFF00"/>
                        </a:solidFill>
                        <a:ln w="9525" cap="flat" cmpd="sng">
                          <a:solidFill>
                            <a:srgbClr val="000000"/>
                          </a:solidFill>
                          <a:prstDash val="solid"/>
                          <a:miter/>
                          <a:headEnd type="none" w="med" len="med"/>
                          <a:tailEnd type="none" w="med" len="med"/>
                        </a:ln>
                      </wps:spPr>
                      <wps:txbx>
                        <w:txbxContent>
                          <w:p w14:paraId="3D868880">
                            <w:pPr>
                              <w:rPr>
                                <w:sz w:val="21"/>
                                <w:szCs w:val="21"/>
                              </w:rPr>
                            </w:pPr>
                            <w:r>
                              <w:rPr>
                                <w:rFonts w:hint="eastAsia"/>
                                <w:sz w:val="21"/>
                                <w:szCs w:val="21"/>
                              </w:rPr>
                              <w:t>项目所在位置</w:t>
                            </w:r>
                          </w:p>
                        </w:txbxContent>
                      </wps:txbx>
                      <wps:bodyPr upright="1"/>
                    </wps:wsp>
                  </a:graphicData>
                </a:graphic>
              </wp:anchor>
            </w:drawing>
          </mc:Choice>
          <mc:Fallback>
            <w:pict>
              <v:shape id="自选图形 37" o:spid="_x0000_s1026" o:spt="61" type="#_x0000_t61" style="position:absolute;left:0pt;margin-left:241.6pt;margin-top:81.05pt;height:22.4pt;width:82.15pt;z-index:251661312;mso-width-relative:page;mso-height-relative:page;" fillcolor="#FFFF00" filled="t" stroked="t" coordsize="21600,21600" o:gfxdata="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fRJN9gAAAALAQAADwAAAAAAAAABACAAAAAiAAAAZHJz&#10;L2Rvd25yZXYueG1sUEsBAhQAFAAAAAgAh07iQKQejJo9AgAAjgQAAA4AAAAAAAAAAQAgAAAAJwEA&#10;AGRycy9lMm9Eb2MueG1sUEsFBgAAAAAGAAYAWQEAANYFAAAAAA==&#10;" adj="25952,46430">
                <v:fill on="t" focussize="0,0"/>
                <v:stroke color="#000000" joinstyle="miter"/>
                <v:imagedata o:title=""/>
                <o:lock v:ext="edit" aspectratio="f"/>
                <v:textbox>
                  <w:txbxContent>
                    <w:p w14:paraId="3D868880">
                      <w:pPr>
                        <w:rPr>
                          <w:sz w:val="21"/>
                          <w:szCs w:val="21"/>
                        </w:rPr>
                      </w:pPr>
                      <w:r>
                        <w:rPr>
                          <w:rFonts w:hint="eastAsia"/>
                          <w:sz w:val="21"/>
                          <w:szCs w:val="21"/>
                        </w:rPr>
                        <w:t>项目所在位置</w:t>
                      </w:r>
                    </w:p>
                  </w:txbxContent>
                </v:textbox>
              </v:shape>
            </w:pict>
          </mc:Fallback>
        </mc:AlternateContent>
      </w:r>
      <w:r>
        <w:rPr>
          <w:rFonts w:ascii="Times New Roman" w:hAnsi="Times New Roman" w:cs="Times New Roman"/>
          <w:b/>
          <w:sz w:val="28"/>
          <w:szCs w:val="28"/>
        </w:rPr>
        <w:drawing>
          <wp:anchor distT="0" distB="0" distL="114300" distR="114300" simplePos="0" relativeHeight="251662336" behindDoc="0" locked="0" layoutInCell="1" allowOverlap="1">
            <wp:simplePos x="0" y="0"/>
            <wp:positionH relativeFrom="margin">
              <wp:posOffset>7766050</wp:posOffset>
            </wp:positionH>
            <wp:positionV relativeFrom="margin">
              <wp:posOffset>304165</wp:posOffset>
            </wp:positionV>
            <wp:extent cx="795655" cy="805180"/>
            <wp:effectExtent l="0" t="0" r="13970" b="4445"/>
            <wp:wrapNone/>
            <wp:docPr id="15"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42"/>
                    <pic:cNvPicPr>
                      <a:picLocks noChangeAspect="1"/>
                    </pic:cNvPicPr>
                  </pic:nvPicPr>
                  <pic:blipFill>
                    <a:blip r:embed="rId12"/>
                    <a:stretch>
                      <a:fillRect/>
                    </a:stretch>
                  </pic:blipFill>
                  <pic:spPr>
                    <a:xfrm rot="5400000">
                      <a:off x="0" y="0"/>
                      <a:ext cx="795655" cy="805180"/>
                    </a:xfrm>
                    <a:prstGeom prst="rect">
                      <a:avLst/>
                    </a:prstGeom>
                    <a:noFill/>
                    <a:ln>
                      <a:noFill/>
                    </a:ln>
                  </pic:spPr>
                </pic:pic>
              </a:graphicData>
            </a:graphic>
          </wp:anchor>
        </w:drawing>
      </w:r>
      <w:r>
        <w:rPr>
          <w:rFonts w:ascii="Times New Roman" w:hAnsi="Times New Roman" w:cs="Times New Roman"/>
        </w:rPr>
        <w:drawing>
          <wp:inline distT="0" distB="0" distL="114300" distR="114300">
            <wp:extent cx="8575040" cy="5121275"/>
            <wp:effectExtent l="0" t="0" r="16510" b="3175"/>
            <wp:docPr id="3" name="图片 3"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平面布置图"/>
                    <pic:cNvPicPr>
                      <a:picLocks noChangeAspect="1"/>
                    </pic:cNvPicPr>
                  </pic:nvPicPr>
                  <pic:blipFill>
                    <a:blip r:embed="rId13"/>
                    <a:stretch>
                      <a:fillRect/>
                    </a:stretch>
                  </pic:blipFill>
                  <pic:spPr>
                    <a:xfrm>
                      <a:off x="0" y="0"/>
                      <a:ext cx="8575040" cy="5121275"/>
                    </a:xfrm>
                    <a:prstGeom prst="rect">
                      <a:avLst/>
                    </a:prstGeom>
                  </pic:spPr>
                </pic:pic>
              </a:graphicData>
            </a:graphic>
          </wp:inline>
        </w:drawing>
      </w:r>
    </w:p>
    <w:p w14:paraId="5395202F">
      <w:pPr>
        <w:pStyle w:val="31"/>
        <w:jc w:val="both"/>
        <w:outlineLvl w:val="0"/>
        <w:rPr>
          <w:rFonts w:ascii="Times New Roman" w:hAnsi="Times New Roman"/>
        </w:rPr>
      </w:pPr>
      <w:r>
        <w:rPr>
          <w:rFonts w:ascii="Times New Roman" w:hAnsi="Times New Roman"/>
          <w:b/>
          <w:bCs/>
          <w:color w:val="auto"/>
        </w:rPr>
        <w:t>附图</w:t>
      </w:r>
      <w:r>
        <w:rPr>
          <w:rFonts w:hint="eastAsia" w:ascii="Times New Roman" w:hAnsi="Times New Roman"/>
          <w:b/>
          <w:bCs/>
          <w:color w:val="auto"/>
          <w:lang w:val="en-US" w:eastAsia="zh-CN"/>
        </w:rPr>
        <w:t>5</w:t>
      </w:r>
      <w:r>
        <w:rPr>
          <w:rFonts w:ascii="Times New Roman" w:hAnsi="Times New Roman"/>
          <w:b/>
          <w:bCs/>
          <w:color w:val="auto"/>
        </w:rPr>
        <w:t xml:space="preserve">  </w:t>
      </w:r>
      <w:r>
        <w:rPr>
          <w:rFonts w:hint="eastAsia" w:ascii="Times New Roman" w:hAnsi="Times New Roman"/>
          <w:b/>
          <w:bCs/>
          <w:color w:val="auto"/>
          <w:lang w:val="en-US" w:eastAsia="zh-CN"/>
        </w:rPr>
        <w:t>厂区周边关系</w:t>
      </w:r>
      <w:r>
        <w:rPr>
          <w:rFonts w:hint="eastAsia" w:ascii="Times New Roman" w:hAnsi="Times New Roman"/>
          <w:b/>
          <w:bCs/>
          <w:color w:val="auto"/>
        </w:rPr>
        <w:t>布置</w:t>
      </w:r>
      <w:r>
        <w:rPr>
          <w:rFonts w:ascii="Times New Roman" w:hAnsi="Times New Roman"/>
          <w:b/>
          <w:bCs/>
          <w:color w:val="auto"/>
        </w:rPr>
        <w:t>图</w:t>
      </w:r>
    </w:p>
    <w:p w14:paraId="4980C524">
      <w:pPr>
        <w:spacing w:line="360" w:lineRule="auto"/>
        <w:rPr>
          <w:rFonts w:ascii="Times New Roman" w:hAnsi="Times New Roman"/>
          <w:b/>
          <w:bCs/>
          <w:color w:val="auto"/>
          <w:highlight w:val="yellow"/>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type="lines" w:linePitch="312" w:charSpace="0"/>
        </w:sectPr>
      </w:pPr>
      <w:r>
        <w:rPr>
          <w:rFonts w:ascii="Times New Roman" w:hAnsi="Times New Roman"/>
          <w:color w:val="auto"/>
        </w:rPr>
        <mc:AlternateContent>
          <mc:Choice Requires="wps">
            <w:drawing>
              <wp:anchor distT="0" distB="0" distL="114300" distR="114300" simplePos="0" relativeHeight="251682816" behindDoc="0" locked="0" layoutInCell="1" allowOverlap="1">
                <wp:simplePos x="0" y="0"/>
                <wp:positionH relativeFrom="column">
                  <wp:posOffset>3820795</wp:posOffset>
                </wp:positionH>
                <wp:positionV relativeFrom="paragraph">
                  <wp:posOffset>2700020</wp:posOffset>
                </wp:positionV>
                <wp:extent cx="1031875" cy="283845"/>
                <wp:effectExtent l="4445" t="295275" r="11430" b="11430"/>
                <wp:wrapNone/>
                <wp:docPr id="46" name="自选图形 89"/>
                <wp:cNvGraphicFramePr/>
                <a:graphic xmlns:a="http://schemas.openxmlformats.org/drawingml/2006/main">
                  <a:graphicData uri="http://schemas.microsoft.com/office/word/2010/wordprocessingShape">
                    <wps:wsp>
                      <wps:cNvSpPr/>
                      <wps:spPr>
                        <a:xfrm>
                          <a:off x="0" y="0"/>
                          <a:ext cx="1031875" cy="283845"/>
                        </a:xfrm>
                        <a:prstGeom prst="wedgeRectCallout">
                          <a:avLst>
                            <a:gd name="adj1" fmla="val -21199"/>
                            <a:gd name="adj2" fmla="val -149995"/>
                          </a:avLst>
                        </a:prstGeom>
                        <a:solidFill>
                          <a:srgbClr val="FFFF00"/>
                        </a:solidFill>
                        <a:ln w="9525" cap="flat" cmpd="sng">
                          <a:solidFill>
                            <a:srgbClr val="000000"/>
                          </a:solidFill>
                          <a:prstDash val="solid"/>
                          <a:miter/>
                          <a:headEnd type="none" w="med" len="med"/>
                          <a:tailEnd type="none" w="med" len="med"/>
                        </a:ln>
                      </wps:spPr>
                      <wps:txbx>
                        <w:txbxContent>
                          <w:p w14:paraId="0262171B">
                            <w:pPr>
                              <w:rPr>
                                <w:sz w:val="20"/>
                                <w:szCs w:val="20"/>
                              </w:rPr>
                            </w:pPr>
                            <w:r>
                              <w:rPr>
                                <w:rFonts w:hint="eastAsia"/>
                                <w:sz w:val="20"/>
                                <w:szCs w:val="20"/>
                              </w:rPr>
                              <w:t>项目所在位置</w:t>
                            </w:r>
                          </w:p>
                        </w:txbxContent>
                      </wps:txbx>
                      <wps:bodyPr upright="1"/>
                    </wps:wsp>
                  </a:graphicData>
                </a:graphic>
              </wp:anchor>
            </w:drawing>
          </mc:Choice>
          <mc:Fallback>
            <w:pict>
              <v:shape id="自选图形 89" o:spid="_x0000_s1026" o:spt="61" type="#_x0000_t61" style="position:absolute;left:0pt;margin-left:300.85pt;margin-top:212.6pt;height:22.35pt;width:81.25pt;z-index:251682816;mso-width-relative:page;mso-height-relative:page;" fillcolor="#FFFF00" filled="t" stroked="t" coordsize="21600,21600" o:gfxdata="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fwJpXaAAAACwEAAA8AAAAAAAAAAQAgAAAA&#10;IgAAAGRycy9kb3ducmV2LnhtbFBLAQIUABQAAAAIAIdO4kAi/2+RQgIAAJEEAAAOAAAAAAAAAAEA&#10;IAAAACkBAABkcnMvZTJvRG9jLnhtbFBLBQYAAAAABgAGAFkBAADdBQAAAAA=&#10;" adj="6221,-21599">
                <v:fill on="t" focussize="0,0"/>
                <v:stroke color="#000000" joinstyle="miter"/>
                <v:imagedata o:title=""/>
                <o:lock v:ext="edit" aspectratio="f"/>
                <v:textbox>
                  <w:txbxContent>
                    <w:p w14:paraId="0262171B">
                      <w:pPr>
                        <w:rPr>
                          <w:sz w:val="20"/>
                          <w:szCs w:val="20"/>
                        </w:rPr>
                      </w:pPr>
                      <w:r>
                        <w:rPr>
                          <w:rFonts w:hint="eastAsia"/>
                          <w:sz w:val="20"/>
                          <w:szCs w:val="20"/>
                        </w:rPr>
                        <w:t>项目所在位置</w:t>
                      </w:r>
                    </w:p>
                  </w:txbxContent>
                </v:textbox>
              </v:shape>
            </w:pict>
          </mc:Fallback>
        </mc:AlternateContent>
      </w:r>
      <w:r>
        <w:drawing>
          <wp:inline distT="0" distB="0" distL="114300" distR="114300">
            <wp:extent cx="8529320" cy="5321300"/>
            <wp:effectExtent l="0" t="0" r="5080" b="1270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
                    <a:stretch>
                      <a:fillRect/>
                    </a:stretch>
                  </pic:blipFill>
                  <pic:spPr>
                    <a:xfrm>
                      <a:off x="0" y="0"/>
                      <a:ext cx="8529320" cy="5321300"/>
                    </a:xfrm>
                    <a:prstGeom prst="rect">
                      <a:avLst/>
                    </a:prstGeom>
                    <a:noFill/>
                    <a:ln>
                      <a:noFill/>
                    </a:ln>
                  </pic:spPr>
                </pic:pic>
              </a:graphicData>
            </a:graphic>
          </wp:inline>
        </w:drawing>
      </w:r>
      <w:r>
        <w:rPr>
          <w:sz w:val="28"/>
        </w:rPr>
        <mc:AlternateContent>
          <mc:Choice Requires="wps">
            <w:drawing>
              <wp:anchor distT="0" distB="0" distL="114300" distR="114300" simplePos="0" relativeHeight="251667456" behindDoc="0" locked="0" layoutInCell="1" allowOverlap="1">
                <wp:simplePos x="0" y="0"/>
                <wp:positionH relativeFrom="column">
                  <wp:posOffset>2465705</wp:posOffset>
                </wp:positionH>
                <wp:positionV relativeFrom="paragraph">
                  <wp:posOffset>3154045</wp:posOffset>
                </wp:positionV>
                <wp:extent cx="1085850" cy="656590"/>
                <wp:effectExtent l="4445" t="4445" r="14605" b="5715"/>
                <wp:wrapNone/>
                <wp:docPr id="33" name="文本框 84"/>
                <wp:cNvGraphicFramePr/>
                <a:graphic xmlns:a="http://schemas.openxmlformats.org/drawingml/2006/main">
                  <a:graphicData uri="http://schemas.microsoft.com/office/word/2010/wordprocessingShape">
                    <wps:wsp>
                      <wps:cNvSpPr txBox="1"/>
                      <wps:spPr>
                        <a:xfrm>
                          <a:off x="0" y="0"/>
                          <a:ext cx="1085850" cy="6565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0BB1C12">
                            <w:r>
                              <w:rPr>
                                <w:rFonts w:hint="eastAsia" w:ascii="Times New Roman" w:hAnsi="Times New Roman" w:cs="Times New Roman"/>
                                <w:sz w:val="22"/>
                                <w:szCs w:val="22"/>
                                <w:highlight w:val="none"/>
                                <w:lang w:val="en-US" w:eastAsia="zh-CN"/>
                              </w:rPr>
                              <w:t>锡林浩特市鑫源盛科技发展有限公司</w:t>
                            </w:r>
                          </w:p>
                        </w:txbxContent>
                      </wps:txbx>
                      <wps:bodyPr upright="1"/>
                    </wps:wsp>
                  </a:graphicData>
                </a:graphic>
              </wp:anchor>
            </w:drawing>
          </mc:Choice>
          <mc:Fallback>
            <w:pict>
              <v:shape id="文本框 84" o:spid="_x0000_s1026" o:spt="202" type="#_x0000_t202" style="position:absolute;left:0pt;margin-left:194.15pt;margin-top:248.35pt;height:51.7pt;width:85.5pt;z-index:251667456;mso-width-relative:page;mso-height-relative:page;" fillcolor="#FFFFFF" filled="t" stroked="t" coordsize="21600,21600" o:gfxdata="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N2OutoAAAALAQAADwAAAAAAAAAB&#10;ACAAAAAiAAAAZHJzL2Rvd25yZXYueG1sUEsBAhQAFAAAAAgAh07iQHx3Yh4OAgAAOAQAAA4AAAAA&#10;AAAAAQAgAAAAKQEAAGRycy9lMm9Eb2MueG1sUEsFBgAAAAAGAAYAWQEAAKkFAAAAAA==&#10;">
                <v:fill on="t" focussize="0,0"/>
                <v:stroke color="#000000" joinstyle="miter"/>
                <v:imagedata o:title=""/>
                <o:lock v:ext="edit" aspectratio="f"/>
                <v:textbox>
                  <w:txbxContent>
                    <w:p w14:paraId="00BB1C12">
                      <w:r>
                        <w:rPr>
                          <w:rFonts w:hint="eastAsia" w:ascii="Times New Roman" w:hAnsi="Times New Roman" w:cs="Times New Roman"/>
                          <w:sz w:val="22"/>
                          <w:szCs w:val="22"/>
                          <w:highlight w:val="none"/>
                          <w:lang w:val="en-US" w:eastAsia="zh-CN"/>
                        </w:rPr>
                        <w:t>锡林浩特市鑫源盛科技发展有限公司</w:t>
                      </w:r>
                    </w:p>
                  </w:txbxContent>
                </v:textbox>
              </v:shape>
            </w:pict>
          </mc:Fallback>
        </mc:AlternateContent>
      </w:r>
      <w:r>
        <w:rPr>
          <w:sz w:val="28"/>
        </w:rPr>
        <mc:AlternateContent>
          <mc:Choice Requires="wps">
            <w:drawing>
              <wp:anchor distT="0" distB="0" distL="114300" distR="114300" simplePos="0" relativeHeight="251681792" behindDoc="0" locked="0" layoutInCell="1" allowOverlap="1">
                <wp:simplePos x="0" y="0"/>
                <wp:positionH relativeFrom="column">
                  <wp:posOffset>5332730</wp:posOffset>
                </wp:positionH>
                <wp:positionV relativeFrom="paragraph">
                  <wp:posOffset>1458595</wp:posOffset>
                </wp:positionV>
                <wp:extent cx="1085850" cy="656590"/>
                <wp:effectExtent l="4445" t="4445" r="14605" b="5715"/>
                <wp:wrapNone/>
                <wp:docPr id="44" name="文本框 88"/>
                <wp:cNvGraphicFramePr/>
                <a:graphic xmlns:a="http://schemas.openxmlformats.org/drawingml/2006/main">
                  <a:graphicData uri="http://schemas.microsoft.com/office/word/2010/wordprocessingShape">
                    <wps:wsp>
                      <wps:cNvSpPr txBox="1"/>
                      <wps:spPr>
                        <a:xfrm>
                          <a:off x="0" y="0"/>
                          <a:ext cx="1085850" cy="6565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A400125">
                            <w:pPr>
                              <w:rPr>
                                <w:sz w:val="22"/>
                                <w:szCs w:val="22"/>
                              </w:rPr>
                            </w:pPr>
                            <w:r>
                              <w:rPr>
                                <w:rFonts w:hint="eastAsia" w:ascii="Times New Roman" w:hAnsi="Times New Roman" w:cs="Times New Roman"/>
                                <w:sz w:val="22"/>
                                <w:szCs w:val="22"/>
                                <w:highlight w:val="none"/>
                                <w:lang w:val="en-US" w:eastAsia="zh-CN"/>
                              </w:rPr>
                              <w:t>锡林郭勒盟明阳新能源有限公司</w:t>
                            </w:r>
                          </w:p>
                        </w:txbxContent>
                      </wps:txbx>
                      <wps:bodyPr upright="1"/>
                    </wps:wsp>
                  </a:graphicData>
                </a:graphic>
              </wp:anchor>
            </w:drawing>
          </mc:Choice>
          <mc:Fallback>
            <w:pict>
              <v:shape id="文本框 88" o:spid="_x0000_s1026" o:spt="202" type="#_x0000_t202" style="position:absolute;left:0pt;margin-left:419.9pt;margin-top:114.85pt;height:51.7pt;width:85.5pt;z-index:251681792;mso-width-relative:page;mso-height-relative:page;" fillcolor="#FFFFFF" filled="t" stroked="t" coordsize="21600,21600" o:gfxdata="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egHNtoAAAAMAQAADwAAAAAAAAAB&#10;ACAAAAAiAAAAZHJzL2Rvd25yZXYueG1sUEsBAhQAFAAAAAgAh07iQGsMDxMOAgAAOAQAAA4AAAAA&#10;AAAAAQAgAAAAKQEAAGRycy9lMm9Eb2MueG1sUEsFBgAAAAAGAAYAWQEAAKkFAAAAAA==&#10;">
                <v:fill on="t" focussize="0,0"/>
                <v:stroke color="#000000" joinstyle="miter"/>
                <v:imagedata o:title=""/>
                <o:lock v:ext="edit" aspectratio="f"/>
                <v:textbox>
                  <w:txbxContent>
                    <w:p w14:paraId="7A400125">
                      <w:pPr>
                        <w:rPr>
                          <w:sz w:val="22"/>
                          <w:szCs w:val="22"/>
                        </w:rPr>
                      </w:pPr>
                      <w:r>
                        <w:rPr>
                          <w:rFonts w:hint="eastAsia" w:ascii="Times New Roman" w:hAnsi="Times New Roman" w:cs="Times New Roman"/>
                          <w:sz w:val="22"/>
                          <w:szCs w:val="22"/>
                          <w:highlight w:val="none"/>
                          <w:lang w:val="en-US" w:eastAsia="zh-CN"/>
                        </w:rPr>
                        <w:t>锡林郭勒盟明阳新能源有限公司</w:t>
                      </w:r>
                    </w:p>
                  </w:txbxContent>
                </v:textbox>
              </v:shape>
            </w:pict>
          </mc:Fallback>
        </mc:AlternateContent>
      </w:r>
      <w:r>
        <w:rPr>
          <w:sz w:val="28"/>
        </w:rPr>
        <mc:AlternateContent>
          <mc:Choice Requires="wps">
            <w:drawing>
              <wp:anchor distT="0" distB="0" distL="114300" distR="114300" simplePos="0" relativeHeight="251679744" behindDoc="0" locked="0" layoutInCell="1" allowOverlap="1">
                <wp:simplePos x="0" y="0"/>
                <wp:positionH relativeFrom="column">
                  <wp:posOffset>4633595</wp:posOffset>
                </wp:positionH>
                <wp:positionV relativeFrom="paragraph">
                  <wp:posOffset>629920</wp:posOffset>
                </wp:positionV>
                <wp:extent cx="2559050" cy="2232660"/>
                <wp:effectExtent l="415290" t="538480" r="416560" b="543560"/>
                <wp:wrapNone/>
                <wp:docPr id="39" name="矩形 86"/>
                <wp:cNvGraphicFramePr/>
                <a:graphic xmlns:a="http://schemas.openxmlformats.org/drawingml/2006/main">
                  <a:graphicData uri="http://schemas.microsoft.com/office/word/2010/wordprocessingShape">
                    <wps:wsp>
                      <wps:cNvSpPr/>
                      <wps:spPr>
                        <a:xfrm rot="-2100000">
                          <a:off x="0" y="0"/>
                          <a:ext cx="2559050" cy="2232660"/>
                        </a:xfrm>
                        <a:prstGeom prst="rect">
                          <a:avLst/>
                        </a:prstGeom>
                        <a:solidFill>
                          <a:srgbClr val="DEEBF7"/>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86" o:spid="_x0000_s1026" o:spt="1" style="position:absolute;left:0pt;margin-left:364.85pt;margin-top:49.6pt;height:175.8pt;width:201.5pt;rotation:-2293760f;z-index:251679744;mso-width-relative:page;mso-height-relative:page;" fillcolor="#DEEBF7" filled="t" stroked="t" coordsize="21600,21600" o:gfxdata="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l/jW9wAAAALAQAADwAAAAAA&#10;AAABACAAAAAiAAAAZHJzL2Rvd25yZXYueG1sUEsBAhQAFAAAAAgAh07iQEA7AcMPAgAAMAQAAA4A&#10;AAAAAAAAAQAgAAAAKwEAAGRycy9lMm9Eb2MueG1sUEsFBgAAAAAGAAYAWQEAAKwFAAAAAA==&#10;">
                <v:fill on="t" focussize="0,0"/>
                <v:stroke color="#000000" joinstyle="miter"/>
                <v:imagedata o:title=""/>
                <o:lock v:ext="edit" aspectratio="f"/>
              </v:rect>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2709545</wp:posOffset>
                </wp:positionH>
                <wp:positionV relativeFrom="paragraph">
                  <wp:posOffset>1244600</wp:posOffset>
                </wp:positionV>
                <wp:extent cx="1032510" cy="304800"/>
                <wp:effectExtent l="4445" t="4445" r="10795" b="14605"/>
                <wp:wrapNone/>
                <wp:docPr id="64" name="文本框 64"/>
                <wp:cNvGraphicFramePr/>
                <a:graphic xmlns:a="http://schemas.openxmlformats.org/drawingml/2006/main">
                  <a:graphicData uri="http://schemas.microsoft.com/office/word/2010/wordprocessingShape">
                    <wps:wsp>
                      <wps:cNvSpPr txBox="1"/>
                      <wps:spPr>
                        <a:xfrm>
                          <a:off x="0" y="0"/>
                          <a:ext cx="718820" cy="333375"/>
                        </a:xfrm>
                        <a:prstGeom prst="rect">
                          <a:avLst/>
                        </a:prstGeom>
                        <a:solidFill>
                          <a:srgbClr val="FFFF00"/>
                        </a:solidFill>
                        <a:ln>
                          <a:solidFill>
                            <a:srgbClr val="000000"/>
                          </a:solidFill>
                        </a:ln>
                        <a:effectLst/>
                      </wps:spPr>
                      <wps:txbx>
                        <w:txbxContent>
                          <w:p w14:paraId="4BECB4AC">
                            <w:pPr>
                              <w:jc w:val="center"/>
                            </w:pPr>
                            <w:r>
                              <w:rPr>
                                <w:rFonts w:hint="eastAsia"/>
                              </w:rPr>
                              <w:t>空地</w:t>
                            </w:r>
                          </w:p>
                        </w:txbxContent>
                      </wps:txbx>
                      <wps:bodyPr upright="1"/>
                    </wps:wsp>
                  </a:graphicData>
                </a:graphic>
              </wp:anchor>
            </w:drawing>
          </mc:Choice>
          <mc:Fallback>
            <w:pict>
              <v:shape id="_x0000_s1026" o:spid="_x0000_s1026" o:spt="202" type="#_x0000_t202" style="position:absolute;left:0pt;margin-left:213.35pt;margin-top:98pt;height:24pt;width:81.3pt;z-index:251680768;mso-width-relative:page;mso-height-relative:page;" fillcolor="#FFFF00" filled="t" stroked="t" coordsize="21600,21600" o:gfxdata="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Dp5OEzcAAAACwEAAA8AAAAAAAAAAQAgAAAAIgAA&#10;AGRycy9kb3ducmV2LnhtbFBLAQIUABQAAAAIAIdO4kBHilFJywEAAK8DAAAOAAAAAAAAAAEAIAAA&#10;ACsBAABkcnMvZTJvRG9jLnhtbFBLBQYAAAAABgAGAFkBAABoBQAAAAA=&#10;">
                <v:fill on="t" focussize="0,0"/>
                <v:stroke color="#000000" joinstyle="round"/>
                <v:imagedata o:title=""/>
                <o:lock v:ext="edit" aspectratio="f"/>
                <v:textbox>
                  <w:txbxContent>
                    <w:p w14:paraId="4BECB4AC">
                      <w:pPr>
                        <w:jc w:val="center"/>
                      </w:pPr>
                      <w:r>
                        <w:rPr>
                          <w:rFonts w:hint="eastAsia"/>
                        </w:rPr>
                        <w:t>空地</w:t>
                      </w:r>
                    </w:p>
                  </w:txbxContent>
                </v:textbox>
              </v:shape>
            </w:pict>
          </mc:Fallback>
        </mc:AlternateContent>
      </w:r>
      <w:r>
        <w:rPr>
          <w:sz w:val="28"/>
        </w:rPr>
        <mc:AlternateContent>
          <mc:Choice Requires="wps">
            <w:drawing>
              <wp:anchor distT="0" distB="0" distL="114300" distR="114300" simplePos="0" relativeHeight="251678720" behindDoc="0" locked="0" layoutInCell="1" allowOverlap="1">
                <wp:simplePos x="0" y="0"/>
                <wp:positionH relativeFrom="column">
                  <wp:posOffset>3309620</wp:posOffset>
                </wp:positionH>
                <wp:positionV relativeFrom="paragraph">
                  <wp:posOffset>3365500</wp:posOffset>
                </wp:positionV>
                <wp:extent cx="2065655" cy="412115"/>
                <wp:effectExtent l="0" t="561975" r="0" b="568960"/>
                <wp:wrapNone/>
                <wp:docPr id="37" name="矩形 85"/>
                <wp:cNvGraphicFramePr/>
                <a:graphic xmlns:a="http://schemas.openxmlformats.org/drawingml/2006/main">
                  <a:graphicData uri="http://schemas.microsoft.com/office/word/2010/wordprocessingShape">
                    <wps:wsp>
                      <wps:cNvSpPr/>
                      <wps:spPr>
                        <a:xfrm rot="-2100000">
                          <a:off x="0" y="0"/>
                          <a:ext cx="2065655" cy="412115"/>
                        </a:xfrm>
                        <a:prstGeom prst="rect">
                          <a:avLst/>
                        </a:prstGeom>
                        <a:solidFill>
                          <a:srgbClr val="FFF2CC"/>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85" o:spid="_x0000_s1026" o:spt="1" style="position:absolute;left:0pt;margin-left:260.6pt;margin-top:265pt;height:32.45pt;width:162.65pt;rotation:-2293760f;z-index:251678720;mso-width-relative:page;mso-height-relative:page;" fillcolor="#FFF2CC" filled="t" stroked="t" coordsize="21600,21600" o:gfxdata="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JpIWdwAAAALAQAADwAAAAAAAAAB&#10;ACAAAAAiAAAAZHJzL2Rvd25yZXYueG1sUEsBAhQAFAAAAAgAh07iQJYwqpgMAgAALwQAAA4AAAAA&#10;AAAAAQAgAAAAKwEAAGRycy9lMm9Eb2MueG1sUEsFBgAAAAAGAAYAWQEAAKkFAAAAAA==&#10;">
                <v:fill on="t" focussize="0,0"/>
                <v:stroke color="#000000" joinstyle="miter"/>
                <v:imagedata o:title=""/>
                <o:lock v:ext="edit" aspectratio="f"/>
              </v:rect>
            </w:pict>
          </mc:Fallback>
        </mc:AlternateContent>
      </w:r>
      <w:r>
        <w:rPr>
          <w:sz w:val="28"/>
        </w:rPr>
        <mc:AlternateContent>
          <mc:Choice Requires="wps">
            <w:drawing>
              <wp:anchor distT="0" distB="0" distL="114300" distR="114300" simplePos="0" relativeHeight="251666432" behindDoc="0" locked="0" layoutInCell="1" allowOverlap="1">
                <wp:simplePos x="0" y="0"/>
                <wp:positionH relativeFrom="column">
                  <wp:posOffset>2131695</wp:posOffset>
                </wp:positionH>
                <wp:positionV relativeFrom="paragraph">
                  <wp:posOffset>2648585</wp:posOffset>
                </wp:positionV>
                <wp:extent cx="1682750" cy="1435735"/>
                <wp:effectExtent l="266065" t="359410" r="280035" b="376555"/>
                <wp:wrapNone/>
                <wp:docPr id="32" name="矩形 83"/>
                <wp:cNvGraphicFramePr/>
                <a:graphic xmlns:a="http://schemas.openxmlformats.org/drawingml/2006/main">
                  <a:graphicData uri="http://schemas.microsoft.com/office/word/2010/wordprocessingShape">
                    <wps:wsp>
                      <wps:cNvSpPr/>
                      <wps:spPr>
                        <a:xfrm rot="-2100000">
                          <a:off x="0" y="0"/>
                          <a:ext cx="1682750" cy="1435735"/>
                        </a:xfrm>
                        <a:prstGeom prst="rect">
                          <a:avLst/>
                        </a:prstGeom>
                        <a:solidFill>
                          <a:srgbClr val="FFF2CC"/>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83" o:spid="_x0000_s1026" o:spt="1" style="position:absolute;left:0pt;margin-left:167.85pt;margin-top:208.55pt;height:113.05pt;width:132.5pt;rotation:-2293760f;z-index:251666432;mso-width-relative:page;mso-height-relative:page;" fillcolor="#FFF2CC" filled="t" stroked="t" coordsize="21600,21600" o:gfxdata="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Mo8KY2wAAAAsBAAAPAAAAAAAA&#10;AAEAIAAAACIAAABkcnMvZG93bnJldi54bWxQSwECFAAUAAAACACHTuJAZmW/ZQ8CAAAwBAAADgAA&#10;AAAAAAABACAAAAAqAQAAZHJzL2Uyb0RvYy54bWxQSwUGAAAAAAYABgBZAQAAqwUAAAAA&#10;">
                <v:fill on="t" focussize="0,0"/>
                <v:stroke color="#000000" joinstyle="miter"/>
                <v:imagedata o:title=""/>
                <o:lock v:ext="edit" aspectratio="f"/>
              </v:rect>
            </w:pict>
          </mc:Fallback>
        </mc:AlternateContent>
      </w:r>
      <w:r>
        <w:rPr>
          <w:rFonts w:ascii="Times New Roman" w:hAnsi="Times New Roman" w:cs="Times New Roman"/>
          <w:b/>
          <w:sz w:val="28"/>
          <w:szCs w:val="28"/>
        </w:rPr>
        <w:drawing>
          <wp:anchor distT="0" distB="0" distL="114300" distR="114300" simplePos="0" relativeHeight="251663360" behindDoc="0" locked="0" layoutInCell="1" allowOverlap="1">
            <wp:simplePos x="0" y="0"/>
            <wp:positionH relativeFrom="margin">
              <wp:posOffset>7702550</wp:posOffset>
            </wp:positionH>
            <wp:positionV relativeFrom="margin">
              <wp:posOffset>203200</wp:posOffset>
            </wp:positionV>
            <wp:extent cx="795655" cy="805180"/>
            <wp:effectExtent l="0" t="0" r="13970" b="4445"/>
            <wp:wrapNone/>
            <wp:docPr id="45"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42"/>
                    <pic:cNvPicPr>
                      <a:picLocks noChangeAspect="1"/>
                    </pic:cNvPicPr>
                  </pic:nvPicPr>
                  <pic:blipFill>
                    <a:blip r:embed="rId12"/>
                    <a:stretch>
                      <a:fillRect/>
                    </a:stretch>
                  </pic:blipFill>
                  <pic:spPr>
                    <a:xfrm rot="5400000">
                      <a:off x="0" y="0"/>
                      <a:ext cx="795655" cy="805180"/>
                    </a:xfrm>
                    <a:prstGeom prst="rect">
                      <a:avLst/>
                    </a:prstGeom>
                    <a:noFill/>
                    <a:ln>
                      <a:noFill/>
                    </a:ln>
                  </pic:spPr>
                </pic:pic>
              </a:graphicData>
            </a:graphic>
          </wp:anchor>
        </w:drawing>
      </w:r>
    </w:p>
    <w:p w14:paraId="48EF5764">
      <w:pPr>
        <w:pStyle w:val="31"/>
        <w:jc w:val="both"/>
        <w:outlineLvl w:val="0"/>
        <w:rPr>
          <w:rFonts w:ascii="Times New Roman" w:hAnsi="Times New Roman"/>
          <w:b/>
          <w:bCs/>
          <w:color w:val="auto"/>
        </w:rPr>
      </w:pPr>
      <w:r>
        <w:rPr>
          <w:rFonts w:hint="eastAsia" w:ascii="Times New Roman" w:hAnsi="Times New Roman"/>
          <w:b/>
          <w:bCs/>
          <w:color w:val="auto"/>
        </w:rPr>
        <w:t>附件1</w:t>
      </w:r>
      <w:r>
        <w:rPr>
          <w:rFonts w:hint="eastAsia" w:ascii="Times New Roman" w:hAnsi="Times New Roman"/>
          <w:b/>
          <w:bCs/>
          <w:color w:val="auto"/>
          <w:lang w:val="en-US" w:eastAsia="zh-CN"/>
        </w:rPr>
        <w:t xml:space="preserve"> </w:t>
      </w:r>
      <w:r>
        <w:rPr>
          <w:rFonts w:hint="eastAsia" w:ascii="Times New Roman" w:hAnsi="Times New Roman"/>
          <w:b/>
          <w:bCs/>
          <w:color w:val="auto"/>
        </w:rPr>
        <w:t xml:space="preserve"> 营业执照</w:t>
      </w:r>
    </w:p>
    <w:p w14:paraId="04F69360">
      <w:pPr>
        <w:pStyle w:val="31"/>
        <w:jc w:val="both"/>
      </w:pPr>
      <w:r>
        <w:drawing>
          <wp:inline distT="0" distB="0" distL="114300" distR="114300">
            <wp:extent cx="5534025" cy="8248650"/>
            <wp:effectExtent l="0" t="0" r="9525" b="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15"/>
                    <a:stretch>
                      <a:fillRect/>
                    </a:stretch>
                  </pic:blipFill>
                  <pic:spPr>
                    <a:xfrm>
                      <a:off x="0" y="0"/>
                      <a:ext cx="5534025" cy="8248650"/>
                    </a:xfrm>
                    <a:prstGeom prst="rect">
                      <a:avLst/>
                    </a:prstGeom>
                    <a:noFill/>
                    <a:ln>
                      <a:noFill/>
                    </a:ln>
                  </pic:spPr>
                </pic:pic>
              </a:graphicData>
            </a:graphic>
          </wp:inline>
        </w:drawing>
      </w:r>
    </w:p>
    <w:p w14:paraId="70EF1B2C">
      <w:pPr>
        <w:pStyle w:val="31"/>
        <w:jc w:val="both"/>
        <w:sectPr>
          <w:pgSz w:w="11906" w:h="16838"/>
          <w:pgMar w:top="1701" w:right="1531" w:bottom="1701" w:left="1531" w:header="851" w:footer="851" w:gutter="0"/>
          <w:pgBorders>
            <w:top w:val="none" w:sz="0" w:space="0"/>
            <w:left w:val="none" w:sz="0" w:space="0"/>
            <w:bottom w:val="none" w:sz="0" w:space="0"/>
            <w:right w:val="none" w:sz="0" w:space="0"/>
          </w:pgBorders>
          <w:cols w:space="720" w:num="1"/>
          <w:docGrid w:type="lines" w:linePitch="312" w:charSpace="0"/>
        </w:sectPr>
      </w:pPr>
    </w:p>
    <w:p w14:paraId="4F54D6F5">
      <w:pPr>
        <w:jc w:val="left"/>
        <w:outlineLvl w:val="0"/>
        <w:rPr>
          <w:rFonts w:ascii="Times New Roman" w:hAnsi="Times New Roman" w:cs="Times New Roman"/>
          <w:b/>
          <w:bCs/>
        </w:rPr>
      </w:pPr>
      <w:r>
        <w:rPr>
          <w:rFonts w:hint="eastAsia" w:ascii="Times New Roman" w:hAnsi="Times New Roman" w:cs="Times New Roman"/>
          <w:b/>
          <w:bCs/>
        </w:rPr>
        <w:t>附件2  委托函</w:t>
      </w:r>
    </w:p>
    <w:p w14:paraId="4F3BD7DC">
      <w:pPr>
        <w:bidi w:val="0"/>
        <w:jc w:val="center"/>
        <w:rPr>
          <w:rFonts w:hint="eastAsia"/>
          <w:color w:val="auto"/>
          <w:sz w:val="52"/>
          <w:szCs w:val="52"/>
          <w:highlight w:val="none"/>
          <w:lang w:val="en-US" w:eastAsia="zh-CN"/>
        </w:rPr>
      </w:pPr>
    </w:p>
    <w:p w14:paraId="0D372EC8">
      <w:pPr>
        <w:bidi w:val="0"/>
        <w:jc w:val="center"/>
        <w:outlineLvl w:val="9"/>
        <w:rPr>
          <w:rFonts w:hint="eastAsia"/>
          <w:color w:val="auto"/>
          <w:sz w:val="52"/>
          <w:szCs w:val="52"/>
          <w:highlight w:val="none"/>
          <w:lang w:val="en-US" w:eastAsia="zh-CN"/>
        </w:rPr>
      </w:pPr>
      <w:r>
        <w:rPr>
          <w:rFonts w:hint="eastAsia"/>
          <w:color w:val="auto"/>
          <w:sz w:val="52"/>
          <w:szCs w:val="52"/>
          <w:highlight w:val="none"/>
          <w:lang w:val="en-US" w:eastAsia="zh-CN"/>
        </w:rPr>
        <w:t>委托函</w:t>
      </w:r>
    </w:p>
    <w:p w14:paraId="25FF0AF9">
      <w:pPr>
        <w:bidi w:val="0"/>
        <w:jc w:val="center"/>
        <w:outlineLvl w:val="9"/>
        <w:rPr>
          <w:rFonts w:hint="eastAsia"/>
          <w:color w:val="auto"/>
          <w:sz w:val="52"/>
          <w:szCs w:val="52"/>
          <w:highlight w:val="none"/>
          <w:lang w:val="en-US" w:eastAsia="zh-CN"/>
        </w:rPr>
      </w:pPr>
    </w:p>
    <w:p w14:paraId="67D693E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asciiTheme="minorEastAsia" w:hAnsiTheme="minorEastAsia" w:eastAsiaTheme="minorEastAsia" w:cstheme="minorEastAsia"/>
          <w:color w:val="auto"/>
          <w:sz w:val="32"/>
          <w:szCs w:val="32"/>
          <w:highlight w:val="none"/>
          <w:lang w:eastAsia="zh-CN"/>
        </w:rPr>
      </w:pPr>
      <w:r>
        <w:rPr>
          <w:rFonts w:hint="eastAsia" w:asciiTheme="minorEastAsia" w:hAnsiTheme="minorEastAsia" w:eastAsiaTheme="minorEastAsia" w:cstheme="minorEastAsia"/>
          <w:color w:val="auto"/>
          <w:sz w:val="32"/>
          <w:szCs w:val="32"/>
          <w:highlight w:val="none"/>
          <w:lang w:eastAsia="zh-CN"/>
        </w:rPr>
        <w:t>内蒙古筹信环保科技有限公司：</w:t>
      </w:r>
    </w:p>
    <w:p w14:paraId="4769EAF2">
      <w:pPr>
        <w:keepNext w:val="0"/>
        <w:keepLines w:val="0"/>
        <w:pageBreakBefore w:val="0"/>
        <w:widowControl w:val="0"/>
        <w:kinsoku/>
        <w:wordWrap/>
        <w:overflowPunct/>
        <w:topLinePunct w:val="0"/>
        <w:autoSpaceDE/>
        <w:autoSpaceDN/>
        <w:bidi w:val="0"/>
        <w:adjustRightInd/>
        <w:snapToGrid/>
        <w:spacing w:line="360" w:lineRule="auto"/>
        <w:ind w:firstLine="640" w:firstLineChars="200"/>
        <w:textAlignment w:val="auto"/>
        <w:outlineLvl w:val="9"/>
        <w:rPr>
          <w:rFonts w:hint="eastAsia" w:asciiTheme="minorEastAsia" w:hAnsiTheme="minorEastAsia" w:eastAsiaTheme="minorEastAsia" w:cstheme="minorEastAsia"/>
          <w:color w:val="auto"/>
          <w:sz w:val="32"/>
          <w:szCs w:val="32"/>
          <w:highlight w:val="none"/>
          <w:lang w:eastAsia="zh-CN"/>
        </w:rPr>
      </w:pPr>
      <w:r>
        <w:rPr>
          <w:rFonts w:hint="eastAsia" w:asciiTheme="minorEastAsia" w:hAnsiTheme="minorEastAsia" w:eastAsiaTheme="minorEastAsia" w:cstheme="minorEastAsia"/>
          <w:color w:val="auto"/>
          <w:sz w:val="32"/>
          <w:szCs w:val="32"/>
          <w:highlight w:val="none"/>
          <w:lang w:eastAsia="zh-CN"/>
        </w:rPr>
        <w:t>根据国家的相关法规、条例和锡林郭勒盟生态环境局的要求，远景能源（锡林郭勒）有限公司</w:t>
      </w:r>
      <w:r>
        <w:rPr>
          <w:rFonts w:hint="eastAsia" w:asciiTheme="minorEastAsia" w:hAnsiTheme="minorEastAsia" w:eastAsiaTheme="minorEastAsia" w:cstheme="minorEastAsia"/>
          <w:color w:val="auto"/>
          <w:sz w:val="32"/>
          <w:szCs w:val="32"/>
          <w:highlight w:val="none"/>
          <w:lang w:val="en-US" w:eastAsia="zh-CN"/>
        </w:rPr>
        <w:t>危废暂存间建设项目</w:t>
      </w:r>
      <w:r>
        <w:rPr>
          <w:rFonts w:hint="eastAsia" w:asciiTheme="minorEastAsia" w:hAnsiTheme="minorEastAsia" w:eastAsiaTheme="minorEastAsia" w:cstheme="minorEastAsia"/>
          <w:color w:val="auto"/>
          <w:sz w:val="32"/>
          <w:szCs w:val="32"/>
          <w:highlight w:val="none"/>
          <w:lang w:eastAsia="zh-CN"/>
        </w:rPr>
        <w:t>需要进行环境影响评价，编制环境影响报告表，现委托贵公司进行该项目的环境影响评价工作，望接受委托后，尽早开展工作为盼！</w:t>
      </w:r>
    </w:p>
    <w:p w14:paraId="043C8C4E">
      <w:pPr>
        <w:widowControl w:val="0"/>
        <w:autoSpaceDE w:val="0"/>
        <w:autoSpaceDN w:val="0"/>
        <w:adjustRightInd w:val="0"/>
        <w:outlineLvl w:val="9"/>
        <w:rPr>
          <w:rFonts w:hint="eastAsia" w:asciiTheme="minorEastAsia" w:hAnsiTheme="minorEastAsia" w:eastAsiaTheme="minorEastAsia" w:cstheme="minorEastAsia"/>
          <w:color w:val="auto"/>
          <w:sz w:val="32"/>
          <w:szCs w:val="32"/>
          <w:highlight w:val="none"/>
          <w:lang w:val="en-US" w:eastAsia="zh-CN" w:bidi="ar-SA"/>
        </w:rPr>
      </w:pPr>
    </w:p>
    <w:p w14:paraId="22A8DA78">
      <w:pPr>
        <w:widowControl w:val="0"/>
        <w:autoSpaceDE w:val="0"/>
        <w:autoSpaceDN w:val="0"/>
        <w:adjustRightInd w:val="0"/>
        <w:outlineLvl w:val="9"/>
        <w:rPr>
          <w:rFonts w:hint="eastAsia" w:asciiTheme="minorEastAsia" w:hAnsiTheme="minorEastAsia" w:eastAsiaTheme="minorEastAsia" w:cstheme="minorEastAsia"/>
          <w:color w:val="auto"/>
          <w:sz w:val="32"/>
          <w:szCs w:val="32"/>
          <w:highlight w:val="none"/>
          <w:lang w:val="en-US" w:eastAsia="zh-CN" w:bidi="ar-SA"/>
        </w:rPr>
      </w:pPr>
    </w:p>
    <w:p w14:paraId="01C47758">
      <w:pPr>
        <w:widowControl w:val="0"/>
        <w:autoSpaceDE w:val="0"/>
        <w:autoSpaceDN w:val="0"/>
        <w:adjustRightInd w:val="0"/>
        <w:outlineLvl w:val="9"/>
        <w:rPr>
          <w:rFonts w:hint="eastAsia" w:asciiTheme="minorEastAsia" w:hAnsiTheme="minorEastAsia" w:eastAsiaTheme="minorEastAsia" w:cstheme="minorEastAsia"/>
          <w:color w:val="auto"/>
          <w:sz w:val="32"/>
          <w:szCs w:val="32"/>
          <w:highlight w:val="none"/>
          <w:lang w:val="en-US" w:eastAsia="zh-CN" w:bidi="ar-SA"/>
        </w:rPr>
      </w:pPr>
    </w:p>
    <w:p w14:paraId="75937D0E">
      <w:pPr>
        <w:pStyle w:val="29"/>
        <w:outlineLvl w:val="9"/>
        <w:rPr>
          <w:rFonts w:hint="eastAsia" w:asciiTheme="minorEastAsia" w:hAnsiTheme="minorEastAsia" w:eastAsiaTheme="minorEastAsia" w:cstheme="minorEastAsia"/>
          <w:color w:val="auto"/>
          <w:sz w:val="32"/>
          <w:szCs w:val="32"/>
          <w:highlight w:val="none"/>
          <w:lang w:val="en-US" w:eastAsia="zh-CN" w:bidi="ar-SA"/>
        </w:rPr>
      </w:pPr>
    </w:p>
    <w:p w14:paraId="7E128AAA">
      <w:pPr>
        <w:pStyle w:val="29"/>
        <w:outlineLvl w:val="9"/>
        <w:rPr>
          <w:rFonts w:hint="eastAsia" w:asciiTheme="minorEastAsia" w:hAnsiTheme="minorEastAsia" w:eastAsiaTheme="minorEastAsia" w:cstheme="minorEastAsia"/>
          <w:color w:val="auto"/>
          <w:sz w:val="32"/>
          <w:szCs w:val="32"/>
          <w:highlight w:val="none"/>
          <w:lang w:val="en-US" w:eastAsia="zh-CN" w:bidi="ar-SA"/>
        </w:rPr>
      </w:pPr>
    </w:p>
    <w:p w14:paraId="473B988D">
      <w:pPr>
        <w:pStyle w:val="29"/>
        <w:outlineLvl w:val="9"/>
        <w:rPr>
          <w:rFonts w:hint="eastAsia" w:asciiTheme="minorEastAsia" w:hAnsiTheme="minorEastAsia" w:eastAsiaTheme="minorEastAsia" w:cstheme="minorEastAsia"/>
          <w:color w:val="auto"/>
          <w:sz w:val="32"/>
          <w:szCs w:val="32"/>
          <w:highlight w:val="none"/>
          <w:lang w:val="en-US" w:eastAsia="zh-CN" w:bidi="ar-SA"/>
        </w:rPr>
      </w:pPr>
    </w:p>
    <w:p w14:paraId="66CEEBA0">
      <w:pPr>
        <w:pStyle w:val="29"/>
        <w:outlineLvl w:val="9"/>
        <w:rPr>
          <w:rFonts w:hint="eastAsia" w:asciiTheme="minorEastAsia" w:hAnsiTheme="minorEastAsia" w:eastAsiaTheme="minorEastAsia" w:cstheme="minorEastAsia"/>
          <w:color w:val="auto"/>
          <w:sz w:val="32"/>
          <w:szCs w:val="32"/>
          <w:highlight w:val="none"/>
          <w:lang w:val="en-US" w:eastAsia="zh-CN" w:bidi="ar-SA"/>
        </w:rPr>
      </w:pPr>
    </w:p>
    <w:p w14:paraId="5FC6768F">
      <w:pPr>
        <w:widowControl w:val="0"/>
        <w:autoSpaceDE w:val="0"/>
        <w:autoSpaceDN w:val="0"/>
        <w:adjustRightInd w:val="0"/>
        <w:outlineLvl w:val="9"/>
        <w:rPr>
          <w:rFonts w:hint="eastAsia" w:asciiTheme="minorEastAsia" w:hAnsiTheme="minorEastAsia" w:eastAsiaTheme="minorEastAsia" w:cstheme="minorEastAsia"/>
          <w:color w:val="auto"/>
          <w:sz w:val="28"/>
          <w:szCs w:val="28"/>
          <w:highlight w:val="none"/>
          <w:lang w:val="en-US" w:eastAsia="zh-CN" w:bidi="ar-SA"/>
        </w:rPr>
      </w:pPr>
    </w:p>
    <w:p w14:paraId="7C17BC34">
      <w:pPr>
        <w:bidi w:val="0"/>
        <w:jc w:val="right"/>
        <w:outlineLvl w:val="9"/>
        <w:rPr>
          <w:rFonts w:hint="eastAsia"/>
          <w:color w:val="auto"/>
          <w:sz w:val="28"/>
          <w:szCs w:val="28"/>
          <w:highlight w:val="none"/>
          <w:lang w:val="en-US" w:eastAsia="zh-CN"/>
        </w:rPr>
      </w:pPr>
      <w:r>
        <w:rPr>
          <w:rFonts w:hint="eastAsia"/>
          <w:color w:val="auto"/>
          <w:sz w:val="28"/>
          <w:szCs w:val="28"/>
          <w:highlight w:val="none"/>
          <w:lang w:val="en-US" w:eastAsia="zh-CN"/>
        </w:rPr>
        <w:t>委托单位：远景能源（锡林郭勒）有限公司</w:t>
      </w:r>
    </w:p>
    <w:p w14:paraId="08DF970A">
      <w:pPr>
        <w:bidi w:val="0"/>
        <w:jc w:val="right"/>
        <w:outlineLvl w:val="9"/>
        <w:rPr>
          <w:rFonts w:hint="default" w:ascii="Times New Roman" w:hAnsi="Times New Roman" w:cs="Times New Roman"/>
          <w:color w:val="auto"/>
          <w:sz w:val="28"/>
          <w:szCs w:val="28"/>
          <w:highlight w:val="none"/>
          <w:lang w:val="en-US" w:eastAsia="zh-CN"/>
        </w:rPr>
      </w:pPr>
      <w:r>
        <w:rPr>
          <w:rFonts w:hint="default" w:ascii="Times New Roman" w:hAnsi="Times New Roman" w:cs="Times New Roman"/>
          <w:color w:val="auto"/>
          <w:sz w:val="28"/>
          <w:szCs w:val="28"/>
          <w:highlight w:val="none"/>
          <w:lang w:val="en-US" w:eastAsia="zh-CN"/>
        </w:rPr>
        <w:t>2024年11月10日</w:t>
      </w:r>
    </w:p>
    <w:p w14:paraId="200253A9">
      <w:pPr>
        <w:pStyle w:val="31"/>
        <w:jc w:val="both"/>
        <w:outlineLvl w:val="9"/>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br w:type="page"/>
      </w:r>
    </w:p>
    <w:p w14:paraId="314579FE">
      <w:pPr>
        <w:pStyle w:val="2"/>
        <w:ind w:firstLine="0" w:firstLineChars="0"/>
        <w:outlineLvl w:val="0"/>
        <w:rPr>
          <w:b/>
          <w:bCs/>
        </w:rPr>
      </w:pPr>
      <w:r>
        <w:rPr>
          <w:rFonts w:hint="eastAsia"/>
          <w:b/>
          <w:bCs/>
        </w:rPr>
        <w:t>附件</w:t>
      </w:r>
      <w:r>
        <w:rPr>
          <w:rFonts w:hint="default" w:ascii="Times New Roman" w:hAnsi="Times New Roman" w:cs="Times New Roman"/>
          <w:b/>
          <w:bCs/>
        </w:rPr>
        <w:t>3</w:t>
      </w:r>
      <w:r>
        <w:rPr>
          <w:rFonts w:hint="eastAsia"/>
          <w:b/>
          <w:bCs/>
        </w:rPr>
        <w:t xml:space="preserve">  土地证</w:t>
      </w:r>
    </w:p>
    <w:p w14:paraId="0E973887">
      <w:r>
        <w:drawing>
          <wp:inline distT="0" distB="0" distL="114300" distR="114300">
            <wp:extent cx="5612765" cy="4116070"/>
            <wp:effectExtent l="0" t="0" r="6985" b="1778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16"/>
                    <a:stretch>
                      <a:fillRect/>
                    </a:stretch>
                  </pic:blipFill>
                  <pic:spPr>
                    <a:xfrm>
                      <a:off x="0" y="0"/>
                      <a:ext cx="5612765" cy="4116070"/>
                    </a:xfrm>
                    <a:prstGeom prst="rect">
                      <a:avLst/>
                    </a:prstGeom>
                    <a:noFill/>
                    <a:ln>
                      <a:noFill/>
                    </a:ln>
                  </pic:spPr>
                </pic:pic>
              </a:graphicData>
            </a:graphic>
          </wp:inline>
        </w:drawing>
      </w:r>
    </w:p>
    <w:p w14:paraId="74E9CACA">
      <w:pPr>
        <w:pStyle w:val="29"/>
        <w:ind w:left="0" w:leftChars="0" w:firstLine="0" w:firstLineChars="0"/>
      </w:pPr>
      <w:r>
        <w:drawing>
          <wp:inline distT="0" distB="0" distL="114300" distR="114300">
            <wp:extent cx="5608955" cy="3972560"/>
            <wp:effectExtent l="0" t="0" r="10795" b="8890"/>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17"/>
                    <a:stretch>
                      <a:fillRect/>
                    </a:stretch>
                  </pic:blipFill>
                  <pic:spPr>
                    <a:xfrm>
                      <a:off x="0" y="0"/>
                      <a:ext cx="5608955" cy="3972560"/>
                    </a:xfrm>
                    <a:prstGeom prst="rect">
                      <a:avLst/>
                    </a:prstGeom>
                    <a:noFill/>
                    <a:ln>
                      <a:noFill/>
                    </a:ln>
                  </pic:spPr>
                </pic:pic>
              </a:graphicData>
            </a:graphic>
          </wp:inline>
        </w:drawing>
      </w:r>
    </w:p>
    <w:p w14:paraId="75E88329">
      <w:pPr>
        <w:pStyle w:val="29"/>
        <w:ind w:left="0" w:leftChars="0" w:firstLine="0" w:firstLineChars="0"/>
      </w:pPr>
      <w:r>
        <w:drawing>
          <wp:inline distT="0" distB="0" distL="114300" distR="114300">
            <wp:extent cx="5591175" cy="8239125"/>
            <wp:effectExtent l="0" t="0" r="9525" b="9525"/>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8"/>
                    <a:stretch>
                      <a:fillRect/>
                    </a:stretch>
                  </pic:blipFill>
                  <pic:spPr>
                    <a:xfrm>
                      <a:off x="0" y="0"/>
                      <a:ext cx="5591175" cy="8239125"/>
                    </a:xfrm>
                    <a:prstGeom prst="rect">
                      <a:avLst/>
                    </a:prstGeom>
                    <a:noFill/>
                    <a:ln>
                      <a:noFill/>
                    </a:ln>
                  </pic:spPr>
                </pic:pic>
              </a:graphicData>
            </a:graphic>
          </wp:inline>
        </w:drawing>
      </w:r>
    </w:p>
    <w:p w14:paraId="2ABB4D9D">
      <w:pPr>
        <w:pStyle w:val="2"/>
        <w:ind w:left="0" w:leftChars="0" w:firstLine="0" w:firstLineChars="0"/>
      </w:pPr>
    </w:p>
    <w:p w14:paraId="45A396F9">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type="lines" w:linePitch="312" w:charSpace="0"/>
        </w:sectPr>
      </w:pPr>
    </w:p>
    <w:p w14:paraId="75CBCC33">
      <w:pPr>
        <w:pStyle w:val="2"/>
        <w:ind w:firstLine="0" w:firstLineChars="0"/>
        <w:outlineLvl w:val="0"/>
        <w:rPr>
          <w:b/>
          <w:bCs/>
        </w:rPr>
      </w:pPr>
      <w:r>
        <w:rPr>
          <w:rFonts w:hint="eastAsia"/>
          <w:b/>
          <w:bCs/>
        </w:rPr>
        <w:t>附件</w:t>
      </w:r>
      <w:r>
        <w:rPr>
          <w:rFonts w:hint="default" w:ascii="Times New Roman" w:hAnsi="Times New Roman" w:cs="Times New Roman"/>
          <w:b/>
          <w:bCs/>
        </w:rPr>
        <w:t>4</w:t>
      </w:r>
      <w:r>
        <w:rPr>
          <w:rFonts w:hint="eastAsia"/>
          <w:b/>
          <w:bCs/>
        </w:rPr>
        <w:t xml:space="preserve">  固定污染源排污登记表</w:t>
      </w:r>
    </w:p>
    <w:p w14:paraId="0AB6183A">
      <w:pPr>
        <w:pStyle w:val="2"/>
        <w:ind w:firstLine="0" w:firstLineChars="0"/>
      </w:pPr>
      <w:r>
        <w:drawing>
          <wp:inline distT="0" distB="0" distL="114300" distR="114300">
            <wp:extent cx="5381625" cy="8171815"/>
            <wp:effectExtent l="0" t="0" r="9525" b="63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19"/>
                    <a:stretch>
                      <a:fillRect/>
                    </a:stretch>
                  </pic:blipFill>
                  <pic:spPr>
                    <a:xfrm>
                      <a:off x="0" y="0"/>
                      <a:ext cx="5381625" cy="8171815"/>
                    </a:xfrm>
                    <a:prstGeom prst="rect">
                      <a:avLst/>
                    </a:prstGeom>
                    <a:noFill/>
                    <a:ln>
                      <a:noFill/>
                    </a:ln>
                  </pic:spPr>
                </pic:pic>
              </a:graphicData>
            </a:graphic>
          </wp:inline>
        </w:drawing>
      </w:r>
    </w:p>
    <w:p w14:paraId="3E31DEB7">
      <w:pPr>
        <w:pStyle w:val="2"/>
        <w:ind w:firstLine="0" w:firstLineChars="0"/>
        <w:outlineLvl w:val="0"/>
        <w:rPr>
          <w:rFonts w:hint="default"/>
          <w:b/>
          <w:bCs/>
          <w:lang w:val="en-US"/>
        </w:rPr>
      </w:pPr>
      <w:r>
        <w:rPr>
          <w:rFonts w:hint="eastAsia"/>
          <w:b/>
          <w:bCs/>
        </w:rPr>
        <w:t>附件</w:t>
      </w:r>
      <w:r>
        <w:rPr>
          <w:rFonts w:hint="default" w:ascii="Times New Roman" w:hAnsi="Times New Roman" w:cs="Times New Roman"/>
          <w:b/>
          <w:bCs/>
        </w:rPr>
        <w:t>5</w:t>
      </w:r>
      <w:r>
        <w:rPr>
          <w:rFonts w:hint="eastAsia"/>
          <w:b/>
          <w:bCs/>
        </w:rPr>
        <w:t xml:space="preserve">  </w:t>
      </w:r>
      <w:r>
        <w:rPr>
          <w:rFonts w:hint="eastAsia"/>
          <w:b/>
          <w:bCs/>
          <w:lang w:val="en-US" w:eastAsia="zh-CN"/>
        </w:rPr>
        <w:t>应急预案备案表</w:t>
      </w:r>
    </w:p>
    <w:p w14:paraId="21C4F416">
      <w:pPr>
        <w:rPr>
          <w:rFonts w:hint="eastAsia" w:eastAsia="宋体"/>
          <w:lang w:eastAsia="zh-CN"/>
        </w:rPr>
      </w:pPr>
      <w:r>
        <w:rPr>
          <w:rFonts w:hint="eastAsia" w:eastAsia="宋体"/>
          <w:lang w:eastAsia="zh-CN"/>
        </w:rPr>
        <w:drawing>
          <wp:inline distT="0" distB="0" distL="114300" distR="114300">
            <wp:extent cx="5603875" cy="8188325"/>
            <wp:effectExtent l="0" t="0" r="15875" b="3175"/>
            <wp:docPr id="5" name="图片 5" descr="备案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备案表"/>
                    <pic:cNvPicPr>
                      <a:picLocks noChangeAspect="1"/>
                    </pic:cNvPicPr>
                  </pic:nvPicPr>
                  <pic:blipFill>
                    <a:blip r:embed="rId20"/>
                    <a:stretch>
                      <a:fillRect/>
                    </a:stretch>
                  </pic:blipFill>
                  <pic:spPr>
                    <a:xfrm>
                      <a:off x="0" y="0"/>
                      <a:ext cx="5603875" cy="8188325"/>
                    </a:xfrm>
                    <a:prstGeom prst="rect">
                      <a:avLst/>
                    </a:prstGeom>
                  </pic:spPr>
                </pic:pic>
              </a:graphicData>
            </a:graphic>
          </wp:inline>
        </w:drawing>
      </w:r>
    </w:p>
    <w:p w14:paraId="39B7C3C2">
      <w:pPr>
        <w:pStyle w:val="2"/>
        <w:ind w:firstLine="0" w:firstLineChars="0"/>
        <w:outlineLvl w:val="0"/>
        <w:rPr>
          <w:b/>
          <w:bCs/>
        </w:rPr>
      </w:pPr>
      <w:r>
        <w:rPr>
          <w:rFonts w:hint="eastAsia"/>
          <w:b/>
          <w:bCs/>
        </w:rPr>
        <w:t>附件</w:t>
      </w:r>
      <w:r>
        <w:rPr>
          <w:rFonts w:hint="default" w:ascii="Times New Roman" w:hAnsi="Times New Roman" w:cs="Times New Roman"/>
          <w:b/>
          <w:bCs/>
        </w:rPr>
        <w:t>6</w:t>
      </w:r>
      <w:r>
        <w:rPr>
          <w:rFonts w:hint="eastAsia"/>
          <w:b/>
          <w:bCs/>
        </w:rPr>
        <w:t xml:space="preserve">  </w:t>
      </w:r>
      <w:r>
        <w:rPr>
          <w:rFonts w:hint="eastAsia"/>
          <w:b/>
          <w:bCs/>
          <w:lang w:val="en-US" w:eastAsia="zh-CN"/>
        </w:rPr>
        <w:t>关于《远景能源（锡林郭勒）有限公司产品是否需要履行环保手续》的回函</w:t>
      </w:r>
    </w:p>
    <w:p w14:paraId="37B6C5E6">
      <w:r>
        <w:drawing>
          <wp:inline distT="0" distB="0" distL="114300" distR="114300">
            <wp:extent cx="5619115" cy="8143875"/>
            <wp:effectExtent l="0" t="0" r="635"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1"/>
                    <a:stretch>
                      <a:fillRect/>
                    </a:stretch>
                  </pic:blipFill>
                  <pic:spPr>
                    <a:xfrm>
                      <a:off x="0" y="0"/>
                      <a:ext cx="5619115" cy="8143875"/>
                    </a:xfrm>
                    <a:prstGeom prst="rect">
                      <a:avLst/>
                    </a:prstGeom>
                    <a:noFill/>
                    <a:ln>
                      <a:noFill/>
                    </a:ln>
                  </pic:spPr>
                </pic:pic>
              </a:graphicData>
            </a:graphic>
          </wp:inline>
        </w:drawing>
      </w:r>
    </w:p>
    <w:p w14:paraId="4256E5B8">
      <w:pPr>
        <w:pStyle w:val="23"/>
        <w:ind w:left="0" w:leftChars="0" w:firstLine="0" w:firstLineChars="0"/>
      </w:pPr>
      <w:r>
        <w:drawing>
          <wp:inline distT="0" distB="0" distL="114300" distR="114300">
            <wp:extent cx="5581650" cy="8343265"/>
            <wp:effectExtent l="0" t="0" r="0" b="63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2"/>
                    <a:stretch>
                      <a:fillRect/>
                    </a:stretch>
                  </pic:blipFill>
                  <pic:spPr>
                    <a:xfrm>
                      <a:off x="0" y="0"/>
                      <a:ext cx="5581650" cy="8343265"/>
                    </a:xfrm>
                    <a:prstGeom prst="rect">
                      <a:avLst/>
                    </a:prstGeom>
                    <a:noFill/>
                    <a:ln>
                      <a:noFill/>
                    </a:ln>
                  </pic:spPr>
                </pic:pic>
              </a:graphicData>
            </a:graphic>
          </wp:inline>
        </w:drawing>
      </w:r>
    </w:p>
    <w:p w14:paraId="53CACA23">
      <w:pPr>
        <w:pStyle w:val="2"/>
        <w:ind w:firstLine="0" w:firstLineChars="0"/>
        <w:outlineLvl w:val="0"/>
        <w:rPr>
          <w:rFonts w:hint="default"/>
          <w:b/>
          <w:bCs/>
          <w:lang w:val="en-US"/>
        </w:rPr>
      </w:pPr>
      <w:r>
        <w:rPr>
          <w:rFonts w:hint="eastAsia"/>
          <w:b/>
          <w:bCs/>
        </w:rPr>
        <w:t>附件</w:t>
      </w:r>
      <w:r>
        <w:rPr>
          <w:rFonts w:hint="eastAsia" w:ascii="Times New Roman" w:hAnsi="Times New Roman" w:cs="Times New Roman"/>
          <w:b/>
          <w:bCs/>
          <w:lang w:val="en-US" w:eastAsia="zh-CN"/>
        </w:rPr>
        <w:t>7</w:t>
      </w:r>
      <w:r>
        <w:rPr>
          <w:rFonts w:hint="eastAsia"/>
          <w:b/>
          <w:bCs/>
        </w:rPr>
        <w:t xml:space="preserve">  </w:t>
      </w:r>
      <w:r>
        <w:rPr>
          <w:rFonts w:hint="eastAsia"/>
          <w:b/>
          <w:bCs/>
          <w:lang w:val="en-US" w:eastAsia="zh-CN"/>
        </w:rPr>
        <w:t>检测报告</w:t>
      </w:r>
    </w:p>
    <w:p w14:paraId="67D4B61B">
      <w:r>
        <w:drawing>
          <wp:inline distT="0" distB="0" distL="114300" distR="114300">
            <wp:extent cx="5581650" cy="8200390"/>
            <wp:effectExtent l="0" t="0" r="0" b="1016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3"/>
                    <a:stretch>
                      <a:fillRect/>
                    </a:stretch>
                  </pic:blipFill>
                  <pic:spPr>
                    <a:xfrm>
                      <a:off x="0" y="0"/>
                      <a:ext cx="5581650" cy="8200390"/>
                    </a:xfrm>
                    <a:prstGeom prst="rect">
                      <a:avLst/>
                    </a:prstGeom>
                    <a:noFill/>
                    <a:ln>
                      <a:noFill/>
                    </a:ln>
                  </pic:spPr>
                </pic:pic>
              </a:graphicData>
            </a:graphic>
          </wp:inline>
        </w:drawing>
      </w:r>
    </w:p>
    <w:p w14:paraId="48F1FFD0">
      <w:pPr>
        <w:pStyle w:val="29"/>
        <w:ind w:left="0" w:leftChars="0" w:firstLine="0" w:firstLineChars="0"/>
      </w:pPr>
      <w:r>
        <w:drawing>
          <wp:inline distT="0" distB="0" distL="114300" distR="114300">
            <wp:extent cx="5581650" cy="8410575"/>
            <wp:effectExtent l="0" t="0" r="0" b="952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4"/>
                    <a:stretch>
                      <a:fillRect/>
                    </a:stretch>
                  </pic:blipFill>
                  <pic:spPr>
                    <a:xfrm>
                      <a:off x="0" y="0"/>
                      <a:ext cx="5581650" cy="8410575"/>
                    </a:xfrm>
                    <a:prstGeom prst="rect">
                      <a:avLst/>
                    </a:prstGeom>
                    <a:noFill/>
                    <a:ln>
                      <a:noFill/>
                    </a:ln>
                  </pic:spPr>
                </pic:pic>
              </a:graphicData>
            </a:graphic>
          </wp:inline>
        </w:drawing>
      </w:r>
    </w:p>
    <w:p w14:paraId="5FF4311A">
      <w:pPr>
        <w:pStyle w:val="29"/>
        <w:ind w:left="0" w:leftChars="0" w:firstLine="0" w:firstLineChars="0"/>
      </w:pPr>
      <w:r>
        <w:drawing>
          <wp:inline distT="0" distB="0" distL="114300" distR="114300">
            <wp:extent cx="5600065" cy="8362315"/>
            <wp:effectExtent l="0" t="0" r="635" b="63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5"/>
                    <a:stretch>
                      <a:fillRect/>
                    </a:stretch>
                  </pic:blipFill>
                  <pic:spPr>
                    <a:xfrm>
                      <a:off x="0" y="0"/>
                      <a:ext cx="5600065" cy="8362315"/>
                    </a:xfrm>
                    <a:prstGeom prst="rect">
                      <a:avLst/>
                    </a:prstGeom>
                    <a:noFill/>
                    <a:ln>
                      <a:noFill/>
                    </a:ln>
                  </pic:spPr>
                </pic:pic>
              </a:graphicData>
            </a:graphic>
          </wp:inline>
        </w:drawing>
      </w:r>
    </w:p>
    <w:p w14:paraId="3F626F54">
      <w:pPr>
        <w:pStyle w:val="29"/>
        <w:ind w:left="0" w:leftChars="0" w:firstLine="0" w:firstLineChars="0"/>
      </w:pPr>
      <w:r>
        <w:drawing>
          <wp:inline distT="0" distB="0" distL="114300" distR="114300">
            <wp:extent cx="5657850" cy="8390890"/>
            <wp:effectExtent l="0" t="0" r="0" b="1016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6"/>
                    <a:stretch>
                      <a:fillRect/>
                    </a:stretch>
                  </pic:blipFill>
                  <pic:spPr>
                    <a:xfrm>
                      <a:off x="0" y="0"/>
                      <a:ext cx="5657850" cy="8390890"/>
                    </a:xfrm>
                    <a:prstGeom prst="rect">
                      <a:avLst/>
                    </a:prstGeom>
                    <a:noFill/>
                    <a:ln>
                      <a:noFill/>
                    </a:ln>
                  </pic:spPr>
                </pic:pic>
              </a:graphicData>
            </a:graphic>
          </wp:inline>
        </w:drawing>
      </w:r>
    </w:p>
    <w:p w14:paraId="546DC876">
      <w:pPr>
        <w:pStyle w:val="29"/>
        <w:ind w:left="0" w:leftChars="0" w:firstLine="0" w:firstLineChars="0"/>
      </w:pPr>
      <w:r>
        <w:drawing>
          <wp:inline distT="0" distB="0" distL="114300" distR="114300">
            <wp:extent cx="5581015" cy="8439150"/>
            <wp:effectExtent l="0" t="0" r="635"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27"/>
                    <a:stretch>
                      <a:fillRect/>
                    </a:stretch>
                  </pic:blipFill>
                  <pic:spPr>
                    <a:xfrm>
                      <a:off x="0" y="0"/>
                      <a:ext cx="5581015" cy="8439150"/>
                    </a:xfrm>
                    <a:prstGeom prst="rect">
                      <a:avLst/>
                    </a:prstGeom>
                    <a:noFill/>
                    <a:ln>
                      <a:noFill/>
                    </a:ln>
                  </pic:spPr>
                </pic:pic>
              </a:graphicData>
            </a:graphic>
          </wp:inline>
        </w:drawing>
      </w:r>
    </w:p>
    <w:p w14:paraId="5C79B733">
      <w:pPr>
        <w:pStyle w:val="29"/>
        <w:ind w:left="0" w:leftChars="0" w:firstLine="0" w:firstLineChars="0"/>
      </w:pPr>
      <w:r>
        <w:drawing>
          <wp:inline distT="0" distB="0" distL="114300" distR="114300">
            <wp:extent cx="5562600" cy="8401050"/>
            <wp:effectExtent l="0" t="0" r="0" b="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28"/>
                    <a:stretch>
                      <a:fillRect/>
                    </a:stretch>
                  </pic:blipFill>
                  <pic:spPr>
                    <a:xfrm>
                      <a:off x="0" y="0"/>
                      <a:ext cx="5562600" cy="8401050"/>
                    </a:xfrm>
                    <a:prstGeom prst="rect">
                      <a:avLst/>
                    </a:prstGeom>
                    <a:noFill/>
                    <a:ln>
                      <a:noFill/>
                    </a:ln>
                  </pic:spPr>
                </pic:pic>
              </a:graphicData>
            </a:graphic>
          </wp:inline>
        </w:drawing>
      </w:r>
    </w:p>
    <w:p w14:paraId="3958053F">
      <w:pPr>
        <w:pStyle w:val="29"/>
        <w:ind w:left="0" w:leftChars="0" w:firstLine="0" w:firstLineChars="0"/>
      </w:pPr>
      <w:r>
        <w:drawing>
          <wp:inline distT="0" distB="0" distL="114300" distR="114300">
            <wp:extent cx="5562600" cy="8428990"/>
            <wp:effectExtent l="0" t="0" r="0" b="1016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29"/>
                    <a:stretch>
                      <a:fillRect/>
                    </a:stretch>
                  </pic:blipFill>
                  <pic:spPr>
                    <a:xfrm>
                      <a:off x="0" y="0"/>
                      <a:ext cx="5562600" cy="8428990"/>
                    </a:xfrm>
                    <a:prstGeom prst="rect">
                      <a:avLst/>
                    </a:prstGeom>
                    <a:noFill/>
                    <a:ln>
                      <a:noFill/>
                    </a:ln>
                  </pic:spPr>
                </pic:pic>
              </a:graphicData>
            </a:graphic>
          </wp:inline>
        </w:drawing>
      </w:r>
    </w:p>
    <w:p w14:paraId="40C749FB">
      <w:pPr>
        <w:pStyle w:val="29"/>
        <w:ind w:left="0" w:leftChars="0" w:firstLine="0" w:firstLineChars="0"/>
      </w:pPr>
      <w:r>
        <w:drawing>
          <wp:inline distT="0" distB="0" distL="114300" distR="114300">
            <wp:extent cx="5590540" cy="8390890"/>
            <wp:effectExtent l="0" t="0" r="10160" b="1016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30"/>
                    <a:stretch>
                      <a:fillRect/>
                    </a:stretch>
                  </pic:blipFill>
                  <pic:spPr>
                    <a:xfrm>
                      <a:off x="0" y="0"/>
                      <a:ext cx="5590540" cy="8390890"/>
                    </a:xfrm>
                    <a:prstGeom prst="rect">
                      <a:avLst/>
                    </a:prstGeom>
                    <a:noFill/>
                    <a:ln>
                      <a:noFill/>
                    </a:ln>
                  </pic:spPr>
                </pic:pic>
              </a:graphicData>
            </a:graphic>
          </wp:inline>
        </w:drawing>
      </w:r>
    </w:p>
    <w:p w14:paraId="70807ACB">
      <w:pPr>
        <w:pStyle w:val="2"/>
        <w:ind w:firstLine="0" w:firstLineChars="0"/>
        <w:outlineLvl w:val="0"/>
        <w:rPr>
          <w:rFonts w:hint="default" w:eastAsia="宋体"/>
          <w:b/>
          <w:bCs/>
          <w:lang w:val="en-US" w:eastAsia="zh-CN"/>
        </w:rPr>
      </w:pPr>
      <w:r>
        <w:rPr>
          <w:rFonts w:hint="eastAsia"/>
          <w:b/>
          <w:bCs/>
        </w:rPr>
        <w:t>附件</w:t>
      </w:r>
      <w:r>
        <w:rPr>
          <w:rFonts w:hint="eastAsia" w:ascii="Times New Roman" w:hAnsi="Times New Roman" w:cs="Times New Roman"/>
          <w:b/>
          <w:bCs/>
          <w:lang w:val="en-US" w:eastAsia="zh-CN"/>
        </w:rPr>
        <w:t>8</w:t>
      </w:r>
      <w:r>
        <w:rPr>
          <w:rFonts w:hint="eastAsia"/>
          <w:b/>
          <w:bCs/>
        </w:rPr>
        <w:t xml:space="preserve">  </w:t>
      </w:r>
      <w:r>
        <w:rPr>
          <w:rFonts w:hint="eastAsia"/>
          <w:b/>
          <w:bCs/>
          <w:lang w:val="en-US" w:eastAsia="zh-CN"/>
        </w:rPr>
        <w:t>固体废物无害化处置合同</w:t>
      </w:r>
    </w:p>
    <w:p w14:paraId="53668810">
      <w:pPr>
        <w:pStyle w:val="29"/>
        <w:ind w:left="0" w:leftChars="0" w:firstLine="0" w:firstLineChars="0"/>
      </w:pPr>
      <w:r>
        <w:drawing>
          <wp:inline distT="0" distB="0" distL="114300" distR="114300">
            <wp:extent cx="5612765" cy="8185150"/>
            <wp:effectExtent l="0" t="0" r="6985" b="635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31"/>
                    <a:stretch>
                      <a:fillRect/>
                    </a:stretch>
                  </pic:blipFill>
                  <pic:spPr>
                    <a:xfrm>
                      <a:off x="0" y="0"/>
                      <a:ext cx="5612765" cy="8185150"/>
                    </a:xfrm>
                    <a:prstGeom prst="rect">
                      <a:avLst/>
                    </a:prstGeom>
                    <a:noFill/>
                    <a:ln>
                      <a:noFill/>
                    </a:ln>
                  </pic:spPr>
                </pic:pic>
              </a:graphicData>
            </a:graphic>
          </wp:inline>
        </w:drawing>
      </w:r>
    </w:p>
    <w:p w14:paraId="506CF8FA">
      <w:pPr>
        <w:pStyle w:val="29"/>
        <w:ind w:left="0" w:leftChars="0" w:firstLine="0" w:firstLineChars="0"/>
      </w:pPr>
      <w:r>
        <w:drawing>
          <wp:inline distT="0" distB="0" distL="114300" distR="114300">
            <wp:extent cx="5552440" cy="8390890"/>
            <wp:effectExtent l="0" t="0" r="10160" b="1016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32"/>
                    <a:stretch>
                      <a:fillRect/>
                    </a:stretch>
                  </pic:blipFill>
                  <pic:spPr>
                    <a:xfrm>
                      <a:off x="0" y="0"/>
                      <a:ext cx="5552440" cy="8390890"/>
                    </a:xfrm>
                    <a:prstGeom prst="rect">
                      <a:avLst/>
                    </a:prstGeom>
                    <a:noFill/>
                    <a:ln>
                      <a:noFill/>
                    </a:ln>
                  </pic:spPr>
                </pic:pic>
              </a:graphicData>
            </a:graphic>
          </wp:inline>
        </w:drawing>
      </w:r>
    </w:p>
    <w:p w14:paraId="41E1DF85">
      <w:pPr>
        <w:pStyle w:val="29"/>
        <w:ind w:left="0" w:leftChars="0" w:firstLine="0" w:firstLineChars="0"/>
      </w:pPr>
      <w:r>
        <w:drawing>
          <wp:inline distT="0" distB="0" distL="114300" distR="114300">
            <wp:extent cx="5629275" cy="8391525"/>
            <wp:effectExtent l="0" t="0" r="9525" b="952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33"/>
                    <a:stretch>
                      <a:fillRect/>
                    </a:stretch>
                  </pic:blipFill>
                  <pic:spPr>
                    <a:xfrm>
                      <a:off x="0" y="0"/>
                      <a:ext cx="5629275" cy="8391525"/>
                    </a:xfrm>
                    <a:prstGeom prst="rect">
                      <a:avLst/>
                    </a:prstGeom>
                    <a:noFill/>
                    <a:ln>
                      <a:noFill/>
                    </a:ln>
                  </pic:spPr>
                </pic:pic>
              </a:graphicData>
            </a:graphic>
          </wp:inline>
        </w:drawing>
      </w:r>
    </w:p>
    <w:p w14:paraId="15B39187">
      <w:pPr>
        <w:pStyle w:val="29"/>
        <w:ind w:left="0" w:leftChars="0" w:firstLine="0" w:firstLineChars="0"/>
      </w:pPr>
      <w:r>
        <w:drawing>
          <wp:inline distT="0" distB="0" distL="114300" distR="114300">
            <wp:extent cx="5571490" cy="8362315"/>
            <wp:effectExtent l="0" t="0" r="10160" b="63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34"/>
                    <a:stretch>
                      <a:fillRect/>
                    </a:stretch>
                  </pic:blipFill>
                  <pic:spPr>
                    <a:xfrm>
                      <a:off x="0" y="0"/>
                      <a:ext cx="5571490" cy="8362315"/>
                    </a:xfrm>
                    <a:prstGeom prst="rect">
                      <a:avLst/>
                    </a:prstGeom>
                    <a:noFill/>
                    <a:ln>
                      <a:noFill/>
                    </a:ln>
                  </pic:spPr>
                </pic:pic>
              </a:graphicData>
            </a:graphic>
          </wp:inline>
        </w:drawing>
      </w:r>
    </w:p>
    <w:p w14:paraId="7C7BD270">
      <w:pPr>
        <w:pStyle w:val="29"/>
        <w:ind w:left="0" w:leftChars="0" w:firstLine="0" w:firstLineChars="0"/>
      </w:pPr>
      <w:r>
        <w:drawing>
          <wp:inline distT="0" distB="0" distL="114300" distR="114300">
            <wp:extent cx="5647690" cy="8343265"/>
            <wp:effectExtent l="0" t="0" r="10160" b="63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35"/>
                    <a:stretch>
                      <a:fillRect/>
                    </a:stretch>
                  </pic:blipFill>
                  <pic:spPr>
                    <a:xfrm>
                      <a:off x="0" y="0"/>
                      <a:ext cx="5647690" cy="8343265"/>
                    </a:xfrm>
                    <a:prstGeom prst="rect">
                      <a:avLst/>
                    </a:prstGeom>
                    <a:noFill/>
                    <a:ln>
                      <a:noFill/>
                    </a:ln>
                  </pic:spPr>
                </pic:pic>
              </a:graphicData>
            </a:graphic>
          </wp:inline>
        </w:drawing>
      </w:r>
    </w:p>
    <w:p w14:paraId="19F8BD92">
      <w:pPr>
        <w:pStyle w:val="29"/>
        <w:ind w:left="0" w:leftChars="0" w:firstLine="0" w:firstLineChars="0"/>
      </w:pPr>
      <w:r>
        <w:drawing>
          <wp:inline distT="0" distB="0" distL="114300" distR="114300">
            <wp:extent cx="5600065" cy="8429625"/>
            <wp:effectExtent l="0" t="0" r="635" b="952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6"/>
                    <a:stretch>
                      <a:fillRect/>
                    </a:stretch>
                  </pic:blipFill>
                  <pic:spPr>
                    <a:xfrm>
                      <a:off x="0" y="0"/>
                      <a:ext cx="5600065" cy="8429625"/>
                    </a:xfrm>
                    <a:prstGeom prst="rect">
                      <a:avLst/>
                    </a:prstGeom>
                    <a:noFill/>
                    <a:ln>
                      <a:noFill/>
                    </a:ln>
                  </pic:spPr>
                </pic:pic>
              </a:graphicData>
            </a:graphic>
          </wp:inline>
        </w:drawing>
      </w:r>
    </w:p>
    <w:p w14:paraId="6FD7D9D9">
      <w:pPr>
        <w:pStyle w:val="29"/>
        <w:ind w:left="0" w:leftChars="0" w:firstLine="0" w:firstLineChars="0"/>
      </w:pPr>
      <w:r>
        <w:drawing>
          <wp:inline distT="0" distB="0" distL="114300" distR="114300">
            <wp:extent cx="5561965" cy="8382000"/>
            <wp:effectExtent l="0" t="0" r="635" b="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37"/>
                    <a:stretch>
                      <a:fillRect/>
                    </a:stretch>
                  </pic:blipFill>
                  <pic:spPr>
                    <a:xfrm>
                      <a:off x="0" y="0"/>
                      <a:ext cx="5561965" cy="8382000"/>
                    </a:xfrm>
                    <a:prstGeom prst="rect">
                      <a:avLst/>
                    </a:prstGeom>
                    <a:noFill/>
                    <a:ln>
                      <a:noFill/>
                    </a:ln>
                  </pic:spPr>
                </pic:pic>
              </a:graphicData>
            </a:graphic>
          </wp:inline>
        </w:drawing>
      </w:r>
    </w:p>
    <w:p w14:paraId="757AB8A0">
      <w:pPr>
        <w:pStyle w:val="29"/>
        <w:ind w:left="0" w:leftChars="0" w:firstLine="0" w:firstLineChars="0"/>
        <w:sectPr>
          <w:pgSz w:w="11906" w:h="16838"/>
          <w:pgMar w:top="1701" w:right="1531" w:bottom="1701" w:left="1531" w:header="851" w:footer="851" w:gutter="0"/>
          <w:pgBorders>
            <w:top w:val="none" w:sz="0" w:space="0"/>
            <w:left w:val="none" w:sz="0" w:space="0"/>
            <w:bottom w:val="none" w:sz="0" w:space="0"/>
            <w:right w:val="none" w:sz="0" w:space="0"/>
          </w:pgBorders>
          <w:cols w:space="720" w:num="1"/>
          <w:docGrid w:type="lines" w:linePitch="312" w:charSpace="0"/>
        </w:sectPr>
      </w:pPr>
      <w:r>
        <w:drawing>
          <wp:inline distT="0" distB="0" distL="114300" distR="114300">
            <wp:extent cx="5581015" cy="8362315"/>
            <wp:effectExtent l="0" t="0" r="635" b="63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38"/>
                    <a:stretch>
                      <a:fillRect/>
                    </a:stretch>
                  </pic:blipFill>
                  <pic:spPr>
                    <a:xfrm>
                      <a:off x="0" y="0"/>
                      <a:ext cx="5581015" cy="8362315"/>
                    </a:xfrm>
                    <a:prstGeom prst="rect">
                      <a:avLst/>
                    </a:prstGeom>
                    <a:noFill/>
                    <a:ln>
                      <a:noFill/>
                    </a:ln>
                  </pic:spPr>
                </pic:pic>
              </a:graphicData>
            </a:graphic>
          </wp:inline>
        </w:drawing>
      </w:r>
    </w:p>
    <w:p w14:paraId="720872C4">
      <w:pPr>
        <w:pStyle w:val="2"/>
        <w:ind w:firstLine="0" w:firstLineChars="0"/>
        <w:outlineLvl w:val="0"/>
        <w:rPr>
          <w:rFonts w:hint="eastAsia"/>
          <w:lang w:eastAsia="zh-CN"/>
        </w:rPr>
      </w:pPr>
      <w:r>
        <w:rPr>
          <w:rFonts w:hint="eastAsia"/>
          <w:b/>
          <w:bCs/>
        </w:rPr>
        <w:t>附件</w:t>
      </w:r>
      <w:r>
        <w:rPr>
          <w:rFonts w:hint="eastAsia" w:ascii="Times New Roman" w:hAnsi="Times New Roman" w:cs="Times New Roman"/>
          <w:b/>
          <w:bCs/>
          <w:lang w:val="en-US" w:eastAsia="zh-CN"/>
        </w:rPr>
        <w:t>9</w:t>
      </w:r>
      <w:r>
        <w:rPr>
          <w:rFonts w:hint="eastAsia"/>
          <w:b/>
          <w:bCs/>
        </w:rPr>
        <w:t xml:space="preserve">  </w:t>
      </w:r>
      <w:r>
        <w:rPr>
          <w:rFonts w:hint="eastAsia"/>
          <w:b/>
          <w:bCs/>
          <w:lang w:val="en-US" w:eastAsia="zh-CN"/>
        </w:rPr>
        <w:t>处置单位经营许可证</w:t>
      </w:r>
    </w:p>
    <w:p w14:paraId="16F1A45A">
      <w:pPr>
        <w:pStyle w:val="29"/>
        <w:ind w:left="0" w:leftChars="0" w:firstLine="0" w:firstLineChars="0"/>
        <w:jc w:val="center"/>
        <w:rPr>
          <w:rFonts w:hint="eastAsia"/>
          <w:lang w:eastAsia="zh-CN"/>
        </w:rPr>
      </w:pPr>
      <w:r>
        <w:rPr>
          <w:rFonts w:hint="eastAsia"/>
          <w:lang w:eastAsia="zh-CN"/>
        </w:rPr>
        <w:drawing>
          <wp:inline distT="0" distB="0" distL="114300" distR="114300">
            <wp:extent cx="7599045" cy="5012690"/>
            <wp:effectExtent l="0" t="0" r="1905" b="16510"/>
            <wp:docPr id="58" name="图片 58" descr="4c5ed2a9dfac9d33b135064e5793c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4c5ed2a9dfac9d33b135064e5793c7b"/>
                    <pic:cNvPicPr>
                      <a:picLocks noChangeAspect="1"/>
                    </pic:cNvPicPr>
                  </pic:nvPicPr>
                  <pic:blipFill>
                    <a:blip r:embed="rId39"/>
                    <a:stretch>
                      <a:fillRect/>
                    </a:stretch>
                  </pic:blipFill>
                  <pic:spPr>
                    <a:xfrm>
                      <a:off x="0" y="0"/>
                      <a:ext cx="7599045" cy="5012690"/>
                    </a:xfrm>
                    <a:prstGeom prst="rect">
                      <a:avLst/>
                    </a:prstGeom>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38921A8-C2D4-433C-9B04-28BE54F77316}"/>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C70030B5-4088-441B-89F9-A6A88777178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BBE2CD60-4642-4DF4-A0F0-6B8743337FC9}"/>
  </w:font>
  <w:font w:name="Arial Unicode MS">
    <w:panose1 w:val="020B0604020202020204"/>
    <w:charset w:val="86"/>
    <w:family w:val="swiss"/>
    <w:pitch w:val="default"/>
    <w:sig w:usb0="FFFFFFFF" w:usb1="E9FFFFFF" w:usb2="0000003F" w:usb3="00000000" w:csb0="603F01FF" w:csb1="FFFF0000"/>
  </w:font>
  <w:font w:name="Lucida Console">
    <w:panose1 w:val="020B0609040504020204"/>
    <w:charset w:val="00"/>
    <w:family w:val="modern"/>
    <w:pitch w:val="default"/>
    <w:sig w:usb0="8000028F" w:usb1="00001800" w:usb2="00000000" w:usb3="00000000" w:csb0="0000001F" w:csb1="D7D70000"/>
  </w:font>
  <w:font w:name="ILPZD C+ T T 4 B B 2o 00">
    <w:altName w:val="宋体"/>
    <w:panose1 w:val="00000000000000000000"/>
    <w:charset w:val="86"/>
    <w:family w:val="swiss"/>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embedRegular r:id="rId4" w:fontKey="{5827A563-924F-4B51-BB9F-A9A46F37CAB7}"/>
  </w:font>
  <w:font w:name="方正小标宋_GBK">
    <w:panose1 w:val="02000000000000000000"/>
    <w:charset w:val="86"/>
    <w:family w:val="script"/>
    <w:pitch w:val="default"/>
    <w:sig w:usb0="A00002BF" w:usb1="38CF7CFA" w:usb2="00082016" w:usb3="00000000" w:csb0="00040001" w:csb1="00000000"/>
    <w:embedRegular r:id="rId5" w:fontKey="{472D2589-A0CE-42C3-A202-97581B9E45D8}"/>
  </w:font>
  <w:font w:name="楷体_GB2312">
    <w:panose1 w:val="02010609030101010101"/>
    <w:charset w:val="86"/>
    <w:family w:val="modern"/>
    <w:pitch w:val="default"/>
    <w:sig w:usb0="00000001" w:usb1="080E0000" w:usb2="00000000" w:usb3="00000000" w:csb0="00040000" w:csb1="00000000"/>
    <w:embedRegular r:id="rId6" w:fontKey="{A8A40BC2-6782-488D-9206-8ACE38629C80}"/>
  </w:font>
  <w:font w:name="华文仿宋">
    <w:panose1 w:val="02010600040101010101"/>
    <w:charset w:val="86"/>
    <w:family w:val="auto"/>
    <w:pitch w:val="default"/>
    <w:sig w:usb0="00000287" w:usb1="080F0000" w:usb2="00000000" w:usb3="00000000" w:csb0="0004009F" w:csb1="DFD70000"/>
    <w:embedRegular r:id="rId7" w:fontKey="{1E28D3F5-BAA9-4CC7-B30A-F22667E77064}"/>
  </w:font>
  <w:font w:name="仿宋">
    <w:panose1 w:val="02010609060101010101"/>
    <w:charset w:val="86"/>
    <w:family w:val="auto"/>
    <w:pitch w:val="default"/>
    <w:sig w:usb0="800002BF" w:usb1="38CF7CFA" w:usb2="00000016" w:usb3="00000000" w:csb0="00040001" w:csb1="00000000"/>
    <w:embedRegular r:id="rId8" w:fontKey="{5C8B42E4-305F-4E06-B654-5A198BBA4499}"/>
  </w:font>
  <w:font w:name="Cambria Math">
    <w:panose1 w:val="02040503050406030204"/>
    <w:charset w:val="00"/>
    <w:family w:val="roman"/>
    <w:pitch w:val="default"/>
    <w:sig w:usb0="E00006FF" w:usb1="420024FF" w:usb2="02000000" w:usb3="00000000" w:csb0="2000019F" w:csb1="00000000"/>
    <w:embedRegular r:id="rId9" w:fontKey="{4BD65007-AE6B-4304-A677-15C9DC95724A}"/>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C3223">
    <w:pPr>
      <w:pStyle w:val="17"/>
      <w:spacing w:beforeLines="0" w:afterLines="0"/>
      <w:ind w:right="360" w:firstLine="360"/>
      <w:rPr>
        <w:rFonts w:hint="default"/>
        <w:sz w:val="18"/>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0DDD39">
    <w:pPr>
      <w:pStyle w:val="17"/>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EA01993">
                          <w:pPr>
                            <w:pStyle w:val="17"/>
                            <w:rPr>
                              <w:rStyle w:val="27"/>
                              <w:rFonts w:ascii="宋体" w:hAnsi="宋体"/>
                              <w:sz w:val="28"/>
                            </w:rPr>
                          </w:pPr>
                          <w:r>
                            <w:rPr>
                              <w:rStyle w:val="27"/>
                              <w:rFonts w:hint="eastAsia" w:ascii="宋体" w:hAnsi="宋体"/>
                              <w:sz w:val="28"/>
                            </w:rPr>
                            <w:t>—</w:t>
                          </w:r>
                          <w:r>
                            <w:rPr>
                              <w:rStyle w:val="27"/>
                              <w:rFonts w:hint="eastAsia" w:ascii="宋体" w:hAnsi="宋体"/>
                              <w:sz w:val="26"/>
                            </w:rPr>
                            <w:fldChar w:fldCharType="begin"/>
                          </w:r>
                          <w:r>
                            <w:rPr>
                              <w:rStyle w:val="27"/>
                              <w:rFonts w:hint="eastAsia" w:ascii="宋体" w:hAnsi="宋体"/>
                              <w:sz w:val="26"/>
                            </w:rPr>
                            <w:instrText xml:space="preserve">PAGE  </w:instrText>
                          </w:r>
                          <w:r>
                            <w:rPr>
                              <w:rStyle w:val="27"/>
                              <w:rFonts w:hint="eastAsia" w:ascii="宋体" w:hAnsi="宋体"/>
                              <w:sz w:val="26"/>
                            </w:rPr>
                            <w:fldChar w:fldCharType="separate"/>
                          </w:r>
                          <w:r>
                            <w:rPr>
                              <w:rStyle w:val="27"/>
                              <w:rFonts w:ascii="宋体" w:hAnsi="宋体"/>
                              <w:sz w:val="26"/>
                            </w:rPr>
                            <w:t>38</w:t>
                          </w:r>
                          <w:r>
                            <w:rPr>
                              <w:rStyle w:val="27"/>
                              <w:rFonts w:hint="eastAsia" w:ascii="宋体" w:hAnsi="宋体"/>
                              <w:sz w:val="26"/>
                            </w:rPr>
                            <w:fldChar w:fldCharType="end"/>
                          </w:r>
                          <w:r>
                            <w:rPr>
                              <w:rStyle w:val="27"/>
                              <w:rFonts w:hint="eastAsia" w:ascii="宋体" w:hAnsi="宋体"/>
                              <w:sz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zSVju0AAAAAUBAAAPAAAAAAAAAAEAIAAAACIAAABkcnMvZG93bnJldi54&#10;bWxQSwECFAAUAAAACACHTuJAFw6M5DsCAABxBAAADgAAAAAAAAABACAAAAAfAQAAZHJzL2Uyb0Rv&#10;Yy54bWxQSwUGAAAAAAYABgBZAQAAzAUAAAAA&#10;">
              <v:fill on="f" focussize="0,0"/>
              <v:stroke on="f" weight="0.5pt"/>
              <v:imagedata o:title=""/>
              <o:lock v:ext="edit" aspectratio="f"/>
              <v:textbox inset="0mm,0mm,0mm,0mm" style="mso-fit-shape-to-text:t;">
                <w:txbxContent>
                  <w:p w14:paraId="6EA01993">
                    <w:pPr>
                      <w:pStyle w:val="17"/>
                      <w:rPr>
                        <w:rStyle w:val="27"/>
                        <w:rFonts w:ascii="宋体" w:hAnsi="宋体"/>
                        <w:sz w:val="28"/>
                      </w:rPr>
                    </w:pPr>
                    <w:r>
                      <w:rPr>
                        <w:rStyle w:val="27"/>
                        <w:rFonts w:hint="eastAsia" w:ascii="宋体" w:hAnsi="宋体"/>
                        <w:sz w:val="28"/>
                      </w:rPr>
                      <w:t>—</w:t>
                    </w:r>
                    <w:r>
                      <w:rPr>
                        <w:rStyle w:val="27"/>
                        <w:rFonts w:hint="eastAsia" w:ascii="宋体" w:hAnsi="宋体"/>
                        <w:sz w:val="26"/>
                      </w:rPr>
                      <w:fldChar w:fldCharType="begin"/>
                    </w:r>
                    <w:r>
                      <w:rPr>
                        <w:rStyle w:val="27"/>
                        <w:rFonts w:hint="eastAsia" w:ascii="宋体" w:hAnsi="宋体"/>
                        <w:sz w:val="26"/>
                      </w:rPr>
                      <w:instrText xml:space="preserve">PAGE  </w:instrText>
                    </w:r>
                    <w:r>
                      <w:rPr>
                        <w:rStyle w:val="27"/>
                        <w:rFonts w:hint="eastAsia" w:ascii="宋体" w:hAnsi="宋体"/>
                        <w:sz w:val="26"/>
                      </w:rPr>
                      <w:fldChar w:fldCharType="separate"/>
                    </w:r>
                    <w:r>
                      <w:rPr>
                        <w:rStyle w:val="27"/>
                        <w:rFonts w:ascii="宋体" w:hAnsi="宋体"/>
                        <w:sz w:val="26"/>
                      </w:rPr>
                      <w:t>38</w:t>
                    </w:r>
                    <w:r>
                      <w:rPr>
                        <w:rStyle w:val="27"/>
                        <w:rFonts w:hint="eastAsia" w:ascii="宋体" w:hAnsi="宋体"/>
                        <w:sz w:val="26"/>
                      </w:rPr>
                      <w:fldChar w:fldCharType="end"/>
                    </w:r>
                    <w:r>
                      <w:rPr>
                        <w:rStyle w:val="27"/>
                        <w:rFonts w:hint="eastAsia" w:ascii="宋体" w:hAnsi="宋体"/>
                        <w:sz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9A4B35">
    <w:pPr>
      <w:pStyle w:val="17"/>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F9FA644">
                          <w:pPr>
                            <w:pStyle w:val="17"/>
                            <w:rPr>
                              <w:rStyle w:val="27"/>
                              <w:rFonts w:ascii="宋体" w:hAnsi="宋体"/>
                              <w:sz w:val="28"/>
                            </w:rPr>
                          </w:pPr>
                          <w:r>
                            <w:rPr>
                              <w:rStyle w:val="27"/>
                              <w:rFonts w:hint="eastAsia" w:ascii="宋体" w:hAnsi="宋体"/>
                              <w:sz w:val="28"/>
                            </w:rPr>
                            <w:t>—</w:t>
                          </w:r>
                          <w:r>
                            <w:rPr>
                              <w:rStyle w:val="27"/>
                              <w:rFonts w:hint="eastAsia" w:ascii="宋体" w:hAnsi="宋体"/>
                              <w:sz w:val="26"/>
                            </w:rPr>
                            <w:fldChar w:fldCharType="begin"/>
                          </w:r>
                          <w:r>
                            <w:rPr>
                              <w:rStyle w:val="27"/>
                              <w:rFonts w:hint="eastAsia" w:ascii="宋体" w:hAnsi="宋体"/>
                              <w:sz w:val="26"/>
                            </w:rPr>
                            <w:instrText xml:space="preserve">PAGE  </w:instrText>
                          </w:r>
                          <w:r>
                            <w:rPr>
                              <w:rStyle w:val="27"/>
                              <w:rFonts w:hint="eastAsia" w:ascii="宋体" w:hAnsi="宋体"/>
                              <w:sz w:val="26"/>
                            </w:rPr>
                            <w:fldChar w:fldCharType="separate"/>
                          </w:r>
                          <w:r>
                            <w:rPr>
                              <w:rStyle w:val="27"/>
                              <w:rFonts w:ascii="宋体" w:hAnsi="宋体"/>
                              <w:sz w:val="26"/>
                            </w:rPr>
                            <w:t>68</w:t>
                          </w:r>
                          <w:r>
                            <w:rPr>
                              <w:rStyle w:val="27"/>
                              <w:rFonts w:hint="eastAsia" w:ascii="宋体" w:hAnsi="宋体"/>
                              <w:sz w:val="26"/>
                            </w:rPr>
                            <w:fldChar w:fldCharType="end"/>
                          </w:r>
                          <w:r>
                            <w:rPr>
                              <w:rStyle w:val="27"/>
                              <w:rFonts w:hint="eastAsia" w:ascii="宋体" w:hAnsi="宋体"/>
                              <w:sz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5"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C0IP6XOgIAAHEEAAAOAAAAAAAAAAEAIAAAAB8BAABkcnMvZTJvRG9j&#10;LnhtbFBLBQYAAAAABgAGAFkBAADLBQAAAAA=&#10;">
              <v:fill on="f" focussize="0,0"/>
              <v:stroke on="f" weight="0.5pt"/>
              <v:imagedata o:title=""/>
              <o:lock v:ext="edit" aspectratio="f"/>
              <v:textbox inset="0mm,0mm,0mm,0mm" style="mso-fit-shape-to-text:t;">
                <w:txbxContent>
                  <w:p w14:paraId="7F9FA644">
                    <w:pPr>
                      <w:pStyle w:val="17"/>
                      <w:rPr>
                        <w:rStyle w:val="27"/>
                        <w:rFonts w:ascii="宋体" w:hAnsi="宋体"/>
                        <w:sz w:val="28"/>
                      </w:rPr>
                    </w:pPr>
                    <w:r>
                      <w:rPr>
                        <w:rStyle w:val="27"/>
                        <w:rFonts w:hint="eastAsia" w:ascii="宋体" w:hAnsi="宋体"/>
                        <w:sz w:val="28"/>
                      </w:rPr>
                      <w:t>—</w:t>
                    </w:r>
                    <w:r>
                      <w:rPr>
                        <w:rStyle w:val="27"/>
                        <w:rFonts w:hint="eastAsia" w:ascii="宋体" w:hAnsi="宋体"/>
                        <w:sz w:val="26"/>
                      </w:rPr>
                      <w:fldChar w:fldCharType="begin"/>
                    </w:r>
                    <w:r>
                      <w:rPr>
                        <w:rStyle w:val="27"/>
                        <w:rFonts w:hint="eastAsia" w:ascii="宋体" w:hAnsi="宋体"/>
                        <w:sz w:val="26"/>
                      </w:rPr>
                      <w:instrText xml:space="preserve">PAGE  </w:instrText>
                    </w:r>
                    <w:r>
                      <w:rPr>
                        <w:rStyle w:val="27"/>
                        <w:rFonts w:hint="eastAsia" w:ascii="宋体" w:hAnsi="宋体"/>
                        <w:sz w:val="26"/>
                      </w:rPr>
                      <w:fldChar w:fldCharType="separate"/>
                    </w:r>
                    <w:r>
                      <w:rPr>
                        <w:rStyle w:val="27"/>
                        <w:rFonts w:ascii="宋体" w:hAnsi="宋体"/>
                        <w:sz w:val="26"/>
                      </w:rPr>
                      <w:t>68</w:t>
                    </w:r>
                    <w:r>
                      <w:rPr>
                        <w:rStyle w:val="27"/>
                        <w:rFonts w:hint="eastAsia" w:ascii="宋体" w:hAnsi="宋体"/>
                        <w:sz w:val="26"/>
                      </w:rPr>
                      <w:fldChar w:fldCharType="end"/>
                    </w:r>
                    <w:r>
                      <w:rPr>
                        <w:rStyle w:val="27"/>
                        <w:rFonts w:hint="eastAsia" w:ascii="宋体" w:hAnsi="宋体"/>
                        <w:sz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E09D809"/>
    <w:multiLevelType w:val="singleLevel"/>
    <w:tmpl w:val="6E09D809"/>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1,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Y3N2E3ODEyMjU5YzdiOWNmZDQ0YTU1ZTU1MTIxYzIifQ=="/>
  </w:docVars>
  <w:rsids>
    <w:rsidRoot w:val="00172A27"/>
    <w:rsid w:val="00003A89"/>
    <w:rsid w:val="00172A27"/>
    <w:rsid w:val="001A2AF3"/>
    <w:rsid w:val="001D6BCF"/>
    <w:rsid w:val="001F5AB7"/>
    <w:rsid w:val="00467520"/>
    <w:rsid w:val="004B723A"/>
    <w:rsid w:val="004C6F02"/>
    <w:rsid w:val="00537019"/>
    <w:rsid w:val="005A6071"/>
    <w:rsid w:val="005E7588"/>
    <w:rsid w:val="00657E18"/>
    <w:rsid w:val="00672391"/>
    <w:rsid w:val="007A0A8B"/>
    <w:rsid w:val="007B59BF"/>
    <w:rsid w:val="007D429D"/>
    <w:rsid w:val="007E5B1A"/>
    <w:rsid w:val="00862FF4"/>
    <w:rsid w:val="008B5A3F"/>
    <w:rsid w:val="009B3D7C"/>
    <w:rsid w:val="00A24707"/>
    <w:rsid w:val="00A77C00"/>
    <w:rsid w:val="00CC3D55"/>
    <w:rsid w:val="00E750D6"/>
    <w:rsid w:val="00ED5498"/>
    <w:rsid w:val="00F50AE5"/>
    <w:rsid w:val="00F86C8C"/>
    <w:rsid w:val="0113520A"/>
    <w:rsid w:val="012E423D"/>
    <w:rsid w:val="01571E23"/>
    <w:rsid w:val="01897322"/>
    <w:rsid w:val="0201605D"/>
    <w:rsid w:val="02444D9E"/>
    <w:rsid w:val="024C58CC"/>
    <w:rsid w:val="02557984"/>
    <w:rsid w:val="027F3E24"/>
    <w:rsid w:val="03044C87"/>
    <w:rsid w:val="038227FF"/>
    <w:rsid w:val="03912F64"/>
    <w:rsid w:val="03A762C0"/>
    <w:rsid w:val="03F34D6F"/>
    <w:rsid w:val="04583A5F"/>
    <w:rsid w:val="0493497A"/>
    <w:rsid w:val="04936C00"/>
    <w:rsid w:val="04A75852"/>
    <w:rsid w:val="04DE31DC"/>
    <w:rsid w:val="052F5FD7"/>
    <w:rsid w:val="05766AF5"/>
    <w:rsid w:val="05AD1831"/>
    <w:rsid w:val="05C80770"/>
    <w:rsid w:val="064F7CA8"/>
    <w:rsid w:val="06B437E8"/>
    <w:rsid w:val="072519B6"/>
    <w:rsid w:val="075456F6"/>
    <w:rsid w:val="0785400C"/>
    <w:rsid w:val="079335B5"/>
    <w:rsid w:val="08605622"/>
    <w:rsid w:val="087058A0"/>
    <w:rsid w:val="089B333E"/>
    <w:rsid w:val="08D936DF"/>
    <w:rsid w:val="09375BB6"/>
    <w:rsid w:val="0950709A"/>
    <w:rsid w:val="099B57D0"/>
    <w:rsid w:val="099C1636"/>
    <w:rsid w:val="09A043DE"/>
    <w:rsid w:val="09B23B29"/>
    <w:rsid w:val="09E76569"/>
    <w:rsid w:val="0A026A6D"/>
    <w:rsid w:val="0A205C65"/>
    <w:rsid w:val="0A256C71"/>
    <w:rsid w:val="0A8B251B"/>
    <w:rsid w:val="0A8B68F7"/>
    <w:rsid w:val="0ADE2FD6"/>
    <w:rsid w:val="0B137E7F"/>
    <w:rsid w:val="0B365219"/>
    <w:rsid w:val="0B644CDF"/>
    <w:rsid w:val="0B9112BE"/>
    <w:rsid w:val="0BB80E23"/>
    <w:rsid w:val="0BD677E4"/>
    <w:rsid w:val="0BD9052D"/>
    <w:rsid w:val="0BD95485"/>
    <w:rsid w:val="0C271830"/>
    <w:rsid w:val="0CF72DF2"/>
    <w:rsid w:val="0D012C58"/>
    <w:rsid w:val="0D554411"/>
    <w:rsid w:val="0D8A6296"/>
    <w:rsid w:val="0DB70935"/>
    <w:rsid w:val="0E520D9E"/>
    <w:rsid w:val="0EB57882"/>
    <w:rsid w:val="0F5B1535"/>
    <w:rsid w:val="0FE22CD5"/>
    <w:rsid w:val="0FEA6F4E"/>
    <w:rsid w:val="0FF617C6"/>
    <w:rsid w:val="101A4787"/>
    <w:rsid w:val="101D0E93"/>
    <w:rsid w:val="10453F0F"/>
    <w:rsid w:val="10881228"/>
    <w:rsid w:val="10B11485"/>
    <w:rsid w:val="10DB5CE9"/>
    <w:rsid w:val="10E034F7"/>
    <w:rsid w:val="11084017"/>
    <w:rsid w:val="112445EA"/>
    <w:rsid w:val="113960CC"/>
    <w:rsid w:val="11514DDE"/>
    <w:rsid w:val="11AA2560"/>
    <w:rsid w:val="11B35BEF"/>
    <w:rsid w:val="120D7D54"/>
    <w:rsid w:val="129C2B94"/>
    <w:rsid w:val="12A82FC4"/>
    <w:rsid w:val="12F21F22"/>
    <w:rsid w:val="13472C53"/>
    <w:rsid w:val="1348720E"/>
    <w:rsid w:val="134B585C"/>
    <w:rsid w:val="13EA2F2D"/>
    <w:rsid w:val="14524958"/>
    <w:rsid w:val="145E32C1"/>
    <w:rsid w:val="154B311E"/>
    <w:rsid w:val="15EC4D86"/>
    <w:rsid w:val="16930D65"/>
    <w:rsid w:val="16D61723"/>
    <w:rsid w:val="174642CE"/>
    <w:rsid w:val="175D7964"/>
    <w:rsid w:val="17913CA3"/>
    <w:rsid w:val="18772805"/>
    <w:rsid w:val="18B00F9A"/>
    <w:rsid w:val="192D36EE"/>
    <w:rsid w:val="19361A54"/>
    <w:rsid w:val="19D25056"/>
    <w:rsid w:val="19FD3E2C"/>
    <w:rsid w:val="1A1557C8"/>
    <w:rsid w:val="1A663D17"/>
    <w:rsid w:val="1AC91E53"/>
    <w:rsid w:val="1B491C41"/>
    <w:rsid w:val="1BA52E1E"/>
    <w:rsid w:val="1BF857D1"/>
    <w:rsid w:val="1C54484D"/>
    <w:rsid w:val="1C8C18D7"/>
    <w:rsid w:val="1CDF0421"/>
    <w:rsid w:val="1D216C10"/>
    <w:rsid w:val="1D89612B"/>
    <w:rsid w:val="1E032E67"/>
    <w:rsid w:val="1E0C5B52"/>
    <w:rsid w:val="1E65513D"/>
    <w:rsid w:val="1EEA4A8A"/>
    <w:rsid w:val="1EFD1033"/>
    <w:rsid w:val="1FBD4147"/>
    <w:rsid w:val="1FE80DB4"/>
    <w:rsid w:val="1FEE1FBE"/>
    <w:rsid w:val="20213E28"/>
    <w:rsid w:val="20674D1F"/>
    <w:rsid w:val="20D77AB1"/>
    <w:rsid w:val="20EC6821"/>
    <w:rsid w:val="21FD5A25"/>
    <w:rsid w:val="22545A75"/>
    <w:rsid w:val="22902419"/>
    <w:rsid w:val="22FF06CD"/>
    <w:rsid w:val="23553D1B"/>
    <w:rsid w:val="23852EF1"/>
    <w:rsid w:val="238B710B"/>
    <w:rsid w:val="23951E1D"/>
    <w:rsid w:val="23B66918"/>
    <w:rsid w:val="23F54BE7"/>
    <w:rsid w:val="241D5AAF"/>
    <w:rsid w:val="243530EC"/>
    <w:rsid w:val="24401254"/>
    <w:rsid w:val="24505433"/>
    <w:rsid w:val="24910696"/>
    <w:rsid w:val="24B44889"/>
    <w:rsid w:val="24C43CE5"/>
    <w:rsid w:val="25081B33"/>
    <w:rsid w:val="251B5240"/>
    <w:rsid w:val="25710473"/>
    <w:rsid w:val="259E6FCD"/>
    <w:rsid w:val="25A71FCA"/>
    <w:rsid w:val="25B6082F"/>
    <w:rsid w:val="26213B1A"/>
    <w:rsid w:val="26457013"/>
    <w:rsid w:val="26686FBA"/>
    <w:rsid w:val="26F32740"/>
    <w:rsid w:val="270B1841"/>
    <w:rsid w:val="271B78E1"/>
    <w:rsid w:val="27731819"/>
    <w:rsid w:val="277B168E"/>
    <w:rsid w:val="27F16F49"/>
    <w:rsid w:val="27FD0B9D"/>
    <w:rsid w:val="282200A2"/>
    <w:rsid w:val="28BF5B7B"/>
    <w:rsid w:val="28DC3F59"/>
    <w:rsid w:val="2A2A4259"/>
    <w:rsid w:val="2A6A38FA"/>
    <w:rsid w:val="2A716822"/>
    <w:rsid w:val="2AAA68FB"/>
    <w:rsid w:val="2AAF3E7B"/>
    <w:rsid w:val="2AC91A36"/>
    <w:rsid w:val="2B1A5FBB"/>
    <w:rsid w:val="2B275DB5"/>
    <w:rsid w:val="2B6E4C3A"/>
    <w:rsid w:val="2B861B79"/>
    <w:rsid w:val="2B9D6CE0"/>
    <w:rsid w:val="2BF1242A"/>
    <w:rsid w:val="2C3E2F8D"/>
    <w:rsid w:val="2C5F332D"/>
    <w:rsid w:val="2C9D436A"/>
    <w:rsid w:val="2CF06EF6"/>
    <w:rsid w:val="2D03015C"/>
    <w:rsid w:val="2D702E31"/>
    <w:rsid w:val="2DC56AAA"/>
    <w:rsid w:val="2E00771E"/>
    <w:rsid w:val="2E495CAE"/>
    <w:rsid w:val="2E6B6FE9"/>
    <w:rsid w:val="2EEC2C37"/>
    <w:rsid w:val="2F2E260A"/>
    <w:rsid w:val="2F3518C1"/>
    <w:rsid w:val="2F9E560F"/>
    <w:rsid w:val="2FF36445"/>
    <w:rsid w:val="30522A7A"/>
    <w:rsid w:val="30530C90"/>
    <w:rsid w:val="30E70A3F"/>
    <w:rsid w:val="317D79D5"/>
    <w:rsid w:val="31D22AA9"/>
    <w:rsid w:val="31DE115B"/>
    <w:rsid w:val="31EF4AAA"/>
    <w:rsid w:val="323A7195"/>
    <w:rsid w:val="32A12CB2"/>
    <w:rsid w:val="332C00D6"/>
    <w:rsid w:val="33396F22"/>
    <w:rsid w:val="33D15ED0"/>
    <w:rsid w:val="33E325E1"/>
    <w:rsid w:val="33F63C49"/>
    <w:rsid w:val="3487145E"/>
    <w:rsid w:val="35192262"/>
    <w:rsid w:val="353F52FD"/>
    <w:rsid w:val="35706D9F"/>
    <w:rsid w:val="3596667F"/>
    <w:rsid w:val="35A11CA5"/>
    <w:rsid w:val="35B06739"/>
    <w:rsid w:val="35BE44BE"/>
    <w:rsid w:val="35C33FD5"/>
    <w:rsid w:val="35D972F8"/>
    <w:rsid w:val="35F8753F"/>
    <w:rsid w:val="364D3843"/>
    <w:rsid w:val="36A5607D"/>
    <w:rsid w:val="36C32B8F"/>
    <w:rsid w:val="36D673F6"/>
    <w:rsid w:val="37996F25"/>
    <w:rsid w:val="37A91CDC"/>
    <w:rsid w:val="37D82774"/>
    <w:rsid w:val="38382DD2"/>
    <w:rsid w:val="38410737"/>
    <w:rsid w:val="387007B9"/>
    <w:rsid w:val="39237490"/>
    <w:rsid w:val="395D0FB8"/>
    <w:rsid w:val="39B649FE"/>
    <w:rsid w:val="3A6E1318"/>
    <w:rsid w:val="3A6E5FBC"/>
    <w:rsid w:val="3A7618E5"/>
    <w:rsid w:val="3AC31131"/>
    <w:rsid w:val="3B4A76FC"/>
    <w:rsid w:val="3BB241ED"/>
    <w:rsid w:val="3BB74FE5"/>
    <w:rsid w:val="3BBA33BD"/>
    <w:rsid w:val="3BF57BF5"/>
    <w:rsid w:val="3C067F9F"/>
    <w:rsid w:val="3C4B7FBD"/>
    <w:rsid w:val="3C9562F5"/>
    <w:rsid w:val="3CA4535F"/>
    <w:rsid w:val="3CA65218"/>
    <w:rsid w:val="3CD03A45"/>
    <w:rsid w:val="3D0426E1"/>
    <w:rsid w:val="3D552CA2"/>
    <w:rsid w:val="3DA03F6C"/>
    <w:rsid w:val="3E382AD9"/>
    <w:rsid w:val="3E62216F"/>
    <w:rsid w:val="3E6C5B08"/>
    <w:rsid w:val="3EFC2982"/>
    <w:rsid w:val="3F4A495B"/>
    <w:rsid w:val="3F576BD4"/>
    <w:rsid w:val="3F707561"/>
    <w:rsid w:val="3F7C2851"/>
    <w:rsid w:val="3FA26082"/>
    <w:rsid w:val="3FC17895"/>
    <w:rsid w:val="3FD029F0"/>
    <w:rsid w:val="3FD03232"/>
    <w:rsid w:val="40140CC0"/>
    <w:rsid w:val="405371F1"/>
    <w:rsid w:val="405B278F"/>
    <w:rsid w:val="40650DCD"/>
    <w:rsid w:val="406F1A06"/>
    <w:rsid w:val="40B419B4"/>
    <w:rsid w:val="40F56D03"/>
    <w:rsid w:val="413C0E6F"/>
    <w:rsid w:val="41503348"/>
    <w:rsid w:val="41F04390"/>
    <w:rsid w:val="420C1409"/>
    <w:rsid w:val="42957B16"/>
    <w:rsid w:val="42C1052A"/>
    <w:rsid w:val="42FA1C63"/>
    <w:rsid w:val="43040332"/>
    <w:rsid w:val="43220465"/>
    <w:rsid w:val="43260D47"/>
    <w:rsid w:val="43667CF8"/>
    <w:rsid w:val="43E31113"/>
    <w:rsid w:val="441709A1"/>
    <w:rsid w:val="4426465B"/>
    <w:rsid w:val="442C320F"/>
    <w:rsid w:val="442C667E"/>
    <w:rsid w:val="44486D79"/>
    <w:rsid w:val="444F7557"/>
    <w:rsid w:val="445E73B1"/>
    <w:rsid w:val="44DF0580"/>
    <w:rsid w:val="453430C0"/>
    <w:rsid w:val="458A7D66"/>
    <w:rsid w:val="45A2229E"/>
    <w:rsid w:val="45B80903"/>
    <w:rsid w:val="45EA683B"/>
    <w:rsid w:val="46374CEA"/>
    <w:rsid w:val="46E25F1C"/>
    <w:rsid w:val="46F04049"/>
    <w:rsid w:val="474674CF"/>
    <w:rsid w:val="474B14D9"/>
    <w:rsid w:val="474D14E0"/>
    <w:rsid w:val="47B32F5F"/>
    <w:rsid w:val="47C104DD"/>
    <w:rsid w:val="48633C20"/>
    <w:rsid w:val="48922976"/>
    <w:rsid w:val="489B7162"/>
    <w:rsid w:val="48DF681D"/>
    <w:rsid w:val="48E22D2D"/>
    <w:rsid w:val="48E3650D"/>
    <w:rsid w:val="4904307D"/>
    <w:rsid w:val="492412FE"/>
    <w:rsid w:val="493A7A44"/>
    <w:rsid w:val="493C1756"/>
    <w:rsid w:val="494505B0"/>
    <w:rsid w:val="494717BE"/>
    <w:rsid w:val="49646021"/>
    <w:rsid w:val="497172FC"/>
    <w:rsid w:val="49FF2180"/>
    <w:rsid w:val="4A33079C"/>
    <w:rsid w:val="4A5C1C70"/>
    <w:rsid w:val="4A6718D3"/>
    <w:rsid w:val="4A840D27"/>
    <w:rsid w:val="4AC24D5B"/>
    <w:rsid w:val="4AF708AB"/>
    <w:rsid w:val="4B761CAF"/>
    <w:rsid w:val="4BA8782D"/>
    <w:rsid w:val="4BD225EB"/>
    <w:rsid w:val="4BFD6935"/>
    <w:rsid w:val="4C4613EA"/>
    <w:rsid w:val="4CD51E95"/>
    <w:rsid w:val="4D403020"/>
    <w:rsid w:val="4D73767D"/>
    <w:rsid w:val="4D966881"/>
    <w:rsid w:val="4DBD0052"/>
    <w:rsid w:val="4E11454D"/>
    <w:rsid w:val="4E8F0694"/>
    <w:rsid w:val="4EB5319E"/>
    <w:rsid w:val="4EE54644"/>
    <w:rsid w:val="4F0E4DD1"/>
    <w:rsid w:val="4FD751AA"/>
    <w:rsid w:val="50BB43AE"/>
    <w:rsid w:val="5157299F"/>
    <w:rsid w:val="51604302"/>
    <w:rsid w:val="51783D2E"/>
    <w:rsid w:val="51811707"/>
    <w:rsid w:val="51A50EB5"/>
    <w:rsid w:val="51C75E29"/>
    <w:rsid w:val="52307856"/>
    <w:rsid w:val="526606C2"/>
    <w:rsid w:val="52B91E19"/>
    <w:rsid w:val="52F83B07"/>
    <w:rsid w:val="532D0BEB"/>
    <w:rsid w:val="53647A8B"/>
    <w:rsid w:val="54200D37"/>
    <w:rsid w:val="54410C83"/>
    <w:rsid w:val="544414DC"/>
    <w:rsid w:val="54447041"/>
    <w:rsid w:val="54990EBB"/>
    <w:rsid w:val="553171CE"/>
    <w:rsid w:val="5559058E"/>
    <w:rsid w:val="556B48E1"/>
    <w:rsid w:val="556D4576"/>
    <w:rsid w:val="557E19FB"/>
    <w:rsid w:val="56023FA6"/>
    <w:rsid w:val="560F31FB"/>
    <w:rsid w:val="56284BA2"/>
    <w:rsid w:val="5666279B"/>
    <w:rsid w:val="56C46B46"/>
    <w:rsid w:val="56D95A78"/>
    <w:rsid w:val="56F129E1"/>
    <w:rsid w:val="56FA5483"/>
    <w:rsid w:val="57144222"/>
    <w:rsid w:val="571B6CCF"/>
    <w:rsid w:val="571C1C97"/>
    <w:rsid w:val="57313B8E"/>
    <w:rsid w:val="57435380"/>
    <w:rsid w:val="57646F00"/>
    <w:rsid w:val="57805A5A"/>
    <w:rsid w:val="5785380D"/>
    <w:rsid w:val="589A17E8"/>
    <w:rsid w:val="58A41709"/>
    <w:rsid w:val="58C81A2F"/>
    <w:rsid w:val="59186D49"/>
    <w:rsid w:val="592D7EBC"/>
    <w:rsid w:val="599372C2"/>
    <w:rsid w:val="5A311F31"/>
    <w:rsid w:val="5A355549"/>
    <w:rsid w:val="5A5B2F40"/>
    <w:rsid w:val="5B290D37"/>
    <w:rsid w:val="5B394BC5"/>
    <w:rsid w:val="5B3F4A40"/>
    <w:rsid w:val="5B4F5CEF"/>
    <w:rsid w:val="5B541CCB"/>
    <w:rsid w:val="5BE84974"/>
    <w:rsid w:val="5C743393"/>
    <w:rsid w:val="5C8D2126"/>
    <w:rsid w:val="5CB971AE"/>
    <w:rsid w:val="5CE82AAC"/>
    <w:rsid w:val="5D2C107D"/>
    <w:rsid w:val="5D3D243E"/>
    <w:rsid w:val="5D417392"/>
    <w:rsid w:val="5D494E68"/>
    <w:rsid w:val="5DD409CD"/>
    <w:rsid w:val="5E143B1E"/>
    <w:rsid w:val="5E3D2C1E"/>
    <w:rsid w:val="5E7B598B"/>
    <w:rsid w:val="5F017F83"/>
    <w:rsid w:val="5F195915"/>
    <w:rsid w:val="5F244E1C"/>
    <w:rsid w:val="5FCE0AF6"/>
    <w:rsid w:val="601E466C"/>
    <w:rsid w:val="6030751B"/>
    <w:rsid w:val="608E2F69"/>
    <w:rsid w:val="60991A0D"/>
    <w:rsid w:val="60A44C28"/>
    <w:rsid w:val="60BD02BB"/>
    <w:rsid w:val="61070145"/>
    <w:rsid w:val="613C6EDC"/>
    <w:rsid w:val="615A41E6"/>
    <w:rsid w:val="618F19E3"/>
    <w:rsid w:val="61FE0E14"/>
    <w:rsid w:val="623940AD"/>
    <w:rsid w:val="6288026A"/>
    <w:rsid w:val="62CC4063"/>
    <w:rsid w:val="62D35C05"/>
    <w:rsid w:val="63274275"/>
    <w:rsid w:val="634A234A"/>
    <w:rsid w:val="63A7189A"/>
    <w:rsid w:val="64062777"/>
    <w:rsid w:val="646105E0"/>
    <w:rsid w:val="64722A87"/>
    <w:rsid w:val="647F5659"/>
    <w:rsid w:val="649226BA"/>
    <w:rsid w:val="64BC28D6"/>
    <w:rsid w:val="65052576"/>
    <w:rsid w:val="658C2585"/>
    <w:rsid w:val="65DE5E07"/>
    <w:rsid w:val="65E22347"/>
    <w:rsid w:val="664B56C2"/>
    <w:rsid w:val="66A52173"/>
    <w:rsid w:val="66E856F1"/>
    <w:rsid w:val="670D0C1A"/>
    <w:rsid w:val="675565CC"/>
    <w:rsid w:val="67A400BF"/>
    <w:rsid w:val="67B630BA"/>
    <w:rsid w:val="680D772C"/>
    <w:rsid w:val="682765E1"/>
    <w:rsid w:val="6832156D"/>
    <w:rsid w:val="68496218"/>
    <w:rsid w:val="68C30AA5"/>
    <w:rsid w:val="68DB2765"/>
    <w:rsid w:val="691B0BA5"/>
    <w:rsid w:val="69287FA2"/>
    <w:rsid w:val="69290363"/>
    <w:rsid w:val="698A07E1"/>
    <w:rsid w:val="6A1A18CD"/>
    <w:rsid w:val="6A7149AE"/>
    <w:rsid w:val="6AD329E8"/>
    <w:rsid w:val="6AF93B26"/>
    <w:rsid w:val="6B80160D"/>
    <w:rsid w:val="6B857A80"/>
    <w:rsid w:val="6B924AA4"/>
    <w:rsid w:val="6BDC771A"/>
    <w:rsid w:val="6C171E92"/>
    <w:rsid w:val="6C1C6239"/>
    <w:rsid w:val="6C697D35"/>
    <w:rsid w:val="6CA06AF4"/>
    <w:rsid w:val="6CE93C96"/>
    <w:rsid w:val="6CEA0BB5"/>
    <w:rsid w:val="6D2D5C8A"/>
    <w:rsid w:val="6D5A2BB1"/>
    <w:rsid w:val="6DC2041E"/>
    <w:rsid w:val="6E3B3669"/>
    <w:rsid w:val="6E5540F3"/>
    <w:rsid w:val="6E6715F2"/>
    <w:rsid w:val="6ED639E8"/>
    <w:rsid w:val="6F001C2C"/>
    <w:rsid w:val="6F060BC0"/>
    <w:rsid w:val="6F2B0257"/>
    <w:rsid w:val="6F5F686C"/>
    <w:rsid w:val="6FBA3C18"/>
    <w:rsid w:val="6FE0425B"/>
    <w:rsid w:val="702B386A"/>
    <w:rsid w:val="70664497"/>
    <w:rsid w:val="70716758"/>
    <w:rsid w:val="709138DC"/>
    <w:rsid w:val="70EE2D4A"/>
    <w:rsid w:val="70F11178"/>
    <w:rsid w:val="711D617A"/>
    <w:rsid w:val="715C2F64"/>
    <w:rsid w:val="716D06FC"/>
    <w:rsid w:val="71A21194"/>
    <w:rsid w:val="71A662E1"/>
    <w:rsid w:val="71F61E42"/>
    <w:rsid w:val="72151A00"/>
    <w:rsid w:val="725C677C"/>
    <w:rsid w:val="72FB6C32"/>
    <w:rsid w:val="73110D7D"/>
    <w:rsid w:val="73207978"/>
    <w:rsid w:val="73C12A3F"/>
    <w:rsid w:val="73DF23E2"/>
    <w:rsid w:val="73FB1F1D"/>
    <w:rsid w:val="743C54F7"/>
    <w:rsid w:val="746630DA"/>
    <w:rsid w:val="747F27CA"/>
    <w:rsid w:val="74F211FB"/>
    <w:rsid w:val="750C2069"/>
    <w:rsid w:val="75485C80"/>
    <w:rsid w:val="759929D8"/>
    <w:rsid w:val="75D1227E"/>
    <w:rsid w:val="75D369C2"/>
    <w:rsid w:val="76130E39"/>
    <w:rsid w:val="768D53A7"/>
    <w:rsid w:val="76AC6C37"/>
    <w:rsid w:val="774A6CAF"/>
    <w:rsid w:val="77C92594"/>
    <w:rsid w:val="77F11AD5"/>
    <w:rsid w:val="781D2FE5"/>
    <w:rsid w:val="78716159"/>
    <w:rsid w:val="78AB3B83"/>
    <w:rsid w:val="78AF4971"/>
    <w:rsid w:val="78C94195"/>
    <w:rsid w:val="78CB7529"/>
    <w:rsid w:val="792E4633"/>
    <w:rsid w:val="79804533"/>
    <w:rsid w:val="799F7E92"/>
    <w:rsid w:val="79B003D4"/>
    <w:rsid w:val="79C330DF"/>
    <w:rsid w:val="79F74F54"/>
    <w:rsid w:val="7A03105A"/>
    <w:rsid w:val="7B4B58CA"/>
    <w:rsid w:val="7BE41C3E"/>
    <w:rsid w:val="7C0C654C"/>
    <w:rsid w:val="7C2269C8"/>
    <w:rsid w:val="7C4176DD"/>
    <w:rsid w:val="7C6F6779"/>
    <w:rsid w:val="7CFD410C"/>
    <w:rsid w:val="7D2F0797"/>
    <w:rsid w:val="7D9E4538"/>
    <w:rsid w:val="7DAF49AA"/>
    <w:rsid w:val="7DB31578"/>
    <w:rsid w:val="7DDC053F"/>
    <w:rsid w:val="7E245CEB"/>
    <w:rsid w:val="7EA83BBE"/>
    <w:rsid w:val="7EAA6397"/>
    <w:rsid w:val="7EC61C6D"/>
    <w:rsid w:val="7EF2624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unhideWhenUsed/>
    <w:qFormat/>
    <w:uiPriority w:val="0"/>
    <w:pPr>
      <w:widowControl w:val="0"/>
      <w:jc w:val="both"/>
    </w:pPr>
    <w:rPr>
      <w:rFonts w:eastAsia="宋体" w:asciiTheme="minorHAnsi" w:hAnsiTheme="minorHAnsi" w:cstheme="minorBidi"/>
      <w:kern w:val="2"/>
      <w:sz w:val="24"/>
      <w:szCs w:val="24"/>
      <w:lang w:val="en-US" w:eastAsia="zh-CN" w:bidi="ar-SA"/>
    </w:rPr>
  </w:style>
  <w:style w:type="paragraph" w:styleId="3">
    <w:name w:val="heading 1"/>
    <w:basedOn w:val="1"/>
    <w:next w:val="1"/>
    <w:link w:val="32"/>
    <w:qFormat/>
    <w:uiPriority w:val="0"/>
    <w:pPr>
      <w:keepNext/>
      <w:keepLines/>
      <w:spacing w:beforeLines="100" w:line="360" w:lineRule="auto"/>
      <w:jc w:val="center"/>
      <w:outlineLvl w:val="0"/>
    </w:pPr>
    <w:rPr>
      <w:rFonts w:eastAsia="黑体"/>
      <w:kern w:val="44"/>
      <w:sz w:val="36"/>
      <w:szCs w:val="30"/>
    </w:rPr>
  </w:style>
  <w:style w:type="paragraph" w:styleId="4">
    <w:name w:val="heading 2"/>
    <w:basedOn w:val="1"/>
    <w:next w:val="1"/>
    <w:link w:val="35"/>
    <w:semiHidden/>
    <w:unhideWhenUsed/>
    <w:qFormat/>
    <w:uiPriority w:val="0"/>
    <w:pPr>
      <w:keepNext/>
      <w:keepLines/>
      <w:spacing w:beforeLines="100" w:line="360" w:lineRule="auto"/>
      <w:outlineLvl w:val="1"/>
    </w:pPr>
    <w:rPr>
      <w:rFonts w:ascii="Times New Roman" w:hAnsi="Times New Roman" w:eastAsia="黑体"/>
      <w:sz w:val="32"/>
      <w:szCs w:val="28"/>
    </w:rPr>
  </w:style>
  <w:style w:type="paragraph" w:styleId="5">
    <w:name w:val="heading 3"/>
    <w:basedOn w:val="1"/>
    <w:next w:val="1"/>
    <w:link w:val="36"/>
    <w:semiHidden/>
    <w:unhideWhenUsed/>
    <w:qFormat/>
    <w:uiPriority w:val="0"/>
    <w:pPr>
      <w:keepNext/>
      <w:keepLines/>
      <w:spacing w:beforeLines="50" w:line="360" w:lineRule="auto"/>
      <w:outlineLvl w:val="2"/>
    </w:pPr>
    <w:rPr>
      <w:rFonts w:ascii="Times New Roman" w:hAnsi="Times New Roman" w:eastAsia="黑体" w:cs="Times New Roman"/>
      <w:sz w:val="30"/>
    </w:rPr>
  </w:style>
  <w:style w:type="paragraph" w:styleId="6">
    <w:name w:val="heading 4"/>
    <w:basedOn w:val="1"/>
    <w:next w:val="1"/>
    <w:semiHidden/>
    <w:unhideWhenUsed/>
    <w:qFormat/>
    <w:uiPriority w:val="0"/>
    <w:pPr>
      <w:keepNext/>
      <w:keepLines/>
      <w:outlineLvl w:val="3"/>
    </w:pPr>
    <w:rPr>
      <w:rFonts w:ascii="Times New Roman" w:hAnsi="Times New Roman" w:eastAsia="黑体" w:cs="Times New Roman"/>
    </w:rPr>
  </w:style>
  <w:style w:type="paragraph" w:styleId="7">
    <w:name w:val="heading 5"/>
    <w:basedOn w:val="1"/>
    <w:next w:val="1"/>
    <w:semiHidden/>
    <w:unhideWhenUsed/>
    <w:qFormat/>
    <w:uiPriority w:val="0"/>
    <w:pPr>
      <w:keepNext/>
      <w:keepLines/>
      <w:spacing w:line="440" w:lineRule="exact"/>
      <w:jc w:val="left"/>
      <w:outlineLvl w:val="4"/>
    </w:pPr>
    <w:rPr>
      <w:rFonts w:ascii="Times New Roman" w:hAnsi="Times New Roman"/>
      <w:szCs w:val="22"/>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99"/>
    <w:pPr>
      <w:ind w:firstLine="420" w:firstLineChars="200"/>
    </w:pPr>
  </w:style>
  <w:style w:type="paragraph" w:styleId="8">
    <w:name w:val="Document Map"/>
    <w:basedOn w:val="1"/>
    <w:link w:val="55"/>
    <w:qFormat/>
    <w:uiPriority w:val="0"/>
    <w:rPr>
      <w:rFonts w:ascii="宋体"/>
      <w:sz w:val="18"/>
      <w:szCs w:val="18"/>
    </w:rPr>
  </w:style>
  <w:style w:type="paragraph" w:styleId="9">
    <w:name w:val="annotation text"/>
    <w:basedOn w:val="1"/>
    <w:next w:val="10"/>
    <w:link w:val="57"/>
    <w:qFormat/>
    <w:uiPriority w:val="99"/>
    <w:pPr>
      <w:jc w:val="left"/>
    </w:pPr>
  </w:style>
  <w:style w:type="paragraph" w:styleId="10">
    <w:name w:val="annotation subject"/>
    <w:basedOn w:val="9"/>
    <w:next w:val="9"/>
    <w:link w:val="58"/>
    <w:qFormat/>
    <w:uiPriority w:val="0"/>
    <w:rPr>
      <w:b/>
      <w:bCs/>
    </w:rPr>
  </w:style>
  <w:style w:type="paragraph" w:styleId="11">
    <w:name w:val="Body Text"/>
    <w:basedOn w:val="1"/>
    <w:next w:val="12"/>
    <w:qFormat/>
    <w:uiPriority w:val="99"/>
    <w:pPr>
      <w:spacing w:after="120"/>
    </w:pPr>
  </w:style>
  <w:style w:type="paragraph" w:customStyle="1" w:styleId="12">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Arial Unicode MS"/>
      <w:sz w:val="18"/>
      <w:szCs w:val="18"/>
    </w:rPr>
  </w:style>
  <w:style w:type="paragraph" w:styleId="13">
    <w:name w:val="Body Text Indent"/>
    <w:basedOn w:val="1"/>
    <w:next w:val="1"/>
    <w:qFormat/>
    <w:uiPriority w:val="0"/>
    <w:pPr>
      <w:ind w:left="420" w:leftChars="200"/>
    </w:pPr>
  </w:style>
  <w:style w:type="paragraph" w:styleId="14">
    <w:name w:val="Plain Text"/>
    <w:qFormat/>
    <w:uiPriority w:val="0"/>
    <w:pPr>
      <w:widowControl w:val="0"/>
      <w:jc w:val="both"/>
    </w:pPr>
    <w:rPr>
      <w:rFonts w:ascii="宋体" w:hAnsi="Lucida Console" w:eastAsia="宋体" w:cstheme="minorBidi"/>
      <w:kern w:val="2"/>
      <w:sz w:val="21"/>
      <w:szCs w:val="24"/>
      <w:lang w:val="en-US" w:eastAsia="zh-CN" w:bidi="ar-SA"/>
    </w:rPr>
  </w:style>
  <w:style w:type="paragraph" w:styleId="15">
    <w:name w:val="Body Text Indent 2"/>
    <w:basedOn w:val="1"/>
    <w:qFormat/>
    <w:uiPriority w:val="99"/>
    <w:pPr>
      <w:spacing w:after="120" w:line="480" w:lineRule="auto"/>
      <w:ind w:left="420" w:leftChars="200"/>
    </w:pPr>
  </w:style>
  <w:style w:type="paragraph" w:styleId="16">
    <w:name w:val="Balloon Text"/>
    <w:basedOn w:val="1"/>
    <w:link w:val="56"/>
    <w:qFormat/>
    <w:uiPriority w:val="0"/>
    <w:rPr>
      <w:sz w:val="18"/>
      <w:szCs w:val="18"/>
    </w:rPr>
  </w:style>
  <w:style w:type="paragraph" w:styleId="17">
    <w:name w:val="footer"/>
    <w:basedOn w:val="1"/>
    <w:unhideWhenUsed/>
    <w:qFormat/>
    <w:uiPriority w:val="99"/>
    <w:pPr>
      <w:tabs>
        <w:tab w:val="center" w:pos="4153"/>
        <w:tab w:val="right" w:pos="8306"/>
      </w:tabs>
      <w:snapToGrid w:val="0"/>
      <w:jc w:val="left"/>
    </w:pPr>
    <w:rPr>
      <w:kern w:val="0"/>
      <w:sz w:val="18"/>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9">
    <w:name w:val="List"/>
    <w:basedOn w:val="1"/>
    <w:unhideWhenUsed/>
    <w:qFormat/>
    <w:uiPriority w:val="99"/>
    <w:pPr>
      <w:ind w:left="200" w:hanging="200" w:hangingChars="200"/>
    </w:pPr>
    <w:rPr>
      <w:szCs w:val="21"/>
    </w:rPr>
  </w:style>
  <w:style w:type="paragraph" w:styleId="20">
    <w:name w:val="Body Text 2"/>
    <w:basedOn w:val="1"/>
    <w:qFormat/>
    <w:uiPriority w:val="99"/>
    <w:pPr>
      <w:spacing w:after="120" w:line="480" w:lineRule="auto"/>
    </w:pPr>
  </w:style>
  <w:style w:type="paragraph" w:styleId="21">
    <w:name w:val="Normal (Web)"/>
    <w:basedOn w:val="1"/>
    <w:unhideWhenUsed/>
    <w:qFormat/>
    <w:uiPriority w:val="0"/>
    <w:pPr>
      <w:widowControl/>
      <w:spacing w:beforeAutospacing="1" w:afterAutospacing="1"/>
      <w:jc w:val="left"/>
    </w:pPr>
    <w:rPr>
      <w:rFonts w:hint="eastAsia" w:ascii="宋体" w:hAnsi="宋体"/>
      <w:kern w:val="0"/>
    </w:rPr>
  </w:style>
  <w:style w:type="paragraph" w:styleId="22">
    <w:name w:val="Body Text First Indent"/>
    <w:basedOn w:val="11"/>
    <w:next w:val="1"/>
    <w:qFormat/>
    <w:uiPriority w:val="0"/>
    <w:pPr>
      <w:ind w:firstLine="420" w:firstLineChars="100"/>
    </w:pPr>
  </w:style>
  <w:style w:type="paragraph" w:styleId="23">
    <w:name w:val="Body Text First Indent 2"/>
    <w:basedOn w:val="13"/>
    <w:next w:val="1"/>
    <w:qFormat/>
    <w:uiPriority w:val="0"/>
    <w:pPr>
      <w:ind w:firstLine="420" w:firstLineChars="200"/>
    </w:pPr>
  </w:style>
  <w:style w:type="table" w:styleId="25">
    <w:name w:val="Table Grid"/>
    <w:basedOn w:val="24"/>
    <w:unhideWhenUsed/>
    <w:qFormat/>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27">
    <w:name w:val="page number"/>
    <w:basedOn w:val="26"/>
    <w:unhideWhenUsed/>
    <w:qFormat/>
    <w:uiPriority w:val="0"/>
    <w:rPr>
      <w:rFonts w:hint="default"/>
      <w:sz w:val="24"/>
      <w:szCs w:val="24"/>
    </w:rPr>
  </w:style>
  <w:style w:type="character" w:styleId="28">
    <w:name w:val="annotation reference"/>
    <w:basedOn w:val="26"/>
    <w:qFormat/>
    <w:uiPriority w:val="99"/>
    <w:rPr>
      <w:rFonts w:cs="Times New Roman"/>
      <w:sz w:val="21"/>
      <w:szCs w:val="21"/>
    </w:rPr>
  </w:style>
  <w:style w:type="paragraph" w:customStyle="1" w:styleId="29">
    <w:name w:val="样式 正文缩进正文缩进2正文缩进 Char Char正文缩进 Char Char Char Char正文缩进 Char ..."/>
    <w:basedOn w:val="2"/>
    <w:qFormat/>
    <w:uiPriority w:val="0"/>
    <w:pPr>
      <w:spacing w:line="360" w:lineRule="auto"/>
      <w:ind w:firstLine="200"/>
    </w:pPr>
    <w:rPr>
      <w:rFonts w:cs="宋体"/>
    </w:rPr>
  </w:style>
  <w:style w:type="paragraph" w:customStyle="1" w:styleId="30">
    <w:name w:val="样式 正文11 + 首行缩进:  2 字符"/>
    <w:basedOn w:val="1"/>
    <w:qFormat/>
    <w:uiPriority w:val="0"/>
    <w:pPr>
      <w:spacing w:line="500" w:lineRule="exact"/>
      <w:ind w:firstLine="560"/>
    </w:pPr>
    <w:rPr>
      <w:color w:val="FF0000"/>
    </w:rPr>
  </w:style>
  <w:style w:type="paragraph" w:customStyle="1" w:styleId="31">
    <w:name w:val="Default"/>
    <w:qFormat/>
    <w:uiPriority w:val="0"/>
    <w:pPr>
      <w:widowControl w:val="0"/>
      <w:autoSpaceDE w:val="0"/>
      <w:autoSpaceDN w:val="0"/>
      <w:adjustRightInd w:val="0"/>
    </w:pPr>
    <w:rPr>
      <w:rFonts w:ascii="ILPZD C+ T T 4 B B 2o 00" w:hAnsi="Calibri" w:eastAsia="ILPZD C+ T T 4 B B 2o 00" w:cs="Times New Roman"/>
      <w:color w:val="000000"/>
      <w:sz w:val="24"/>
      <w:szCs w:val="24"/>
      <w:lang w:val="en-US" w:eastAsia="zh-CN" w:bidi="ar-SA"/>
    </w:rPr>
  </w:style>
  <w:style w:type="character" w:customStyle="1" w:styleId="32">
    <w:name w:val="标题 1 Char"/>
    <w:link w:val="3"/>
    <w:qFormat/>
    <w:uiPriority w:val="9"/>
    <w:rPr>
      <w:rFonts w:ascii="Times New Roman" w:hAnsi="Times New Roman" w:eastAsia="黑体" w:cstheme="minorBidi"/>
      <w:kern w:val="44"/>
      <w:sz w:val="36"/>
      <w:szCs w:val="30"/>
      <w:lang w:eastAsia="zh-CN" w:bidi="ar-SA"/>
    </w:rPr>
  </w:style>
  <w:style w:type="paragraph" w:customStyle="1" w:styleId="33">
    <w:name w:val="表格、图片文字"/>
    <w:basedOn w:val="1"/>
    <w:qFormat/>
    <w:uiPriority w:val="0"/>
    <w:pPr>
      <w:jc w:val="center"/>
    </w:pPr>
    <w:rPr>
      <w:rFonts w:ascii="Times New Roman" w:hAnsi="Times New Roman"/>
      <w:b/>
      <w:color w:val="000000"/>
    </w:rPr>
  </w:style>
  <w:style w:type="paragraph" w:customStyle="1" w:styleId="34">
    <w:name w:val="表格文字"/>
    <w:qFormat/>
    <w:uiPriority w:val="0"/>
    <w:pPr>
      <w:widowControl w:val="0"/>
      <w:adjustRightInd w:val="0"/>
      <w:jc w:val="center"/>
      <w:textAlignment w:val="baseline"/>
    </w:pPr>
    <w:rPr>
      <w:rFonts w:ascii="Times New Roman" w:hAnsi="Times New Roman" w:eastAsia="宋体" w:cs="Times New Roman"/>
      <w:kern w:val="2"/>
      <w:sz w:val="21"/>
      <w:szCs w:val="21"/>
      <w:lang w:val="en-US" w:eastAsia="zh-CN" w:bidi="ar-SA"/>
    </w:rPr>
  </w:style>
  <w:style w:type="character" w:customStyle="1" w:styleId="35">
    <w:name w:val="标题 2 Char"/>
    <w:link w:val="4"/>
    <w:qFormat/>
    <w:uiPriority w:val="0"/>
    <w:rPr>
      <w:rFonts w:hint="default" w:ascii="Times New Roman" w:hAnsi="Times New Roman" w:eastAsia="黑体" w:cstheme="minorBidi"/>
      <w:kern w:val="2"/>
      <w:sz w:val="32"/>
      <w:szCs w:val="32"/>
      <w:lang w:eastAsia="zh-CN" w:bidi="ar-SA"/>
    </w:rPr>
  </w:style>
  <w:style w:type="character" w:customStyle="1" w:styleId="36">
    <w:name w:val="标题 3 Char"/>
    <w:link w:val="5"/>
    <w:qFormat/>
    <w:uiPriority w:val="0"/>
    <w:rPr>
      <w:rFonts w:ascii="Times New Roman" w:hAnsi="Times New Roman" w:eastAsia="黑体" w:cs="Times New Roman"/>
      <w:kern w:val="2"/>
      <w:sz w:val="30"/>
      <w:szCs w:val="32"/>
      <w:lang w:eastAsia="zh-CN" w:bidi="ar-SA"/>
    </w:rPr>
  </w:style>
  <w:style w:type="paragraph" w:customStyle="1" w:styleId="37">
    <w:name w:val="图片、表格标题"/>
    <w:qFormat/>
    <w:uiPriority w:val="0"/>
    <w:pPr>
      <w:jc w:val="center"/>
    </w:pPr>
    <w:rPr>
      <w:rFonts w:ascii="Times New Roman" w:hAnsi="Times New Roman" w:eastAsia="宋体" w:cs="Times New Roman"/>
      <w:sz w:val="24"/>
      <w:szCs w:val="24"/>
      <w:lang w:val="en-US" w:eastAsia="zh-CN" w:bidi="ar-SA"/>
    </w:rPr>
  </w:style>
  <w:style w:type="paragraph" w:customStyle="1" w:styleId="38">
    <w:name w:val="表格首行两字符"/>
    <w:basedOn w:val="39"/>
    <w:qFormat/>
    <w:uiPriority w:val="0"/>
    <w:pPr>
      <w:ind w:firstLine="920" w:firstLineChars="200"/>
      <w:jc w:val="both"/>
    </w:pPr>
  </w:style>
  <w:style w:type="paragraph" w:customStyle="1" w:styleId="39">
    <w:name w:val="表格居中对齐"/>
    <w:qFormat/>
    <w:uiPriority w:val="0"/>
    <w:pPr>
      <w:widowControl w:val="0"/>
      <w:adjustRightInd w:val="0"/>
      <w:jc w:val="center"/>
      <w:textAlignment w:val="baseline"/>
    </w:pPr>
    <w:rPr>
      <w:rFonts w:ascii="Times New Roman" w:hAnsi="Times New Roman" w:eastAsia="宋体" w:cs="Times New Roman"/>
      <w:kern w:val="2"/>
      <w:sz w:val="21"/>
      <w:szCs w:val="21"/>
      <w:lang w:val="en-US" w:eastAsia="zh-CN" w:bidi="ar-SA"/>
    </w:rPr>
  </w:style>
  <w:style w:type="paragraph" w:customStyle="1" w:styleId="40">
    <w:name w:val="表头"/>
    <w:basedOn w:val="19"/>
    <w:next w:val="1"/>
    <w:qFormat/>
    <w:uiPriority w:val="0"/>
    <w:pPr>
      <w:spacing w:line="360" w:lineRule="auto"/>
      <w:ind w:firstLine="0" w:firstLineChars="0"/>
      <w:jc w:val="center"/>
    </w:pPr>
    <w:rPr>
      <w:rFonts w:ascii="Times New Roman" w:hAnsi="Times New Roman" w:eastAsia="黑体"/>
    </w:rPr>
  </w:style>
  <w:style w:type="paragraph" w:customStyle="1" w:styleId="41">
    <w:name w:val="表格"/>
    <w:basedOn w:val="1"/>
    <w:next w:val="1"/>
    <w:unhideWhenUsed/>
    <w:qFormat/>
    <w:uiPriority w:val="0"/>
    <w:pPr>
      <w:adjustRightInd w:val="0"/>
      <w:snapToGrid w:val="0"/>
      <w:spacing w:beforeLines="10" w:afterLines="10" w:line="259" w:lineRule="auto"/>
      <w:jc w:val="center"/>
    </w:pPr>
    <w:rPr>
      <w:rFonts w:hint="eastAsia" w:ascii="宋体" w:hAnsi="Times New Roman"/>
      <w:kern w:val="0"/>
      <w:sz w:val="21"/>
    </w:rPr>
  </w:style>
  <w:style w:type="paragraph" w:customStyle="1" w:styleId="42">
    <w:name w:val="列出段落1"/>
    <w:basedOn w:val="1"/>
    <w:qFormat/>
    <w:uiPriority w:val="99"/>
    <w:pPr>
      <w:ind w:firstLine="420" w:firstLineChars="200"/>
    </w:pPr>
    <w:rPr>
      <w:rFonts w:ascii="Calibri" w:hAnsi="Calibri"/>
      <w:sz w:val="28"/>
      <w:szCs w:val="22"/>
    </w:rPr>
  </w:style>
  <w:style w:type="paragraph" w:customStyle="1" w:styleId="43">
    <w:name w:val="Table Paragraph"/>
    <w:basedOn w:val="1"/>
    <w:qFormat/>
    <w:uiPriority w:val="1"/>
  </w:style>
  <w:style w:type="paragraph" w:customStyle="1" w:styleId="44">
    <w:name w:val="表格居中"/>
    <w:basedOn w:val="1"/>
    <w:qFormat/>
    <w:uiPriority w:val="0"/>
    <w:pPr>
      <w:jc w:val="center"/>
    </w:pPr>
    <w:rPr>
      <w:rFonts w:ascii="Calibri" w:hAnsi="Calibri" w:cs="Times New Roman"/>
    </w:rPr>
  </w:style>
  <w:style w:type="paragraph" w:customStyle="1" w:styleId="45">
    <w:name w:val="表内容"/>
    <w:basedOn w:val="1"/>
    <w:next w:val="1"/>
    <w:qFormat/>
    <w:uiPriority w:val="0"/>
    <w:pPr>
      <w:spacing w:line="0" w:lineRule="atLeast"/>
      <w:jc w:val="center"/>
    </w:pPr>
    <w:rPr>
      <w:sz w:val="21"/>
    </w:rPr>
  </w:style>
  <w:style w:type="table" w:customStyle="1" w:styleId="46">
    <w:name w:val="网格型12"/>
    <w:basedOn w:val="24"/>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7">
    <w:name w:val="网格型11"/>
    <w:basedOn w:val="24"/>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8">
    <w:name w:val="1正文"/>
    <w:basedOn w:val="1"/>
    <w:qFormat/>
    <w:uiPriority w:val="99"/>
    <w:pPr>
      <w:ind w:firstLine="198" w:firstLineChars="200"/>
    </w:pPr>
  </w:style>
  <w:style w:type="paragraph" w:customStyle="1" w:styleId="49">
    <w:name w:val="Other|1"/>
    <w:basedOn w:val="1"/>
    <w:qFormat/>
    <w:uiPriority w:val="0"/>
    <w:pPr>
      <w:spacing w:line="427" w:lineRule="auto"/>
      <w:ind w:firstLine="400"/>
    </w:pPr>
    <w:rPr>
      <w:rFonts w:ascii="宋体" w:hAnsi="宋体" w:cs="宋体"/>
      <w:sz w:val="22"/>
      <w:szCs w:val="22"/>
      <w:lang w:val="zh-TW" w:eastAsia="zh-TW" w:bidi="zh-TW"/>
    </w:rPr>
  </w:style>
  <w:style w:type="paragraph" w:customStyle="1" w:styleId="50">
    <w:name w:val="正文1"/>
    <w:basedOn w:val="1"/>
    <w:qFormat/>
    <w:uiPriority w:val="0"/>
    <w:pPr>
      <w:adjustRightInd w:val="0"/>
      <w:snapToGrid w:val="0"/>
      <w:spacing w:line="480" w:lineRule="exact"/>
      <w:ind w:firstLine="200" w:firstLineChars="200"/>
    </w:pPr>
    <w:rPr>
      <w:snapToGrid w:val="0"/>
      <w:szCs w:val="20"/>
    </w:rPr>
  </w:style>
  <w:style w:type="paragraph" w:customStyle="1" w:styleId="51">
    <w:name w:val="Body text|1"/>
    <w:basedOn w:val="1"/>
    <w:qFormat/>
    <w:uiPriority w:val="0"/>
    <w:pPr>
      <w:spacing w:line="449" w:lineRule="auto"/>
      <w:ind w:firstLine="400"/>
    </w:pPr>
    <w:rPr>
      <w:rFonts w:ascii="宋体" w:hAnsi="宋体" w:cs="宋体"/>
      <w:sz w:val="22"/>
      <w:szCs w:val="22"/>
      <w:lang w:val="zh-TW" w:eastAsia="zh-TW" w:bidi="zh-TW"/>
    </w:rPr>
  </w:style>
  <w:style w:type="character" w:customStyle="1" w:styleId="52">
    <w:name w:val="Body text|4_"/>
    <w:basedOn w:val="26"/>
    <w:link w:val="53"/>
    <w:qFormat/>
    <w:uiPriority w:val="0"/>
    <w:rPr>
      <w:u w:val="none"/>
      <w:shd w:val="clear" w:color="auto" w:fill="auto"/>
      <w:lang w:val="zh-TW" w:eastAsia="zh-TW" w:bidi="zh-TW"/>
    </w:rPr>
  </w:style>
  <w:style w:type="paragraph" w:customStyle="1" w:styleId="53">
    <w:name w:val="Body text|4"/>
    <w:basedOn w:val="1"/>
    <w:link w:val="52"/>
    <w:qFormat/>
    <w:uiPriority w:val="0"/>
    <w:pPr>
      <w:spacing w:after="90"/>
      <w:ind w:firstLine="580"/>
    </w:pPr>
    <w:rPr>
      <w:lang w:val="zh-TW" w:eastAsia="zh-TW" w:bidi="zh-TW"/>
    </w:rPr>
  </w:style>
  <w:style w:type="paragraph" w:customStyle="1" w:styleId="54">
    <w:name w:val="正文11"/>
    <w:basedOn w:val="1"/>
    <w:qFormat/>
    <w:uiPriority w:val="0"/>
    <w:pPr>
      <w:adjustRightInd w:val="0"/>
      <w:snapToGrid w:val="0"/>
      <w:spacing w:line="480" w:lineRule="exact"/>
      <w:ind w:firstLine="200" w:firstLineChars="200"/>
    </w:pPr>
    <w:rPr>
      <w:snapToGrid w:val="0"/>
      <w:szCs w:val="20"/>
    </w:rPr>
  </w:style>
  <w:style w:type="character" w:customStyle="1" w:styleId="55">
    <w:name w:val="文档结构图 Char"/>
    <w:basedOn w:val="26"/>
    <w:link w:val="8"/>
    <w:qFormat/>
    <w:uiPriority w:val="0"/>
    <w:rPr>
      <w:rFonts w:ascii="宋体" w:hAnsiTheme="minorHAnsi" w:cstheme="minorBidi"/>
      <w:kern w:val="2"/>
      <w:sz w:val="18"/>
      <w:szCs w:val="18"/>
    </w:rPr>
  </w:style>
  <w:style w:type="character" w:customStyle="1" w:styleId="56">
    <w:name w:val="批注框文本 Char"/>
    <w:basedOn w:val="26"/>
    <w:link w:val="16"/>
    <w:qFormat/>
    <w:uiPriority w:val="0"/>
    <w:rPr>
      <w:rFonts w:asciiTheme="minorHAnsi" w:hAnsiTheme="minorHAnsi" w:cstheme="minorBidi"/>
      <w:kern w:val="2"/>
      <w:sz w:val="18"/>
      <w:szCs w:val="18"/>
    </w:rPr>
  </w:style>
  <w:style w:type="character" w:customStyle="1" w:styleId="57">
    <w:name w:val="批注文字 Char"/>
    <w:basedOn w:val="26"/>
    <w:link w:val="9"/>
    <w:qFormat/>
    <w:uiPriority w:val="99"/>
    <w:rPr>
      <w:rFonts w:asciiTheme="minorHAnsi" w:hAnsiTheme="minorHAnsi" w:cstheme="minorBidi"/>
      <w:kern w:val="2"/>
      <w:sz w:val="24"/>
      <w:szCs w:val="24"/>
    </w:rPr>
  </w:style>
  <w:style w:type="character" w:customStyle="1" w:styleId="58">
    <w:name w:val="批注主题 Char"/>
    <w:basedOn w:val="57"/>
    <w:link w:val="10"/>
    <w:qFormat/>
    <w:uiPriority w:val="0"/>
  </w:style>
  <w:style w:type="paragraph" w:customStyle="1" w:styleId="59">
    <w:name w:val="样式，标题 3"/>
    <w:basedOn w:val="1"/>
    <w:qFormat/>
    <w:uiPriority w:val="0"/>
    <w:pPr>
      <w:keepNext/>
      <w:keepLines/>
      <w:widowControl w:val="0"/>
      <w:spacing w:beforeLines="50" w:afterLines="50" w:line="360" w:lineRule="auto"/>
      <w:outlineLvl w:val="2"/>
    </w:pPr>
    <w:rPr>
      <w:rFonts w:ascii="Times New Roman" w:hAnsi="Times New Roman" w:eastAsia="黑体" w:cs="Times New Roman"/>
      <w:sz w:val="2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emf"/><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88</Pages>
  <Words>107</Words>
  <Characters>110</Characters>
  <Lines>193</Lines>
  <Paragraphs>54</Paragraphs>
  <TotalTime>0</TotalTime>
  <ScaleCrop>false</ScaleCrop>
  <LinksUpToDate>false</LinksUpToDate>
  <CharactersWithSpaces>110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2020-05-25T01:09:00Z</dcterms:created>
  <dc:creator>Administrator</dc:creator>
  <cp:lastModifiedBy>云淡风轻</cp:lastModifiedBy>
  <dcterms:modified xsi:type="dcterms:W3CDTF">2025-04-03T02:26:16Z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95B06E9A105243E2BF35964B5DB4A265_13</vt:lpwstr>
  </property>
  <property fmtid="{D5CDD505-2E9C-101B-9397-08002B2CF9AE}" pid="4" name="KSOSaveFontToCloudKey">
    <vt:lpwstr>289212702_cloud</vt:lpwstr>
  </property>
  <property fmtid="{D5CDD505-2E9C-101B-9397-08002B2CF9AE}" pid="5" name="commondata">
    <vt:lpwstr>eyJoZGlkIjoiZjM2NzE3ZGZhNzRlMDkzZGU1ZjUxOWRkNGViY2Q1NTgifQ==</vt:lpwstr>
  </property>
  <property fmtid="{D5CDD505-2E9C-101B-9397-08002B2CF9AE}" pid="6" name="KSOTemplateDocerSaveRecord">
    <vt:lpwstr>eyJoZGlkIjoiZTg0OWFlYTA2ZWE3ZDdhMTIzMTJlNDIwOWUxNDA0NzUiLCJ1c2VySWQiOiIyMDA5NzE0NDIifQ==</vt:lpwstr>
  </property>
</Properties>
</file>