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/>
          <w:b/>
          <w:bCs/>
          <w:sz w:val="36"/>
          <w:szCs w:val="28"/>
          <w:highlight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/>
          <w:b/>
          <w:bCs/>
          <w:sz w:val="36"/>
          <w:szCs w:val="28"/>
          <w:highlight w:val="none"/>
          <w:lang w:val="en-US" w:eastAsia="zh-CN"/>
        </w:rPr>
      </w:pPr>
      <w:r>
        <w:rPr>
          <w:rFonts w:hint="default"/>
          <w:b/>
          <w:bCs/>
          <w:sz w:val="36"/>
          <w:szCs w:val="28"/>
          <w:highlight w:val="none"/>
          <w:lang w:val="en-US" w:eastAsia="zh-CN"/>
        </w:rPr>
        <w:t>锡林郭勒盟</w:t>
      </w:r>
      <w:r>
        <w:rPr>
          <w:rFonts w:hint="eastAsia" w:ascii="宋体" w:hAnsi="宋体" w:eastAsia="宋体" w:cs="宋体"/>
          <w:b/>
          <w:bCs/>
          <w:sz w:val="36"/>
          <w:szCs w:val="28"/>
          <w:highlight w:val="none"/>
          <w:lang w:val="en-US" w:eastAsia="zh-CN"/>
        </w:rPr>
        <w:t>“</w:t>
      </w:r>
      <w:r>
        <w:rPr>
          <w:rFonts w:hint="default"/>
          <w:b/>
          <w:bCs/>
          <w:sz w:val="36"/>
          <w:szCs w:val="28"/>
          <w:highlight w:val="none"/>
          <w:lang w:val="en-US" w:eastAsia="zh-CN"/>
        </w:rPr>
        <w:t>绿水青山就是金山银山</w:t>
      </w:r>
      <w:r>
        <w:rPr>
          <w:rFonts w:hint="eastAsia" w:ascii="宋体" w:hAnsi="宋体" w:eastAsia="宋体" w:cs="宋体"/>
          <w:b/>
          <w:bCs/>
          <w:sz w:val="36"/>
          <w:szCs w:val="28"/>
          <w:highlight w:val="none"/>
          <w:lang w:val="en-US" w:eastAsia="zh-CN"/>
        </w:rPr>
        <w:t>”</w:t>
      </w:r>
      <w:r>
        <w:rPr>
          <w:rFonts w:hint="default"/>
          <w:b/>
          <w:bCs/>
          <w:sz w:val="36"/>
          <w:szCs w:val="28"/>
          <w:highlight w:val="none"/>
          <w:lang w:val="en-US" w:eastAsia="zh-CN"/>
        </w:rPr>
        <w:t>转化</w:t>
      </w:r>
      <w:r>
        <w:rPr>
          <w:rFonts w:hint="eastAsia"/>
          <w:b/>
          <w:bCs/>
          <w:sz w:val="36"/>
          <w:szCs w:val="28"/>
          <w:highlight w:val="none"/>
          <w:lang w:val="en-US" w:eastAsia="zh-CN"/>
        </w:rPr>
        <w:t>实践区</w:t>
      </w:r>
    </w:p>
    <w:p>
      <w:pPr>
        <w:ind w:left="0" w:leftChars="0" w:firstLine="0" w:firstLineChars="0"/>
        <w:jc w:val="center"/>
        <w:rPr>
          <w:rFonts w:hint="eastAsia"/>
          <w:b/>
          <w:bCs/>
          <w:sz w:val="36"/>
          <w:szCs w:val="28"/>
          <w:highlight w:val="none"/>
          <w:lang w:val="en-US" w:eastAsia="zh-CN"/>
        </w:rPr>
      </w:pPr>
      <w:r>
        <w:rPr>
          <w:rFonts w:hint="default"/>
          <w:b/>
          <w:bCs/>
          <w:sz w:val="36"/>
          <w:szCs w:val="28"/>
          <w:highlight w:val="none"/>
          <w:lang w:val="en-US" w:eastAsia="zh-CN"/>
        </w:rPr>
        <w:t>建设活动管理规程</w:t>
      </w:r>
      <w:r>
        <w:rPr>
          <w:rFonts w:hint="eastAsia"/>
          <w:b/>
          <w:bCs/>
          <w:sz w:val="36"/>
          <w:szCs w:val="28"/>
          <w:highlight w:val="none"/>
          <w:lang w:val="en-US" w:eastAsia="zh-CN"/>
        </w:rPr>
        <w:t>（试行）</w:t>
      </w:r>
    </w:p>
    <w:p>
      <w:pPr>
        <w:ind w:left="0" w:leftChars="0" w:firstLine="0" w:firstLineChars="0"/>
        <w:jc w:val="center"/>
        <w:rPr>
          <w:rFonts w:hint="default"/>
          <w:b/>
          <w:bCs/>
          <w:sz w:val="36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28"/>
          <w:highlight w:val="none"/>
          <w:lang w:val="en-US" w:eastAsia="zh-CN"/>
        </w:rPr>
        <w:t>（送审稿）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/>
          <w:highlight w:val="none"/>
          <w:lang w:val="en-US" w:eastAsia="zh-CN"/>
        </w:rPr>
        <w:t>总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default"/>
          <w:highlight w:val="none"/>
          <w:lang w:val="en-US" w:eastAsia="zh-CN"/>
        </w:rPr>
        <w:t>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yellow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锡林郭勒盟</w:t>
      </w:r>
      <w:r>
        <w:rPr>
          <w:rFonts w:hint="eastAsia" w:ascii="Times New Roman" w:hAnsi="Times New Roman" w:eastAsia="仿宋" w:cs="宋体"/>
          <w:sz w:val="30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绿水青山就是金山银山</w:t>
      </w:r>
      <w:r>
        <w:rPr>
          <w:rFonts w:hint="eastAsia" w:ascii="Times New Roman" w:hAnsi="Times New Roman" w:eastAsia="仿宋" w:cs="宋体"/>
          <w:sz w:val="30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（以下简称</w:t>
      </w:r>
      <w:r>
        <w:rPr>
          <w:rFonts w:hint="eastAsia" w:ascii="Times New Roman" w:hAnsi="Times New Roman" w:eastAsia="仿宋" w:cs="宋体"/>
          <w:sz w:val="30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两山</w:t>
      </w:r>
      <w:r>
        <w:rPr>
          <w:rFonts w:hint="eastAsia" w:ascii="Times New Roman" w:hAnsi="Times New Roman" w:eastAsia="仿宋" w:cs="宋体"/>
          <w:sz w:val="30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转化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，</w:t>
      </w:r>
      <w:r>
        <w:rPr>
          <w:rFonts w:hint="eastAsia" w:eastAsia="仿宋"/>
          <w:sz w:val="30"/>
          <w:highlight w:val="none"/>
          <w:lang w:val="en-US" w:eastAsia="zh-CN"/>
        </w:rPr>
        <w:t>是在锡林郭勒盟境内开展“两山”转化的实践平台，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旨在探索</w:t>
      </w:r>
      <w:r>
        <w:rPr>
          <w:rFonts w:hint="eastAsia" w:eastAsia="仿宋"/>
          <w:sz w:val="30"/>
          <w:highlight w:val="none"/>
          <w:lang w:val="en-US" w:eastAsia="zh-CN"/>
        </w:rPr>
        <w:t>锡林郭勒盟多样化的</w:t>
      </w:r>
      <w:r>
        <w:rPr>
          <w:rFonts w:hint="eastAsia" w:ascii="Times New Roman" w:hAnsi="Times New Roman" w:eastAsia="仿宋" w:cs="宋体"/>
          <w:sz w:val="30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两山</w:t>
      </w:r>
      <w:r>
        <w:rPr>
          <w:rFonts w:hint="eastAsia" w:ascii="Times New Roman" w:hAnsi="Times New Roman" w:eastAsia="仿宋" w:cs="宋体"/>
          <w:sz w:val="30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转化路径和机制，总结推广典型经验模式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。为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进一步加强和规范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管理工作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结合</w:t>
      </w:r>
      <w:r>
        <w:rPr>
          <w:rFonts w:hint="eastAsia" w:eastAsia="仿宋"/>
          <w:sz w:val="30"/>
          <w:highlight w:val="none"/>
          <w:lang w:val="en-US" w:eastAsia="zh-CN"/>
        </w:rPr>
        <w:t>锡林郭勒盟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实际，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制定本规程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锡林郭勒盟“两山”转化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建设工作由中共锡林郭勒盟委员会和锡林郭勒盟行政公署统一领导</w:t>
      </w:r>
      <w:r>
        <w:rPr>
          <w:rFonts w:hint="eastAsia" w:eastAsia="仿宋"/>
          <w:sz w:val="3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盟生态环境保护委员会负责统筹协调和监督指导。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各旗县市（区）</w:t>
      </w:r>
      <w:r>
        <w:rPr>
          <w:rFonts w:hint="eastAsia" w:eastAsia="仿宋"/>
          <w:sz w:val="30"/>
          <w:highlight w:val="none"/>
          <w:lang w:val="en-US" w:eastAsia="zh-CN"/>
        </w:rPr>
        <w:t>党委（党工委）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政府（管委会）是本地区“两山”转化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建设的第一责任主体，盟</w:t>
      </w:r>
      <w:r>
        <w:rPr>
          <w:rFonts w:hint="eastAsia" w:eastAsia="仿宋"/>
          <w:sz w:val="30"/>
          <w:highlight w:val="none"/>
          <w:lang w:val="en-US" w:eastAsia="zh-CN"/>
        </w:rPr>
        <w:t>直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各相关部门依据职责分工协同推进。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各类</w:t>
      </w:r>
      <w:r>
        <w:rPr>
          <w:rFonts w:hint="eastAsia" w:eastAsia="仿宋"/>
          <w:sz w:val="30"/>
          <w:highlight w:val="none"/>
          <w:lang w:val="en-US" w:eastAsia="zh-CN"/>
        </w:rPr>
        <w:t>企事业单位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、</w:t>
      </w:r>
      <w:r>
        <w:rPr>
          <w:rFonts w:hint="eastAsia" w:eastAsia="仿宋"/>
          <w:sz w:val="30"/>
          <w:highlight w:val="none"/>
          <w:lang w:val="en-US" w:eastAsia="zh-CN"/>
        </w:rPr>
        <w:t>苏木乡镇、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合作社、嘎查村集体等建设主体是</w:t>
      </w:r>
      <w:r>
        <w:rPr>
          <w:rFonts w:hint="eastAsia" w:eastAsia="仿宋"/>
          <w:sz w:val="30"/>
          <w:highlight w:val="none"/>
          <w:lang w:val="en-US" w:eastAsia="zh-CN"/>
        </w:rPr>
        <w:t>各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两山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转化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的具体实施单位</w:t>
      </w:r>
      <w:r>
        <w:rPr>
          <w:rFonts w:hint="eastAsia" w:eastAsia="仿宋"/>
          <w:sz w:val="30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ind w:firstLine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 xml:space="preserve"> 建设</w:t>
      </w:r>
      <w:r>
        <w:rPr>
          <w:rFonts w:hint="eastAsia" w:ascii="Times New Roman" w:hAnsi="Times New Roman"/>
          <w:highlight w:val="none"/>
          <w:lang w:val="en-US" w:eastAsia="zh-CN"/>
        </w:rPr>
        <w:t>实施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eastAsia" w:eastAsia="仿宋"/>
          <w:sz w:val="30"/>
          <w:highlight w:val="none"/>
          <w:lang w:val="en-US" w:eastAsia="zh-CN"/>
        </w:rPr>
      </w:pPr>
      <w:r>
        <w:rPr>
          <w:rFonts w:hint="eastAsia" w:eastAsia="仿宋"/>
          <w:sz w:val="30"/>
          <w:highlight w:val="none"/>
          <w:lang w:val="en-US" w:eastAsia="zh-CN"/>
        </w:rPr>
        <w:t xml:space="preserve"> 各旗县市（区）应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在综合评估本地区资源禀赋、生态优势等条件的基础上，</w:t>
      </w:r>
      <w:r>
        <w:rPr>
          <w:rFonts w:hint="eastAsia" w:eastAsia="仿宋"/>
          <w:sz w:val="30"/>
          <w:highlight w:val="none"/>
          <w:lang w:val="en-US" w:eastAsia="zh-CN"/>
        </w:rPr>
        <w:t>制定“两山”转化工作的年度计划，明确本地区年度目标、重点任务、项目安排与保障措施，报盟生态环境保护委员会办公室备案，作为建设与评估的依据。动态构建“两山”转化重点项目库，明确项目的建设内容、投资主体、预期效益与转化模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eastAsia" w:eastAsia="仿宋"/>
          <w:sz w:val="30"/>
          <w:highlight w:val="none"/>
          <w:lang w:val="en-US" w:eastAsia="zh-CN"/>
        </w:rPr>
      </w:pPr>
      <w:r>
        <w:rPr>
          <w:rFonts w:hint="eastAsia" w:eastAsia="仿宋"/>
          <w:sz w:val="30"/>
          <w:highlight w:val="none"/>
          <w:lang w:val="en-US" w:eastAsia="zh-CN"/>
        </w:rPr>
        <w:t xml:space="preserve"> 各实践区建设主体应立足本地生态功能、资源禀赋和转化潜力，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聚焦生态产业化和产业生态化，</w:t>
      </w:r>
      <w:r>
        <w:rPr>
          <w:rFonts w:hint="eastAsia" w:eastAsia="仿宋"/>
          <w:sz w:val="30"/>
          <w:highlight w:val="none"/>
          <w:lang w:val="en-US" w:eastAsia="zh-CN"/>
        </w:rPr>
        <w:t>依据《锡林郭勒盟“绿水青山就是金山银山”转化实践区标准化建设方案》因地制宜探索实施符合区域特色的“两山”转化路径。各旗县市（区）党委（党工委）政府（管委会）和相关部门负责对实践区的探索实践进行指导，通过动态跟踪、精准服务，及时提供政策支持与要素保障，解决转化路径探索中的实际困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56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盟</w:t>
      </w:r>
      <w:r>
        <w:rPr>
          <w:rFonts w:hint="eastAsia" w:eastAsia="仿宋"/>
          <w:sz w:val="30"/>
          <w:highlight w:val="none"/>
          <w:lang w:val="en-US" w:eastAsia="zh-CN"/>
        </w:rPr>
        <w:t>直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各</w:t>
      </w:r>
      <w:r>
        <w:rPr>
          <w:rFonts w:hint="eastAsia" w:eastAsia="仿宋"/>
          <w:sz w:val="30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部门、各旗县市（区）要围绕生态产业发展、生态价值实现、创新技术应用、利益联结机制等重要内容，大胆开展</w:t>
      </w:r>
      <w:r>
        <w:rPr>
          <w:rFonts w:hint="eastAsia" w:eastAsia="仿宋"/>
          <w:sz w:val="30"/>
          <w:highlight w:val="none"/>
          <w:lang w:val="en-US" w:eastAsia="zh-CN"/>
        </w:rPr>
        <w:t>体制机制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创新</w:t>
      </w:r>
      <w:r>
        <w:rPr>
          <w:rFonts w:hint="eastAsia" w:eastAsia="仿宋"/>
          <w:sz w:val="30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鼓励各建设主体</w:t>
      </w:r>
      <w:r>
        <w:rPr>
          <w:rFonts w:hint="eastAsia" w:eastAsia="仿宋"/>
          <w:sz w:val="30"/>
          <w:highlight w:val="none"/>
          <w:lang w:val="en-US" w:eastAsia="zh-CN"/>
        </w:rPr>
        <w:t>深化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应用。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推动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建设成果融入地区可持续发展与民生改善进程，通过生态产业发展拓宽就业渠道，通过生态产品价值实现机制增加居民收入，通过优质生态产品供给提升生活品质，增强人民群众在“两山”转化中的获得感、幸福感、安全感。</w:t>
      </w:r>
    </w:p>
    <w:p>
      <w:pPr>
        <w:pStyle w:val="2"/>
        <w:numPr>
          <w:ilvl w:val="0"/>
          <w:numId w:val="1"/>
        </w:numPr>
        <w:bidi w:val="0"/>
        <w:ind w:firstLine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56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盟生态环境保护委员会</w:t>
      </w:r>
      <w:r>
        <w:rPr>
          <w:rFonts w:hint="eastAsia" w:eastAsia="仿宋"/>
          <w:sz w:val="30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加强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对各旗县市（区）“两山”转化实践区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监督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，重点对建设进度与阶段性成果</w:t>
      </w:r>
      <w:r>
        <w:rPr>
          <w:rFonts w:hint="eastAsia" w:eastAsia="仿宋"/>
          <w:sz w:val="30"/>
          <w:highlight w:val="none"/>
          <w:lang w:val="en-US" w:eastAsia="zh-CN"/>
        </w:rPr>
        <w:t>、建设实施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具体问题进行监督指导，确保实践区建设务实推进</w:t>
      </w:r>
      <w:r>
        <w:rPr>
          <w:rFonts w:hint="eastAsia" w:eastAsia="仿宋"/>
          <w:sz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eastAsia="仿宋"/>
          <w:sz w:val="30"/>
          <w:highlight w:val="none"/>
          <w:lang w:val="en-US" w:eastAsia="zh-CN"/>
        </w:rPr>
        <w:t xml:space="preserve"> 制定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锡林郭勒盟</w:t>
      </w:r>
      <w:r>
        <w:rPr>
          <w:rFonts w:hint="eastAsia" w:eastAsia="仿宋"/>
          <w:sz w:val="30"/>
          <w:highlight w:val="none"/>
          <w:lang w:val="en-US" w:eastAsia="zh-CN"/>
        </w:rPr>
        <w:t>“两山”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转化实践区建设工作评估办法，重点评估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各旗县市（区）</w:t>
      </w:r>
      <w:r>
        <w:rPr>
          <w:rFonts w:hint="eastAsia" w:eastAsia="仿宋"/>
          <w:sz w:val="30"/>
          <w:highlight w:val="none"/>
          <w:lang w:val="en-US" w:eastAsia="zh-CN"/>
        </w:rPr>
        <w:t>“两山”转化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方面的成效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，科学引导“两山”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建设</w:t>
      </w:r>
      <w:r>
        <w:rPr>
          <w:rFonts w:hint="eastAsia" w:eastAsia="仿宋"/>
          <w:sz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各旗县市（区）</w:t>
      </w:r>
      <w:r>
        <w:rPr>
          <w:rFonts w:hint="eastAsia" w:eastAsia="仿宋"/>
          <w:sz w:val="30"/>
          <w:highlight w:val="none"/>
          <w:lang w:val="en-US" w:eastAsia="zh-CN"/>
        </w:rPr>
        <w:t>应持续开展“两山”转化实践区建设工作，并根据评估办法开展自查自评，每年提交上一年度工作自评估材料至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盟生态环境保护委员会</w:t>
      </w:r>
      <w:r>
        <w:rPr>
          <w:rFonts w:hint="eastAsia" w:eastAsia="仿宋"/>
          <w:sz w:val="30"/>
          <w:highlight w:val="none"/>
          <w:lang w:val="en-US" w:eastAsia="zh-CN"/>
        </w:rPr>
        <w:t>办公室；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盟生态环境保护委员会</w:t>
      </w:r>
      <w:r>
        <w:rPr>
          <w:rFonts w:hint="eastAsia" w:eastAsia="仿宋"/>
          <w:sz w:val="30"/>
          <w:highlight w:val="none"/>
          <w:lang w:val="en-US" w:eastAsia="zh-CN"/>
        </w:rPr>
        <w:t>办公室通过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专家评审、综合评议等</w:t>
      </w:r>
      <w:r>
        <w:rPr>
          <w:rFonts w:hint="eastAsia" w:eastAsia="仿宋"/>
          <w:sz w:val="30"/>
          <w:highlight w:val="none"/>
          <w:lang w:val="en-US" w:eastAsia="zh-CN"/>
        </w:rPr>
        <w:t>程序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完成年度“两山”转化</w:t>
      </w:r>
      <w:r>
        <w:rPr>
          <w:rFonts w:hint="eastAsia" w:eastAsia="仿宋"/>
          <w:sz w:val="30"/>
          <w:highlight w:val="none"/>
          <w:lang w:val="en-US" w:eastAsia="zh-CN"/>
        </w:rPr>
        <w:t>评估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工作，编制年度评估报告</w:t>
      </w:r>
      <w:r>
        <w:rPr>
          <w:rFonts w:hint="eastAsia" w:eastAsia="仿宋"/>
          <w:sz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年度评估结果分等次评定，评估结果</w:t>
      </w:r>
      <w:r>
        <w:rPr>
          <w:rFonts w:hint="eastAsia" w:eastAsia="仿宋"/>
          <w:sz w:val="30"/>
          <w:highlight w:val="none"/>
          <w:lang w:val="en-US" w:eastAsia="zh-CN"/>
        </w:rPr>
        <w:t>作为指导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实践区动态管理</w:t>
      </w:r>
      <w:r>
        <w:rPr>
          <w:rFonts w:hint="eastAsia" w:eastAsia="仿宋"/>
          <w:sz w:val="30"/>
          <w:highlight w:val="none"/>
          <w:lang w:val="en-US" w:eastAsia="zh-CN"/>
        </w:rPr>
        <w:t>和相关考核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重要</w:t>
      </w:r>
      <w:r>
        <w:rPr>
          <w:rFonts w:hint="eastAsia" w:eastAsia="仿宋"/>
          <w:sz w:val="30"/>
          <w:highlight w:val="none"/>
          <w:lang w:val="en-US" w:eastAsia="zh-CN"/>
        </w:rPr>
        <w:t>依据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。</w:t>
      </w:r>
      <w:r>
        <w:rPr>
          <w:rFonts w:hint="eastAsia" w:eastAsia="仿宋"/>
          <w:sz w:val="30"/>
          <w:highlight w:val="none"/>
          <w:lang w:val="en-US" w:eastAsia="zh-CN"/>
        </w:rPr>
        <w:t>具备《生态文明建设示范区（市）建设指标》《生态文明建设示范区（县）建设指标》的地区</w:t>
      </w:r>
      <w:bookmarkStart w:id="0" w:name="_GoBack"/>
      <w:bookmarkEnd w:id="0"/>
      <w:r>
        <w:rPr>
          <w:rFonts w:hint="eastAsia" w:eastAsia="仿宋"/>
          <w:sz w:val="30"/>
          <w:highlight w:val="none"/>
          <w:lang w:val="en-US" w:eastAsia="zh-CN"/>
        </w:rPr>
        <w:t>优先向自治区、国家推荐创建生态文明示范区和“两山”实践创新基地。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对存在差距的地区，将视情况反馈结果并提出改进建议。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参与“两山”转化</w:t>
      </w:r>
      <w:r>
        <w:rPr>
          <w:rFonts w:hint="eastAsia" w:eastAsia="仿宋"/>
          <w:sz w:val="30"/>
          <w:highlight w:val="none"/>
          <w:lang w:val="en-US" w:eastAsia="zh-CN"/>
        </w:rPr>
        <w:t>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管理和评估的工作人员和专家，在监督评估等工作中，须遵守中央八项规定及其实施细则精神，严格执行回避制度，认真落实廉洁自律要求和责任，坚持科学、务实、高效的工作作风，遵守相关工作程序和规范。</w:t>
      </w:r>
    </w:p>
    <w:p>
      <w:pPr>
        <w:pStyle w:val="2"/>
        <w:numPr>
          <w:ilvl w:val="0"/>
          <w:numId w:val="1"/>
        </w:numPr>
        <w:bidi w:val="0"/>
        <w:ind w:firstLine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highlight w:val="none"/>
          <w:lang w:val="en-US" w:eastAsia="zh-CN"/>
        </w:rPr>
        <w:t>宣传推广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围绕“两山”转化实践区建设的不同模式路径，每年组织开展典型案例遴选工作，重点围绕模式创新性、实际成效显著性、经验可推广性以及运作规范性等方面的表现，择优确定典型案例。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实践区典型案例遴选遵循推荐、审核、发布的基本流程</w:t>
      </w:r>
      <w:r>
        <w:rPr>
          <w:rFonts w:hint="eastAsia" w:eastAsia="仿宋"/>
          <w:sz w:val="30"/>
          <w:highlight w:val="none"/>
          <w:lang w:val="en-US" w:eastAsia="zh-CN"/>
        </w:rPr>
        <w:t>，</w:t>
      </w:r>
      <w:r>
        <w:rPr>
          <w:rFonts w:hint="default" w:eastAsia="仿宋"/>
          <w:sz w:val="30"/>
          <w:highlight w:val="none"/>
          <w:lang w:val="en-US" w:eastAsia="zh-CN"/>
        </w:rPr>
        <w:t>各</w:t>
      </w:r>
      <w:r>
        <w:rPr>
          <w:rFonts w:hint="eastAsia" w:eastAsia="仿宋"/>
          <w:sz w:val="30"/>
          <w:highlight w:val="none"/>
          <w:lang w:val="en-US" w:eastAsia="zh-CN"/>
        </w:rPr>
        <w:t>旗县市（区）</w:t>
      </w:r>
      <w:r>
        <w:rPr>
          <w:rFonts w:hint="default" w:eastAsia="仿宋"/>
          <w:sz w:val="30"/>
          <w:highlight w:val="none"/>
          <w:lang w:val="en-US" w:eastAsia="zh-CN"/>
        </w:rPr>
        <w:t>要加强总结</w:t>
      </w:r>
      <w:r>
        <w:rPr>
          <w:rFonts w:hint="eastAsia" w:eastAsia="仿宋"/>
          <w:sz w:val="30"/>
          <w:highlight w:val="none"/>
          <w:lang w:val="en-US" w:eastAsia="zh-CN"/>
        </w:rPr>
        <w:t>“两山”转化实践区</w:t>
      </w:r>
      <w:r>
        <w:rPr>
          <w:rFonts w:hint="default" w:eastAsia="仿宋"/>
          <w:sz w:val="30"/>
          <w:highlight w:val="none"/>
          <w:lang w:val="en-US" w:eastAsia="zh-CN"/>
        </w:rPr>
        <w:t>建设工作经验和成效，形成具有区域特点、创新性的</w:t>
      </w:r>
      <w:r>
        <w:rPr>
          <w:rFonts w:hint="eastAsia" w:eastAsia="仿宋"/>
          <w:sz w:val="30"/>
          <w:highlight w:val="none"/>
          <w:lang w:val="en-US" w:eastAsia="zh-CN"/>
        </w:rPr>
        <w:t>“两山”转化</w:t>
      </w:r>
      <w:r>
        <w:rPr>
          <w:rFonts w:hint="default" w:eastAsia="仿宋"/>
          <w:sz w:val="30"/>
          <w:highlight w:val="none"/>
          <w:lang w:val="en-US" w:eastAsia="zh-CN"/>
        </w:rPr>
        <w:t>模式，</w:t>
      </w:r>
      <w:r>
        <w:rPr>
          <w:rFonts w:hint="eastAsia" w:eastAsia="仿宋"/>
          <w:sz w:val="30"/>
          <w:highlight w:val="none"/>
          <w:lang w:val="en-US" w:eastAsia="zh-CN"/>
        </w:rPr>
        <w:t>推荐至盟生态环境保护委员会办公室，委员会办公室组织专家进行材料审核，通过审核的案例将纳入盟典型案例集并予以宣传推广。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通过案例集、现场会、培训交流等形式</w:t>
      </w:r>
      <w:r>
        <w:rPr>
          <w:rFonts w:hint="eastAsia" w:eastAsia="仿宋"/>
          <w:sz w:val="30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在全</w:t>
      </w:r>
      <w:r>
        <w:rPr>
          <w:rFonts w:hint="eastAsia" w:eastAsia="仿宋"/>
          <w:sz w:val="30"/>
          <w:highlight w:val="none"/>
          <w:lang w:val="en-US" w:eastAsia="zh-CN"/>
        </w:rPr>
        <w:t>区开展典型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案例</w:t>
      </w:r>
      <w:r>
        <w:rPr>
          <w:rFonts w:hint="eastAsia" w:eastAsia="仿宋"/>
          <w:sz w:val="30"/>
          <w:highlight w:val="none"/>
          <w:lang w:val="en-US" w:eastAsia="zh-CN"/>
        </w:rPr>
        <w:t>宣传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推广，并择优推荐申报国家</w:t>
      </w:r>
      <w:r>
        <w:rPr>
          <w:rFonts w:hint="eastAsia" w:eastAsia="仿宋"/>
          <w:sz w:val="30"/>
          <w:highlight w:val="none"/>
          <w:lang w:val="en-US" w:eastAsia="zh-CN"/>
        </w:rPr>
        <w:t>、部委相关领域典型案例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 xml:space="preserve"> </w:t>
      </w:r>
      <w:r>
        <w:rPr>
          <w:rFonts w:hint="eastAsia" w:eastAsia="仿宋"/>
          <w:sz w:val="30"/>
          <w:highlight w:val="none"/>
          <w:lang w:val="en-US" w:eastAsia="zh-CN"/>
        </w:rPr>
        <w:t>依托国内外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各类</w:t>
      </w:r>
      <w:r>
        <w:rPr>
          <w:rFonts w:hint="eastAsia" w:eastAsia="仿宋"/>
          <w:sz w:val="30"/>
          <w:highlight w:val="none"/>
          <w:lang w:val="en-US" w:eastAsia="zh-CN"/>
        </w:rPr>
        <w:t>专业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论坛、专业展会</w:t>
      </w:r>
      <w:r>
        <w:rPr>
          <w:rFonts w:hint="eastAsia" w:eastAsia="仿宋"/>
          <w:sz w:val="30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平台，</w:t>
      </w:r>
      <w:r>
        <w:rPr>
          <w:rFonts w:hint="eastAsia" w:eastAsia="仿宋"/>
          <w:sz w:val="30"/>
          <w:highlight w:val="none"/>
          <w:lang w:val="en-US" w:eastAsia="zh-CN"/>
        </w:rPr>
        <w:t>持续丰富“两山”转化理论内涵和创新实践，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提升</w:t>
      </w:r>
      <w:r>
        <w:rPr>
          <w:rFonts w:hint="eastAsia" w:eastAsia="仿宋"/>
          <w:sz w:val="30"/>
          <w:highlight w:val="none"/>
          <w:lang w:val="en-US" w:eastAsia="zh-CN"/>
        </w:rPr>
        <w:t>锡林郭勒盟“两山”转化实践区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知名度和影响力。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eastAsia" w:eastAsia="仿宋"/>
          <w:sz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利用各类媒体平台宣传</w:t>
      </w:r>
      <w:r>
        <w:rPr>
          <w:rFonts w:hint="eastAsia" w:eastAsia="仿宋"/>
          <w:sz w:val="30"/>
          <w:highlight w:val="none"/>
          <w:lang w:val="en-US" w:eastAsia="zh-CN"/>
        </w:rPr>
        <w:t>锡林郭勒盟“两山”转化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建设成效和典型经验，营造全社会关心、支持、参与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两山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实践的良好氛围。</w:t>
      </w:r>
    </w:p>
    <w:p>
      <w:pPr>
        <w:pStyle w:val="2"/>
        <w:numPr>
          <w:ilvl w:val="0"/>
          <w:numId w:val="1"/>
        </w:numPr>
        <w:bidi w:val="0"/>
        <w:ind w:firstLine="0"/>
        <w:rPr>
          <w:rFonts w:hint="default" w:ascii="Times New Roman" w:hAnsi="Times New Roman"/>
          <w:highlight w:val="none"/>
          <w:lang w:val="en-US" w:eastAsia="zh-CN"/>
        </w:rPr>
      </w:pPr>
      <w:r>
        <w:rPr>
          <w:rFonts w:hint="default" w:ascii="Times New Roman" w:hAnsi="Times New Roman"/>
          <w:highlight w:val="none"/>
          <w:lang w:val="en-US" w:eastAsia="zh-CN"/>
        </w:rPr>
        <w:t xml:space="preserve"> 附</w:t>
      </w:r>
      <w:r>
        <w:rPr>
          <w:rFonts w:hint="eastAsia" w:ascii="Times New Roman" w:hAnsi="Times New Roman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/>
          <w:highlight w:val="none"/>
          <w:lang w:val="en-US" w:eastAsia="zh-CN"/>
        </w:rPr>
        <w:t>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firstLine="600" w:firstLineChars="200"/>
        <w:textAlignment w:val="auto"/>
        <w:rPr>
          <w:rFonts w:hint="default" w:ascii="Times New Roman" w:hAnsi="Times New Roman" w:eastAsia="仿宋"/>
          <w:sz w:val="30"/>
          <w:highlight w:val="none"/>
          <w:lang w:val="en-US" w:eastAsia="zh-CN"/>
        </w:rPr>
      </w:pP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 xml:space="preserve"> 本规程自发布之日起</w:t>
      </w:r>
      <w:r>
        <w:rPr>
          <w:rFonts w:hint="eastAsia" w:eastAsia="仿宋"/>
          <w:sz w:val="30"/>
          <w:highlight w:val="none"/>
          <w:lang w:val="en-US" w:eastAsia="zh-CN"/>
        </w:rPr>
        <w:t>试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行</w:t>
      </w:r>
      <w:r>
        <w:rPr>
          <w:rFonts w:hint="eastAsia" w:ascii="Times New Roman" w:hAnsi="Times New Roman" w:eastAsia="仿宋"/>
          <w:sz w:val="3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由锡林郭勒盟生态环境保护委员会</w:t>
      </w:r>
      <w:r>
        <w:rPr>
          <w:rFonts w:hint="eastAsia" w:eastAsia="仿宋"/>
          <w:sz w:val="30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仿宋"/>
          <w:sz w:val="30"/>
          <w:highlight w:val="none"/>
          <w:lang w:val="en-US" w:eastAsia="zh-CN"/>
        </w:rPr>
        <w:t>负责解释。</w:t>
      </w:r>
    </w:p>
    <w:p>
      <w:pPr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68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2B589"/>
    <w:multiLevelType w:val="singleLevel"/>
    <w:tmpl w:val="D902B589"/>
    <w:lvl w:ilvl="0" w:tentative="0">
      <w:start w:val="1"/>
      <w:numFmt w:val="chineseCounting"/>
      <w:suff w:val="space"/>
      <w:lvlText w:val="第%1章"/>
      <w:lvlJc w:val="left"/>
      <w:pPr>
        <w:tabs>
          <w:tab w:val="left" w:pos="0"/>
        </w:tabs>
      </w:pPr>
      <w:rPr>
        <w:rFonts w:hint="eastAsia"/>
        <w:sz w:val="32"/>
        <w:szCs w:val="32"/>
      </w:rPr>
    </w:lvl>
  </w:abstractNum>
  <w:abstractNum w:abstractNumId="1">
    <w:nsid w:val="265F2C78"/>
    <w:multiLevelType w:val="singleLevel"/>
    <w:tmpl w:val="265F2C78"/>
    <w:lvl w:ilvl="0" w:tentative="0">
      <w:start w:val="1"/>
      <w:numFmt w:val="chineseCounting"/>
      <w:suff w:val="space"/>
      <w:lvlText w:val="第%1条"/>
      <w:lvlJc w:val="left"/>
      <w:pPr>
        <w:tabs>
          <w:tab w:val="left" w:pos="0"/>
        </w:tabs>
        <w:ind w:firstLine="40"/>
      </w:pPr>
      <w:rPr>
        <w:rFonts w:hint="eastAsia" w:ascii="黑体" w:hAnsi="黑体" w:eastAsia="黑体" w:cs="黑体"/>
        <w:b w:val="0"/>
        <w:bCs/>
        <w:sz w:val="28"/>
        <w:szCs w:val="28"/>
        <w:highligh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D4B98"/>
    <w:rsid w:val="00D816E8"/>
    <w:rsid w:val="013230A6"/>
    <w:rsid w:val="026F3FD7"/>
    <w:rsid w:val="044071A9"/>
    <w:rsid w:val="0482288A"/>
    <w:rsid w:val="050F035E"/>
    <w:rsid w:val="05C518FE"/>
    <w:rsid w:val="05EC4C3F"/>
    <w:rsid w:val="07061550"/>
    <w:rsid w:val="0808754A"/>
    <w:rsid w:val="082425D6"/>
    <w:rsid w:val="085D1644"/>
    <w:rsid w:val="0B2C56BA"/>
    <w:rsid w:val="0C686809"/>
    <w:rsid w:val="0CD345CA"/>
    <w:rsid w:val="0E202539"/>
    <w:rsid w:val="0F362BEE"/>
    <w:rsid w:val="100E6BF6"/>
    <w:rsid w:val="10463305"/>
    <w:rsid w:val="10572E1C"/>
    <w:rsid w:val="10ED3781"/>
    <w:rsid w:val="11651569"/>
    <w:rsid w:val="12A52565"/>
    <w:rsid w:val="12D544CC"/>
    <w:rsid w:val="12ED1816"/>
    <w:rsid w:val="13BA52F8"/>
    <w:rsid w:val="14700951"/>
    <w:rsid w:val="149C71A7"/>
    <w:rsid w:val="14F72E20"/>
    <w:rsid w:val="14FC547D"/>
    <w:rsid w:val="16691A12"/>
    <w:rsid w:val="17836BED"/>
    <w:rsid w:val="17F07CCA"/>
    <w:rsid w:val="189E1D70"/>
    <w:rsid w:val="18F338FE"/>
    <w:rsid w:val="1ACC4407"/>
    <w:rsid w:val="1B2A18D8"/>
    <w:rsid w:val="1C1E42A6"/>
    <w:rsid w:val="1E937715"/>
    <w:rsid w:val="1F221DD0"/>
    <w:rsid w:val="1F274302"/>
    <w:rsid w:val="20801F1B"/>
    <w:rsid w:val="20E403A1"/>
    <w:rsid w:val="20F01EBF"/>
    <w:rsid w:val="2132711A"/>
    <w:rsid w:val="21EB7868"/>
    <w:rsid w:val="24D10F97"/>
    <w:rsid w:val="25A20B86"/>
    <w:rsid w:val="26A36964"/>
    <w:rsid w:val="279053DB"/>
    <w:rsid w:val="291D254A"/>
    <w:rsid w:val="2AC11AAE"/>
    <w:rsid w:val="2BD82C0B"/>
    <w:rsid w:val="2C095E1E"/>
    <w:rsid w:val="2C7E2617"/>
    <w:rsid w:val="2C8B2374"/>
    <w:rsid w:val="2DAA4A7C"/>
    <w:rsid w:val="2DAE2C09"/>
    <w:rsid w:val="2DF67CC1"/>
    <w:rsid w:val="2DF72D2C"/>
    <w:rsid w:val="2F45680A"/>
    <w:rsid w:val="31543DD9"/>
    <w:rsid w:val="315E0057"/>
    <w:rsid w:val="33704071"/>
    <w:rsid w:val="346D4178"/>
    <w:rsid w:val="34790D04"/>
    <w:rsid w:val="34D261C1"/>
    <w:rsid w:val="35505F08"/>
    <w:rsid w:val="35E6686D"/>
    <w:rsid w:val="35EE5BC8"/>
    <w:rsid w:val="36BD312A"/>
    <w:rsid w:val="36F56D67"/>
    <w:rsid w:val="36FE6A3E"/>
    <w:rsid w:val="391905F1"/>
    <w:rsid w:val="39B12CEE"/>
    <w:rsid w:val="39E60AB2"/>
    <w:rsid w:val="39F71049"/>
    <w:rsid w:val="3A35598B"/>
    <w:rsid w:val="3DD1395F"/>
    <w:rsid w:val="3EAD4B98"/>
    <w:rsid w:val="410957A5"/>
    <w:rsid w:val="42F03F90"/>
    <w:rsid w:val="433E55F2"/>
    <w:rsid w:val="438F3163"/>
    <w:rsid w:val="4440117D"/>
    <w:rsid w:val="457B43A2"/>
    <w:rsid w:val="47130472"/>
    <w:rsid w:val="47961EA1"/>
    <w:rsid w:val="4A4F6337"/>
    <w:rsid w:val="4BB52B12"/>
    <w:rsid w:val="4CEA1CF0"/>
    <w:rsid w:val="4DC42464"/>
    <w:rsid w:val="4DCF0C0E"/>
    <w:rsid w:val="4DE4589D"/>
    <w:rsid w:val="508302EE"/>
    <w:rsid w:val="509176A9"/>
    <w:rsid w:val="51723572"/>
    <w:rsid w:val="5187285A"/>
    <w:rsid w:val="51984A67"/>
    <w:rsid w:val="522602C5"/>
    <w:rsid w:val="52851C11"/>
    <w:rsid w:val="53511A5E"/>
    <w:rsid w:val="545D78A2"/>
    <w:rsid w:val="547831F2"/>
    <w:rsid w:val="55C35A1F"/>
    <w:rsid w:val="55C45F9D"/>
    <w:rsid w:val="55F0088B"/>
    <w:rsid w:val="56535401"/>
    <w:rsid w:val="56FE711B"/>
    <w:rsid w:val="57876693"/>
    <w:rsid w:val="578F4217"/>
    <w:rsid w:val="57CC4F2E"/>
    <w:rsid w:val="58C81B03"/>
    <w:rsid w:val="599A5678"/>
    <w:rsid w:val="59A24281"/>
    <w:rsid w:val="5A02402A"/>
    <w:rsid w:val="5AAB1367"/>
    <w:rsid w:val="5B1C0FD6"/>
    <w:rsid w:val="5BDD2050"/>
    <w:rsid w:val="5C49708A"/>
    <w:rsid w:val="5CF55E74"/>
    <w:rsid w:val="5D3277E9"/>
    <w:rsid w:val="5D900A3C"/>
    <w:rsid w:val="5FD50C35"/>
    <w:rsid w:val="60243CAF"/>
    <w:rsid w:val="60CF5688"/>
    <w:rsid w:val="61005BA5"/>
    <w:rsid w:val="61930DA7"/>
    <w:rsid w:val="61C5137D"/>
    <w:rsid w:val="61F77588"/>
    <w:rsid w:val="63B514A9"/>
    <w:rsid w:val="640C2CA6"/>
    <w:rsid w:val="640D6BEF"/>
    <w:rsid w:val="66E77BCB"/>
    <w:rsid w:val="68D7390C"/>
    <w:rsid w:val="68DC1E0F"/>
    <w:rsid w:val="69E02EA4"/>
    <w:rsid w:val="6A1379AE"/>
    <w:rsid w:val="6AA81420"/>
    <w:rsid w:val="6AAE27AE"/>
    <w:rsid w:val="6B326A79"/>
    <w:rsid w:val="6B3E6875"/>
    <w:rsid w:val="6B560E7C"/>
    <w:rsid w:val="6B8579B3"/>
    <w:rsid w:val="6C4B6506"/>
    <w:rsid w:val="6D2F5E28"/>
    <w:rsid w:val="6F9202BC"/>
    <w:rsid w:val="6FEA072C"/>
    <w:rsid w:val="728269FA"/>
    <w:rsid w:val="72AB41A3"/>
    <w:rsid w:val="72C72545"/>
    <w:rsid w:val="74DD43BC"/>
    <w:rsid w:val="75AE49DB"/>
    <w:rsid w:val="789456D9"/>
    <w:rsid w:val="7A9D4D04"/>
    <w:rsid w:val="7AD1A87F"/>
    <w:rsid w:val="7C443122"/>
    <w:rsid w:val="7E1D6A8A"/>
    <w:rsid w:val="7E9C1C30"/>
    <w:rsid w:val="7EF42A2E"/>
    <w:rsid w:val="7F030EC3"/>
    <w:rsid w:val="7F037115"/>
    <w:rsid w:val="7FEA5BDF"/>
    <w:rsid w:val="F0FF7145"/>
    <w:rsid w:val="FEB9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autoSpaceDE/>
      <w:autoSpaceDN/>
      <w:adjustRightInd w:val="0"/>
      <w:snapToGrid w:val="0"/>
      <w:spacing w:before="150" w:beforeLines="150" w:after="100" w:afterLines="100"/>
      <w:ind w:firstLine="0" w:firstLineChars="0"/>
      <w:jc w:val="center"/>
      <w:outlineLvl w:val="0"/>
    </w:pPr>
    <w:rPr>
      <w:rFonts w:ascii="Times New Roman" w:hAnsi="Times New Roman" w:eastAsia="黑体"/>
      <w:sz w:val="32"/>
    </w:rPr>
  </w:style>
  <w:style w:type="paragraph" w:styleId="3">
    <w:name w:val="heading 2"/>
    <w:basedOn w:val="1"/>
    <w:next w:val="1"/>
    <w:link w:val="16"/>
    <w:unhideWhenUsed/>
    <w:qFormat/>
    <w:uiPriority w:val="0"/>
    <w:pPr>
      <w:jc w:val="left"/>
      <w:outlineLvl w:val="1"/>
    </w:pPr>
    <w:rPr>
      <w:rFonts w:ascii="Times New Roman" w:hAnsi="Times New Roman" w:eastAsia="宋体"/>
      <w:b/>
      <w:sz w:val="2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50" w:beforeLines="50" w:after="50" w:afterLines="50" w:line="440" w:lineRule="exact"/>
      <w:outlineLvl w:val="2"/>
    </w:pPr>
    <w:rPr>
      <w:rFonts w:ascii="Times New Roman" w:hAnsi="Times New Roman" w:eastAsia="仿宋" w:cs="Times New Roman"/>
      <w:b/>
      <w:bCs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4"/>
    </w:pPr>
    <w:rPr>
      <w:rFonts w:ascii="Times New Roman" w:hAnsi="Times New Roman" w:eastAsia="黑体" w:cs="宋体"/>
      <w:sz w:val="24"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5"/>
    </w:pPr>
    <w:rPr>
      <w:rFonts w:ascii="Times New Roman" w:hAnsi="Times New Roman" w:eastAsia="黑体" w:cs="宋体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1 字符1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2"/>
    </w:rPr>
  </w:style>
  <w:style w:type="character" w:customStyle="1" w:styleId="16">
    <w:name w:val="标题 2 字符2"/>
    <w:link w:val="3"/>
    <w:qFormat/>
    <w:uiPriority w:val="9"/>
    <w:rPr>
      <w:rFonts w:ascii="Times New Roman" w:hAnsi="Times New Roman" w:eastAsia="宋体" w:cs="Times New Roman"/>
      <w:b/>
      <w:bCs/>
      <w:kern w:val="2"/>
      <w:sz w:val="28"/>
      <w:szCs w:val="22"/>
    </w:rPr>
  </w:style>
  <w:style w:type="character" w:customStyle="1" w:styleId="17">
    <w:name w:val="标题 3 字符2"/>
    <w:link w:val="4"/>
    <w:qFormat/>
    <w:uiPriority w:val="9"/>
    <w:rPr>
      <w:rFonts w:ascii="Times New Roman" w:hAnsi="Times New Roman" w:eastAsia="仿宋" w:cs="Times New Roman"/>
      <w:b/>
      <w:bCs/>
      <w:kern w:val="2"/>
      <w:sz w:val="28"/>
      <w:szCs w:val="28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1704</Words>
  <Characters>1704</Characters>
  <Lines>0</Lines>
  <Paragraphs>0</Paragraphs>
  <TotalTime>3</TotalTime>
  <ScaleCrop>false</ScaleCrop>
  <LinksUpToDate>false</LinksUpToDate>
  <CharactersWithSpaces>1730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2025-06-25T09:38:00Z</dcterms:created>
  <dc:creator>肘子</dc:creator>
  <cp:lastModifiedBy>inspur</cp:lastModifiedBy>
  <dcterms:modified xsi:type="dcterms:W3CDTF">2026-01-28T10:21:03Z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B1844B3D9EF441F89C44FD00C93F06C9_13</vt:lpwstr>
  </property>
  <property fmtid="{D5CDD505-2E9C-101B-9397-08002B2CF9AE}" pid="4" name="KSOTemplateDocerSaveRecord">
    <vt:lpwstr>eyJoZGlkIjoiMzEwNTM5NzYwMDRjMzkwZTVkZjY2ODkwMGIxNGU0OTUiLCJ1c2VySWQiOiIyMzcwMDQ5MDcifQ==</vt:lpwstr>
  </property>
</Properties>
</file>