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14AA" w:rsidRDefault="002C14AA" w:rsidP="009F4D0B">
      <w:pPr>
        <w:spacing w:line="460" w:lineRule="exact"/>
      </w:pPr>
    </w:p>
    <w:p w:rsidR="002C14AA" w:rsidRDefault="002C14AA" w:rsidP="009F4D0B">
      <w:pPr>
        <w:spacing w:line="460" w:lineRule="exact"/>
        <w:rPr>
          <w:color w:val="0070C0"/>
        </w:rPr>
      </w:pPr>
    </w:p>
    <w:p w:rsidR="002C14AA" w:rsidRDefault="002C14AA" w:rsidP="009F4D0B">
      <w:pPr>
        <w:spacing w:line="460" w:lineRule="exact"/>
        <w:rPr>
          <w:color w:val="0070C0"/>
        </w:rPr>
      </w:pPr>
    </w:p>
    <w:p w:rsidR="002C14AA" w:rsidRDefault="002C14AA" w:rsidP="009F4D0B">
      <w:pPr>
        <w:spacing w:line="460" w:lineRule="exact"/>
        <w:rPr>
          <w:color w:val="0070C0"/>
        </w:rPr>
      </w:pPr>
    </w:p>
    <w:p w:rsidR="002C14AA" w:rsidRDefault="002C14AA" w:rsidP="009F4D0B">
      <w:pPr>
        <w:spacing w:line="460" w:lineRule="exact"/>
        <w:rPr>
          <w:color w:val="0070C0"/>
        </w:rPr>
      </w:pPr>
    </w:p>
    <w:p w:rsidR="002C14AA" w:rsidRDefault="002C14AA" w:rsidP="009F4D0B">
      <w:pPr>
        <w:spacing w:line="460" w:lineRule="exact"/>
        <w:ind w:firstLineChars="0" w:firstLine="0"/>
        <w:rPr>
          <w:color w:val="0070C0"/>
        </w:rPr>
      </w:pPr>
    </w:p>
    <w:p w:rsidR="002C14AA" w:rsidRDefault="002C14AA" w:rsidP="009F4D0B">
      <w:pPr>
        <w:spacing w:line="460" w:lineRule="exact"/>
        <w:rPr>
          <w:color w:val="0070C0"/>
        </w:rPr>
      </w:pPr>
    </w:p>
    <w:p w:rsidR="002C14AA" w:rsidRDefault="002C14AA" w:rsidP="009F4D0B">
      <w:pPr>
        <w:spacing w:line="460" w:lineRule="exact"/>
        <w:rPr>
          <w:color w:val="0070C0"/>
        </w:rPr>
      </w:pPr>
    </w:p>
    <w:p w:rsidR="002C14AA" w:rsidRDefault="002C14AA" w:rsidP="009F4D0B">
      <w:pPr>
        <w:spacing w:line="460" w:lineRule="exact"/>
        <w:rPr>
          <w:color w:val="0070C0"/>
        </w:rPr>
      </w:pPr>
    </w:p>
    <w:p w:rsidR="002C14AA" w:rsidRDefault="002C14AA" w:rsidP="009F4D0B">
      <w:pPr>
        <w:spacing w:line="460" w:lineRule="exact"/>
        <w:rPr>
          <w:color w:val="0070C0"/>
        </w:rPr>
      </w:pPr>
    </w:p>
    <w:p w:rsidR="002C14AA" w:rsidRDefault="002C14AA" w:rsidP="009F4D0B">
      <w:pPr>
        <w:spacing w:line="460" w:lineRule="exact"/>
        <w:rPr>
          <w:color w:val="0070C0"/>
        </w:rPr>
      </w:pPr>
    </w:p>
    <w:p w:rsidR="009F4D0B" w:rsidRDefault="009F4D0B" w:rsidP="009F4D0B">
      <w:pPr>
        <w:spacing w:line="460" w:lineRule="exact"/>
        <w:rPr>
          <w:color w:val="0070C0"/>
        </w:rPr>
      </w:pPr>
    </w:p>
    <w:p w:rsidR="002C14AA" w:rsidRDefault="002C14AA" w:rsidP="009F4D0B">
      <w:pPr>
        <w:spacing w:line="460" w:lineRule="exact"/>
        <w:ind w:firstLineChars="0" w:firstLine="0"/>
        <w:rPr>
          <w:color w:val="0070C0"/>
        </w:rPr>
      </w:pPr>
    </w:p>
    <w:p w:rsidR="002C14AA" w:rsidRDefault="002C14AA" w:rsidP="009F4D0B">
      <w:pPr>
        <w:spacing w:line="460" w:lineRule="exact"/>
        <w:ind w:firstLineChars="0" w:firstLine="0"/>
        <w:jc w:val="center"/>
        <w:rPr>
          <w:color w:val="000000"/>
        </w:rPr>
      </w:pPr>
      <w:r w:rsidRPr="00F048A2">
        <w:rPr>
          <w:rFonts w:hint="eastAsia"/>
          <w:color w:val="000000"/>
        </w:rPr>
        <w:t>锡署环审书﹝2018﹞2</w:t>
      </w:r>
      <w:r w:rsidR="00F33216">
        <w:rPr>
          <w:rFonts w:hint="eastAsia"/>
          <w:color w:val="000000"/>
        </w:rPr>
        <w:t>1</w:t>
      </w:r>
      <w:r w:rsidRPr="00F048A2">
        <w:rPr>
          <w:rFonts w:hint="eastAsia"/>
          <w:color w:val="000000"/>
        </w:rPr>
        <w:t>号</w:t>
      </w:r>
    </w:p>
    <w:p w:rsidR="002C14AA" w:rsidRPr="00F048A2" w:rsidRDefault="002C14AA" w:rsidP="009F4D0B">
      <w:pPr>
        <w:spacing w:line="460" w:lineRule="exact"/>
        <w:ind w:firstLineChars="0" w:firstLine="0"/>
        <w:jc w:val="center"/>
        <w:rPr>
          <w:color w:val="000000"/>
        </w:rPr>
      </w:pPr>
    </w:p>
    <w:p w:rsidR="00F33216" w:rsidRPr="00F33216" w:rsidRDefault="00F33216" w:rsidP="009F4D0B">
      <w:pPr>
        <w:spacing w:line="460" w:lineRule="exact"/>
        <w:ind w:firstLineChars="0" w:firstLine="0"/>
        <w:jc w:val="center"/>
        <w:rPr>
          <w:rFonts w:ascii="黑体" w:eastAsia="黑体" w:hAnsi="黑体"/>
          <w:color w:val="000000"/>
        </w:rPr>
      </w:pPr>
      <w:r w:rsidRPr="00F33216">
        <w:rPr>
          <w:rFonts w:ascii="黑体" w:eastAsia="黑体" w:hAnsi="黑体" w:hint="eastAsia"/>
          <w:color w:val="000000"/>
        </w:rPr>
        <w:t>锡林郭勒盟环境保护局</w:t>
      </w:r>
    </w:p>
    <w:p w:rsidR="00F33216" w:rsidRDefault="00F33216" w:rsidP="009F4D0B">
      <w:pPr>
        <w:spacing w:line="460" w:lineRule="exact"/>
        <w:ind w:firstLineChars="0" w:firstLine="0"/>
        <w:jc w:val="center"/>
        <w:rPr>
          <w:rFonts w:ascii="黑体" w:eastAsia="黑体" w:hAnsi="黑体"/>
          <w:color w:val="000000"/>
        </w:rPr>
      </w:pPr>
      <w:r w:rsidRPr="00F33216">
        <w:rPr>
          <w:rFonts w:ascii="黑体" w:eastAsia="黑体" w:hAnsi="黑体" w:hint="eastAsia"/>
          <w:color w:val="000000"/>
        </w:rPr>
        <w:t>关于蒙能东苏旗巴彦杭盖300MW风电项目</w:t>
      </w:r>
    </w:p>
    <w:p w:rsidR="00F33216" w:rsidRDefault="00F33216" w:rsidP="009F4D0B">
      <w:pPr>
        <w:spacing w:line="460" w:lineRule="exact"/>
        <w:ind w:firstLineChars="0" w:firstLine="0"/>
        <w:jc w:val="center"/>
        <w:rPr>
          <w:rFonts w:ascii="黑体" w:eastAsia="黑体" w:hAnsi="黑体"/>
          <w:color w:val="000000"/>
        </w:rPr>
      </w:pPr>
      <w:r w:rsidRPr="00F33216">
        <w:rPr>
          <w:rFonts w:ascii="黑体" w:eastAsia="黑体" w:hAnsi="黑体" w:hint="eastAsia"/>
          <w:color w:val="000000"/>
        </w:rPr>
        <w:t>环境影响报告书的批复</w:t>
      </w:r>
    </w:p>
    <w:p w:rsidR="00F33216" w:rsidRPr="00F33216" w:rsidRDefault="00F33216" w:rsidP="009F4D0B">
      <w:pPr>
        <w:spacing w:line="460" w:lineRule="exact"/>
        <w:ind w:firstLineChars="0" w:firstLine="0"/>
        <w:jc w:val="center"/>
        <w:rPr>
          <w:rFonts w:ascii="黑体" w:eastAsia="黑体" w:hAnsi="黑体"/>
          <w:color w:val="000000"/>
        </w:rPr>
      </w:pPr>
    </w:p>
    <w:p w:rsidR="00F33216" w:rsidRDefault="00F33216" w:rsidP="009F4D0B">
      <w:pPr>
        <w:spacing w:line="460" w:lineRule="exact"/>
        <w:ind w:firstLineChars="0" w:firstLine="0"/>
        <w:rPr>
          <w:color w:val="000000"/>
        </w:rPr>
      </w:pPr>
      <w:r>
        <w:rPr>
          <w:rFonts w:hint="eastAsia"/>
          <w:color w:val="000000"/>
        </w:rPr>
        <w:t>内蒙古能源发电苏尼特左旗风力发电有限公司：</w:t>
      </w:r>
    </w:p>
    <w:p w:rsidR="00F33216" w:rsidRDefault="00F33216" w:rsidP="009F4D0B">
      <w:pPr>
        <w:spacing w:line="460" w:lineRule="exact"/>
        <w:rPr>
          <w:color w:val="000000"/>
        </w:rPr>
      </w:pPr>
      <w:r>
        <w:rPr>
          <w:rFonts w:hint="eastAsia"/>
          <w:color w:val="000000"/>
        </w:rPr>
        <w:t>你公司报送的由北京尚世环境科技有限公司编制的《蒙能东苏旗巴彦杭盖300MW</w:t>
      </w:r>
      <w:r w:rsidR="005B6D48">
        <w:rPr>
          <w:rFonts w:hint="eastAsia"/>
          <w:color w:val="000000"/>
        </w:rPr>
        <w:t>风电项目环境影响报告书》收悉。经研究，</w:t>
      </w:r>
      <w:r>
        <w:rPr>
          <w:rFonts w:hint="eastAsia"/>
          <w:color w:val="000000"/>
        </w:rPr>
        <w:t>批复如下。</w:t>
      </w:r>
    </w:p>
    <w:p w:rsidR="0021279C" w:rsidRPr="00B01C90" w:rsidRDefault="005844DC" w:rsidP="009F4D0B">
      <w:pPr>
        <w:tabs>
          <w:tab w:val="left" w:pos="3627"/>
        </w:tabs>
        <w:spacing w:line="460" w:lineRule="exact"/>
        <w:rPr>
          <w:color w:val="000000"/>
        </w:rPr>
      </w:pPr>
      <w:r w:rsidRPr="005844DC">
        <w:rPr>
          <w:rFonts w:hint="eastAsia"/>
          <w:color w:val="000000"/>
        </w:rPr>
        <w:t>一、</w:t>
      </w:r>
      <w:r w:rsidR="00F33216">
        <w:rPr>
          <w:rFonts w:hint="eastAsia"/>
          <w:color w:val="000000"/>
        </w:rPr>
        <w:t>项目场址位于内蒙古锡林郭勒盟苏尼特左旗满都拉图镇东北约30km处，风电场中心坐标为北纬43°59'0.91"，东经114°7'21.36"。规划总容量300MW，安装3.0MW的风电机组100台，每台机组配一台箱式变压器。项目新建一座220kV升压站。项目规划圈定面积约108km</w:t>
      </w:r>
      <w:r w:rsidR="00F33216">
        <w:rPr>
          <w:rFonts w:hint="eastAsia"/>
          <w:color w:val="000000"/>
          <w:vertAlign w:val="superscript"/>
        </w:rPr>
        <w:t>2</w:t>
      </w:r>
      <w:r w:rsidR="00F33216">
        <w:rPr>
          <w:rFonts w:hint="eastAsia"/>
          <w:color w:val="000000"/>
        </w:rPr>
        <w:t>，总占地面积94.89hm</w:t>
      </w:r>
      <w:r w:rsidR="00F33216">
        <w:rPr>
          <w:rFonts w:hint="eastAsia"/>
          <w:color w:val="000000"/>
          <w:vertAlign w:val="superscript"/>
        </w:rPr>
        <w:t>2</w:t>
      </w:r>
      <w:r w:rsidR="00F33216">
        <w:rPr>
          <w:rFonts w:hint="eastAsia"/>
          <w:color w:val="000000"/>
        </w:rPr>
        <w:t>（永久占地面积为5.42hm</w:t>
      </w:r>
      <w:r w:rsidR="00F33216">
        <w:rPr>
          <w:rFonts w:hint="eastAsia"/>
          <w:color w:val="000000"/>
          <w:vertAlign w:val="superscript"/>
        </w:rPr>
        <w:t>2</w:t>
      </w:r>
      <w:r w:rsidR="00F33216">
        <w:rPr>
          <w:rFonts w:hint="eastAsia"/>
          <w:color w:val="000000"/>
        </w:rPr>
        <w:t>，临时占地面积为89.47hm</w:t>
      </w:r>
      <w:r w:rsidR="00F33216">
        <w:rPr>
          <w:rFonts w:hint="eastAsia"/>
          <w:color w:val="000000"/>
          <w:vertAlign w:val="superscript"/>
        </w:rPr>
        <w:t>2</w:t>
      </w:r>
      <w:r w:rsidR="00F33216">
        <w:rPr>
          <w:rFonts w:hint="eastAsia"/>
          <w:color w:val="000000"/>
        </w:rPr>
        <w:t>）。</w:t>
      </w:r>
      <w:r w:rsidR="005D0F43" w:rsidRPr="005D0F43">
        <w:rPr>
          <w:rFonts w:hint="eastAsia"/>
          <w:color w:val="000000"/>
        </w:rPr>
        <w:t>4回集电线路采用直埋敷设。</w:t>
      </w:r>
      <w:r w:rsidR="00F33216">
        <w:rPr>
          <w:rFonts w:hint="eastAsia"/>
          <w:color w:val="000000"/>
        </w:rPr>
        <w:t>本项目总投资</w:t>
      </w:r>
      <w:r w:rsidR="00F33216">
        <w:rPr>
          <w:rFonts w:hint="eastAsia"/>
          <w:color w:val="000000"/>
        </w:rPr>
        <w:lastRenderedPageBreak/>
        <w:t>207721万元，其中环保投资652.8万元，占总投资的0.314%。</w:t>
      </w:r>
    </w:p>
    <w:p w:rsidR="002C14AA" w:rsidRPr="00A622C0" w:rsidRDefault="0021279C" w:rsidP="009F4D0B">
      <w:pPr>
        <w:spacing w:line="460" w:lineRule="exact"/>
        <w:jc w:val="left"/>
        <w:rPr>
          <w:color w:val="auto"/>
          <w:spacing w:val="8"/>
          <w:szCs w:val="25"/>
        </w:rPr>
      </w:pPr>
      <w:r>
        <w:rPr>
          <w:rFonts w:hint="eastAsia"/>
          <w:color w:val="auto"/>
        </w:rPr>
        <w:t>本</w:t>
      </w:r>
      <w:r w:rsidR="002C14AA">
        <w:rPr>
          <w:rFonts w:hint="eastAsia"/>
          <w:color w:val="auto"/>
        </w:rPr>
        <w:t>项目不属于《产业结构调整指导目录（2013年修正本）》中限制类和淘汰类项目，属于允许类项目。</w:t>
      </w:r>
      <w:r w:rsidR="002C14AA">
        <w:rPr>
          <w:rFonts w:hint="eastAsia"/>
          <w:color w:val="auto"/>
          <w:spacing w:val="8"/>
          <w:szCs w:val="25"/>
        </w:rPr>
        <w:t>项目所在地苏尼特左旗满都拉图镇，属于国家重点生态功能区点状开发的城镇</w:t>
      </w:r>
      <w:r w:rsidR="00B01C90">
        <w:rPr>
          <w:rFonts w:hint="eastAsia"/>
          <w:color w:val="auto"/>
          <w:spacing w:val="8"/>
          <w:szCs w:val="25"/>
        </w:rPr>
        <w:t>。</w:t>
      </w:r>
      <w:r w:rsidR="002C14AA">
        <w:rPr>
          <w:rFonts w:hint="eastAsia"/>
          <w:color w:val="auto"/>
        </w:rPr>
        <w:t>根据</w:t>
      </w:r>
      <w:r w:rsidR="002C14AA">
        <w:rPr>
          <w:rFonts w:hint="eastAsia"/>
          <w:color w:val="auto"/>
          <w:spacing w:val="8"/>
          <w:szCs w:val="25"/>
        </w:rPr>
        <w:t>《内蒙古自治区人民政府关于印发自治区国家重点生态功能区产业准入负面清单（试行）的通知》（内政发</w:t>
      </w:r>
      <w:r w:rsidR="005B6D48" w:rsidRPr="00F048A2">
        <w:rPr>
          <w:rFonts w:hint="eastAsia"/>
          <w:color w:val="000000"/>
        </w:rPr>
        <w:t>﹝</w:t>
      </w:r>
      <w:r w:rsidR="005B6D48">
        <w:rPr>
          <w:rFonts w:hint="eastAsia"/>
          <w:color w:val="000000"/>
        </w:rPr>
        <w:t>2018</w:t>
      </w:r>
      <w:r w:rsidR="005B6D48" w:rsidRPr="00F048A2">
        <w:rPr>
          <w:rFonts w:hint="eastAsia"/>
          <w:color w:val="000000"/>
        </w:rPr>
        <w:t>﹞</w:t>
      </w:r>
      <w:r w:rsidR="002C14AA">
        <w:rPr>
          <w:rFonts w:hint="eastAsia"/>
          <w:color w:val="auto"/>
          <w:spacing w:val="8"/>
          <w:szCs w:val="25"/>
        </w:rPr>
        <w:t>11号），</w:t>
      </w:r>
      <w:r w:rsidR="00B01C90">
        <w:rPr>
          <w:rFonts w:hint="eastAsia"/>
          <w:color w:val="auto"/>
          <w:spacing w:val="8"/>
          <w:szCs w:val="25"/>
        </w:rPr>
        <w:t>项目</w:t>
      </w:r>
      <w:r w:rsidR="002C14AA">
        <w:rPr>
          <w:rFonts w:hint="eastAsia"/>
          <w:color w:val="auto"/>
          <w:spacing w:val="8"/>
          <w:szCs w:val="25"/>
        </w:rPr>
        <w:t>不在负面清单范围。</w:t>
      </w:r>
      <w:r>
        <w:rPr>
          <w:rFonts w:hint="eastAsia"/>
          <w:color w:val="auto"/>
        </w:rPr>
        <w:t>锡</w:t>
      </w:r>
      <w:r w:rsidR="00A622C0">
        <w:rPr>
          <w:rFonts w:hint="eastAsia"/>
          <w:color w:val="auto"/>
        </w:rPr>
        <w:t>林郭勒</w:t>
      </w:r>
      <w:r>
        <w:rPr>
          <w:rFonts w:hint="eastAsia"/>
          <w:color w:val="auto"/>
        </w:rPr>
        <w:t>盟发展和改革委员会对项目进行了核准（锡发改发字</w:t>
      </w:r>
      <w:r w:rsidRPr="00F048A2">
        <w:rPr>
          <w:rFonts w:hint="eastAsia"/>
          <w:color w:val="000000"/>
        </w:rPr>
        <w:t>﹝</w:t>
      </w:r>
      <w:r>
        <w:rPr>
          <w:rFonts w:hint="eastAsia"/>
          <w:color w:val="000000"/>
        </w:rPr>
        <w:t>2017</w:t>
      </w:r>
      <w:r w:rsidRPr="00F048A2">
        <w:rPr>
          <w:rFonts w:hint="eastAsia"/>
          <w:color w:val="000000"/>
        </w:rPr>
        <w:t>﹞</w:t>
      </w:r>
      <w:r>
        <w:rPr>
          <w:rFonts w:hint="eastAsia"/>
          <w:color w:val="000000"/>
        </w:rPr>
        <w:t>129号</w:t>
      </w:r>
      <w:r>
        <w:rPr>
          <w:rFonts w:hint="eastAsia"/>
          <w:color w:val="auto"/>
        </w:rPr>
        <w:t>）。锡盟住房和城乡规划建设局出具规划选址的意见</w:t>
      </w:r>
      <w:r w:rsidR="00A622C0">
        <w:rPr>
          <w:rFonts w:hint="eastAsia"/>
          <w:color w:val="auto"/>
        </w:rPr>
        <w:t>（</w:t>
      </w:r>
      <w:r>
        <w:rPr>
          <w:rFonts w:hint="eastAsia"/>
          <w:color w:val="auto"/>
        </w:rPr>
        <w:t>锡建规</w:t>
      </w:r>
      <w:r w:rsidR="00A622C0" w:rsidRPr="00F048A2">
        <w:rPr>
          <w:rFonts w:hint="eastAsia"/>
          <w:color w:val="000000"/>
        </w:rPr>
        <w:t>﹝</w:t>
      </w:r>
      <w:r w:rsidR="00A622C0">
        <w:rPr>
          <w:rFonts w:hint="eastAsia"/>
          <w:color w:val="000000"/>
        </w:rPr>
        <w:t>2017</w:t>
      </w:r>
      <w:r w:rsidR="00A622C0" w:rsidRPr="00F048A2">
        <w:rPr>
          <w:rFonts w:hint="eastAsia"/>
          <w:color w:val="000000"/>
        </w:rPr>
        <w:t>﹞</w:t>
      </w:r>
      <w:r>
        <w:rPr>
          <w:rFonts w:hint="eastAsia"/>
          <w:color w:val="auto"/>
        </w:rPr>
        <w:t>341号</w:t>
      </w:r>
      <w:r w:rsidR="00A622C0">
        <w:rPr>
          <w:rFonts w:hint="eastAsia"/>
          <w:color w:val="auto"/>
        </w:rPr>
        <w:t>）</w:t>
      </w:r>
      <w:r>
        <w:rPr>
          <w:rFonts w:hint="eastAsia"/>
          <w:color w:val="auto"/>
        </w:rPr>
        <w:t>，项目</w:t>
      </w:r>
      <w:r w:rsidR="005B6D48">
        <w:rPr>
          <w:rFonts w:hint="eastAsia"/>
          <w:color w:val="auto"/>
        </w:rPr>
        <w:t>选址</w:t>
      </w:r>
      <w:r>
        <w:rPr>
          <w:rFonts w:hint="eastAsia"/>
          <w:color w:val="auto"/>
        </w:rPr>
        <w:t>符合锡林郭勒盟城镇体系规划和苏尼特左旗城市总体规划。</w:t>
      </w:r>
      <w:r w:rsidR="002C14AA" w:rsidRPr="005B6D48">
        <w:rPr>
          <w:rFonts w:hint="eastAsia"/>
          <w:color w:val="000000"/>
          <w:spacing w:val="14"/>
          <w:kern w:val="0"/>
          <w:fitText w:val="8000" w:id="1809032448"/>
        </w:rPr>
        <w:t>锡林郭勒盟生态保护委员会</w:t>
      </w:r>
      <w:r w:rsidR="00A622C0" w:rsidRPr="005B6D48">
        <w:rPr>
          <w:rFonts w:hint="eastAsia"/>
          <w:color w:val="000000"/>
          <w:spacing w:val="14"/>
          <w:kern w:val="0"/>
          <w:fitText w:val="8000" w:id="1809032448"/>
        </w:rPr>
        <w:t>出具审查意见</w:t>
      </w:r>
      <w:r w:rsidR="002C14AA" w:rsidRPr="005B6D48">
        <w:rPr>
          <w:rFonts w:hint="eastAsia"/>
          <w:color w:val="000000"/>
          <w:spacing w:val="14"/>
          <w:kern w:val="0"/>
          <w:fitText w:val="8000" w:id="1809032448"/>
        </w:rPr>
        <w:t>（锡生态</w:t>
      </w:r>
      <w:r w:rsidR="002C14AA" w:rsidRPr="005B6D48">
        <w:rPr>
          <w:rFonts w:hint="eastAsia"/>
          <w:color w:val="000000"/>
          <w:spacing w:val="12"/>
          <w:kern w:val="0"/>
          <w:fitText w:val="8000" w:id="1809032448"/>
        </w:rPr>
        <w:t>审</w:t>
      </w:r>
      <w:r w:rsidR="002C14AA" w:rsidRPr="00CD6961">
        <w:rPr>
          <w:rFonts w:hint="eastAsia"/>
          <w:color w:val="000000"/>
        </w:rPr>
        <w:t>﹝2018﹞</w:t>
      </w:r>
      <w:r w:rsidR="00A622C0">
        <w:rPr>
          <w:rFonts w:hint="eastAsia"/>
          <w:color w:val="000000"/>
        </w:rPr>
        <w:t>143</w:t>
      </w:r>
      <w:r w:rsidR="002C14AA" w:rsidRPr="00CD6961">
        <w:rPr>
          <w:rFonts w:hint="eastAsia"/>
          <w:color w:val="000000"/>
        </w:rPr>
        <w:t>号）</w:t>
      </w:r>
      <w:r w:rsidR="002C14AA">
        <w:rPr>
          <w:rFonts w:hint="eastAsia"/>
          <w:color w:val="000000"/>
        </w:rPr>
        <w:t>，同意开展前期工作</w:t>
      </w:r>
      <w:r w:rsidR="00B01C90">
        <w:rPr>
          <w:rFonts w:hint="eastAsia"/>
          <w:color w:val="000000"/>
        </w:rPr>
        <w:t>。</w:t>
      </w:r>
      <w:r w:rsidR="002C14AA">
        <w:rPr>
          <w:rFonts w:hint="eastAsia"/>
          <w:color w:val="auto"/>
        </w:rPr>
        <w:t>建设单位</w:t>
      </w:r>
      <w:r w:rsidR="002C14AA">
        <w:rPr>
          <w:rFonts w:ascii="仿宋" w:eastAsia="仿宋" w:hAnsi="仿宋" w:hint="eastAsia"/>
          <w:color w:val="000000"/>
        </w:rPr>
        <w:t>在全面落实环境影响报告书提出的各项生态保护和污染防治措施后，项目所产生的不利环境影响可以得到有效缓解和控制。我局原则同意环境影响报告书的环境影响评价总体结论和拟采取的环境保护措施。</w:t>
      </w:r>
    </w:p>
    <w:p w:rsidR="002C14AA" w:rsidRDefault="002C14AA" w:rsidP="009F4D0B">
      <w:pPr>
        <w:pStyle w:val="2"/>
        <w:snapToGrid w:val="0"/>
        <w:spacing w:after="0" w:line="460" w:lineRule="exact"/>
        <w:ind w:leftChars="0" w:left="0"/>
        <w:rPr>
          <w:rFonts w:ascii="仿宋" w:eastAsia="仿宋" w:hAnsi="仿宋"/>
          <w:color w:val="000000"/>
          <w:sz w:val="32"/>
          <w:szCs w:val="32"/>
        </w:rPr>
      </w:pPr>
      <w:r>
        <w:rPr>
          <w:rFonts w:ascii="仿宋" w:eastAsia="仿宋" w:hAnsi="仿宋" w:hint="eastAsia"/>
          <w:color w:val="000000"/>
          <w:sz w:val="32"/>
          <w:szCs w:val="32"/>
        </w:rPr>
        <w:t>二、项目主要环境影响</w:t>
      </w:r>
    </w:p>
    <w:p w:rsidR="002C14AA" w:rsidRDefault="002C14AA" w:rsidP="009F4D0B">
      <w:pPr>
        <w:pStyle w:val="2"/>
        <w:snapToGrid w:val="0"/>
        <w:spacing w:after="0" w:line="460" w:lineRule="exact"/>
        <w:ind w:leftChars="0" w:left="0"/>
        <w:rPr>
          <w:rFonts w:ascii="仿宋_GB2312" w:eastAsia="仿宋_GB2312" w:cs="Arial"/>
          <w:color w:val="000000"/>
          <w:sz w:val="32"/>
        </w:rPr>
      </w:pPr>
      <w:r>
        <w:rPr>
          <w:rFonts w:ascii="仿宋_GB2312" w:eastAsia="仿宋_GB2312" w:cs="Arial" w:hint="eastAsia"/>
          <w:color w:val="000000"/>
          <w:sz w:val="32"/>
        </w:rPr>
        <w:t>（一）大气环境影响。施工期运输、作业面开挖产生的扬尘和</w:t>
      </w:r>
      <w:r w:rsidR="00B01C90">
        <w:rPr>
          <w:rFonts w:ascii="仿宋_GB2312" w:eastAsia="仿宋_GB2312" w:cs="Arial" w:hint="eastAsia"/>
          <w:color w:val="000000"/>
          <w:sz w:val="32"/>
        </w:rPr>
        <w:t>搅拌站产生的扬尘及</w:t>
      </w:r>
      <w:r>
        <w:rPr>
          <w:rFonts w:ascii="仿宋_GB2312" w:eastAsia="仿宋_GB2312" w:cs="Arial" w:hint="eastAsia"/>
          <w:color w:val="000000"/>
          <w:sz w:val="32"/>
        </w:rPr>
        <w:t>食堂油烟，会对环境造成影响。</w:t>
      </w:r>
    </w:p>
    <w:p w:rsidR="002C14AA" w:rsidRDefault="002C14AA" w:rsidP="009F4D0B">
      <w:pPr>
        <w:spacing w:line="460" w:lineRule="exact"/>
        <w:jc w:val="left"/>
        <w:rPr>
          <w:color w:val="000000"/>
        </w:rPr>
      </w:pPr>
      <w:r>
        <w:rPr>
          <w:rFonts w:ascii="仿宋" w:eastAsia="仿宋" w:hAnsi="仿宋" w:hint="eastAsia"/>
          <w:color w:val="000000"/>
        </w:rPr>
        <w:t>（二）水环境影响。</w:t>
      </w:r>
      <w:r>
        <w:rPr>
          <w:rFonts w:hint="eastAsia"/>
          <w:color w:val="000000"/>
        </w:rPr>
        <w:t>施工期生活污水和施工废水及厂区内的污水站、排水沟、危废贮存场所等区域，易造成地表和地下表污染。</w:t>
      </w:r>
    </w:p>
    <w:p w:rsidR="002C14AA" w:rsidRDefault="002C14AA" w:rsidP="009F4D0B">
      <w:pPr>
        <w:spacing w:line="460" w:lineRule="exact"/>
        <w:rPr>
          <w:color w:val="000000"/>
        </w:rPr>
      </w:pPr>
      <w:r>
        <w:rPr>
          <w:rFonts w:hint="eastAsia"/>
          <w:color w:val="000000"/>
        </w:rPr>
        <w:t>（三）固体废物影响。</w:t>
      </w:r>
      <w:r>
        <w:rPr>
          <w:color w:val="000000"/>
        </w:rPr>
        <w:t>施工期</w:t>
      </w:r>
      <w:r>
        <w:rPr>
          <w:rFonts w:hint="eastAsia"/>
          <w:color w:val="000000"/>
        </w:rPr>
        <w:t>会产生建筑垃圾、弃土和生活垃圾。运营期生活垃圾和污泥属一般固体废物。维修垃圾、主变事故废油、废蓄电池属于危险废物，处置不当易造成环境污染。</w:t>
      </w:r>
    </w:p>
    <w:p w:rsidR="002C14AA" w:rsidRDefault="008850F8" w:rsidP="009F4D0B">
      <w:pPr>
        <w:snapToGrid w:val="0"/>
        <w:spacing w:line="460" w:lineRule="exact"/>
        <w:rPr>
          <w:rFonts w:ascii="楷体" w:eastAsia="楷体" w:hAnsi="楷体"/>
          <w:color w:val="000000"/>
        </w:rPr>
      </w:pPr>
      <w:r>
        <w:rPr>
          <w:rFonts w:hint="eastAsia"/>
          <w:color w:val="000000"/>
        </w:rPr>
        <w:t>（四）噪声影响。施工</w:t>
      </w:r>
      <w:r w:rsidR="002C14AA">
        <w:rPr>
          <w:rFonts w:hint="eastAsia"/>
          <w:color w:val="000000"/>
        </w:rPr>
        <w:t>场</w:t>
      </w:r>
      <w:r>
        <w:rPr>
          <w:rFonts w:hint="eastAsia"/>
          <w:color w:val="000000"/>
        </w:rPr>
        <w:t>地距离</w:t>
      </w:r>
      <w:r w:rsidR="00F85F10">
        <w:rPr>
          <w:rFonts w:hint="eastAsia"/>
          <w:color w:val="000000"/>
        </w:rPr>
        <w:t>居民住所</w:t>
      </w:r>
      <w:r>
        <w:rPr>
          <w:rFonts w:hint="eastAsia"/>
          <w:color w:val="000000"/>
        </w:rPr>
        <w:t>最近325</w:t>
      </w:r>
      <w:r w:rsidR="002C14AA">
        <w:rPr>
          <w:rFonts w:hint="eastAsia"/>
          <w:color w:val="000000"/>
        </w:rPr>
        <w:t>m，作业时会对其造成影响。施工车辆在其它居民附近行进会</w:t>
      </w:r>
      <w:r w:rsidR="002C14AA">
        <w:rPr>
          <w:rFonts w:hint="eastAsia"/>
          <w:color w:val="000000"/>
        </w:rPr>
        <w:lastRenderedPageBreak/>
        <w:t>造成影响。</w:t>
      </w:r>
      <w:r w:rsidR="002C14AA">
        <w:rPr>
          <w:rFonts w:hint="eastAsia"/>
          <w:color w:val="auto"/>
        </w:rPr>
        <w:t>风力发电机组布置不合理，发生故障，运行不正常都会加大噪声影响。</w:t>
      </w:r>
    </w:p>
    <w:p w:rsidR="002C14AA" w:rsidRDefault="002C14AA" w:rsidP="009F4D0B">
      <w:pPr>
        <w:pStyle w:val="a3"/>
        <w:spacing w:line="460" w:lineRule="exact"/>
        <w:ind w:firstLineChars="0" w:firstLine="0"/>
        <w:rPr>
          <w:rFonts w:ascii="仿宋" w:eastAsia="仿宋" w:hAnsi="仿宋"/>
          <w:color w:val="000000"/>
          <w:sz w:val="32"/>
          <w:lang w:bidi="ar-SA"/>
        </w:rPr>
      </w:pPr>
      <w:r>
        <w:rPr>
          <w:rFonts w:ascii="仿宋" w:eastAsia="仿宋" w:hAnsi="仿宋" w:hint="eastAsia"/>
          <w:color w:val="000000"/>
          <w:sz w:val="32"/>
          <w:lang w:bidi="ar-SA"/>
        </w:rPr>
        <w:t xml:space="preserve">    </w:t>
      </w:r>
      <w:r w:rsidRPr="001F68F6">
        <w:rPr>
          <w:rFonts w:ascii="仿宋" w:eastAsia="仿宋" w:hAnsi="仿宋" w:hint="eastAsia"/>
          <w:color w:val="000000"/>
          <w:sz w:val="32"/>
          <w:lang w:bidi="ar-SA"/>
        </w:rPr>
        <w:t>三、减缓环境影响的主要措施</w:t>
      </w:r>
    </w:p>
    <w:p w:rsidR="002C14AA" w:rsidRPr="009A05B2" w:rsidRDefault="002C14AA" w:rsidP="009F4D0B">
      <w:pPr>
        <w:spacing w:line="460" w:lineRule="exact"/>
        <w:ind w:firstLineChars="0" w:firstLine="0"/>
        <w:rPr>
          <w:color w:val="000000"/>
        </w:rPr>
      </w:pPr>
      <w:r>
        <w:rPr>
          <w:rFonts w:ascii="仿宋" w:eastAsia="仿宋" w:hAnsi="仿宋" w:hint="eastAsia"/>
          <w:color w:val="000000"/>
          <w:lang w:bidi="ar-SA"/>
        </w:rPr>
        <w:t xml:space="preserve">    </w:t>
      </w:r>
      <w:r w:rsidRPr="00802A4D">
        <w:rPr>
          <w:rFonts w:hint="eastAsia"/>
          <w:color w:val="000000"/>
        </w:rPr>
        <w:t>（一）强化大气污染防治。</w:t>
      </w:r>
      <w:r w:rsidR="00F85F10">
        <w:rPr>
          <w:rFonts w:hint="eastAsia"/>
          <w:color w:val="000000"/>
        </w:rPr>
        <w:t>开挖作业面和土堆喷水，保持一定的湿度减少扬尘量。</w:t>
      </w:r>
      <w:r>
        <w:rPr>
          <w:rFonts w:hint="eastAsia"/>
          <w:color w:val="000000"/>
        </w:rPr>
        <w:t>开挖出土石方及时回填或运</w:t>
      </w:r>
    </w:p>
    <w:p w:rsidR="002C14AA" w:rsidRPr="00506FFD" w:rsidRDefault="008850F8" w:rsidP="009F4D0B">
      <w:pPr>
        <w:pStyle w:val="a3"/>
        <w:spacing w:line="460" w:lineRule="exact"/>
        <w:ind w:firstLineChars="0" w:firstLine="0"/>
        <w:rPr>
          <w:rFonts w:ascii="仿宋_GB2312" w:eastAsia="仿宋_GB2312" w:cs="Arial"/>
          <w:color w:val="000000"/>
          <w:sz w:val="32"/>
        </w:rPr>
      </w:pPr>
      <w:r>
        <w:rPr>
          <w:rFonts w:ascii="仿宋_GB2312" w:eastAsia="仿宋_GB2312" w:cs="Arial" w:hint="eastAsia"/>
          <w:color w:val="000000"/>
          <w:sz w:val="32"/>
        </w:rPr>
        <w:t>到低洼地点堆放；避免在大风天气下进行水泥、砂石料等装卸作业。露天堆放的砂石料加盖防雨布；</w:t>
      </w:r>
      <w:r w:rsidR="002C14AA">
        <w:rPr>
          <w:rFonts w:ascii="仿宋_GB2312" w:eastAsia="仿宋_GB2312" w:cs="Arial" w:hint="eastAsia"/>
          <w:color w:val="000000"/>
          <w:sz w:val="32"/>
        </w:rPr>
        <w:t>运输建筑材料车辆，用苫布苫盖；控制车辆车速，减少行驶过程中产生道路扬尘；对运输道路应定期采取洒水抑尘措施；燃油机械和柴油发电机尽量使用含硫低的清洁柴油；食堂采用清洁燃料并设油烟净化器；</w:t>
      </w:r>
      <w:r>
        <w:rPr>
          <w:rFonts w:ascii="仿宋_GB2312" w:eastAsia="仿宋_GB2312" w:cs="Arial" w:hint="eastAsia"/>
          <w:color w:val="000000"/>
          <w:sz w:val="32"/>
        </w:rPr>
        <w:t>检修道路两侧加强绿化，减轻扬尘污染；对拌合站内砂料堆进行定期喷水，四周设置挡墙。对水泥筒库呼吸孔及库底用布袋收尘。</w:t>
      </w:r>
    </w:p>
    <w:p w:rsidR="002C14AA" w:rsidRPr="00CD6961" w:rsidRDefault="002C14AA" w:rsidP="009F4D0B">
      <w:pPr>
        <w:pStyle w:val="15"/>
        <w:spacing w:line="460" w:lineRule="exact"/>
        <w:ind w:firstLine="640"/>
        <w:outlineLvl w:val="0"/>
        <w:rPr>
          <w:rFonts w:ascii="仿宋" w:eastAsia="仿宋" w:hAnsi="仿宋" w:cs="Arial"/>
          <w:color w:val="000000"/>
          <w:sz w:val="32"/>
          <w:szCs w:val="32"/>
        </w:rPr>
      </w:pPr>
      <w:r w:rsidRPr="00506FFD">
        <w:rPr>
          <w:rFonts w:ascii="仿宋_GB2312" w:eastAsia="仿宋_GB2312" w:cs="Arial" w:hint="eastAsia"/>
          <w:color w:val="000000"/>
          <w:sz w:val="32"/>
          <w:szCs w:val="32"/>
        </w:rPr>
        <w:t>（二）做好污水综合利用和地下水污染防治。</w:t>
      </w:r>
      <w:r>
        <w:rPr>
          <w:rFonts w:ascii="仿宋_GB2312" w:eastAsia="仿宋_GB2312" w:cs="Arial" w:hint="eastAsia"/>
          <w:color w:val="000000"/>
          <w:sz w:val="32"/>
          <w:szCs w:val="32"/>
        </w:rPr>
        <w:t>施工期生活污水设置防渗厕所和防渗化粪池，经化粪池处理后用作农肥；施工废水经过沉淀池处理后循环利用；运营期生活污水经</w:t>
      </w:r>
      <w:r w:rsidRPr="00CD6961">
        <w:rPr>
          <w:rFonts w:ascii="仿宋" w:eastAsia="仿宋" w:hAnsi="仿宋" w:hint="eastAsia"/>
          <w:color w:val="000000"/>
          <w:sz w:val="32"/>
          <w:szCs w:val="32"/>
        </w:rPr>
        <w:t>地埋式一体化污水处理装置处理后，满足《城市污水再生利用城市杂用水水质》(GB/T18920-2002)城市绿化用水要求，作场区绿化用水，不外排；重点污染区采取严格的基础防渗措施，防渗层至少1m厚粘土层，或者2mm厚高密度聚乙烯，或者至少2mm厚的其他人工材料，渗透系数≤10</w:t>
      </w:r>
      <w:r w:rsidRPr="00CD6961">
        <w:rPr>
          <w:rFonts w:ascii="仿宋" w:eastAsia="仿宋" w:hAnsi="仿宋" w:hint="eastAsia"/>
          <w:color w:val="000000"/>
          <w:sz w:val="32"/>
          <w:szCs w:val="32"/>
          <w:vertAlign w:val="superscript"/>
        </w:rPr>
        <w:t>-10</w:t>
      </w:r>
      <w:r w:rsidRPr="00CD6961">
        <w:rPr>
          <w:rFonts w:ascii="仿宋" w:eastAsia="仿宋" w:hAnsi="仿宋" w:hint="eastAsia"/>
          <w:color w:val="000000"/>
          <w:sz w:val="32"/>
          <w:szCs w:val="32"/>
        </w:rPr>
        <w:t>cm/s；一般污染防治区采取基础防渗，防渗层的渗透系数≤10</w:t>
      </w:r>
      <w:r w:rsidRPr="00CD6961">
        <w:rPr>
          <w:rFonts w:ascii="仿宋" w:eastAsia="仿宋" w:hAnsi="仿宋" w:hint="eastAsia"/>
          <w:color w:val="000000"/>
          <w:sz w:val="32"/>
          <w:szCs w:val="32"/>
          <w:vertAlign w:val="superscript"/>
        </w:rPr>
        <w:t>-7</w:t>
      </w:r>
      <w:r w:rsidRPr="00CD6961">
        <w:rPr>
          <w:rFonts w:ascii="仿宋" w:eastAsia="仿宋" w:hAnsi="仿宋" w:hint="eastAsia"/>
          <w:color w:val="000000"/>
          <w:sz w:val="32"/>
          <w:szCs w:val="32"/>
        </w:rPr>
        <w:t>cm/s。</w:t>
      </w:r>
    </w:p>
    <w:p w:rsidR="002C14AA" w:rsidRPr="009F2042" w:rsidRDefault="002C14AA" w:rsidP="009F4D0B">
      <w:pPr>
        <w:spacing w:line="460" w:lineRule="exact"/>
        <w:ind w:firstLineChars="0" w:firstLine="0"/>
        <w:outlineLvl w:val="0"/>
        <w:rPr>
          <w:rFonts w:ascii="仿宋" w:eastAsia="仿宋" w:hAnsi="仿宋" w:cs="宋体"/>
          <w:color w:val="000000"/>
        </w:rPr>
      </w:pPr>
      <w:r>
        <w:rPr>
          <w:rFonts w:ascii="楷体" w:eastAsia="楷体" w:hAnsi="楷体" w:hint="eastAsia"/>
          <w:color w:val="000000"/>
        </w:rPr>
        <w:t xml:space="preserve">   </w:t>
      </w:r>
      <w:r w:rsidRPr="00506FFD">
        <w:rPr>
          <w:rFonts w:ascii="仿宋" w:eastAsia="仿宋" w:hAnsi="仿宋" w:cs="宋体" w:hint="eastAsia"/>
          <w:color w:val="000000"/>
        </w:rPr>
        <w:t>（三）</w:t>
      </w:r>
      <w:r>
        <w:rPr>
          <w:rFonts w:ascii="仿宋" w:eastAsia="仿宋" w:hAnsi="仿宋" w:cs="宋体" w:hint="eastAsia"/>
          <w:color w:val="000000"/>
        </w:rPr>
        <w:t>生活垃圾定点处置，重点做好危险</w:t>
      </w:r>
      <w:r w:rsidRPr="00506FFD">
        <w:rPr>
          <w:rFonts w:ascii="仿宋" w:eastAsia="仿宋" w:hAnsi="仿宋" w:cs="宋体" w:hint="eastAsia"/>
          <w:color w:val="000000"/>
        </w:rPr>
        <w:t>固体废弃物</w:t>
      </w:r>
      <w:r>
        <w:rPr>
          <w:rFonts w:ascii="仿宋" w:eastAsia="仿宋" w:hAnsi="仿宋" w:cs="宋体" w:hint="eastAsia"/>
          <w:color w:val="000000"/>
        </w:rPr>
        <w:t>污染</w:t>
      </w:r>
      <w:r w:rsidRPr="00506FFD">
        <w:rPr>
          <w:rFonts w:ascii="仿宋" w:eastAsia="仿宋" w:hAnsi="仿宋" w:cs="宋体" w:hint="eastAsia"/>
          <w:color w:val="000000"/>
        </w:rPr>
        <w:t>防治</w:t>
      </w:r>
      <w:r>
        <w:rPr>
          <w:rFonts w:ascii="仿宋" w:eastAsia="仿宋" w:hAnsi="仿宋" w:cs="宋体" w:hint="eastAsia"/>
          <w:color w:val="000000"/>
        </w:rPr>
        <w:t>。</w:t>
      </w:r>
      <w:r>
        <w:rPr>
          <w:rFonts w:hint="eastAsia"/>
          <w:color w:val="000000"/>
        </w:rPr>
        <w:t>建筑垃圾送到当地环卫部门指定倾倒点处置，不随意丢弃；施工人员的生活垃圾及时收集到场内指定的垃圾箱(筒)内，并定期清运至当地环卫部门指定地点集中处置。</w:t>
      </w:r>
      <w:r w:rsidRPr="00BE6404">
        <w:rPr>
          <w:rFonts w:hint="eastAsia"/>
          <w:color w:val="000000"/>
        </w:rPr>
        <w:t>风机维修产生的固体废物垃圾经铁桶收集后存放于危废暂存间，</w:t>
      </w:r>
      <w:r>
        <w:rPr>
          <w:rFonts w:hint="eastAsia"/>
          <w:color w:val="000000"/>
        </w:rPr>
        <w:t>容器外按要求贴相应的危险警示的标志，</w:t>
      </w:r>
      <w:r w:rsidRPr="00BE6404">
        <w:rPr>
          <w:rFonts w:hint="eastAsia"/>
          <w:color w:val="000000"/>
        </w:rPr>
        <w:t>交有资质单位进行处理；主变事故废油存放于事故油池，交由</w:t>
      </w:r>
      <w:r w:rsidRPr="00BE6404">
        <w:rPr>
          <w:rFonts w:hint="eastAsia"/>
          <w:color w:val="000000"/>
        </w:rPr>
        <w:lastRenderedPageBreak/>
        <w:t>有资质的单位处理，危废暂存间和事故油池要做防渗</w:t>
      </w:r>
      <w:r>
        <w:rPr>
          <w:rFonts w:hint="eastAsia"/>
          <w:color w:val="000000"/>
        </w:rPr>
        <w:t>处理</w:t>
      </w:r>
      <w:r w:rsidRPr="00BE6404">
        <w:rPr>
          <w:rFonts w:hint="eastAsia"/>
          <w:color w:val="000000"/>
        </w:rPr>
        <w:t>，渗透系数不大于1×10</w:t>
      </w:r>
      <w:r w:rsidRPr="006D43D3">
        <w:rPr>
          <w:rFonts w:hint="eastAsia"/>
          <w:color w:val="000000"/>
          <w:vertAlign w:val="superscript"/>
        </w:rPr>
        <w:t>-10</w:t>
      </w:r>
      <w:r w:rsidRPr="00BE6404">
        <w:rPr>
          <w:rFonts w:hint="eastAsia"/>
          <w:color w:val="000000"/>
        </w:rPr>
        <w:t>cm/s</w:t>
      </w:r>
      <w:r>
        <w:rPr>
          <w:rFonts w:hint="eastAsia"/>
          <w:color w:val="000000"/>
        </w:rPr>
        <w:t>；废蓄电池集中收集暂存于危废暂存间内，由厂家回收。</w:t>
      </w:r>
    </w:p>
    <w:p w:rsidR="002C14AA" w:rsidRDefault="002C14AA" w:rsidP="009F4D0B">
      <w:pPr>
        <w:snapToGrid w:val="0"/>
        <w:spacing w:line="460" w:lineRule="exact"/>
        <w:ind w:firstLineChars="0" w:firstLine="0"/>
        <w:outlineLvl w:val="0"/>
        <w:rPr>
          <w:color w:val="auto"/>
        </w:rPr>
      </w:pPr>
      <w:r>
        <w:rPr>
          <w:rFonts w:ascii="楷体" w:eastAsia="楷体" w:hAnsi="楷体" w:hint="eastAsia"/>
          <w:color w:val="000000"/>
        </w:rPr>
        <w:t xml:space="preserve">    </w:t>
      </w:r>
      <w:r w:rsidRPr="00506FFD">
        <w:rPr>
          <w:rFonts w:hint="eastAsia"/>
          <w:color w:val="000000"/>
        </w:rPr>
        <w:t>（四）减轻噪声污染。施工车辆应减速慢行</w:t>
      </w:r>
      <w:r w:rsidRPr="006D43D3">
        <w:rPr>
          <w:rFonts w:hint="eastAsia"/>
          <w:color w:val="000000"/>
        </w:rPr>
        <w:t>，禁止鸣笛，夜间不允许运输，减少对居民的影响</w:t>
      </w:r>
      <w:r>
        <w:rPr>
          <w:rFonts w:hint="eastAsia"/>
          <w:color w:val="000000"/>
        </w:rPr>
        <w:t>；降低设备声级，选用低噪声设备和工艺，降低源强；</w:t>
      </w:r>
      <w:r>
        <w:rPr>
          <w:rFonts w:hint="eastAsia"/>
          <w:color w:val="auto"/>
        </w:rPr>
        <w:t>定期检查风机机械系统，当发生故障时，应立即停机检查；加强维护管理，确保设备在正常状态下运行；升压站周围植树种草绿化，衰减降低噪声。</w:t>
      </w:r>
      <w:bookmarkStart w:id="0" w:name="_Toc158435018"/>
      <w:bookmarkStart w:id="1" w:name="_Toc182989470"/>
      <w:bookmarkStart w:id="2" w:name="_Toc181419470"/>
      <w:bookmarkStart w:id="3" w:name="_Toc180985681"/>
      <w:bookmarkStart w:id="4" w:name="_Toc173057087"/>
      <w:bookmarkStart w:id="5" w:name="_Toc172880836"/>
      <w:bookmarkStart w:id="6" w:name="_Toc172000698"/>
      <w:bookmarkStart w:id="7" w:name="_Toc167507553"/>
      <w:bookmarkStart w:id="8" w:name="_Toc144082266"/>
      <w:bookmarkStart w:id="9" w:name="_Toc142294751"/>
      <w:bookmarkStart w:id="10" w:name="_Toc132687851"/>
    </w:p>
    <w:p w:rsidR="002C14AA" w:rsidRPr="000F4AC2" w:rsidRDefault="002C14AA" w:rsidP="009F4D0B">
      <w:pPr>
        <w:snapToGrid w:val="0"/>
        <w:spacing w:line="460" w:lineRule="exact"/>
        <w:ind w:firstLineChars="0" w:firstLine="0"/>
        <w:outlineLvl w:val="0"/>
        <w:rPr>
          <w:color w:val="auto"/>
        </w:rPr>
      </w:pPr>
      <w:r>
        <w:rPr>
          <w:rFonts w:hint="eastAsia"/>
          <w:color w:val="auto"/>
        </w:rPr>
        <w:t xml:space="preserve">   （五）加强生态保护与恢复。</w:t>
      </w:r>
      <w:bookmarkEnd w:id="0"/>
      <w:r>
        <w:rPr>
          <w:rFonts w:hint="eastAsia"/>
          <w:color w:val="000000"/>
        </w:rPr>
        <w:t>项目区占地类型基本为草地。要严格控制在永久占地、临时用地范围之内；新建道路尽量避绕植被覆盖度高的草地，确实无法避绕的区域要进行植被移栽；场内运输车辆定线行驶，不</w:t>
      </w:r>
      <w:r w:rsidR="00E82E58">
        <w:rPr>
          <w:rFonts w:hint="eastAsia"/>
          <w:color w:val="000000"/>
        </w:rPr>
        <w:t>得</w:t>
      </w:r>
      <w:r>
        <w:rPr>
          <w:rFonts w:hint="eastAsia"/>
          <w:color w:val="000000"/>
        </w:rPr>
        <w:t>随意破坏植被；塔架、水泥杆底部及周围进行覆土并播撒耐旱草种；因风电场施工破坏植被而造成裸露的土地应在施工结束后立即恢复植被；基础、电缆沟等开挖时，将表层土与基础土分开，单独收集并保存表层土，暂时堆放于临时表土堆场，用于施工结束后的植被恢复。</w:t>
      </w:r>
      <w:bookmarkEnd w:id="1"/>
      <w:bookmarkEnd w:id="2"/>
      <w:bookmarkEnd w:id="3"/>
      <w:bookmarkEnd w:id="4"/>
      <w:bookmarkEnd w:id="5"/>
      <w:bookmarkEnd w:id="6"/>
      <w:bookmarkEnd w:id="7"/>
      <w:bookmarkEnd w:id="8"/>
      <w:bookmarkEnd w:id="9"/>
      <w:bookmarkEnd w:id="10"/>
    </w:p>
    <w:p w:rsidR="002C14AA" w:rsidRPr="0025469E" w:rsidRDefault="002C14AA" w:rsidP="009F4D0B">
      <w:pPr>
        <w:spacing w:line="460" w:lineRule="exact"/>
        <w:rPr>
          <w:color w:val="0070C0"/>
        </w:rPr>
      </w:pPr>
      <w:r>
        <w:rPr>
          <w:rFonts w:hint="eastAsia"/>
          <w:color w:val="000000"/>
        </w:rPr>
        <w:t>四、项目建设必须严格执行环境保护设施与主体工程同时设计、同时施工、同时投产使用的环境保护“三同时”制度。施工招标文件和施工合同应明确环保条款和责任，须按规定程序实施竣工环境保护验收。验收合格后方可正式投入生产。</w:t>
      </w:r>
    </w:p>
    <w:p w:rsidR="002C14AA" w:rsidRDefault="002C14AA" w:rsidP="009F4D0B">
      <w:pPr>
        <w:spacing w:line="460" w:lineRule="exact"/>
        <w:rPr>
          <w:color w:val="000000"/>
        </w:rPr>
      </w:pPr>
      <w:r>
        <w:rPr>
          <w:rFonts w:hint="eastAsia"/>
          <w:color w:val="000000"/>
        </w:rPr>
        <w:t>五、我局委托苏尼特左旗环境保护局组织开展该项目的“三同时”监督检查及监督管理工作。建设单位同时要接受各级环境保护主管部门的日常监督检查。</w:t>
      </w:r>
    </w:p>
    <w:p w:rsidR="002C14AA" w:rsidRPr="00F85F10" w:rsidRDefault="002C14AA" w:rsidP="009F4D0B">
      <w:pPr>
        <w:spacing w:line="460" w:lineRule="exact"/>
        <w:rPr>
          <w:color w:val="000000"/>
        </w:rPr>
      </w:pPr>
    </w:p>
    <w:p w:rsidR="002C14AA" w:rsidRDefault="002C14AA" w:rsidP="009F4D0B">
      <w:pPr>
        <w:spacing w:line="460" w:lineRule="exact"/>
        <w:rPr>
          <w:color w:val="000000"/>
        </w:rPr>
      </w:pPr>
      <w:r>
        <w:rPr>
          <w:rFonts w:hint="eastAsia"/>
          <w:color w:val="000000"/>
        </w:rPr>
        <w:t xml:space="preserve">                           2018年11月</w:t>
      </w:r>
      <w:r w:rsidR="00E82E58">
        <w:rPr>
          <w:rFonts w:hint="eastAsia"/>
          <w:color w:val="000000"/>
        </w:rPr>
        <w:t>27</w:t>
      </w:r>
      <w:r>
        <w:rPr>
          <w:rFonts w:hint="eastAsia"/>
          <w:color w:val="000000"/>
        </w:rPr>
        <w:t>日</w:t>
      </w:r>
    </w:p>
    <w:p w:rsidR="002C14AA" w:rsidRDefault="002C14AA" w:rsidP="009F4D0B">
      <w:pPr>
        <w:spacing w:line="460" w:lineRule="exact"/>
        <w:ind w:firstLineChars="0" w:firstLine="0"/>
        <w:rPr>
          <w:color w:val="000000"/>
        </w:rPr>
      </w:pPr>
    </w:p>
    <w:p w:rsidR="002C14AA" w:rsidRPr="004C1EF7" w:rsidRDefault="00F85F10" w:rsidP="009F4D0B">
      <w:pPr>
        <w:spacing w:line="460" w:lineRule="exact"/>
        <w:ind w:firstLineChars="0" w:firstLine="0"/>
        <w:rPr>
          <w:color w:val="000000"/>
        </w:rPr>
        <w:sectPr w:rsidR="002C14AA" w:rsidRPr="004C1EF7" w:rsidSect="003A6B0E">
          <w:headerReference w:type="even" r:id="rId6"/>
          <w:footerReference w:type="even" r:id="rId7"/>
          <w:footerReference w:type="default" r:id="rId8"/>
          <w:headerReference w:type="first" r:id="rId9"/>
          <w:footerReference w:type="first" r:id="rId10"/>
          <w:pgSz w:w="11906" w:h="16838"/>
          <w:pgMar w:top="1440" w:right="1800" w:bottom="1440" w:left="1800" w:header="567" w:footer="992" w:gutter="170"/>
          <w:cols w:space="720"/>
          <w:docGrid w:type="lines" w:linePitch="435"/>
        </w:sectPr>
      </w:pPr>
      <w:r>
        <w:rPr>
          <w:rFonts w:hint="eastAsia"/>
          <w:color w:val="000000"/>
        </w:rPr>
        <w:t xml:space="preserve">    </w:t>
      </w:r>
      <w:r w:rsidR="002C14AA">
        <w:rPr>
          <w:rFonts w:hint="eastAsia"/>
          <w:color w:val="000000"/>
        </w:rPr>
        <w:t>抄送：苏尼特左旗环境保护局、盟环境工程</w:t>
      </w:r>
      <w:bookmarkStart w:id="11" w:name="_Hlk506814503"/>
      <w:bookmarkEnd w:id="11"/>
      <w:r>
        <w:rPr>
          <w:rFonts w:hint="eastAsia"/>
          <w:color w:val="000000"/>
        </w:rPr>
        <w:t>评估中心</w:t>
      </w:r>
    </w:p>
    <w:p w:rsidR="00E73D42" w:rsidRPr="00F85F10" w:rsidRDefault="00E73D42" w:rsidP="009F4D0B">
      <w:pPr>
        <w:spacing w:line="460" w:lineRule="exact"/>
      </w:pPr>
    </w:p>
    <w:sectPr w:rsidR="00E73D42" w:rsidRPr="00F85F10" w:rsidSect="00E73D4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4A77" w:rsidRDefault="00A04A77" w:rsidP="002C14AA">
      <w:pPr>
        <w:spacing w:line="240" w:lineRule="auto"/>
      </w:pPr>
      <w:r>
        <w:separator/>
      </w:r>
    </w:p>
  </w:endnote>
  <w:endnote w:type="continuationSeparator" w:id="1">
    <w:p w:rsidR="00A04A77" w:rsidRDefault="00A04A77" w:rsidP="002C14A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FFD" w:rsidRDefault="00A04A77" w:rsidP="00506FFD">
    <w:pPr>
      <w:pStyle w:val="a5"/>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4298" w:rsidRDefault="00A04A77" w:rsidP="001B4298">
    <w:pPr>
      <w:pStyle w:val="a5"/>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FFD" w:rsidRDefault="00A04A77" w:rsidP="00506FFD">
    <w:pPr>
      <w:pStyle w:val="a5"/>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4A77" w:rsidRDefault="00A04A77" w:rsidP="002C14AA">
      <w:pPr>
        <w:spacing w:line="240" w:lineRule="auto"/>
      </w:pPr>
      <w:r>
        <w:separator/>
      </w:r>
    </w:p>
  </w:footnote>
  <w:footnote w:type="continuationSeparator" w:id="1">
    <w:p w:rsidR="00A04A77" w:rsidRDefault="00A04A77" w:rsidP="002C14AA">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FFD" w:rsidRDefault="00A04A77" w:rsidP="00506FFD">
    <w:pPr>
      <w:pStyle w:val="a4"/>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FFD" w:rsidRDefault="00A04A77" w:rsidP="00506FFD">
    <w:pPr>
      <w:pStyle w:val="a4"/>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638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C14AA"/>
    <w:rsid w:val="001B203C"/>
    <w:rsid w:val="0021279C"/>
    <w:rsid w:val="002C14AA"/>
    <w:rsid w:val="003254E6"/>
    <w:rsid w:val="00537088"/>
    <w:rsid w:val="005844DC"/>
    <w:rsid w:val="005B6D48"/>
    <w:rsid w:val="005D0F43"/>
    <w:rsid w:val="006033C5"/>
    <w:rsid w:val="006364F6"/>
    <w:rsid w:val="00661F19"/>
    <w:rsid w:val="00690198"/>
    <w:rsid w:val="0072605A"/>
    <w:rsid w:val="007A56AE"/>
    <w:rsid w:val="008850F8"/>
    <w:rsid w:val="009F4D0B"/>
    <w:rsid w:val="00A04A77"/>
    <w:rsid w:val="00A622C0"/>
    <w:rsid w:val="00A96ECC"/>
    <w:rsid w:val="00B01C90"/>
    <w:rsid w:val="00B61A3F"/>
    <w:rsid w:val="00C12B89"/>
    <w:rsid w:val="00CC0B9A"/>
    <w:rsid w:val="00CD6C61"/>
    <w:rsid w:val="00CF6737"/>
    <w:rsid w:val="00DD24F8"/>
    <w:rsid w:val="00E73D42"/>
    <w:rsid w:val="00E82E58"/>
    <w:rsid w:val="00EC34A4"/>
    <w:rsid w:val="00F33216"/>
    <w:rsid w:val="00F85F10"/>
    <w:rsid w:val="00FA5CF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14AA"/>
    <w:pPr>
      <w:widowControl w:val="0"/>
      <w:autoSpaceDE w:val="0"/>
      <w:autoSpaceDN w:val="0"/>
      <w:adjustRightInd w:val="0"/>
      <w:spacing w:line="520" w:lineRule="exact"/>
      <w:ind w:firstLineChars="200" w:firstLine="640"/>
      <w:jc w:val="both"/>
    </w:pPr>
    <w:rPr>
      <w:rFonts w:ascii="仿宋_GB2312" w:eastAsia="仿宋_GB2312" w:hAnsi="Times New Roman" w:cs="Arial"/>
      <w:color w:val="548DD4"/>
      <w:sz w:val="32"/>
      <w:szCs w:val="32"/>
      <w:lang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正文文本缩进 2 Char"/>
    <w:link w:val="2"/>
    <w:rsid w:val="002C14AA"/>
    <w:rPr>
      <w:rFonts w:ascii="Times New Roman" w:eastAsia="宋体" w:hAnsi="Times New Roman" w:cs="Times New Roman"/>
      <w:szCs w:val="24"/>
    </w:rPr>
  </w:style>
  <w:style w:type="paragraph" w:styleId="2">
    <w:name w:val="Body Text Indent 2"/>
    <w:basedOn w:val="a"/>
    <w:link w:val="2Char"/>
    <w:rsid w:val="002C14AA"/>
    <w:pPr>
      <w:spacing w:after="120" w:line="480" w:lineRule="auto"/>
      <w:ind w:leftChars="200" w:left="420"/>
    </w:pPr>
    <w:rPr>
      <w:rFonts w:ascii="Times New Roman" w:eastAsia="宋体" w:cs="Times New Roman"/>
      <w:color w:val="auto"/>
      <w:sz w:val="21"/>
      <w:szCs w:val="24"/>
      <w:lang w:bidi="ar-SA"/>
    </w:rPr>
  </w:style>
  <w:style w:type="character" w:customStyle="1" w:styleId="2Char1">
    <w:name w:val="正文文本缩进 2 Char1"/>
    <w:basedOn w:val="a0"/>
    <w:link w:val="2"/>
    <w:uiPriority w:val="99"/>
    <w:semiHidden/>
    <w:rsid w:val="002C14AA"/>
    <w:rPr>
      <w:rFonts w:ascii="仿宋_GB2312" w:eastAsia="仿宋_GB2312" w:hAnsi="Times New Roman" w:cs="Arial"/>
      <w:color w:val="548DD4"/>
      <w:sz w:val="32"/>
      <w:szCs w:val="32"/>
      <w:lang w:bidi="en-US"/>
    </w:rPr>
  </w:style>
  <w:style w:type="paragraph" w:customStyle="1" w:styleId="a3">
    <w:name w:val="新正文"/>
    <w:basedOn w:val="a"/>
    <w:qFormat/>
    <w:rsid w:val="002C14AA"/>
    <w:pPr>
      <w:spacing w:line="360" w:lineRule="auto"/>
      <w:ind w:firstLine="200"/>
    </w:pPr>
    <w:rPr>
      <w:rFonts w:ascii="Times New Roman" w:eastAsia="宋体" w:cs="Times New Roman"/>
      <w:sz w:val="24"/>
    </w:rPr>
  </w:style>
  <w:style w:type="paragraph" w:customStyle="1" w:styleId="15">
    <w:name w:val="样式 (符号) 宋体 小四 行距: 1.5 倍行距"/>
    <w:basedOn w:val="a"/>
    <w:rsid w:val="002C14AA"/>
    <w:pPr>
      <w:spacing w:line="360" w:lineRule="auto"/>
      <w:ind w:firstLine="480"/>
    </w:pPr>
    <w:rPr>
      <w:rFonts w:ascii="Times New Roman" w:eastAsia="宋体" w:cs="宋体"/>
      <w:sz w:val="24"/>
      <w:szCs w:val="24"/>
    </w:rPr>
  </w:style>
  <w:style w:type="paragraph" w:styleId="a4">
    <w:name w:val="header"/>
    <w:basedOn w:val="a"/>
    <w:link w:val="Char"/>
    <w:uiPriority w:val="99"/>
    <w:unhideWhenUsed/>
    <w:rsid w:val="002C14AA"/>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4"/>
    <w:uiPriority w:val="99"/>
    <w:rsid w:val="002C14AA"/>
    <w:rPr>
      <w:rFonts w:ascii="仿宋_GB2312" w:eastAsia="仿宋_GB2312" w:hAnsi="Times New Roman" w:cs="Arial"/>
      <w:color w:val="548DD4"/>
      <w:sz w:val="18"/>
      <w:szCs w:val="18"/>
      <w:lang w:bidi="en-US"/>
    </w:rPr>
  </w:style>
  <w:style w:type="paragraph" w:styleId="a5">
    <w:name w:val="footer"/>
    <w:basedOn w:val="a"/>
    <w:link w:val="Char0"/>
    <w:uiPriority w:val="99"/>
    <w:unhideWhenUsed/>
    <w:rsid w:val="002C14AA"/>
    <w:pPr>
      <w:tabs>
        <w:tab w:val="center" w:pos="4153"/>
        <w:tab w:val="right" w:pos="8306"/>
      </w:tabs>
      <w:snapToGrid w:val="0"/>
      <w:spacing w:line="240" w:lineRule="atLeast"/>
      <w:jc w:val="left"/>
    </w:pPr>
    <w:rPr>
      <w:sz w:val="18"/>
      <w:szCs w:val="18"/>
    </w:rPr>
  </w:style>
  <w:style w:type="character" w:customStyle="1" w:styleId="Char0">
    <w:name w:val="页脚 Char"/>
    <w:basedOn w:val="a0"/>
    <w:link w:val="a5"/>
    <w:uiPriority w:val="99"/>
    <w:rsid w:val="002C14AA"/>
    <w:rPr>
      <w:rFonts w:ascii="仿宋_GB2312" w:eastAsia="仿宋_GB2312" w:hAnsi="Times New Roman" w:cs="Arial"/>
      <w:color w:val="548DD4"/>
      <w:sz w:val="18"/>
      <w:szCs w:val="18"/>
      <w:lang w:bidi="en-US"/>
    </w:rPr>
  </w:style>
  <w:style w:type="paragraph" w:customStyle="1" w:styleId="a6">
    <w:name w:val="表格内容"/>
    <w:basedOn w:val="a"/>
    <w:rsid w:val="00F33216"/>
    <w:pPr>
      <w:snapToGrid w:val="0"/>
      <w:jc w:val="center"/>
    </w:pPr>
    <w:rPr>
      <w:rFonts w:ascii="宋体" w:eastAsia="宋体" w:cs="Times New Roman"/>
      <w:kern w:val="0"/>
      <w:sz w:val="24"/>
    </w:rPr>
  </w:style>
  <w:style w:type="paragraph" w:customStyle="1" w:styleId="1">
    <w:name w:val="列出段落1"/>
    <w:basedOn w:val="a"/>
    <w:rsid w:val="00F33216"/>
    <w:pPr>
      <w:ind w:firstLine="420"/>
    </w:pPr>
    <w:rPr>
      <w:rFonts w:ascii="Times New Roman" w:eastAsia="宋体" w:cs="Times New Roman"/>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1</Pages>
  <Words>366</Words>
  <Characters>2089</Characters>
  <Application>Microsoft Office Word</Application>
  <DocSecurity>0</DocSecurity>
  <Lines>17</Lines>
  <Paragraphs>4</Paragraphs>
  <ScaleCrop>false</ScaleCrop>
  <Company/>
  <LinksUpToDate>false</LinksUpToDate>
  <CharactersWithSpaces>2451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14</cp:revision>
  <cp:lastPrinted>2018-11-26T06:32:00Z</cp:lastPrinted>
  <dcterms:created xsi:type="dcterms:W3CDTF">2018-11-19T00:57:00Z</dcterms:created>
  <dcterms:modified xsi:type="dcterms:W3CDTF">2018-11-26T07:01:00Z</dcterms:modified>
</cp:coreProperties>
</file>