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auto"/>
          <w:sz w:val="32"/>
          <w:szCs w:val="32"/>
        </w:rPr>
      </w:pPr>
      <w:bookmarkStart w:id="0" w:name="_Hlk124747957"/>
    </w:p>
    <w:p>
      <w:pPr>
        <w:adjustRightInd w:val="0"/>
        <w:snapToGrid w:val="0"/>
        <w:spacing w:line="360" w:lineRule="auto"/>
        <w:jc w:val="center"/>
        <w:rPr>
          <w:b/>
          <w:bCs/>
          <w:color w:val="auto"/>
          <w:sz w:val="32"/>
          <w:szCs w:val="32"/>
        </w:rPr>
      </w:pPr>
    </w:p>
    <w:p>
      <w:pPr>
        <w:pStyle w:val="2"/>
        <w:rPr>
          <w:b/>
          <w:bCs/>
          <w:color w:val="auto"/>
          <w:sz w:val="32"/>
          <w:szCs w:val="32"/>
        </w:rPr>
      </w:pPr>
    </w:p>
    <w:p>
      <w:pPr>
        <w:rPr>
          <w:b/>
          <w:bCs/>
          <w:color w:val="auto"/>
          <w:sz w:val="32"/>
          <w:szCs w:val="32"/>
        </w:rPr>
      </w:pPr>
    </w:p>
    <w:p>
      <w:pPr>
        <w:pStyle w:val="2"/>
        <w:rPr>
          <w:b/>
          <w:bCs/>
          <w:color w:val="auto"/>
          <w:sz w:val="32"/>
          <w:szCs w:val="32"/>
        </w:rPr>
      </w:pPr>
    </w:p>
    <w:p>
      <w:pPr>
        <w:pStyle w:val="2"/>
        <w:ind w:left="0" w:leftChars="0" w:firstLine="0" w:firstLineChars="0"/>
        <w:rPr>
          <w:b/>
          <w:bCs/>
          <w:color w:val="auto"/>
          <w:sz w:val="32"/>
          <w:szCs w:val="32"/>
        </w:rPr>
      </w:pPr>
    </w:p>
    <w:p>
      <w:pPr>
        <w:rPr>
          <w:color w:val="auto"/>
        </w:rPr>
      </w:pPr>
      <w:bookmarkStart w:id="1" w:name="_GoBack"/>
      <w:bookmarkEnd w:id="1"/>
    </w:p>
    <w:p>
      <w:pPr>
        <w:pStyle w:val="2"/>
        <w:rPr>
          <w:color w:val="auto"/>
        </w:rPr>
      </w:pPr>
    </w:p>
    <w:p>
      <w:pPr>
        <w:rPr>
          <w:color w:val="auto"/>
        </w:rPr>
      </w:pPr>
    </w:p>
    <w:p>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锡署环审书〔2023〕</w:t>
      </w:r>
      <w:r>
        <w:rPr>
          <w:rFonts w:hint="eastAsia" w:ascii="仿宋_GB2312" w:hAnsi="Times New Roman" w:eastAsia="仿宋_GB2312" w:cs="Arial"/>
          <w:color w:val="auto"/>
          <w:sz w:val="32"/>
          <w:szCs w:val="32"/>
          <w:highlight w:val="none"/>
          <w:lang w:val="en-US" w:eastAsia="zh-CN" w:bidi="en-US"/>
        </w:rPr>
        <w:t>35</w:t>
      </w:r>
      <w:r>
        <w:rPr>
          <w:rFonts w:hint="eastAsia" w:ascii="仿宋_GB2312" w:hAnsi="Times New Roman" w:eastAsia="仿宋_GB2312" w:cs="Arial"/>
          <w:color w:val="auto"/>
          <w:sz w:val="32"/>
          <w:szCs w:val="32"/>
          <w:highlight w:val="none"/>
          <w:lang w:bidi="en-US"/>
        </w:rPr>
        <w:t>号</w:t>
      </w:r>
    </w:p>
    <w:p>
      <w:pPr>
        <w:adjustRightInd w:val="0"/>
        <w:snapToGrid w:val="0"/>
        <w:spacing w:line="360" w:lineRule="auto"/>
        <w:jc w:val="center"/>
        <w:rPr>
          <w:b/>
          <w:bCs/>
          <w:color w:val="auto"/>
          <w:sz w:val="32"/>
          <w:szCs w:val="32"/>
          <w:highlight w:val="none"/>
        </w:rPr>
      </w:pPr>
    </w:p>
    <w:p>
      <w:pPr>
        <w:widowControl/>
        <w:spacing w:line="700" w:lineRule="exact"/>
        <w:jc w:val="center"/>
        <w:textAlignment w:val="baseline"/>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highlight w:val="none"/>
        </w:rPr>
        <w:t>锡林郭勒盟生态环境</w:t>
      </w:r>
      <w:r>
        <w:rPr>
          <w:rFonts w:hint="eastAsia" w:ascii="方正小标宋简体" w:hAnsi="方正小标宋简体" w:eastAsia="方正小标宋简体" w:cs="方正小标宋简体"/>
          <w:bCs/>
          <w:color w:val="auto"/>
          <w:sz w:val="44"/>
          <w:szCs w:val="44"/>
        </w:rPr>
        <w:t>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关于二连浩特市锦裕矿业有限责任公司</w:t>
      </w:r>
    </w:p>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年加工500万吨铁矿石加工项目环境</w:t>
      </w:r>
    </w:p>
    <w:p>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影响报告书的批复</w:t>
      </w:r>
    </w:p>
    <w:p>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二连浩特市锦裕矿业有限责任公司：</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你单位报送的《二连浩特市锦裕矿业有限责任公司年加工500万吨铁矿石加工项目环境影响报告书》（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pPr>
        <w:pStyle w:val="25"/>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一、二连浩特市锦裕矿业有限责任公司年加工500万吨铁矿石加工项目</w:t>
      </w:r>
      <w:r>
        <w:rPr>
          <w:rFonts w:hint="eastAsia" w:ascii="仿宋_GB2312" w:hAnsi="仿宋_GB2312" w:eastAsia="仿宋_GB2312" w:cs="仿宋_GB2312"/>
          <w:b w:val="0"/>
          <w:bCs/>
          <w:color w:val="auto"/>
          <w:kern w:val="0"/>
          <w:sz w:val="32"/>
          <w:szCs w:val="32"/>
          <w:lang w:val="en-US" w:eastAsia="zh-CN" w:bidi="ar"/>
        </w:rPr>
        <w:t>位于内蒙古锡林郭勒盟二连浩特市边境经济合作区，苏尼特街北二街南、东兴路东一路西，厂区占地面积为147821平方米（221.7315亩）。本项目年加工500万吨铁矿石分两期建设，一期年处理铁矿石（TFe55%）250万吨，生产铁精粉（TFe68%）166.75万吨，铁回收率82.50%，生产硫精矿（TFe59.50%）27万吨，铁回收率11.72%。二期年处理铁矿石（TFe55%）250万吨，生产铁精粉（TFe68%）166.75万吨，铁回收率82.50%，生产硫精矿（TFe59.50%）27万吨，铁回收率11.72%。</w:t>
      </w:r>
    </w:p>
    <w:p>
      <w:pPr>
        <w:pStyle w:val="25"/>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项目劳动定员200人，项目总投资为49902.9万元，其中环保投资为141万元，占总投资比例为0.28%。</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项目有组织废气主要包括破碎筛分及转运过程中的产生粉尘。一期、二期工程分别在破碎、筛分工段上方设集气罩收集系统，对粉尘进行收集。一期共两座破碎车间和一座筛分车间，分别设置1套集气罩收集系统，废气统一由1套布袋除尘器处理后经1根高度为27m排气筒排放；二期共两座破碎车间和一座筛分车间，分别设置1个集气罩收集系统，废气统一由1套布袋除尘器处理后经1根高度为27m排气筒排放，经处理后的颗粒物可满足《铁矿采选工业污染物排放标准》</w:t>
      </w:r>
      <w:r>
        <w:rPr>
          <w:rFonts w:hint="eastAsia" w:ascii="仿宋_GB2312" w:hAnsi="仿宋_GB2312" w:eastAsia="仿宋_GB2312" w:cs="仿宋_GB2312"/>
          <w:b w:val="0"/>
          <w:bCs/>
          <w:color w:val="auto"/>
          <w:sz w:val="32"/>
          <w:szCs w:val="32"/>
          <w:highlight w:val="none"/>
          <w:lang w:bidi="en-US"/>
        </w:rPr>
        <w:t>（GB28661-2012）</w:t>
      </w:r>
      <w:r>
        <w:rPr>
          <w:rFonts w:hint="eastAsia" w:ascii="仿宋_GB2312" w:hAnsi="仿宋_GB2312" w:eastAsia="仿宋_GB2312" w:cs="仿宋_GB2312"/>
          <w:color w:val="auto"/>
          <w:kern w:val="2"/>
          <w:sz w:val="32"/>
          <w:szCs w:val="32"/>
          <w:lang w:val="en-US" w:eastAsia="zh-CN" w:bidi="ar-SA"/>
        </w:rPr>
        <w:t>表5新建企业大气污染物排放浓度限值。矿石卸料过程中会有粉尘产生，企业在原矿卸载时，通过降低卸料高度，且原矿库为封闭厂房，厂房内设置高压微雾和雾炮装置，定期喷洒抑尘，抑尘效率可达到90%以上，经处理后的颗粒物可满足《铁矿采选工业污染物排放标准》</w:t>
      </w:r>
      <w:r>
        <w:rPr>
          <w:rFonts w:hint="eastAsia" w:ascii="仿宋_GB2312" w:hAnsi="仿宋_GB2312" w:eastAsia="仿宋_GB2312" w:cs="仿宋_GB2312"/>
          <w:b w:val="0"/>
          <w:bCs/>
          <w:color w:val="auto"/>
          <w:sz w:val="32"/>
          <w:szCs w:val="32"/>
          <w:highlight w:val="none"/>
          <w:lang w:bidi="en-US"/>
        </w:rPr>
        <w:t>（GB28661-2012）</w:t>
      </w:r>
      <w:r>
        <w:rPr>
          <w:rFonts w:hint="eastAsia" w:ascii="仿宋_GB2312" w:hAnsi="仿宋_GB2312" w:eastAsia="仿宋_GB2312" w:cs="仿宋_GB2312"/>
          <w:color w:val="auto"/>
          <w:kern w:val="2"/>
          <w:sz w:val="32"/>
          <w:szCs w:val="32"/>
          <w:lang w:val="en-US" w:eastAsia="zh-CN" w:bidi="ar-SA"/>
        </w:rPr>
        <w:t>表7新建企业大气污染物排放浓度限值。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color w:val="auto"/>
          <w:kern w:val="2"/>
          <w:sz w:val="32"/>
          <w:szCs w:val="32"/>
          <w:lang w:val="en-US" w:eastAsia="zh-CN" w:bidi="ar-SA"/>
        </w:rPr>
        <w:t>矿石破碎过程产生的除尘灰，主要成分为铁矿粉，经除尘器统一收集后作为原材料回用于选矿工艺。尾矿砂主要来自铁矿石磁选、浮选工段，尾矿砂为Ⅱ类一般工业固体废弃物，尾矿砂通过皮带输送机至尾矿砂暂存库，由运输车辆当日运往内蒙古融冠达矿业有限公司尾矿库处置，融冠达尾矿库建成投运前本项目不得投产运营。设备维修将产生废矿物油，暂存于危废间，定期交由有资质单位处置。厂区员工日常生活所产生的生活垃圾，由当地环卫部门统一清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b w:val="0"/>
          <w:bCs/>
          <w:color w:val="auto"/>
          <w:kern w:val="2"/>
          <w:sz w:val="32"/>
          <w:szCs w:val="32"/>
          <w:lang w:val="en-US" w:eastAsia="zh-CN" w:bidi="ar-SA"/>
        </w:rPr>
        <w:t>选矿过程中产生的浓缩废水经沉淀浓缩后循环使用。锅炉排污水用于厂区洒水。项目无生产废水外排。本项目生活污水经过化粪池预处理后，排入二连浩特市城市污水处理厂。</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val="zh-TW" w:eastAsia="zh-TW" w:bidi="en-US"/>
        </w:rPr>
        <w:t>运营期噪声主要设备为圆锥破碎机、振动筛、溢流型球磨机及水力旋流器组等，针对各设备噪声源特征使用消音、减振等噪声治理措施，厂界噪声</w:t>
      </w:r>
      <w:r>
        <w:rPr>
          <w:rFonts w:hint="eastAsia" w:ascii="仿宋_GB2312" w:hAnsi="仿宋_GB2312" w:eastAsia="仿宋_GB2312" w:cs="仿宋_GB2312"/>
          <w:color w:val="auto"/>
          <w:sz w:val="32"/>
          <w:szCs w:val="32"/>
          <w:lang w:val="en-US" w:eastAsia="zh-CN" w:bidi="en-US"/>
        </w:rPr>
        <w:t>可</w:t>
      </w:r>
      <w:r>
        <w:rPr>
          <w:rFonts w:hint="eastAsia" w:ascii="仿宋_GB2312" w:hAnsi="仿宋_GB2312" w:eastAsia="仿宋_GB2312" w:cs="仿宋_GB2312"/>
          <w:color w:val="auto"/>
          <w:sz w:val="32"/>
          <w:szCs w:val="32"/>
          <w:lang w:val="zh-TW" w:eastAsia="zh-TW" w:bidi="en-US"/>
        </w:rPr>
        <w:t>满足《工业企业厂界环境噪声排放标准》(GB12348-2008)</w:t>
      </w:r>
      <w:r>
        <w:rPr>
          <w:rFonts w:hint="eastAsia" w:ascii="仿宋_GB2312" w:hAnsi="仿宋_GB2312" w:eastAsia="仿宋_GB2312" w:cs="仿宋_GB2312"/>
          <w:color w:val="auto"/>
          <w:sz w:val="32"/>
          <w:szCs w:val="32"/>
          <w:lang w:val="en-US" w:eastAsia="zh-CN" w:bidi="en-US"/>
        </w:rPr>
        <w:t>3</w:t>
      </w:r>
      <w:r>
        <w:rPr>
          <w:rFonts w:hint="eastAsia" w:ascii="仿宋_GB2312" w:hAnsi="仿宋_GB2312" w:eastAsia="仿宋_GB2312" w:cs="仿宋_GB2312"/>
          <w:color w:val="auto"/>
          <w:sz w:val="32"/>
          <w:szCs w:val="32"/>
          <w:lang w:val="zh-TW" w:eastAsia="zh-TW" w:bidi="en-US"/>
        </w:rPr>
        <w:t>类标准限值。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（五）</w:t>
      </w:r>
      <w:r>
        <w:rPr>
          <w:rFonts w:hint="eastAsia" w:ascii="楷体" w:hAnsi="楷体" w:eastAsia="楷体" w:cs="楷体"/>
          <w:color w:val="auto"/>
          <w:sz w:val="32"/>
          <w:szCs w:val="32"/>
          <w:lang w:bidi="en-US"/>
        </w:rPr>
        <w:t>严格落实运营期污染源监测计划。</w:t>
      </w:r>
      <w:r>
        <w:rPr>
          <w:rFonts w:hint="eastAsia" w:ascii="仿宋_GB2312" w:hAnsi="仿宋_GB2312" w:eastAsia="仿宋_GB2312" w:cs="仿宋_GB2312"/>
          <w:color w:val="auto"/>
          <w:sz w:val="32"/>
          <w:szCs w:val="32"/>
          <w:lang w:bidi="en-US"/>
        </w:rPr>
        <w:t>按照相关标准、规范等要求，落实报告书提出的环境管理及监测计划，</w:t>
      </w:r>
      <w:r>
        <w:rPr>
          <w:rFonts w:hint="eastAsia" w:ascii="仿宋_GB2312" w:hAnsi="仿宋_GB2312" w:eastAsia="仿宋_GB2312" w:cs="仿宋_GB2312"/>
          <w:color w:val="auto"/>
          <w:sz w:val="32"/>
          <w:szCs w:val="32"/>
          <w:lang w:val="en-US" w:eastAsia="zh-CN" w:bidi="en-US"/>
        </w:rPr>
        <w:t>加强污染监控感知端建设，</w:t>
      </w:r>
      <w:r>
        <w:rPr>
          <w:rFonts w:hint="eastAsia" w:ascii="仿宋_GB2312" w:hAnsi="仿宋_GB2312" w:eastAsia="仿宋_GB2312" w:cs="仿宋_GB2312"/>
          <w:color w:val="auto"/>
          <w:sz w:val="32"/>
          <w:szCs w:val="32"/>
          <w:lang w:bidi="en-US"/>
        </w:rPr>
        <w:t>建立运营期污染源监测管理体系，并覆盖常规污染物、特征污染物。如出现污染物超标排放情况，应立即查明原因并采取进一步</w:t>
      </w:r>
      <w:r>
        <w:rPr>
          <w:rFonts w:hint="eastAsia" w:ascii="仿宋_GB2312" w:hAnsi="仿宋_GB2312" w:eastAsia="仿宋_GB2312" w:cs="仿宋_GB2312"/>
          <w:color w:val="auto"/>
          <w:sz w:val="32"/>
          <w:szCs w:val="32"/>
          <w:lang w:val="en-US" w:eastAsia="zh-CN" w:bidi="en-US"/>
        </w:rPr>
        <w:t>采取</w:t>
      </w:r>
      <w:r>
        <w:rPr>
          <w:rFonts w:hint="eastAsia" w:ascii="仿宋_GB2312" w:hAnsi="仿宋_GB2312" w:eastAsia="仿宋_GB2312" w:cs="仿宋_GB2312"/>
          <w:color w:val="auto"/>
          <w:sz w:val="32"/>
          <w:szCs w:val="32"/>
          <w:lang w:bidi="en-US"/>
        </w:rPr>
        <w:t>污染物减排措施。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二连浩特市</w:t>
      </w:r>
      <w:r>
        <w:rPr>
          <w:rFonts w:hint="eastAsia" w:ascii="仿宋_GB2312" w:hAnsi="仿宋_GB2312" w:eastAsia="仿宋_GB2312" w:cs="仿宋_GB2312"/>
          <w:color w:val="auto"/>
          <w:sz w:val="32"/>
          <w:szCs w:val="32"/>
          <w:lang w:bidi="en-US"/>
        </w:rPr>
        <w:t>分局对该项目各项污染防治措施落实情况进行监督检查和管理。</w:t>
      </w:r>
    </w:p>
    <w:p>
      <w:pPr>
        <w:keepNext w:val="0"/>
        <w:keepLines w:val="0"/>
        <w:pageBreakBefore w:val="0"/>
        <w:widowControl w:val="0"/>
        <w:kinsoku/>
        <w:wordWrap/>
        <w:overflowPunct/>
        <w:bidi w:val="0"/>
        <w:spacing w:line="560" w:lineRule="exact"/>
        <w:rPr>
          <w:rFonts w:hint="eastAsia" w:ascii="仿宋_GB2312" w:hAnsi="仿宋_GB2312" w:eastAsia="仿宋_GB2312" w:cs="仿宋_GB2312"/>
          <w:color w:val="auto"/>
          <w:sz w:val="32"/>
          <w:szCs w:val="32"/>
        </w:rPr>
      </w:pPr>
    </w:p>
    <w:p>
      <w:pPr>
        <w:pStyle w:val="15"/>
        <w:rPr>
          <w:rFonts w:hint="eastAsia" w:ascii="仿宋_GB2312" w:hAnsi="仿宋_GB2312" w:eastAsia="仿宋_GB2312" w:cs="仿宋_GB2312"/>
          <w:color w:val="auto"/>
          <w:sz w:val="32"/>
          <w:szCs w:val="32"/>
        </w:rPr>
      </w:pPr>
    </w:p>
    <w:p>
      <w:pPr>
        <w:rPr>
          <w:rFonts w:hint="eastAsia"/>
          <w:color w:val="auto"/>
        </w:rPr>
      </w:pPr>
    </w:p>
    <w:p>
      <w:pPr>
        <w:keepNext w:val="0"/>
        <w:keepLines w:val="0"/>
        <w:pageBreakBefore w:val="0"/>
        <w:widowControl w:val="0"/>
        <w:kinsoku/>
        <w:wordWrap/>
        <w:overflowPunct/>
        <w:autoSpaceDE w:val="0"/>
        <w:autoSpaceDN w:val="0"/>
        <w:bidi w:val="0"/>
        <w:adjustRightInd w:val="0"/>
        <w:snapToGrid w:val="0"/>
        <w:spacing w:line="560" w:lineRule="exact"/>
        <w:ind w:firstLine="3840" w:firstLineChars="12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 w:hAnsi="仿宋" w:eastAsia="仿宋" w:cs="仿宋"/>
          <w:highlight w:val="none"/>
        </w:rPr>
      </w:pPr>
      <w:r>
        <w:rPr>
          <w:rFonts w:hint="eastAsia" w:ascii="仿宋_GB2312" w:hAnsi="仿宋_GB2312" w:eastAsia="仿宋_GB2312" w:cs="仿宋_GB2312"/>
          <w:color w:val="auto"/>
          <w:sz w:val="32"/>
          <w:szCs w:val="32"/>
          <w:highlight w:val="none"/>
          <w:lang w:bidi="en-US"/>
        </w:rPr>
        <w:t>2023年</w:t>
      </w:r>
      <w:r>
        <w:rPr>
          <w:rFonts w:hint="eastAsia" w:ascii="仿宋_GB2312" w:hAnsi="仿宋_GB2312" w:eastAsia="仿宋_GB2312" w:cs="仿宋_GB2312"/>
          <w:color w:val="auto"/>
          <w:sz w:val="32"/>
          <w:szCs w:val="32"/>
          <w:highlight w:val="none"/>
          <w:lang w:val="en-US" w:eastAsia="zh-CN" w:bidi="en-US"/>
        </w:rPr>
        <w:t>9</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27</w:t>
      </w:r>
      <w:r>
        <w:rPr>
          <w:rFonts w:hint="eastAsia" w:ascii="仿宋_GB2312" w:hAnsi="仿宋_GB2312" w:eastAsia="仿宋_GB2312" w:cs="仿宋_GB2312"/>
          <w:color w:val="auto"/>
          <w:sz w:val="32"/>
          <w:szCs w:val="32"/>
          <w:highlight w:val="none"/>
          <w:lang w:bidi="en-US"/>
        </w:rPr>
        <w:t>日</w:t>
      </w:r>
    </w:p>
    <w:p>
      <w:pPr>
        <w:pStyle w:val="15"/>
        <w:rPr>
          <w:rFonts w:hint="eastAsia" w:ascii="仿宋" w:hAnsi="仿宋" w:eastAsia="仿宋" w:cs="仿宋"/>
          <w:highlight w:val="none"/>
        </w:rPr>
      </w:pPr>
    </w:p>
    <w:p>
      <w:pPr>
        <w:rPr>
          <w:rFonts w:hint="eastAsia" w:ascii="仿宋" w:hAnsi="仿宋" w:eastAsia="仿宋" w:cs="仿宋"/>
          <w:highlight w:val="none"/>
        </w:rPr>
      </w:pPr>
    </w:p>
    <w:p>
      <w:pPr>
        <w:pStyle w:val="15"/>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15"/>
        <w:rPr>
          <w:rFonts w:hint="eastAsia" w:ascii="仿宋" w:hAnsi="仿宋" w:eastAsia="仿宋" w:cs="仿宋"/>
          <w:highlight w:val="none"/>
        </w:rPr>
      </w:pPr>
    </w:p>
    <w:p>
      <w:pPr>
        <w:pStyle w:val="15"/>
        <w:rPr>
          <w:rFonts w:hint="eastAsia" w:ascii="仿宋" w:hAnsi="仿宋" w:eastAsia="仿宋" w:cs="仿宋"/>
          <w:highlight w:val="none"/>
        </w:rPr>
      </w:pPr>
    </w:p>
    <w:p>
      <w:pPr>
        <w:rPr>
          <w:rFonts w:hint="eastAsia"/>
        </w:rPr>
      </w:pPr>
    </w:p>
    <w:p>
      <w:pPr>
        <w:pStyle w:val="2"/>
        <w:rPr>
          <w:rFonts w:hint="eastAsia" w:ascii="仿宋" w:hAnsi="仿宋" w:eastAsia="仿宋" w:cs="仿宋"/>
          <w:highlight w:val="none"/>
        </w:rPr>
      </w:pPr>
    </w:p>
    <w:p>
      <w:pPr>
        <w:pStyle w:val="1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盟生态环境</w:t>
      </w:r>
      <w:r>
        <w:rPr>
          <w:rFonts w:hint="eastAsia" w:ascii="仿宋" w:hAnsi="仿宋" w:eastAsia="仿宋" w:cs="仿宋"/>
          <w:color w:val="auto"/>
          <w:kern w:val="2"/>
          <w:sz w:val="28"/>
          <w:szCs w:val="28"/>
          <w:highlight w:val="none"/>
          <w:lang w:eastAsia="zh-CN" w:bidi="en-US"/>
        </w:rPr>
        <w:t>局</w:t>
      </w:r>
      <w:r>
        <w:rPr>
          <w:rFonts w:hint="eastAsia" w:ascii="仿宋" w:hAnsi="仿宋" w:eastAsia="仿宋" w:cs="仿宋"/>
          <w:color w:val="auto"/>
          <w:kern w:val="2"/>
          <w:sz w:val="28"/>
          <w:szCs w:val="28"/>
          <w:highlight w:val="none"/>
          <w:lang w:val="en-US" w:eastAsia="zh-CN" w:bidi="en-US"/>
        </w:rPr>
        <w:t>二连浩特市分局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锡林郭勒盟生态环境局办公室              2023年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4082137"/>
    <w:rsid w:val="064265FE"/>
    <w:rsid w:val="07E80A5E"/>
    <w:rsid w:val="08125FE6"/>
    <w:rsid w:val="09F707CE"/>
    <w:rsid w:val="0C7A4895"/>
    <w:rsid w:val="0D6D6C1D"/>
    <w:rsid w:val="0EE27BE5"/>
    <w:rsid w:val="134A4ECA"/>
    <w:rsid w:val="1D61177E"/>
    <w:rsid w:val="1F9C573C"/>
    <w:rsid w:val="27B80082"/>
    <w:rsid w:val="29D8150D"/>
    <w:rsid w:val="2CF929A0"/>
    <w:rsid w:val="2DFD607A"/>
    <w:rsid w:val="2F1F3E8C"/>
    <w:rsid w:val="2F7E7F6E"/>
    <w:rsid w:val="31255C7D"/>
    <w:rsid w:val="46B26845"/>
    <w:rsid w:val="4A3B72B4"/>
    <w:rsid w:val="56990422"/>
    <w:rsid w:val="65980358"/>
    <w:rsid w:val="67927E4C"/>
    <w:rsid w:val="68387D94"/>
    <w:rsid w:val="6E1A4AAF"/>
    <w:rsid w:val="70EA0941"/>
    <w:rsid w:val="78CC1696"/>
    <w:rsid w:val="7CE53CE8"/>
    <w:rsid w:val="7F6C2C5A"/>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firstLine="420"/>
      <w:textAlignment w:val="baseline"/>
    </w:pPr>
    <w:rPr>
      <w:rFonts w:ascii="宋体" w:hAnsi="宋体"/>
      <w:sz w:val="18"/>
      <w:szCs w:val="18"/>
    </w:rPr>
  </w:style>
  <w:style w:type="paragraph" w:styleId="3">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5">
    <w:name w:val="Normal Indent"/>
    <w:basedOn w:val="1"/>
    <w:next w:val="1"/>
    <w:qFormat/>
    <w:uiPriority w:val="0"/>
    <w:pPr>
      <w:ind w:firstLine="420" w:firstLineChars="200"/>
    </w:pPr>
    <w:rPr>
      <w:rFonts w:ascii="Times New Roman" w:hAnsi="Times New Roman" w:eastAsia="宋体"/>
      <w:szCs w:val="24"/>
    </w:rPr>
  </w:style>
  <w:style w:type="paragraph" w:styleId="6">
    <w:name w:val="annotation text"/>
    <w:basedOn w:val="1"/>
    <w:link w:val="23"/>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qFormat/>
    <w:uiPriority w:val="0"/>
    <w:rPr>
      <w:rFonts w:ascii="宋体" w:hAnsi="Courier New"/>
      <w:szCs w:val="20"/>
    </w:rPr>
  </w:style>
  <w:style w:type="paragraph" w:customStyle="1" w:styleId="17">
    <w:name w:val="正文1"/>
    <w:basedOn w:val="15"/>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页眉 字符"/>
    <w:basedOn w:val="12"/>
    <w:link w:val="8"/>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2"/>
    <w:link w:val="6"/>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1769</Words>
  <Characters>1931</Characters>
  <Lines>19</Lines>
  <Paragraphs>5</Paragraphs>
  <TotalTime>10</TotalTime>
  <ScaleCrop>false</ScaleCrop>
  <LinksUpToDate>false</LinksUpToDate>
  <CharactersWithSpaces>1945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2023-09-27T01:58:50Z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3756DD9593EC4225BBDBAAA3CB0E4682</vt:lpwstr>
  </property>
</Properties>
</file>