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line="360" w:lineRule="auto"/>
        <w:jc w:val="center"/>
        <w:rPr>
          <w:b/>
          <w:bCs/>
          <w:sz w:val="32"/>
          <w:szCs w:val="32"/>
        </w:rPr>
      </w:pPr>
      <w:bookmarkStart w:id="0" w:name="_Hlk124747957"/>
    </w:p>
    <w:p>
      <w:pPr>
        <w:adjustRightInd w:val="0"/>
        <w:snapToGrid w:val="0"/>
        <w:spacing w:line="360" w:lineRule="auto"/>
        <w:jc w:val="center"/>
        <w:rPr>
          <w:b/>
          <w:bCs/>
          <w:sz w:val="32"/>
          <w:szCs w:val="32"/>
        </w:rPr>
      </w:pPr>
    </w:p>
    <w:p>
      <w:pPr>
        <w:pStyle w:val="6"/>
        <w:rPr>
          <w:b/>
          <w:bCs/>
          <w:sz w:val="32"/>
          <w:szCs w:val="32"/>
        </w:rPr>
      </w:pPr>
    </w:p>
    <w:p>
      <w:pPr>
        <w:rPr>
          <w:b/>
          <w:bCs/>
          <w:sz w:val="32"/>
          <w:szCs w:val="32"/>
        </w:rPr>
      </w:pPr>
    </w:p>
    <w:p>
      <w:pPr>
        <w:pStyle w:val="6"/>
        <w:rPr>
          <w:b/>
          <w:bCs/>
          <w:sz w:val="32"/>
          <w:szCs w:val="32"/>
        </w:rPr>
      </w:pPr>
    </w:p>
    <w:p>
      <w:pPr>
        <w:pStyle w:val="6"/>
        <w:ind w:left="0" w:leftChars="0" w:firstLine="0"/>
        <w:rPr>
          <w:b/>
          <w:bCs/>
          <w:sz w:val="32"/>
          <w:szCs w:val="32"/>
        </w:rPr>
      </w:pPr>
    </w:p>
    <w:p/>
    <w:p>
      <w:pPr>
        <w:pStyle w:val="6"/>
      </w:pPr>
    </w:p>
    <w:p>
      <w:pPr>
        <w:rPr>
          <w:highlight w:val="none"/>
        </w:rPr>
      </w:pPr>
    </w:p>
    <w:p>
      <w:pPr>
        <w:autoSpaceDE w:val="0"/>
        <w:autoSpaceDN w:val="0"/>
        <w:adjustRightInd w:val="0"/>
        <w:snapToGrid w:val="0"/>
        <w:spacing w:line="560" w:lineRule="exact"/>
        <w:jc w:val="center"/>
        <w:rPr>
          <w:rFonts w:ascii="仿宋_GB2312" w:hAnsi="Times New Roman" w:eastAsia="仿宋_GB2312" w:cs="Arial"/>
          <w:sz w:val="32"/>
          <w:szCs w:val="32"/>
          <w:highlight w:val="none"/>
          <w:lang w:bidi="en-US"/>
        </w:rPr>
      </w:pPr>
      <w:r>
        <w:rPr>
          <w:rFonts w:hint="eastAsia" w:ascii="仿宋_GB2312" w:hAnsi="Times New Roman" w:eastAsia="仿宋_GB2312" w:cs="Arial"/>
          <w:sz w:val="32"/>
          <w:szCs w:val="32"/>
          <w:highlight w:val="none"/>
          <w:lang w:bidi="en-US"/>
        </w:rPr>
        <w:t>锡署环审书〔2023〕</w:t>
      </w:r>
      <w:r>
        <w:rPr>
          <w:rFonts w:hint="eastAsia" w:ascii="仿宋_GB2312" w:hAnsi="Times New Roman" w:eastAsia="仿宋_GB2312" w:cs="Arial"/>
          <w:sz w:val="32"/>
          <w:szCs w:val="32"/>
          <w:highlight w:val="none"/>
          <w:lang w:val="en-US" w:eastAsia="zh-CN" w:bidi="en-US"/>
        </w:rPr>
        <w:t>38</w:t>
      </w:r>
      <w:r>
        <w:rPr>
          <w:rFonts w:hint="eastAsia" w:ascii="仿宋_GB2312" w:hAnsi="Times New Roman" w:eastAsia="仿宋_GB2312" w:cs="Arial"/>
          <w:sz w:val="32"/>
          <w:szCs w:val="32"/>
          <w:highlight w:val="none"/>
          <w:lang w:bidi="en-US"/>
        </w:rPr>
        <w:t>号</w:t>
      </w:r>
    </w:p>
    <w:p>
      <w:pPr>
        <w:adjustRightInd w:val="0"/>
        <w:snapToGrid w:val="0"/>
        <w:spacing w:line="360" w:lineRule="auto"/>
        <w:jc w:val="center"/>
        <w:rPr>
          <w:b/>
          <w:bCs/>
          <w:sz w:val="32"/>
          <w:szCs w:val="32"/>
        </w:rPr>
      </w:pPr>
    </w:p>
    <w:p>
      <w:pPr>
        <w:widowControl/>
        <w:spacing w:line="700" w:lineRule="exact"/>
        <w:jc w:val="center"/>
        <w:textAlignment w:val="baseline"/>
        <w:rPr>
          <w:rFonts w:ascii="方正小标宋简体" w:hAnsi="方正小标宋简体" w:eastAsia="方正小标宋简体" w:cs="方正小标宋简体"/>
          <w:bCs/>
          <w:sz w:val="44"/>
          <w:szCs w:val="44"/>
        </w:rPr>
      </w:pPr>
      <w:r>
        <w:rPr>
          <w:rFonts w:hint="eastAsia" w:ascii="方正小标宋简体" w:hAnsi="方正小标宋简体" w:eastAsia="方正小标宋简体" w:cs="方正小标宋简体"/>
          <w:bCs/>
          <w:sz w:val="44"/>
          <w:szCs w:val="44"/>
        </w:rPr>
        <w:t>锡林郭勒盟生态环境局</w:t>
      </w:r>
    </w:p>
    <w:bookmarkEnd w:id="0"/>
    <w:p>
      <w:pPr>
        <w:autoSpaceDE w:val="0"/>
        <w:autoSpaceDN w:val="0"/>
        <w:adjustRightInd w:val="0"/>
        <w:snapToGrid w:val="0"/>
        <w:spacing w:line="700" w:lineRule="exact"/>
        <w:jc w:val="center"/>
        <w:rPr>
          <w:rFonts w:hint="eastAsia" w:ascii="方正小标宋简体" w:hAnsi="方正小标宋简体" w:eastAsia="方正小标宋简体" w:cs="方正小标宋简体"/>
          <w:bCs/>
          <w:sz w:val="44"/>
          <w:szCs w:val="44"/>
        </w:rPr>
      </w:pPr>
      <w:r>
        <w:rPr>
          <w:rFonts w:hint="eastAsia" w:ascii="方正小标宋简体" w:hAnsi="方正小标宋简体" w:eastAsia="方正小标宋简体" w:cs="方正小标宋简体"/>
          <w:bCs/>
          <w:sz w:val="44"/>
          <w:szCs w:val="44"/>
        </w:rPr>
        <w:t>关于内蒙古玉龙矿业股份有限公司西乌珠穆沁旗花敖包特银铅矿2000t/d选矿厂技</w:t>
      </w:r>
    </w:p>
    <w:p>
      <w:pPr>
        <w:autoSpaceDE w:val="0"/>
        <w:autoSpaceDN w:val="0"/>
        <w:adjustRightInd w:val="0"/>
        <w:snapToGrid w:val="0"/>
        <w:spacing w:line="700" w:lineRule="exact"/>
        <w:jc w:val="center"/>
        <w:rPr>
          <w:rFonts w:ascii="方正小标宋简体" w:hAnsi="方正小标宋简体" w:eastAsia="方正小标宋简体" w:cs="方正小标宋简体"/>
          <w:bCs/>
          <w:sz w:val="44"/>
          <w:szCs w:val="44"/>
        </w:rPr>
      </w:pPr>
      <w:r>
        <w:rPr>
          <w:rFonts w:hint="eastAsia" w:ascii="方正小标宋简体" w:hAnsi="方正小标宋简体" w:eastAsia="方正小标宋简体" w:cs="方正小标宋简体"/>
          <w:bCs/>
          <w:sz w:val="44"/>
          <w:szCs w:val="44"/>
        </w:rPr>
        <w:t>术改造项目环境影响报告书的批复</w:t>
      </w:r>
    </w:p>
    <w:p>
      <w:pPr>
        <w:autoSpaceDE w:val="0"/>
        <w:autoSpaceDN w:val="0"/>
        <w:adjustRightInd w:val="0"/>
        <w:snapToGrid w:val="0"/>
        <w:spacing w:line="520" w:lineRule="exact"/>
        <w:rPr>
          <w:rFonts w:ascii="仿宋_GB2312" w:hAnsi="仿宋_GB2312" w:eastAsia="仿宋_GB2312" w:cs="仿宋_GB2312"/>
          <w:sz w:val="32"/>
          <w:szCs w:val="32"/>
          <w:lang w:bidi="en-US"/>
        </w:rPr>
      </w:pPr>
    </w:p>
    <w:p>
      <w:pPr>
        <w:keepNext w:val="0"/>
        <w:keepLines w:val="0"/>
        <w:pageBreakBefore w:val="0"/>
        <w:widowControl w:val="0"/>
        <w:kinsoku/>
        <w:wordWrap/>
        <w:overflowPunct/>
        <w:autoSpaceDE w:val="0"/>
        <w:autoSpaceDN w:val="0"/>
        <w:bidi w:val="0"/>
        <w:adjustRightInd w:val="0"/>
        <w:snapToGrid w:val="0"/>
        <w:spacing w:line="520" w:lineRule="exact"/>
        <w:textAlignment w:val="auto"/>
        <w:rPr>
          <w:rFonts w:hint="eastAsia" w:ascii="仿宋_GB2312" w:hAnsi="仿宋_GB2312" w:eastAsia="仿宋_GB2312" w:cs="仿宋_GB2312"/>
          <w:sz w:val="32"/>
          <w:szCs w:val="32"/>
          <w:lang w:bidi="en-US"/>
        </w:rPr>
      </w:pPr>
      <w:r>
        <w:rPr>
          <w:rFonts w:hint="eastAsia" w:ascii="仿宋_GB2312" w:hAnsi="仿宋_GB2312" w:eastAsia="仿宋_GB2312" w:cs="仿宋_GB2312"/>
          <w:sz w:val="32"/>
          <w:szCs w:val="32"/>
          <w:lang w:bidi="en-US"/>
        </w:rPr>
        <w:t>内蒙古玉龙矿业股份有限公司：</w:t>
      </w:r>
    </w:p>
    <w:p>
      <w:pPr>
        <w:keepNext w:val="0"/>
        <w:keepLines w:val="0"/>
        <w:pageBreakBefore w:val="0"/>
        <w:widowControl w:val="0"/>
        <w:kinsoku/>
        <w:wordWrap/>
        <w:overflowPunct/>
        <w:autoSpaceDE w:val="0"/>
        <w:autoSpaceDN w:val="0"/>
        <w:bidi w:val="0"/>
        <w:adjustRightInd w:val="0"/>
        <w:snapToGrid w:val="0"/>
        <w:spacing w:line="520" w:lineRule="exact"/>
        <w:ind w:firstLine="640" w:firstLineChars="200"/>
        <w:textAlignment w:val="auto"/>
        <w:rPr>
          <w:rFonts w:hint="eastAsia" w:ascii="仿宋_GB2312" w:hAnsi="仿宋_GB2312" w:eastAsia="仿宋_GB2312" w:cs="仿宋_GB2312"/>
          <w:sz w:val="32"/>
          <w:szCs w:val="32"/>
          <w:lang w:bidi="en-US"/>
        </w:rPr>
      </w:pPr>
      <w:r>
        <w:rPr>
          <w:rFonts w:hint="eastAsia" w:ascii="仿宋_GB2312" w:hAnsi="仿宋_GB2312" w:eastAsia="仿宋_GB2312" w:cs="仿宋_GB2312"/>
          <w:sz w:val="32"/>
          <w:szCs w:val="32"/>
          <w:lang w:bidi="en-US"/>
        </w:rPr>
        <w:t>你单位报送的《内蒙古玉龙矿业股份有限公司西乌珠穆沁旗花敖包特银铅矿2000t/d选矿厂技术改造项目环境影响报告书》（</w:t>
      </w:r>
      <w:r>
        <w:rPr>
          <w:rFonts w:hint="eastAsia" w:ascii="仿宋_GB2312" w:hAnsi="仿宋_GB2312" w:eastAsia="仿宋_GB2312" w:cs="仿宋_GB2312"/>
          <w:sz w:val="32"/>
          <w:szCs w:val="32"/>
          <w:lang w:eastAsia="zh-Hans" w:bidi="en-US"/>
        </w:rPr>
        <w:t>以下简称《报告书》</w:t>
      </w:r>
      <w:r>
        <w:rPr>
          <w:rFonts w:hint="eastAsia" w:ascii="仿宋_GB2312" w:hAnsi="仿宋_GB2312" w:eastAsia="仿宋_GB2312" w:cs="仿宋_GB2312"/>
          <w:sz w:val="32"/>
          <w:szCs w:val="32"/>
          <w:lang w:bidi="en-US"/>
        </w:rPr>
        <w:t>）收悉。经研究，批复如下：</w:t>
      </w:r>
    </w:p>
    <w:p>
      <w:pPr>
        <w:pStyle w:val="25"/>
        <w:keepNext w:val="0"/>
        <w:keepLines w:val="0"/>
        <w:pageBreakBefore w:val="0"/>
        <w:widowControl w:val="0"/>
        <w:kinsoku/>
        <w:wordWrap/>
        <w:overflowPunct/>
        <w:bidi w:val="0"/>
        <w:spacing w:line="520" w:lineRule="exact"/>
        <w:ind w:firstLine="608" w:firstLineChars="190"/>
        <w:textAlignment w:val="auto"/>
        <w:rPr>
          <w:rFonts w:hint="eastAsia" w:ascii="仿宋_GB2312" w:hAnsi="仿宋_GB2312" w:eastAsia="仿宋_GB2312" w:cs="仿宋_GB2312"/>
          <w:bCs/>
          <w:kern w:val="0"/>
          <w:sz w:val="32"/>
          <w:szCs w:val="32"/>
          <w:lang w:bidi="ar"/>
        </w:rPr>
      </w:pPr>
      <w:r>
        <w:rPr>
          <w:rFonts w:hint="eastAsia" w:ascii="仿宋_GB2312" w:hAnsi="仿宋_GB2312" w:eastAsia="仿宋_GB2312" w:cs="仿宋_GB2312"/>
          <w:sz w:val="32"/>
          <w:szCs w:val="32"/>
          <w:lang w:bidi="en-US"/>
        </w:rPr>
        <w:t>一、</w:t>
      </w:r>
      <w:r>
        <w:rPr>
          <w:rFonts w:hint="eastAsia" w:ascii="仿宋_GB2312" w:hAnsi="仿宋_GB2312" w:eastAsia="仿宋_GB2312" w:cs="仿宋_GB2312"/>
          <w:bCs/>
          <w:kern w:val="0"/>
          <w:sz w:val="32"/>
          <w:szCs w:val="32"/>
          <w:lang w:bidi="ar"/>
        </w:rPr>
        <w:t>内蒙古玉龙矿业股份有限公司西乌珠穆沁旗花敖包特银铅矿2000t/d选矿厂技术改造项目位于内蒙古自治区锡林郭勒盟西乌珠穆沁旗巴彦花镇巴彦胡博嘎查内蒙古玉龙矿业股份有限公司现有矿区范围内，</w:t>
      </w:r>
      <w:r>
        <w:rPr>
          <w:rFonts w:hint="eastAsia" w:ascii="仿宋_GB2312" w:hAnsi="仿宋_GB2312" w:eastAsia="仿宋_GB2312" w:cs="仿宋_GB2312"/>
          <w:bCs/>
          <w:sz w:val="32"/>
          <w:szCs w:val="32"/>
          <w:lang w:bidi="ar"/>
        </w:rPr>
        <w:t>本次技改2000t/d选矿项目在现有1400t/d选矿车间预留用地建设，对1400t/d选矿工程厂房及设备进行升级改造。公司原有2个选矿车间，分别为1400t/d选矿车间和2000t/d选矿车间，</w:t>
      </w:r>
      <w:r>
        <w:rPr>
          <w:rFonts w:hint="eastAsia" w:ascii="仿宋_GB2312" w:hAnsi="仿宋_GB2312" w:eastAsia="仿宋_GB2312" w:cs="仿宋_GB2312"/>
          <w:kern w:val="0"/>
          <w:sz w:val="32"/>
          <w:szCs w:val="32"/>
          <w:lang w:bidi="ar"/>
        </w:rPr>
        <w:t>年处理银铅锌矿石72</w:t>
      </w:r>
      <w:r>
        <w:rPr>
          <w:rFonts w:hint="eastAsia" w:ascii="仿宋_GB2312" w:hAnsi="仿宋_GB2312" w:eastAsia="仿宋_GB2312" w:cs="仿宋_GB2312"/>
          <w:bCs/>
          <w:sz w:val="32"/>
          <w:szCs w:val="32"/>
          <w:lang w:bidi="ar"/>
        </w:rPr>
        <w:t>×10</w:t>
      </w:r>
      <w:r>
        <w:rPr>
          <w:rFonts w:hint="eastAsia" w:ascii="仿宋_GB2312" w:hAnsi="仿宋_GB2312" w:eastAsia="仿宋_GB2312" w:cs="仿宋_GB2312"/>
          <w:bCs/>
          <w:sz w:val="32"/>
          <w:szCs w:val="32"/>
          <w:vertAlign w:val="superscript"/>
          <w:lang w:bidi="ar"/>
        </w:rPr>
        <w:t>4</w:t>
      </w:r>
      <w:r>
        <w:rPr>
          <w:rFonts w:hint="eastAsia" w:ascii="仿宋_GB2312" w:hAnsi="仿宋_GB2312" w:eastAsia="仿宋_GB2312" w:cs="仿宋_GB2312"/>
          <w:bCs/>
          <w:sz w:val="32"/>
          <w:szCs w:val="32"/>
          <w:lang w:bidi="ar"/>
        </w:rPr>
        <w:t>t</w:t>
      </w:r>
      <w:r>
        <w:rPr>
          <w:rFonts w:hint="eastAsia" w:ascii="仿宋_GB2312" w:hAnsi="仿宋_GB2312" w:eastAsia="仿宋_GB2312" w:cs="仿宋_GB2312"/>
          <w:kern w:val="0"/>
          <w:sz w:val="32"/>
          <w:szCs w:val="32"/>
          <w:lang w:bidi="ar"/>
        </w:rPr>
        <w:t>。技改工程完成后，原有</w:t>
      </w:r>
      <w:r>
        <w:rPr>
          <w:rFonts w:hint="eastAsia" w:ascii="仿宋_GB2312" w:hAnsi="仿宋_GB2312" w:eastAsia="仿宋_GB2312" w:cs="仿宋_GB2312"/>
          <w:bCs/>
          <w:sz w:val="32"/>
          <w:szCs w:val="32"/>
          <w:lang w:bidi="ar"/>
        </w:rPr>
        <w:t>2000t/d选矿车间及辅助工程淘汰，2000t/d选矿工程产能置换至新选厂，选厂年处理原矿量不变</w:t>
      </w:r>
      <w:r>
        <w:rPr>
          <w:rFonts w:hint="eastAsia" w:ascii="仿宋_GB2312" w:hAnsi="仿宋_GB2312" w:eastAsia="仿宋_GB2312" w:cs="仿宋_GB2312"/>
          <w:kern w:val="0"/>
          <w:sz w:val="32"/>
          <w:szCs w:val="32"/>
          <w:lang w:bidi="ar"/>
        </w:rPr>
        <w:t>。项目生产工艺为碎磨流程采用“一段粗碎+半自磨+球磨流程”，</w:t>
      </w:r>
      <w:r>
        <w:rPr>
          <w:rFonts w:hint="eastAsia" w:ascii="仿宋_GB2312" w:hAnsi="仿宋_GB2312" w:eastAsia="仿宋_GB2312" w:cs="仿宋_GB2312"/>
          <w:kern w:val="0"/>
          <w:sz w:val="32"/>
          <w:szCs w:val="32"/>
          <w:lang w:bidi="ar"/>
        </w:rPr>
        <w:t>浮选流程采用“铅锌优先浮选的流程”，精矿脱水流程采用“浓密+过滤两段脱水流程”，尾矿在井下充填作业时直接输送至充填站砂仓，在井下充填不作业时经厂前浓密后高浓度输送至尾矿库内。</w:t>
      </w:r>
      <w:r>
        <w:rPr>
          <w:rFonts w:hint="eastAsia" w:ascii="仿宋_GB2312" w:hAnsi="仿宋_GB2312" w:eastAsia="仿宋_GB2312" w:cs="仿宋_GB2312"/>
          <w:bCs/>
          <w:kern w:val="0"/>
          <w:sz w:val="32"/>
          <w:szCs w:val="32"/>
          <w:lang w:bidi="ar"/>
        </w:rPr>
        <w:t>项目劳动定员348人，项目总投资为3212.27万元，其中环保投资为125万元，占总投资比例为3.89%。</w:t>
      </w:r>
    </w:p>
    <w:p>
      <w:pPr>
        <w:keepNext w:val="0"/>
        <w:keepLines w:val="0"/>
        <w:pageBreakBefore w:val="0"/>
        <w:widowControl w:val="0"/>
        <w:kinsoku/>
        <w:wordWrap/>
        <w:overflowPunct/>
        <w:autoSpaceDE w:val="0"/>
        <w:autoSpaceDN w:val="0"/>
        <w:bidi w:val="0"/>
        <w:adjustRightInd w:val="0"/>
        <w:snapToGrid w:val="0"/>
        <w:spacing w:line="52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报告书》认为，在全面落实各项生态保护和污染防治措施的前提下，项目建设对环境的不利影响能够得到一定的缓解和控制。我局原则同意本项目按照《报告书》所列的建设项目性质、规模、地点和拟采取的污染防治措施及下述要求进行建设。</w:t>
      </w:r>
    </w:p>
    <w:p>
      <w:pPr>
        <w:keepNext w:val="0"/>
        <w:keepLines w:val="0"/>
        <w:pageBreakBefore w:val="0"/>
        <w:widowControl w:val="0"/>
        <w:kinsoku/>
        <w:wordWrap/>
        <w:overflowPunct/>
        <w:autoSpaceDE w:val="0"/>
        <w:autoSpaceDN w:val="0"/>
        <w:bidi w:val="0"/>
        <w:adjustRightInd w:val="0"/>
        <w:snapToGrid w:val="0"/>
        <w:spacing w:line="52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二、项目在设计、建设和运营过程中还应做好以下工作。</w:t>
      </w:r>
    </w:p>
    <w:p>
      <w:pPr>
        <w:keepNext w:val="0"/>
        <w:keepLines w:val="0"/>
        <w:pageBreakBefore w:val="0"/>
        <w:widowControl w:val="0"/>
        <w:kinsoku/>
        <w:wordWrap/>
        <w:overflowPunct/>
        <w:bidi w:val="0"/>
        <w:spacing w:line="520" w:lineRule="exact"/>
        <w:ind w:firstLine="608" w:firstLineChars="190"/>
        <w:textAlignment w:val="auto"/>
        <w:rPr>
          <w:rFonts w:hint="eastAsia" w:ascii="仿宋_GB2312" w:hAnsi="仿宋_GB2312" w:eastAsia="仿宋_GB2312" w:cs="仿宋_GB2312"/>
          <w:bCs/>
          <w:sz w:val="32"/>
          <w:szCs w:val="32"/>
          <w:lang w:bidi="en-US"/>
        </w:rPr>
      </w:pPr>
      <w:r>
        <w:rPr>
          <w:rFonts w:hint="eastAsia" w:ascii="楷体" w:hAnsi="楷体" w:eastAsia="楷体" w:cs="楷体"/>
          <w:sz w:val="32"/>
          <w:szCs w:val="32"/>
        </w:rPr>
        <w:t>（一）严格落实各项大气污染防治措施。</w:t>
      </w:r>
      <w:r>
        <w:rPr>
          <w:rFonts w:hint="eastAsia" w:ascii="仿宋_GB2312" w:hAnsi="仿宋_GB2312" w:eastAsia="仿宋_GB2312" w:cs="仿宋_GB2312"/>
          <w:bCs/>
          <w:sz w:val="32"/>
          <w:szCs w:val="32"/>
          <w:lang w:bidi="en-US"/>
        </w:rPr>
        <w:t>破碎机进出料口设置集气罩，粉尘进入滤筒除尘器净化处理，处理后的废气通过15m高排气筒排放；转运过程中的粉尘经集气罩收集进入滤筒除尘器净化处理，处理后的废气通过15m高排气筒排放</w:t>
      </w:r>
      <w:r>
        <w:rPr>
          <w:rFonts w:hint="eastAsia" w:ascii="仿宋_GB2312" w:hAnsi="仿宋_GB2312" w:eastAsia="仿宋_GB2312" w:cs="仿宋_GB2312"/>
          <w:bCs/>
          <w:sz w:val="32"/>
          <w:szCs w:val="32"/>
          <w:lang w:val="zh-CN" w:bidi="en-US"/>
        </w:rPr>
        <w:t>，</w:t>
      </w:r>
      <w:r>
        <w:rPr>
          <w:rFonts w:hint="eastAsia" w:ascii="仿宋_GB2312" w:hAnsi="仿宋_GB2312" w:eastAsia="仿宋_GB2312" w:cs="仿宋_GB2312"/>
          <w:bCs/>
          <w:sz w:val="32"/>
          <w:szCs w:val="32"/>
          <w:lang w:bidi="en-US"/>
        </w:rPr>
        <w:t>满足《铅、锌工业污染物排放标准》（GB25466-2010）及2013年修改单车间或生产设施排气筒污染物浓度限值。</w:t>
      </w:r>
    </w:p>
    <w:p>
      <w:pPr>
        <w:keepNext w:val="0"/>
        <w:keepLines w:val="0"/>
        <w:pageBreakBefore w:val="0"/>
        <w:widowControl w:val="0"/>
        <w:kinsoku/>
        <w:wordWrap/>
        <w:overflowPunct/>
        <w:autoSpaceDE w:val="0"/>
        <w:autoSpaceDN w:val="0"/>
        <w:bidi w:val="0"/>
        <w:adjustRightInd w:val="0"/>
        <w:snapToGrid w:val="0"/>
        <w:spacing w:line="520" w:lineRule="exact"/>
        <w:ind w:firstLine="640" w:firstLineChars="200"/>
        <w:textAlignment w:val="auto"/>
        <w:rPr>
          <w:rFonts w:hint="eastAsia" w:ascii="仿宋_GB2312" w:hAnsi="仿宋_GB2312" w:eastAsia="仿宋_GB2312" w:cs="仿宋_GB2312"/>
          <w:color w:val="000000"/>
          <w:sz w:val="32"/>
          <w:szCs w:val="32"/>
          <w:lang w:bidi="en-US"/>
        </w:rPr>
      </w:pPr>
      <w:r>
        <w:rPr>
          <w:rFonts w:hint="eastAsia" w:ascii="仿宋_GB2312" w:hAnsi="仿宋_GB2312" w:eastAsia="仿宋_GB2312" w:cs="仿宋_GB2312"/>
          <w:bCs/>
          <w:sz w:val="32"/>
          <w:szCs w:val="32"/>
          <w:lang w:bidi="en-US"/>
        </w:rPr>
        <w:t>原矿堆场设置防风抑尘网，并定期洒水降尘；矿石进料口位于防风抑尘网内，粗碎车间、皮带长廊、中间堆场、转运站均全封闭设置；加药系统石灰罐仓顶设置</w:t>
      </w:r>
      <w:r>
        <w:rPr>
          <w:rFonts w:hint="eastAsia" w:ascii="仿宋_GB2312" w:hAnsi="仿宋_GB2312" w:eastAsia="仿宋_GB2312" w:cs="仿宋_GB2312"/>
          <w:color w:val="000000"/>
          <w:sz w:val="32"/>
          <w:szCs w:val="32"/>
          <w:lang w:bidi="en-US"/>
        </w:rPr>
        <w:t>收尘器</w:t>
      </w:r>
      <w:r>
        <w:rPr>
          <w:rFonts w:hint="eastAsia" w:ascii="仿宋_GB2312" w:hAnsi="仿宋_GB2312" w:eastAsia="仿宋_GB2312" w:cs="仿宋_GB2312"/>
          <w:bCs/>
          <w:sz w:val="32"/>
          <w:szCs w:val="32"/>
          <w:lang w:bidi="en-US"/>
        </w:rPr>
        <w:t>。颗粒物排放满足《铅、锌工业污染物排放标准》（GB25466-2010）及2013年修改单新建企业边界大气污染物浓度限值。</w:t>
      </w:r>
    </w:p>
    <w:p>
      <w:pPr>
        <w:keepNext w:val="0"/>
        <w:keepLines w:val="0"/>
        <w:pageBreakBefore w:val="0"/>
        <w:widowControl w:val="0"/>
        <w:kinsoku/>
        <w:wordWrap/>
        <w:overflowPunct/>
        <w:bidi w:val="0"/>
        <w:spacing w:line="520" w:lineRule="exact"/>
        <w:ind w:firstLine="608" w:firstLineChars="190"/>
        <w:textAlignment w:val="auto"/>
        <w:rPr>
          <w:rFonts w:hint="eastAsia" w:ascii="仿宋_GB2312" w:hAnsi="仿宋_GB2312" w:eastAsia="仿宋_GB2312" w:cs="仿宋_GB2312"/>
          <w:bCs/>
          <w:sz w:val="32"/>
          <w:szCs w:val="32"/>
          <w:lang w:bidi="en-US"/>
        </w:rPr>
      </w:pPr>
      <w:r>
        <w:rPr>
          <w:rFonts w:hint="eastAsia" w:ascii="楷体" w:hAnsi="楷体" w:eastAsia="楷体" w:cs="楷体"/>
          <w:sz w:val="32"/>
          <w:szCs w:val="32"/>
        </w:rPr>
        <w:t>（二）严格落实各项水污染防治措施。</w:t>
      </w:r>
      <w:r>
        <w:rPr>
          <w:rFonts w:hint="eastAsia" w:ascii="仿宋_GB2312" w:hAnsi="仿宋_GB2312" w:eastAsia="仿宋_GB2312" w:cs="仿宋_GB2312"/>
          <w:bCs/>
          <w:sz w:val="32"/>
          <w:szCs w:val="32"/>
          <w:lang w:bidi="en-US"/>
        </w:rPr>
        <w:t>本项目水污染物主要为铅精矿浓缩溢流废水、锌精矿浓缩溢流废水，分别经相应的回水池收集后，上清液泵至相应的铅、锌选别工序回用，浓水经管道输送至尾矿库。尾矿回水返回至尾矿回水处理车间返回选厂循环利用。项目无生产废水外排。生活污水通过现有污水处理设施处理后，出水达到《城市污水再生利用 城市杂用水水质》（GB/T18920-2020）后作为厂区绿化、抑尘用水，冬季排入尾矿库内，不外排。</w:t>
      </w:r>
    </w:p>
    <w:p>
      <w:pPr>
        <w:keepNext w:val="0"/>
        <w:keepLines w:val="0"/>
        <w:pageBreakBefore w:val="0"/>
        <w:widowControl w:val="0"/>
        <w:kinsoku/>
        <w:wordWrap/>
        <w:overflowPunct/>
        <w:autoSpaceDE w:val="0"/>
        <w:autoSpaceDN w:val="0"/>
        <w:bidi w:val="0"/>
        <w:adjustRightInd w:val="0"/>
        <w:snapToGrid w:val="0"/>
        <w:spacing w:line="520" w:lineRule="exact"/>
        <w:ind w:firstLine="640" w:firstLineChars="200"/>
        <w:textAlignment w:val="auto"/>
        <w:rPr>
          <w:rFonts w:hint="eastAsia" w:ascii="仿宋_GB2312" w:hAnsi="仿宋_GB2312" w:eastAsia="仿宋_GB2312" w:cs="仿宋_GB2312"/>
          <w:sz w:val="32"/>
          <w:szCs w:val="32"/>
          <w:lang w:bidi="en-US"/>
        </w:rPr>
      </w:pPr>
      <w:r>
        <w:rPr>
          <w:rFonts w:hint="eastAsia" w:ascii="仿宋_GB2312" w:hAnsi="仿宋_GB2312" w:eastAsia="仿宋_GB2312" w:cs="仿宋_GB2312"/>
          <w:color w:val="000000"/>
          <w:sz w:val="32"/>
          <w:szCs w:val="32"/>
          <w:lang w:bidi="en-US"/>
        </w:rPr>
        <w:t>地下水防控措施按照“源头控制、分区防控、污染监控、应急响应”相结合的原则。水处理间和深度处理回用水池等重点防渗区域应满足《环境影响评价技术导则 地下水环境》（HJ610-2016）中重点防渗区要求，即等效粘土防渗层厚度≥6m，渗透系数≤10</w:t>
      </w:r>
      <w:r>
        <w:rPr>
          <w:rFonts w:hint="eastAsia" w:ascii="仿宋_GB2312" w:hAnsi="仿宋_GB2312" w:eastAsia="仿宋_GB2312" w:cs="仿宋_GB2312"/>
          <w:color w:val="000000"/>
          <w:sz w:val="32"/>
          <w:szCs w:val="32"/>
          <w:vertAlign w:val="superscript"/>
          <w:lang w:bidi="en-US"/>
        </w:rPr>
        <w:t>-7</w:t>
      </w:r>
      <w:r>
        <w:rPr>
          <w:rFonts w:hint="eastAsia" w:ascii="仿宋_GB2312" w:hAnsi="仿宋_GB2312" w:eastAsia="仿宋_GB2312" w:cs="仿宋_GB2312"/>
          <w:color w:val="000000"/>
          <w:sz w:val="32"/>
          <w:szCs w:val="32"/>
          <w:lang w:bidi="en-US"/>
        </w:rPr>
        <w:t>cm/s。中间堆场、选厂综合仓库、选厂机电修间、磨矿车间、浮选车间、脱水车间、精矿车间等一般防渗区域应满足《环境影响评价技术导则 地下水环境》（HJ610-2016）中一般防渗区要求，即等效粘土防渗层厚度≥1.5m，渗透系数≤10</w:t>
      </w:r>
      <w:r>
        <w:rPr>
          <w:rFonts w:hint="eastAsia" w:ascii="仿宋_GB2312" w:hAnsi="仿宋_GB2312" w:eastAsia="仿宋_GB2312" w:cs="仿宋_GB2312"/>
          <w:color w:val="000000"/>
          <w:sz w:val="32"/>
          <w:szCs w:val="32"/>
          <w:vertAlign w:val="superscript"/>
          <w:lang w:bidi="en-US"/>
        </w:rPr>
        <w:t>-7</w:t>
      </w:r>
      <w:r>
        <w:rPr>
          <w:rFonts w:hint="eastAsia" w:ascii="仿宋_GB2312" w:hAnsi="仿宋_GB2312" w:eastAsia="仿宋_GB2312" w:cs="仿宋_GB2312"/>
          <w:color w:val="000000"/>
          <w:sz w:val="32"/>
          <w:szCs w:val="32"/>
          <w:lang w:bidi="en-US"/>
        </w:rPr>
        <w:t>cm/s。厂区道路等其他非污染区可进行简单防渗，一般地面硬化。</w:t>
      </w:r>
    </w:p>
    <w:p>
      <w:pPr>
        <w:keepNext w:val="0"/>
        <w:keepLines w:val="0"/>
        <w:pageBreakBefore w:val="0"/>
        <w:widowControl w:val="0"/>
        <w:kinsoku/>
        <w:wordWrap/>
        <w:overflowPunct/>
        <w:bidi w:val="0"/>
        <w:spacing w:line="520" w:lineRule="exact"/>
        <w:ind w:firstLine="608" w:firstLineChars="190"/>
        <w:textAlignment w:val="auto"/>
        <w:rPr>
          <w:rFonts w:hint="eastAsia" w:ascii="仿宋_GB2312" w:hAnsi="仿宋_GB2312" w:eastAsia="仿宋_GB2312" w:cs="仿宋_GB2312"/>
          <w:sz w:val="32"/>
          <w:szCs w:val="32"/>
          <w:lang w:bidi="en-US"/>
        </w:rPr>
      </w:pPr>
      <w:r>
        <w:rPr>
          <w:rFonts w:hint="eastAsia" w:ascii="楷体" w:hAnsi="楷体" w:eastAsia="楷体" w:cs="楷体"/>
          <w:sz w:val="32"/>
          <w:szCs w:val="32"/>
        </w:rPr>
        <w:t>（三）</w:t>
      </w:r>
      <w:r>
        <w:rPr>
          <w:rFonts w:hint="eastAsia" w:ascii="楷体" w:hAnsi="楷体" w:eastAsia="楷体" w:cs="楷体"/>
          <w:color w:val="000000"/>
          <w:sz w:val="32"/>
          <w:szCs w:val="32"/>
          <w:lang w:bidi="en-US"/>
        </w:rPr>
        <w:t>严格落实噪声防治措施。</w:t>
      </w:r>
      <w:r>
        <w:rPr>
          <w:rFonts w:hint="eastAsia" w:ascii="仿宋_GB2312" w:hAnsi="仿宋_GB2312" w:eastAsia="仿宋_GB2312" w:cs="仿宋_GB2312"/>
          <w:color w:val="000000"/>
          <w:sz w:val="32"/>
          <w:szCs w:val="32"/>
          <w:lang w:bidi="en-US"/>
        </w:rPr>
        <w:t>针对各噪声源特征进行消音、减振等处理，合理布置车间位置，尽量降低噪声对环境及厂内行政区的影响；选用低噪声设备、厂房屏蔽等措施，厂界噪声应满足《工业企业厂界环境噪声排放标准》（GB12348-2008）2类标准要求。</w:t>
      </w:r>
    </w:p>
    <w:p>
      <w:pPr>
        <w:keepNext w:val="0"/>
        <w:keepLines w:val="0"/>
        <w:pageBreakBefore w:val="0"/>
        <w:widowControl w:val="0"/>
        <w:kinsoku/>
        <w:wordWrap/>
        <w:overflowPunct/>
        <w:bidi w:val="0"/>
        <w:spacing w:line="520" w:lineRule="exact"/>
        <w:ind w:firstLine="608" w:firstLineChars="190"/>
        <w:textAlignment w:val="auto"/>
        <w:rPr>
          <w:rFonts w:hint="eastAsia" w:ascii="仿宋_GB2312" w:hAnsi="仿宋_GB2312" w:eastAsia="仿宋_GB2312" w:cs="仿宋_GB2312"/>
          <w:sz w:val="32"/>
          <w:szCs w:val="32"/>
          <w:lang w:bidi="en-US"/>
        </w:rPr>
      </w:pPr>
      <w:r>
        <w:rPr>
          <w:rFonts w:hint="eastAsia" w:ascii="楷体" w:hAnsi="楷体" w:eastAsia="楷体" w:cs="楷体"/>
          <w:sz w:val="32"/>
          <w:szCs w:val="32"/>
        </w:rPr>
        <w:t>（四）</w:t>
      </w:r>
      <w:r>
        <w:rPr>
          <w:rFonts w:hint="eastAsia" w:ascii="楷体" w:hAnsi="楷体" w:eastAsia="楷体" w:cs="楷体"/>
          <w:color w:val="000000"/>
          <w:sz w:val="32"/>
          <w:szCs w:val="32"/>
          <w:lang w:bidi="en-US"/>
        </w:rPr>
        <w:t>严格落实固体废物污染防治措施。</w:t>
      </w:r>
      <w:r>
        <w:rPr>
          <w:rFonts w:hint="eastAsia" w:ascii="仿宋_GB2312" w:hAnsi="仿宋_GB2312" w:eastAsia="仿宋_GB2312" w:cs="仿宋_GB2312"/>
          <w:bCs/>
          <w:sz w:val="32"/>
          <w:szCs w:val="32"/>
          <w:lang w:bidi="en-US"/>
        </w:rPr>
        <w:t>运营期一般固废选矿尾矿由管道输送至尾矿库堆存，35%尾矿充填井下；</w:t>
      </w:r>
      <w:r>
        <w:rPr>
          <w:rFonts w:hint="eastAsia" w:ascii="仿宋_GB2312" w:hAnsi="仿宋_GB2312" w:eastAsia="仿宋_GB2312" w:cs="仿宋_GB2312"/>
          <w:bCs/>
          <w:sz w:val="32"/>
          <w:szCs w:val="32"/>
          <w:lang w:val="en-GB" w:bidi="en-US"/>
        </w:rPr>
        <w:t>布袋除尘系统收集的除尘灰作为项目原料再利用；</w:t>
      </w:r>
      <w:r>
        <w:rPr>
          <w:rFonts w:hint="eastAsia" w:ascii="仿宋_GB2312" w:hAnsi="仿宋_GB2312" w:eastAsia="仿宋_GB2312" w:cs="仿宋_GB2312"/>
          <w:bCs/>
          <w:sz w:val="32"/>
          <w:szCs w:val="32"/>
          <w:lang w:bidi="en-US"/>
        </w:rPr>
        <w:t>尾矿回水处理系统污泥由管道输送至尾矿库堆存；生活垃圾由环卫部门统一拉运清理。危险废物浮选药品废弃包装材料、废机油</w:t>
      </w:r>
      <w:r>
        <w:rPr>
          <w:rFonts w:hint="eastAsia" w:ascii="仿宋_GB2312" w:hAnsi="仿宋_GB2312" w:eastAsia="仿宋_GB2312" w:cs="仿宋_GB2312"/>
          <w:bCs/>
          <w:sz w:val="32"/>
          <w:szCs w:val="32"/>
          <w:lang w:val="en-GB" w:bidi="en-US"/>
        </w:rPr>
        <w:t>暂存于现有危险废物暂存间内，定期委托有资质单位处置。</w:t>
      </w:r>
    </w:p>
    <w:p>
      <w:pPr>
        <w:keepNext w:val="0"/>
        <w:keepLines w:val="0"/>
        <w:pageBreakBefore w:val="0"/>
        <w:widowControl w:val="0"/>
        <w:kinsoku/>
        <w:wordWrap/>
        <w:overflowPunct/>
        <w:autoSpaceDE w:val="0"/>
        <w:autoSpaceDN w:val="0"/>
        <w:bidi w:val="0"/>
        <w:adjustRightInd w:val="0"/>
        <w:snapToGrid w:val="0"/>
        <w:spacing w:line="520" w:lineRule="exact"/>
        <w:ind w:firstLine="640" w:firstLineChars="200"/>
        <w:textAlignment w:val="auto"/>
        <w:rPr>
          <w:rFonts w:hint="eastAsia" w:ascii="仿宋_GB2312" w:hAnsi="仿宋_GB2312" w:eastAsia="仿宋_GB2312" w:cs="仿宋_GB2312"/>
          <w:sz w:val="32"/>
          <w:szCs w:val="32"/>
          <w:lang w:bidi="en-US"/>
        </w:rPr>
      </w:pPr>
      <w:r>
        <w:rPr>
          <w:rFonts w:hint="eastAsia" w:ascii="楷体" w:hAnsi="楷体" w:eastAsia="楷体" w:cs="楷体"/>
          <w:sz w:val="32"/>
          <w:szCs w:val="32"/>
        </w:rPr>
        <w:t>（五）</w:t>
      </w:r>
      <w:r>
        <w:rPr>
          <w:rFonts w:hint="eastAsia" w:ascii="楷体" w:hAnsi="楷体" w:eastAsia="楷体" w:cs="楷体"/>
          <w:sz w:val="32"/>
          <w:szCs w:val="32"/>
          <w:lang w:bidi="en-US"/>
        </w:rPr>
        <w:t>严格落实运营期污染源监测计划。</w:t>
      </w:r>
      <w:r>
        <w:rPr>
          <w:rFonts w:hint="eastAsia" w:ascii="仿宋_GB2312" w:hAnsi="仿宋_GB2312" w:eastAsia="仿宋_GB2312" w:cs="仿宋_GB2312"/>
          <w:color w:val="000000"/>
          <w:sz w:val="32"/>
          <w:szCs w:val="32"/>
          <w:lang w:bidi="en-US"/>
        </w:rPr>
        <w:t>按照国家和地方有关规定设置规范的污染物排放口</w:t>
      </w:r>
      <w:r>
        <w:rPr>
          <w:rFonts w:hint="eastAsia" w:ascii="仿宋_GB2312" w:hAnsi="仿宋_GB2312" w:eastAsia="仿宋_GB2312" w:cs="仿宋_GB2312"/>
          <w:color w:val="000000"/>
          <w:sz w:val="32"/>
          <w:szCs w:val="32"/>
          <w:lang w:eastAsia="zh-CN" w:bidi="en-US"/>
        </w:rPr>
        <w:t>，</w:t>
      </w:r>
      <w:r>
        <w:rPr>
          <w:rFonts w:hint="eastAsia" w:ascii="仿宋_GB2312" w:hAnsi="仿宋_GB2312" w:eastAsia="仿宋_GB2312" w:cs="仿宋_GB2312"/>
          <w:color w:val="000000"/>
          <w:sz w:val="32"/>
          <w:szCs w:val="32"/>
          <w:lang w:val="en-US" w:eastAsia="zh-CN" w:bidi="en-US"/>
        </w:rPr>
        <w:t>建设自动监控感知端</w:t>
      </w:r>
      <w:r>
        <w:rPr>
          <w:rFonts w:hint="eastAsia" w:ascii="仿宋_GB2312" w:hAnsi="仿宋_GB2312" w:eastAsia="仿宋_GB2312" w:cs="仿宋_GB2312"/>
          <w:color w:val="000000"/>
          <w:sz w:val="32"/>
          <w:szCs w:val="32"/>
          <w:lang w:bidi="en-US"/>
        </w:rPr>
        <w:t>，并设立标志牌</w:t>
      </w:r>
      <w:r>
        <w:rPr>
          <w:rFonts w:hint="eastAsia" w:ascii="仿宋_GB2312" w:hAnsi="仿宋_GB2312" w:eastAsia="仿宋_GB2312" w:cs="仿宋_GB2312"/>
          <w:color w:val="000000"/>
          <w:sz w:val="32"/>
          <w:szCs w:val="32"/>
          <w:lang w:bidi="en-US"/>
        </w:rPr>
        <w:t>；按照相关标准、规范等要求，落实《报告书》</w:t>
      </w:r>
      <w:r>
        <w:rPr>
          <w:rFonts w:hint="eastAsia" w:ascii="仿宋_GB2312" w:hAnsi="仿宋_GB2312" w:eastAsia="仿宋_GB2312" w:cs="仿宋_GB2312"/>
          <w:color w:val="000000"/>
          <w:sz w:val="32"/>
          <w:szCs w:val="32"/>
          <w:lang w:bidi="en-US"/>
        </w:rPr>
        <w:t>提出的环境管理及监测计划，建立运营期污染源监测管理体系，并覆盖常规污染物、特征污染物。如出现污染物超标排放情况，应立即查明原因并采取进一步污染物减排措施。</w:t>
      </w:r>
    </w:p>
    <w:p>
      <w:pPr>
        <w:keepNext w:val="0"/>
        <w:keepLines w:val="0"/>
        <w:pageBreakBefore w:val="0"/>
        <w:widowControl w:val="0"/>
        <w:kinsoku/>
        <w:wordWrap/>
        <w:overflowPunct/>
        <w:autoSpaceDE w:val="0"/>
        <w:autoSpaceDN w:val="0"/>
        <w:bidi w:val="0"/>
        <w:adjustRightInd w:val="0"/>
        <w:snapToGrid w:val="0"/>
        <w:spacing w:line="520" w:lineRule="exact"/>
        <w:ind w:firstLine="640" w:firstLineChars="200"/>
        <w:textAlignment w:val="auto"/>
        <w:rPr>
          <w:rFonts w:hint="eastAsia" w:ascii="仿宋_GB2312" w:hAnsi="仿宋_GB2312" w:eastAsia="仿宋_GB2312" w:cs="仿宋_GB2312"/>
          <w:sz w:val="32"/>
          <w:szCs w:val="32"/>
          <w:lang w:bidi="en-US"/>
        </w:rPr>
      </w:pPr>
      <w:r>
        <w:rPr>
          <w:rFonts w:hint="eastAsia" w:ascii="仿宋_GB2312" w:hAnsi="仿宋_GB2312" w:eastAsia="仿宋_GB2312" w:cs="仿宋_GB2312"/>
          <w:sz w:val="32"/>
          <w:szCs w:val="32"/>
          <w:lang w:bidi="en-US"/>
        </w:rPr>
        <w:t>三、项目建设必须严格执行配套的环境保护设施与主体工程同时设计、同时施工、同时投产使用的环境保护“三同时”制度。严格落实污染防治措施设计要求。应将优化和细化后的各项污染防治措施及概算纳入设计以及施工等招标文件及合同，并明确责任。按规定程序实施竣工环境保护验收。</w:t>
      </w:r>
    </w:p>
    <w:p>
      <w:pPr>
        <w:keepNext w:val="0"/>
        <w:keepLines w:val="0"/>
        <w:pageBreakBefore w:val="0"/>
        <w:widowControl w:val="0"/>
        <w:kinsoku/>
        <w:wordWrap/>
        <w:overflowPunct/>
        <w:autoSpaceDE w:val="0"/>
        <w:autoSpaceDN w:val="0"/>
        <w:bidi w:val="0"/>
        <w:adjustRightInd w:val="0"/>
        <w:snapToGrid w:val="0"/>
        <w:spacing w:line="520" w:lineRule="exact"/>
        <w:ind w:firstLine="640" w:firstLineChars="200"/>
        <w:textAlignment w:val="auto"/>
        <w:rPr>
          <w:rFonts w:hint="eastAsia" w:ascii="仿宋_GB2312" w:hAnsi="仿宋_GB2312" w:eastAsia="仿宋_GB2312" w:cs="仿宋_GB2312"/>
          <w:sz w:val="32"/>
          <w:szCs w:val="32"/>
          <w:lang w:bidi="en-US"/>
        </w:rPr>
      </w:pPr>
      <w:r>
        <w:rPr>
          <w:rFonts w:hint="eastAsia" w:ascii="仿宋_GB2312" w:hAnsi="仿宋_GB2312" w:eastAsia="仿宋_GB2312" w:cs="仿宋_GB2312"/>
          <w:sz w:val="32"/>
          <w:szCs w:val="32"/>
          <w:lang w:bidi="en-US"/>
        </w:rPr>
        <w:t>四、我局委托锡林郭勒盟生态环境局西乌珠穆沁旗分局对该项目各项污染防治措施落实情况进行监督检查和管理。</w:t>
      </w:r>
    </w:p>
    <w:p>
      <w:pPr>
        <w:pStyle w:val="2"/>
        <w:keepNext w:val="0"/>
        <w:keepLines w:val="0"/>
        <w:pageBreakBefore w:val="0"/>
        <w:widowControl w:val="0"/>
        <w:kinsoku/>
        <w:wordWrap/>
        <w:overflowPunct/>
        <w:bidi w:val="0"/>
        <w:spacing w:line="520" w:lineRule="exact"/>
        <w:rPr>
          <w:rFonts w:hint="eastAsia" w:ascii="仿宋_GB2312" w:hAnsi="仿宋_GB2312" w:eastAsia="仿宋_GB2312" w:cs="仿宋_GB2312"/>
          <w:sz w:val="32"/>
          <w:szCs w:val="32"/>
          <w:lang w:bidi="en-US"/>
        </w:rPr>
      </w:pPr>
    </w:p>
    <w:p>
      <w:pPr>
        <w:keepNext w:val="0"/>
        <w:keepLines w:val="0"/>
        <w:pageBreakBefore w:val="0"/>
        <w:widowControl w:val="0"/>
        <w:kinsoku/>
        <w:wordWrap/>
        <w:overflowPunct/>
        <w:autoSpaceDE w:val="0"/>
        <w:autoSpaceDN w:val="0"/>
        <w:bidi w:val="0"/>
        <w:adjustRightInd w:val="0"/>
        <w:snapToGrid w:val="0"/>
        <w:spacing w:line="520" w:lineRule="exact"/>
        <w:ind w:firstLine="4160" w:firstLineChars="1300"/>
        <w:rPr>
          <w:rFonts w:hint="eastAsia" w:ascii="仿宋_GB2312" w:hAnsi="仿宋_GB2312" w:eastAsia="仿宋_GB2312" w:cs="仿宋_GB2312"/>
          <w:sz w:val="32"/>
          <w:szCs w:val="32"/>
          <w:highlight w:val="none"/>
          <w:lang w:bidi="en-US"/>
        </w:rPr>
      </w:pPr>
      <w:r>
        <w:rPr>
          <w:rFonts w:hint="eastAsia" w:ascii="仿宋_GB2312" w:hAnsi="仿宋_GB2312" w:eastAsia="仿宋_GB2312" w:cs="仿宋_GB2312"/>
          <w:sz w:val="32"/>
          <w:szCs w:val="32"/>
          <w:highlight w:val="none"/>
          <w:lang w:bidi="en-US"/>
        </w:rPr>
        <w:t>锡林郭勒盟生态环境局</w:t>
      </w:r>
    </w:p>
    <w:p>
      <w:pPr>
        <w:keepNext w:val="0"/>
        <w:keepLines w:val="0"/>
        <w:pageBreakBefore w:val="0"/>
        <w:widowControl w:val="0"/>
        <w:kinsoku/>
        <w:wordWrap/>
        <w:overflowPunct/>
        <w:autoSpaceDE w:val="0"/>
        <w:autoSpaceDN w:val="0"/>
        <w:bidi w:val="0"/>
        <w:adjustRightInd w:val="0"/>
        <w:snapToGrid w:val="0"/>
        <w:spacing w:line="520" w:lineRule="exact"/>
        <w:ind w:firstLine="4800" w:firstLineChars="1500"/>
        <w:rPr>
          <w:rFonts w:hint="eastAsia" w:ascii="仿宋_GB2312" w:hAnsi="仿宋_GB2312" w:eastAsia="仿宋_GB2312" w:cs="仿宋_GB2312"/>
          <w:sz w:val="32"/>
          <w:szCs w:val="32"/>
          <w:highlight w:val="none"/>
          <w:lang w:bidi="en-US"/>
        </w:rPr>
      </w:pPr>
      <w:r>
        <w:rPr>
          <w:rFonts w:hint="eastAsia" w:ascii="仿宋_GB2312" w:hAnsi="仿宋_GB2312" w:eastAsia="仿宋_GB2312" w:cs="仿宋_GB2312"/>
          <w:sz w:val="32"/>
          <w:szCs w:val="32"/>
          <w:highlight w:val="none"/>
          <w:lang w:bidi="en-US"/>
        </w:rPr>
        <w:t>2023年9月</w:t>
      </w:r>
      <w:r>
        <w:rPr>
          <w:rFonts w:hint="eastAsia" w:ascii="仿宋_GB2312" w:hAnsi="仿宋_GB2312" w:eastAsia="仿宋_GB2312" w:cs="仿宋_GB2312"/>
          <w:sz w:val="32"/>
          <w:szCs w:val="32"/>
          <w:highlight w:val="none"/>
          <w:lang w:val="en-US" w:eastAsia="zh-CN" w:bidi="en-US"/>
        </w:rPr>
        <w:t>27</w:t>
      </w:r>
      <w:r>
        <w:rPr>
          <w:rFonts w:hint="eastAsia" w:ascii="仿宋_GB2312" w:hAnsi="仿宋_GB2312" w:eastAsia="仿宋_GB2312" w:cs="仿宋_GB2312"/>
          <w:sz w:val="32"/>
          <w:szCs w:val="32"/>
          <w:highlight w:val="none"/>
          <w:lang w:bidi="en-US"/>
        </w:rPr>
        <w:t>日</w:t>
      </w:r>
    </w:p>
    <w:p>
      <w:pPr>
        <w:pStyle w:val="2"/>
        <w:rPr>
          <w:rFonts w:hint="eastAsia" w:ascii="仿宋_GB2312" w:hAnsi="仿宋_GB2312" w:eastAsia="仿宋_GB2312" w:cs="仿宋_GB2312"/>
          <w:sz w:val="32"/>
          <w:szCs w:val="32"/>
          <w:highlight w:val="none"/>
          <w:lang w:bidi="en-US"/>
        </w:rPr>
      </w:pPr>
    </w:p>
    <w:p>
      <w:pPr>
        <w:rPr>
          <w:rFonts w:hint="eastAsia"/>
        </w:rPr>
      </w:pPr>
      <w:bookmarkStart w:id="1" w:name="_GoBack"/>
      <w:bookmarkEnd w:id="1"/>
    </w:p>
    <w:p>
      <w:pPr>
        <w:pStyle w:val="2"/>
        <w:spacing w:line="500" w:lineRule="exact"/>
        <w:rPr>
          <w:rFonts w:ascii="仿宋" w:hAnsi="仿宋" w:eastAsia="仿宋" w:cs="仿宋"/>
          <w:color w:val="auto"/>
          <w:sz w:val="28"/>
          <w:szCs w:val="28"/>
          <w:highlight w:val="none"/>
          <w:lang w:bidi="en-US"/>
        </w:rPr>
      </w:pPr>
      <w:r>
        <w:rPr>
          <w:rFonts w:hint="eastAsia" w:ascii="仿宋" w:hAnsi="仿宋" w:eastAsia="仿宋" w:cs="仿宋"/>
          <w:color w:val="auto"/>
          <w:sz w:val="28"/>
          <w:szCs w:val="28"/>
          <w:highlight w:val="none"/>
          <w:lang w:bidi="en-US"/>
        </w:rPr>
        <w:t>抄送：盟生态环境综合行政执法支队，盟生态环境局西乌旗分局</w:t>
      </w:r>
    </w:p>
    <w:p>
      <w:pPr>
        <w:pBdr>
          <w:top w:val="single" w:color="auto" w:sz="4" w:space="1"/>
          <w:left w:val="none" w:color="auto" w:sz="0" w:space="4"/>
          <w:bottom w:val="single" w:color="auto" w:sz="4" w:space="1"/>
          <w:right w:val="none" w:color="auto" w:sz="0" w:space="4"/>
        </w:pBdr>
        <w:spacing w:line="500" w:lineRule="exact"/>
        <w:rPr>
          <w:rFonts w:ascii="仿宋" w:hAnsi="仿宋" w:eastAsia="仿宋" w:cs="仿宋"/>
          <w:sz w:val="28"/>
          <w:szCs w:val="28"/>
          <w:highlight w:val="none"/>
        </w:rPr>
      </w:pPr>
      <w:r>
        <w:rPr>
          <w:rFonts w:hint="eastAsia" w:ascii="仿宋" w:hAnsi="仿宋" w:eastAsia="仿宋" w:cs="仿宋"/>
          <w:sz w:val="28"/>
          <w:szCs w:val="28"/>
          <w:highlight w:val="none"/>
        </w:rPr>
        <w:t>锡林郭勒盟生态环境局办公室              2023年9月</w:t>
      </w:r>
      <w:r>
        <w:rPr>
          <w:rFonts w:hint="eastAsia" w:ascii="仿宋" w:hAnsi="仿宋" w:eastAsia="仿宋" w:cs="仿宋"/>
          <w:sz w:val="28"/>
          <w:szCs w:val="28"/>
          <w:highlight w:val="none"/>
          <w:lang w:val="en-US" w:eastAsia="zh-CN"/>
        </w:rPr>
        <w:t>27</w:t>
      </w:r>
      <w:r>
        <w:rPr>
          <w:rFonts w:hint="eastAsia" w:ascii="仿宋" w:hAnsi="仿宋" w:eastAsia="仿宋" w:cs="仿宋"/>
          <w:sz w:val="28"/>
          <w:szCs w:val="28"/>
          <w:highlight w:val="none"/>
        </w:rPr>
        <w:t>日印发</w:t>
      </w: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Courier New">
    <w:panose1 w:val="02070309020205020404"/>
    <w:charset w:val="00"/>
    <w:family w:val="modern"/>
    <w:pitch w:val="default"/>
    <w:sig w:usb0="E0002EFF" w:usb1="C0007843" w:usb2="00000009" w:usb3="00000000" w:csb0="400001FF" w:csb1="FFFF0000"/>
  </w:font>
  <w:font w:name="Arial">
    <w:panose1 w:val="020B0604020202020204"/>
    <w:charset w:val="00"/>
    <w:family w:val="swiss"/>
    <w:pitch w:val="default"/>
    <w:sig w:usb0="E0002EFF" w:usb1="C000785B" w:usb2="00000009" w:usb3="00000000" w:csb0="400001FF" w:csb1="FFFF0000"/>
  </w:font>
  <w:font w:name="仿宋_GB2312">
    <w:panose1 w:val="02010609030101010101"/>
    <w:charset w:val="86"/>
    <w:family w:val="modern"/>
    <w:pitch w:val="default"/>
    <w:sig w:usb0="00000001" w:usb1="080E0000" w:usb2="00000000" w:usb3="00000000" w:csb0="00040000" w:csb1="00000000"/>
  </w:font>
  <w:font w:name="方正小标宋简体">
    <w:panose1 w:val="02000000000000000000"/>
    <w:charset w:val="86"/>
    <w:family w:val="script"/>
    <w:pitch w:val="default"/>
    <w:sig w:usb0="A00002BF" w:usb1="184F6CFA" w:usb2="00000012" w:usb3="00000000" w:csb0="00040001"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9"/>
                          </w:pPr>
                          <w:r>
                            <w:fldChar w:fldCharType="begin"/>
                          </w:r>
                          <w:r>
                            <w:instrText xml:space="preserve"> PAGE  \* MERGEFORMAT </w:instrText>
                          </w:r>
                          <w:r>
                            <w:fldChar w:fldCharType="separate"/>
                          </w:r>
                          <w:r>
                            <w:t>5</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pPr>
                      <w:pStyle w:val="9"/>
                    </w:pPr>
                    <w:r>
                      <w:fldChar w:fldCharType="begin"/>
                    </w:r>
                    <w:r>
                      <w:instrText xml:space="preserve"> PAGE  \* MERGEFORMAT </w:instrText>
                    </w:r>
                    <w:r>
                      <w:fldChar w:fldCharType="separate"/>
                    </w:r>
                    <w:r>
                      <w:t>5</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2"/>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VjZjliNThiMThmZTZiMTZlZjM4YWI1NWNjNGNiZjYifQ=="/>
  </w:docVars>
  <w:rsids>
    <w:rsidRoot w:val="00BE15C5"/>
    <w:rsid w:val="00063D5D"/>
    <w:rsid w:val="00096BAA"/>
    <w:rsid w:val="000B6A97"/>
    <w:rsid w:val="000B7B25"/>
    <w:rsid w:val="001577BB"/>
    <w:rsid w:val="00157C95"/>
    <w:rsid w:val="0019796C"/>
    <w:rsid w:val="001A08E0"/>
    <w:rsid w:val="001C730C"/>
    <w:rsid w:val="0023504A"/>
    <w:rsid w:val="002665F5"/>
    <w:rsid w:val="00275F15"/>
    <w:rsid w:val="0029260D"/>
    <w:rsid w:val="0030521F"/>
    <w:rsid w:val="00314696"/>
    <w:rsid w:val="00333BAE"/>
    <w:rsid w:val="00351DD5"/>
    <w:rsid w:val="0036799A"/>
    <w:rsid w:val="003F6E8C"/>
    <w:rsid w:val="00565FD0"/>
    <w:rsid w:val="006D5A5C"/>
    <w:rsid w:val="00701729"/>
    <w:rsid w:val="0078439C"/>
    <w:rsid w:val="007C2190"/>
    <w:rsid w:val="008169E9"/>
    <w:rsid w:val="008B4F82"/>
    <w:rsid w:val="008C5ED5"/>
    <w:rsid w:val="00913D05"/>
    <w:rsid w:val="00977DFE"/>
    <w:rsid w:val="00981820"/>
    <w:rsid w:val="00A74547"/>
    <w:rsid w:val="00B3474C"/>
    <w:rsid w:val="00BB3EEE"/>
    <w:rsid w:val="00BE15C5"/>
    <w:rsid w:val="00C054DA"/>
    <w:rsid w:val="00C23C2B"/>
    <w:rsid w:val="00C769C0"/>
    <w:rsid w:val="00CA00EE"/>
    <w:rsid w:val="00D14C38"/>
    <w:rsid w:val="00D37553"/>
    <w:rsid w:val="00D51138"/>
    <w:rsid w:val="00D845E4"/>
    <w:rsid w:val="00DA6EE3"/>
    <w:rsid w:val="00DC55E2"/>
    <w:rsid w:val="00E6111B"/>
    <w:rsid w:val="00E76C09"/>
    <w:rsid w:val="00F077D9"/>
    <w:rsid w:val="00F13EA9"/>
    <w:rsid w:val="00F96E63"/>
    <w:rsid w:val="00FD5860"/>
    <w:rsid w:val="00FF17CD"/>
    <w:rsid w:val="04082137"/>
    <w:rsid w:val="08125FE6"/>
    <w:rsid w:val="09F707CE"/>
    <w:rsid w:val="0D6D6C1D"/>
    <w:rsid w:val="0EE27BE5"/>
    <w:rsid w:val="134A4ECA"/>
    <w:rsid w:val="1D61177E"/>
    <w:rsid w:val="1F9C573C"/>
    <w:rsid w:val="281B01BC"/>
    <w:rsid w:val="29D8150D"/>
    <w:rsid w:val="2CF929A0"/>
    <w:rsid w:val="2F1F3E8C"/>
    <w:rsid w:val="46B26845"/>
    <w:rsid w:val="4A3B72B4"/>
    <w:rsid w:val="56990422"/>
    <w:rsid w:val="68387D94"/>
    <w:rsid w:val="6E1A4AAF"/>
    <w:rsid w:val="78CC1696"/>
    <w:rsid w:val="7EBE0DBA"/>
    <w:rsid w:val="7FD6261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iPriority="99" w:name="annotation text"/>
    <w:lsdException w:qFormat="1" w:uiPriority="99"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4">
    <w:name w:val="heading 4"/>
    <w:basedOn w:val="1"/>
    <w:next w:val="1"/>
    <w:unhideWhenUsed/>
    <w:qFormat/>
    <w:uiPriority w:val="9"/>
    <w:pPr>
      <w:keepNext/>
      <w:keepLines/>
      <w:adjustRightInd w:val="0"/>
      <w:snapToGrid w:val="0"/>
      <w:jc w:val="left"/>
      <w:outlineLvl w:val="3"/>
    </w:pPr>
    <w:rPr>
      <w:rFonts w:cstheme="majorBidi"/>
      <w:b/>
      <w:bCs/>
      <w:szCs w:val="28"/>
    </w:rPr>
  </w:style>
  <w:style w:type="character" w:default="1" w:styleId="14">
    <w:name w:val="Default Paragraph Font"/>
    <w:semiHidden/>
    <w:unhideWhenUsed/>
    <w:uiPriority w:val="1"/>
  </w:style>
  <w:style w:type="table" w:default="1" w:styleId="13">
    <w:name w:val="Normal Table"/>
    <w:semiHidden/>
    <w:unhideWhenUsed/>
    <w:uiPriority w:val="99"/>
    <w:tblPr>
      <w:tblCellMar>
        <w:top w:w="0" w:type="dxa"/>
        <w:left w:w="108" w:type="dxa"/>
        <w:bottom w:w="0" w:type="dxa"/>
        <w:right w:w="108" w:type="dxa"/>
      </w:tblCellMar>
    </w:tblPr>
  </w:style>
  <w:style w:type="paragraph" w:customStyle="1" w:styleId="2">
    <w:name w:val="Default"/>
    <w:basedOn w:val="3"/>
    <w:next w:val="1"/>
    <w:qFormat/>
    <w:uiPriority w:val="0"/>
    <w:pPr>
      <w:autoSpaceDE w:val="0"/>
      <w:autoSpaceDN w:val="0"/>
      <w:adjustRightInd w:val="0"/>
    </w:pPr>
    <w:rPr>
      <w:rFonts w:hAnsi="Times New Roman" w:eastAsia="宋体" w:cs="宋体"/>
      <w:color w:val="000000"/>
      <w:sz w:val="24"/>
      <w:szCs w:val="24"/>
    </w:rPr>
  </w:style>
  <w:style w:type="paragraph" w:customStyle="1" w:styleId="3">
    <w:name w:val="纯文本1"/>
    <w:basedOn w:val="1"/>
    <w:qFormat/>
    <w:uiPriority w:val="0"/>
    <w:rPr>
      <w:rFonts w:ascii="宋体" w:hAnsi="Courier New"/>
      <w:szCs w:val="20"/>
    </w:rPr>
  </w:style>
  <w:style w:type="paragraph" w:styleId="5">
    <w:name w:val="Normal Indent"/>
    <w:basedOn w:val="1"/>
    <w:next w:val="6"/>
    <w:qFormat/>
    <w:uiPriority w:val="0"/>
    <w:pPr>
      <w:ind w:firstLine="420" w:firstLineChars="200"/>
    </w:pPr>
    <w:rPr>
      <w:rFonts w:ascii="Times New Roman" w:hAnsi="Times New Roman" w:eastAsia="宋体"/>
      <w:szCs w:val="24"/>
    </w:rPr>
  </w:style>
  <w:style w:type="paragraph" w:styleId="6">
    <w:name w:val="Body Text First Indent 2"/>
    <w:basedOn w:val="7"/>
    <w:next w:val="1"/>
    <w:qFormat/>
    <w:uiPriority w:val="0"/>
    <w:pPr>
      <w:adjustRightInd w:val="0"/>
      <w:ind w:firstLine="420"/>
      <w:textAlignment w:val="baseline"/>
    </w:pPr>
    <w:rPr>
      <w:rFonts w:ascii="宋体" w:hAnsi="宋体"/>
      <w:sz w:val="18"/>
      <w:szCs w:val="18"/>
    </w:rPr>
  </w:style>
  <w:style w:type="paragraph" w:styleId="7">
    <w:name w:val="Body Text Indent"/>
    <w:basedOn w:val="1"/>
    <w:next w:val="1"/>
    <w:qFormat/>
    <w:uiPriority w:val="0"/>
    <w:pPr>
      <w:spacing w:after="120"/>
      <w:ind w:left="420" w:leftChars="200"/>
    </w:pPr>
    <w:rPr>
      <w:rFonts w:ascii="Times New Roman" w:hAnsi="Times New Roman" w:eastAsia="宋体" w:cs="Times New Roman"/>
      <w:szCs w:val="20"/>
    </w:rPr>
  </w:style>
  <w:style w:type="paragraph" w:styleId="8">
    <w:name w:val="annotation text"/>
    <w:basedOn w:val="1"/>
    <w:link w:val="23"/>
    <w:semiHidden/>
    <w:unhideWhenUsed/>
    <w:qFormat/>
    <w:uiPriority w:val="99"/>
    <w:pPr>
      <w:jc w:val="left"/>
    </w:pPr>
  </w:style>
  <w:style w:type="paragraph" w:styleId="9">
    <w:name w:val="footer"/>
    <w:basedOn w:val="1"/>
    <w:qFormat/>
    <w:uiPriority w:val="0"/>
    <w:pPr>
      <w:tabs>
        <w:tab w:val="center" w:pos="4153"/>
        <w:tab w:val="right" w:pos="8306"/>
      </w:tabs>
      <w:snapToGrid w:val="0"/>
      <w:jc w:val="left"/>
    </w:pPr>
    <w:rPr>
      <w:rFonts w:ascii="Times New Roman" w:hAnsi="Times New Roman" w:eastAsia="宋体" w:cs="Times New Roman"/>
      <w:sz w:val="18"/>
    </w:rPr>
  </w:style>
  <w:style w:type="paragraph" w:styleId="10">
    <w:name w:val="header"/>
    <w:basedOn w:val="1"/>
    <w:link w:val="19"/>
    <w:unhideWhenUsed/>
    <w:qFormat/>
    <w:uiPriority w:val="99"/>
    <w:pPr>
      <w:pBdr>
        <w:bottom w:val="single" w:color="auto" w:sz="6" w:space="1"/>
      </w:pBdr>
      <w:tabs>
        <w:tab w:val="center" w:pos="4153"/>
        <w:tab w:val="right" w:pos="8306"/>
      </w:tabs>
      <w:snapToGrid w:val="0"/>
      <w:jc w:val="center"/>
    </w:pPr>
    <w:rPr>
      <w:sz w:val="18"/>
      <w:szCs w:val="18"/>
    </w:rPr>
  </w:style>
  <w:style w:type="paragraph" w:styleId="11">
    <w:name w:val="toc 1"/>
    <w:basedOn w:val="1"/>
    <w:next w:val="1"/>
    <w:qFormat/>
    <w:uiPriority w:val="39"/>
    <w:pPr>
      <w:tabs>
        <w:tab w:val="left" w:pos="284"/>
        <w:tab w:val="right" w:leader="dot" w:pos="8296"/>
      </w:tabs>
    </w:pPr>
  </w:style>
  <w:style w:type="paragraph" w:styleId="12">
    <w:name w:val="annotation subject"/>
    <w:basedOn w:val="8"/>
    <w:next w:val="8"/>
    <w:link w:val="24"/>
    <w:semiHidden/>
    <w:unhideWhenUsed/>
    <w:qFormat/>
    <w:uiPriority w:val="99"/>
    <w:rPr>
      <w:b/>
      <w:bCs/>
    </w:rPr>
  </w:style>
  <w:style w:type="character" w:styleId="15">
    <w:name w:val="Hyperlink"/>
    <w:basedOn w:val="14"/>
    <w:unhideWhenUsed/>
    <w:qFormat/>
    <w:uiPriority w:val="99"/>
    <w:rPr>
      <w:color w:val="0563C1" w:themeColor="hyperlink"/>
      <w:u w:val="single"/>
      <w14:textFill>
        <w14:solidFill>
          <w14:schemeClr w14:val="hlink"/>
        </w14:solidFill>
      </w14:textFill>
    </w:rPr>
  </w:style>
  <w:style w:type="character" w:styleId="16">
    <w:name w:val="annotation reference"/>
    <w:basedOn w:val="14"/>
    <w:semiHidden/>
    <w:unhideWhenUsed/>
    <w:qFormat/>
    <w:uiPriority w:val="99"/>
    <w:rPr>
      <w:sz w:val="21"/>
      <w:szCs w:val="21"/>
    </w:rPr>
  </w:style>
  <w:style w:type="paragraph" w:customStyle="1" w:styleId="17">
    <w:name w:val="正文1"/>
    <w:basedOn w:val="2"/>
    <w:next w:val="1"/>
    <w:qFormat/>
    <w:uiPriority w:val="0"/>
    <w:pPr>
      <w:tabs>
        <w:tab w:val="left" w:pos="0"/>
        <w:tab w:val="left" w:pos="7012"/>
      </w:tabs>
      <w:spacing w:beforeLines="25" w:afterLines="25" w:line="360" w:lineRule="auto"/>
      <w:ind w:firstLine="480" w:firstLineChars="200"/>
    </w:pPr>
    <w:rPr>
      <w:rFonts w:hAnsi="Calibri"/>
    </w:rPr>
  </w:style>
  <w:style w:type="character" w:customStyle="1" w:styleId="18">
    <w:name w:val="未处理的提及1"/>
    <w:basedOn w:val="14"/>
    <w:semiHidden/>
    <w:unhideWhenUsed/>
    <w:qFormat/>
    <w:uiPriority w:val="99"/>
    <w:rPr>
      <w:color w:val="605E5C"/>
      <w:shd w:val="clear" w:color="auto" w:fill="E1DFDD"/>
    </w:rPr>
  </w:style>
  <w:style w:type="character" w:customStyle="1" w:styleId="19">
    <w:name w:val="页眉 Char"/>
    <w:basedOn w:val="14"/>
    <w:link w:val="10"/>
    <w:qFormat/>
    <w:uiPriority w:val="99"/>
    <w:rPr>
      <w:kern w:val="2"/>
      <w:sz w:val="18"/>
      <w:szCs w:val="18"/>
    </w:rPr>
  </w:style>
  <w:style w:type="paragraph" w:customStyle="1" w:styleId="20">
    <w:name w:val="表文"/>
    <w:basedOn w:val="1"/>
    <w:qFormat/>
    <w:uiPriority w:val="0"/>
    <w:pPr>
      <w:overflowPunct w:val="0"/>
      <w:spacing w:line="440" w:lineRule="exact"/>
      <w:jc w:val="center"/>
      <w:textAlignment w:val="baseline"/>
    </w:pPr>
    <w:rPr>
      <w:rFonts w:ascii="Arial" w:hAnsi="Arial" w:eastAsia="宋体" w:cs="Times New Roman"/>
      <w:szCs w:val="20"/>
    </w:rPr>
  </w:style>
  <w:style w:type="paragraph" w:customStyle="1" w:styleId="21">
    <w:name w:val="样式 (符号) 宋体 小四 行距: 1.5 倍行距"/>
    <w:basedOn w:val="1"/>
    <w:qFormat/>
    <w:uiPriority w:val="0"/>
    <w:pPr>
      <w:spacing w:line="360" w:lineRule="auto"/>
      <w:ind w:firstLine="200" w:firstLineChars="200"/>
    </w:pPr>
    <w:rPr>
      <w:rFonts w:ascii="Times New Roman" w:hAnsi="Times New Roman" w:eastAsia="宋体" w:cs="宋体"/>
      <w:sz w:val="24"/>
      <w:szCs w:val="24"/>
    </w:rPr>
  </w:style>
  <w:style w:type="paragraph" w:styleId="22">
    <w:name w:val="List Paragraph"/>
    <w:basedOn w:val="1"/>
    <w:qFormat/>
    <w:uiPriority w:val="99"/>
    <w:pPr>
      <w:ind w:firstLine="420" w:firstLineChars="200"/>
    </w:pPr>
  </w:style>
  <w:style w:type="character" w:customStyle="1" w:styleId="23">
    <w:name w:val="批注文字 Char"/>
    <w:basedOn w:val="14"/>
    <w:link w:val="8"/>
    <w:semiHidden/>
    <w:qFormat/>
    <w:uiPriority w:val="99"/>
    <w:rPr>
      <w:kern w:val="2"/>
      <w:sz w:val="21"/>
      <w:szCs w:val="22"/>
    </w:rPr>
  </w:style>
  <w:style w:type="character" w:customStyle="1" w:styleId="24">
    <w:name w:val="批注主题 Char"/>
    <w:basedOn w:val="23"/>
    <w:link w:val="12"/>
    <w:semiHidden/>
    <w:qFormat/>
    <w:uiPriority w:val="99"/>
    <w:rPr>
      <w:b/>
      <w:bCs/>
      <w:kern w:val="2"/>
      <w:sz w:val="21"/>
      <w:szCs w:val="22"/>
    </w:rPr>
  </w:style>
  <w:style w:type="paragraph" w:customStyle="1" w:styleId="25">
    <w:name w:val="高-正文"/>
    <w:basedOn w:val="1"/>
    <w:qFormat/>
    <w:uiPriority w:val="0"/>
    <w:pPr>
      <w:topLinePunct/>
      <w:adjustRightInd w:val="0"/>
      <w:snapToGrid w:val="0"/>
      <w:spacing w:line="480" w:lineRule="exact"/>
      <w:ind w:firstLine="600"/>
    </w:pPr>
    <w:rPr>
      <w:rFonts w:ascii="等线" w:hAnsi="等线" w:eastAsia="等线"/>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5</Pages>
  <Words>337</Words>
  <Characters>1926</Characters>
  <Lines>16</Lines>
  <Paragraphs>4</Paragraphs>
  <TotalTime>60</TotalTime>
  <ScaleCrop>false</ScaleCrop>
  <LinksUpToDate>false</LinksUpToDate>
  <CharactersWithSpaces>2259</CharactersWithSpaces>
  <Application>WPS Office_12.1.0.15374_F1E327BC-269C-435d-A152-05C5408002CA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2023-01-30T09:32:00Z</dcterms:created>
  <dc:creator>hui hui</dc:creator>
  <cp:lastModifiedBy>zilchs</cp:lastModifiedBy>
  <cp:lastPrinted>2023-01-30T09:39:00Z</cp:lastPrinted>
  <dcterms:modified xsi:type="dcterms:W3CDTF">2023-09-26T08:20:29Z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2052-12.1.0.15374</vt:lpwstr>
  </property>
  <property fmtid="{D5CDD505-2E9C-101B-9397-08002B2CF9AE}" pid="3" name="ICV">
    <vt:lpwstr>3756DD9593EC4225BBDBAAA3CB0E4682</vt:lpwstr>
  </property>
</Properties>
</file>