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b/>
          <w:bCs/>
          <w:color w:val="auto"/>
          <w:sz w:val="32"/>
          <w:szCs w:val="32"/>
        </w:rPr>
      </w:pPr>
      <w:bookmarkStart w:id="0" w:name="_Hlk124747957"/>
    </w:p>
    <w:p>
      <w:pPr>
        <w:adjustRightInd w:val="0"/>
        <w:snapToGrid w:val="0"/>
        <w:spacing w:line="360" w:lineRule="auto"/>
        <w:jc w:val="center"/>
        <w:rPr>
          <w:b/>
          <w:bCs/>
          <w:color w:val="auto"/>
          <w:sz w:val="32"/>
          <w:szCs w:val="32"/>
        </w:rPr>
      </w:pPr>
    </w:p>
    <w:p>
      <w:pPr>
        <w:pStyle w:val="11"/>
        <w:rPr>
          <w:b/>
          <w:bCs/>
          <w:color w:val="auto"/>
          <w:sz w:val="32"/>
          <w:szCs w:val="32"/>
        </w:rPr>
      </w:pPr>
    </w:p>
    <w:p>
      <w:pPr>
        <w:rPr>
          <w:b/>
          <w:bCs/>
          <w:color w:val="auto"/>
          <w:sz w:val="32"/>
          <w:szCs w:val="32"/>
        </w:rPr>
      </w:pPr>
    </w:p>
    <w:p>
      <w:pPr>
        <w:pStyle w:val="11"/>
        <w:rPr>
          <w:b/>
          <w:bCs/>
          <w:color w:val="auto"/>
          <w:sz w:val="32"/>
          <w:szCs w:val="32"/>
        </w:rPr>
      </w:pPr>
    </w:p>
    <w:p>
      <w:pPr>
        <w:pStyle w:val="11"/>
        <w:ind w:left="0" w:leftChars="0" w:firstLine="0" w:firstLineChars="0"/>
        <w:rPr>
          <w:b/>
          <w:bCs/>
          <w:color w:val="auto"/>
          <w:sz w:val="32"/>
          <w:szCs w:val="32"/>
        </w:rPr>
      </w:pPr>
    </w:p>
    <w:p>
      <w:pPr>
        <w:rPr>
          <w:color w:val="auto"/>
        </w:rPr>
      </w:pPr>
    </w:p>
    <w:p>
      <w:pPr>
        <w:pStyle w:val="11"/>
        <w:rPr>
          <w:color w:val="auto"/>
        </w:rPr>
      </w:pPr>
    </w:p>
    <w:p>
      <w:pPr>
        <w:rPr>
          <w:color w:val="auto"/>
        </w:rPr>
      </w:pPr>
    </w:p>
    <w:p>
      <w:pPr>
        <w:autoSpaceDE w:val="0"/>
        <w:autoSpaceDN w:val="0"/>
        <w:adjustRightInd w:val="0"/>
        <w:snapToGrid w:val="0"/>
        <w:spacing w:line="560" w:lineRule="exact"/>
        <w:jc w:val="center"/>
        <w:rPr>
          <w:rFonts w:ascii="仿宋_GB2312" w:hAnsi="Times New Roman" w:eastAsia="仿宋_GB2312" w:cs="Arial"/>
          <w:color w:val="auto"/>
          <w:sz w:val="32"/>
          <w:szCs w:val="32"/>
          <w:highlight w:val="none"/>
          <w:lang w:bidi="en-US"/>
        </w:rPr>
      </w:pPr>
      <w:r>
        <w:rPr>
          <w:rFonts w:hint="eastAsia" w:ascii="仿宋_GB2312" w:hAnsi="Times New Roman" w:eastAsia="仿宋_GB2312" w:cs="Arial"/>
          <w:color w:val="auto"/>
          <w:sz w:val="32"/>
          <w:szCs w:val="32"/>
          <w:lang w:bidi="en-US"/>
        </w:rPr>
        <w:t>锡署环审书〔</w:t>
      </w:r>
      <w:r>
        <w:rPr>
          <w:rFonts w:hint="eastAsia" w:ascii="仿宋_GB2312" w:hAnsi="Times New Roman" w:eastAsia="仿宋_GB2312" w:cs="Arial"/>
          <w:color w:val="auto"/>
          <w:sz w:val="32"/>
          <w:szCs w:val="32"/>
          <w:highlight w:val="none"/>
          <w:lang w:bidi="en-US"/>
        </w:rPr>
        <w:t>2023〕</w:t>
      </w:r>
      <w:r>
        <w:rPr>
          <w:rFonts w:hint="eastAsia" w:ascii="仿宋_GB2312" w:hAnsi="Times New Roman" w:eastAsia="仿宋_GB2312" w:cs="Arial"/>
          <w:color w:val="auto"/>
          <w:sz w:val="32"/>
          <w:szCs w:val="32"/>
          <w:highlight w:val="none"/>
          <w:lang w:val="en-US" w:eastAsia="zh-CN" w:bidi="en-US"/>
        </w:rPr>
        <w:t>40</w:t>
      </w:r>
      <w:r>
        <w:rPr>
          <w:rFonts w:hint="eastAsia" w:ascii="仿宋_GB2312" w:hAnsi="Times New Roman" w:eastAsia="仿宋_GB2312" w:cs="Arial"/>
          <w:color w:val="auto"/>
          <w:sz w:val="32"/>
          <w:szCs w:val="32"/>
          <w:highlight w:val="none"/>
          <w:lang w:bidi="en-US"/>
        </w:rPr>
        <w:t>号</w:t>
      </w:r>
    </w:p>
    <w:p>
      <w:pPr>
        <w:adjustRightInd w:val="0"/>
        <w:snapToGrid w:val="0"/>
        <w:spacing w:line="360" w:lineRule="auto"/>
        <w:jc w:val="center"/>
        <w:rPr>
          <w:b/>
          <w:bCs/>
          <w:color w:val="auto"/>
          <w:sz w:val="32"/>
          <w:szCs w:val="32"/>
          <w:highlight w:val="none"/>
        </w:rPr>
      </w:pPr>
    </w:p>
    <w:p>
      <w:pPr>
        <w:widowControl/>
        <w:spacing w:line="700" w:lineRule="exact"/>
        <w:jc w:val="center"/>
        <w:textAlignment w:val="baseline"/>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highlight w:val="none"/>
        </w:rPr>
        <w:t>锡林郭勒盟生态环境</w:t>
      </w:r>
      <w:r>
        <w:rPr>
          <w:rFonts w:hint="eastAsia" w:ascii="方正小标宋简体" w:hAnsi="方正小标宋简体" w:eastAsia="方正小标宋简体" w:cs="方正小标宋简体"/>
          <w:bCs/>
          <w:color w:val="auto"/>
          <w:sz w:val="44"/>
          <w:szCs w:val="44"/>
        </w:rPr>
        <w:t>局</w:t>
      </w:r>
    </w:p>
    <w:bookmarkEnd w:id="0"/>
    <w:p>
      <w:pPr>
        <w:autoSpaceDE w:val="0"/>
        <w:autoSpaceDN w:val="0"/>
        <w:adjustRightInd w:val="0"/>
        <w:snapToGrid w:val="0"/>
        <w:spacing w:line="70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关于内蒙古广熹矿业有限公司进口300万吨铁矿石落地深加工项目环境影响报告书</w:t>
      </w:r>
    </w:p>
    <w:p>
      <w:pPr>
        <w:autoSpaceDE w:val="0"/>
        <w:autoSpaceDN w:val="0"/>
        <w:adjustRightInd w:val="0"/>
        <w:snapToGrid w:val="0"/>
        <w:spacing w:line="700" w:lineRule="exact"/>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的批复</w:t>
      </w:r>
    </w:p>
    <w:p>
      <w:pPr>
        <w:autoSpaceDE w:val="0"/>
        <w:autoSpaceDN w:val="0"/>
        <w:adjustRightInd w:val="0"/>
        <w:snapToGrid w:val="0"/>
        <w:spacing w:line="520" w:lineRule="exact"/>
        <w:rPr>
          <w:rFonts w:ascii="仿宋_GB2312" w:hAnsi="仿宋_GB2312" w:eastAsia="仿宋_GB2312" w:cs="仿宋_GB2312"/>
          <w:color w:val="auto"/>
          <w:sz w:val="32"/>
          <w:szCs w:val="32"/>
          <w:lang w:bidi="en-US"/>
        </w:rPr>
      </w:pPr>
    </w:p>
    <w:p>
      <w:pPr>
        <w:keepNext w:val="0"/>
        <w:keepLines w:val="0"/>
        <w:pageBreakBefore w:val="0"/>
        <w:widowControl w:val="0"/>
        <w:kinsoku/>
        <w:wordWrap/>
        <w:overflowPunct/>
        <w:autoSpaceDE w:val="0"/>
        <w:autoSpaceDN w:val="0"/>
        <w:bidi w:val="0"/>
        <w:adjustRightInd w:val="0"/>
        <w:snapToGrid w:val="0"/>
        <w:spacing w:line="560" w:lineRule="exact"/>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内蒙古广熹矿业有限公司：</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你单位报送的《内蒙古广熹矿业有限公司进口300万吨铁矿石落地深加工项目环境影响报告书》（</w:t>
      </w:r>
      <w:r>
        <w:rPr>
          <w:rFonts w:hint="eastAsia" w:ascii="仿宋_GB2312" w:hAnsi="仿宋_GB2312" w:eastAsia="仿宋_GB2312" w:cs="仿宋_GB2312"/>
          <w:color w:val="auto"/>
          <w:sz w:val="32"/>
          <w:szCs w:val="32"/>
          <w:lang w:eastAsia="zh-Hans" w:bidi="en-US"/>
        </w:rPr>
        <w:t>以下简称《报告书》</w:t>
      </w:r>
      <w:r>
        <w:rPr>
          <w:rFonts w:hint="eastAsia" w:ascii="仿宋_GB2312" w:hAnsi="仿宋_GB2312" w:eastAsia="仿宋_GB2312" w:cs="仿宋_GB2312"/>
          <w:color w:val="auto"/>
          <w:sz w:val="32"/>
          <w:szCs w:val="32"/>
          <w:lang w:bidi="en-US"/>
        </w:rPr>
        <w:t>）收悉。经研究，批复如下：</w:t>
      </w:r>
    </w:p>
    <w:p>
      <w:pPr>
        <w:pStyle w:val="26"/>
        <w:keepNext w:val="0"/>
        <w:keepLines w:val="0"/>
        <w:pageBreakBefore w:val="0"/>
        <w:widowControl w:val="0"/>
        <w:numPr>
          <w:ilvl w:val="0"/>
          <w:numId w:val="0"/>
        </w:numPr>
        <w:kinsoku/>
        <w:wordWrap/>
        <w:overflowPunct/>
        <w:bidi w:val="0"/>
        <w:spacing w:line="560" w:lineRule="exact"/>
        <w:ind w:firstLine="640" w:firstLineChars="200"/>
        <w:jc w:val="both"/>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color w:val="auto"/>
          <w:sz w:val="32"/>
          <w:szCs w:val="32"/>
          <w:lang w:val="en-US" w:eastAsia="zh-CN" w:bidi="en-US"/>
        </w:rPr>
        <w:t>一、</w:t>
      </w:r>
      <w:r>
        <w:rPr>
          <w:rFonts w:hint="eastAsia" w:ascii="仿宋_GB2312" w:hAnsi="仿宋_GB2312" w:eastAsia="仿宋_GB2312" w:cs="仿宋_GB2312"/>
          <w:color w:val="auto"/>
          <w:sz w:val="32"/>
          <w:szCs w:val="32"/>
          <w:lang w:bidi="en-US"/>
        </w:rPr>
        <w:t>内蒙古广熹矿业有限公司进口300万吨铁矿石落地深加工项目</w:t>
      </w:r>
      <w:r>
        <w:rPr>
          <w:rFonts w:hint="eastAsia" w:ascii="仿宋_GB2312" w:hAnsi="仿宋_GB2312" w:eastAsia="仿宋_GB2312" w:cs="仿宋_GB2312"/>
          <w:b w:val="0"/>
          <w:bCs/>
          <w:color w:val="auto"/>
          <w:kern w:val="0"/>
          <w:sz w:val="32"/>
          <w:szCs w:val="32"/>
          <w:lang w:val="en-US" w:eastAsia="zh-CN" w:bidi="ar"/>
        </w:rPr>
        <w:t>位于内蒙古锡林郭勒盟二连浩特市欧亚国际物流园区神木北二街以南，经十路以西，东兴东路以东，厂区占地面积为127065平方米（190.5975亩）。本项目新建300万吨进口铁矿石加工项目，包括300万吨铁矿石磨选加工项目以及一期150万吨人造块矿项目（150万吨人造块矿二期缓建），本次环境影响评价报告书不对二期缓建内容进行评价。</w:t>
      </w:r>
    </w:p>
    <w:p>
      <w:pPr>
        <w:pStyle w:val="26"/>
        <w:keepNext w:val="0"/>
        <w:keepLines w:val="0"/>
        <w:pageBreakBefore w:val="0"/>
        <w:widowControl w:val="0"/>
        <w:numPr>
          <w:ilvl w:val="0"/>
          <w:numId w:val="0"/>
        </w:numPr>
        <w:kinsoku/>
        <w:wordWrap/>
        <w:overflowPunct/>
        <w:bidi w:val="0"/>
        <w:spacing w:line="560" w:lineRule="exact"/>
        <w:ind w:firstLine="640" w:firstLineChars="200"/>
        <w:jc w:val="both"/>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b w:val="0"/>
          <w:bCs/>
          <w:color w:val="auto"/>
          <w:kern w:val="0"/>
          <w:sz w:val="32"/>
          <w:szCs w:val="32"/>
          <w:lang w:val="en-US" w:eastAsia="zh-CN" w:bidi="ar"/>
        </w:rPr>
        <w:t>项目劳动定员269人，项目总投资为90000万元，其中环保投资为2277万元，占总投资比例为2.53%。</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报告书》认为，在全面落实各项生态保护和污染防治措施的前提下，项目建设对环境的不利影响能够得到一定的缓解和控制。我局原则同意本项目按照《报告书》所列的建设项目性质、规模、地点和拟采取的污染防治措施及下述要求进行建设。</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二、项目在设计、建设和运营过程中还应做好以下工作。</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（一）严格落实各项大气污染防治措施。</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本项目各有组织排放废气污染源为选矿工序含尘废气和球团工序产生的废气。</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选矿工序中破碎、辊磨、筛分粉尘经集气罩收集后进入脉冲布袋除尘器处理，处理后的废气由25m高排气筒（DA001）排放；磁选、浮选粉尘经集气罩收集后进入脉冲布袋除尘器处理，处理后的废气由25m高排气筒（DA002）排放；精粉仓进出料粉尘经集气罩收集后进入脉冲布袋除尘器处理，处理后的废气由15m高排气筒（DA003）排放。各排放口均满足《铁矿采选工业污染物排放 标准》（GB28661-2012）表5新建企业大气污染物排放浓度限值要求。</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球团工序中原料处置产生的含尘废气经集气罩收集后进入脉冲布袋除尘器处理，处理后的废气由25m高排气筒（DA004）排放；成品处置产生的含尘废气经集气罩收集后进入脉冲布袋除尘器处理，处理后的废气由25m高排气筒（DA006）排放；兰炭粉制备产生的含尘废气经集气罩收集后进入脉冲布袋除尘器处理，处理后的废气由15m高排气筒（DA007）排放，以上各排放口均满足《关于推进实施钢铁行业超低排放的意见》（环大气〔2019〕35号）钢铁企业超低排放指标要求（其他生产设施（颗粒物：10mg/m3））。</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链篦机-回转窑产生的废气经“高温SNCR脱硝+双室多管除尘器+SCR脱硝+静电除尘器+石灰石-石膏湿法脱硫+湿式电除尘”净化装置处理后，最终由45m高排气筒排放（DA005），排放满足《关于推进实施钢铁行业超低排放的意见》（环大气〔2019〕35号）钢铁企业超低排放指标要求（其他生产设施（颗粒物：10mg/m</w:t>
      </w:r>
      <w:r>
        <w:rPr>
          <w:rFonts w:hint="eastAsia" w:ascii="仿宋_GB2312" w:hAnsi="仿宋_GB2312" w:eastAsia="仿宋_GB2312" w:cs="仿宋_GB2312"/>
          <w:color w:val="auto"/>
          <w:kern w:val="2"/>
          <w:sz w:val="32"/>
          <w:szCs w:val="32"/>
          <w:vertAlign w:val="superscript"/>
          <w:lang w:val="en-US" w:eastAsia="zh-CN" w:bidi="ar-SA"/>
        </w:rPr>
        <w:t>3</w:t>
      </w:r>
      <w:r>
        <w:rPr>
          <w:rFonts w:hint="eastAsia" w:ascii="仿宋_GB2312" w:hAnsi="仿宋_GB2312" w:eastAsia="仿宋_GB2312" w:cs="仿宋_GB2312"/>
          <w:color w:val="auto"/>
          <w:kern w:val="2"/>
          <w:sz w:val="32"/>
          <w:szCs w:val="32"/>
          <w:lang w:val="en-US" w:eastAsia="zh-CN" w:bidi="ar-SA"/>
        </w:rPr>
        <w:t>、二氧化硫：35mg/m</w:t>
      </w:r>
      <w:r>
        <w:rPr>
          <w:rFonts w:hint="eastAsia" w:ascii="仿宋_GB2312" w:hAnsi="仿宋_GB2312" w:eastAsia="仿宋_GB2312" w:cs="仿宋_GB2312"/>
          <w:color w:val="auto"/>
          <w:kern w:val="2"/>
          <w:sz w:val="32"/>
          <w:szCs w:val="32"/>
          <w:vertAlign w:val="superscript"/>
          <w:lang w:val="en-US" w:eastAsia="zh-CN" w:bidi="ar-SA"/>
        </w:rPr>
        <w:t>3</w:t>
      </w:r>
      <w:r>
        <w:rPr>
          <w:rFonts w:hint="eastAsia" w:ascii="仿宋_GB2312" w:hAnsi="仿宋_GB2312" w:eastAsia="仿宋_GB2312" w:cs="仿宋_GB2312"/>
          <w:color w:val="auto"/>
          <w:kern w:val="2"/>
          <w:sz w:val="32"/>
          <w:szCs w:val="32"/>
          <w:lang w:val="en-US" w:eastAsia="zh-CN" w:bidi="ar-SA"/>
        </w:rPr>
        <w:t>、氮氧化物：50mg/m</w:t>
      </w:r>
      <w:r>
        <w:rPr>
          <w:rFonts w:hint="eastAsia" w:ascii="仿宋_GB2312" w:hAnsi="仿宋_GB2312" w:eastAsia="仿宋_GB2312" w:cs="仿宋_GB2312"/>
          <w:color w:val="auto"/>
          <w:kern w:val="2"/>
          <w:sz w:val="32"/>
          <w:szCs w:val="32"/>
          <w:vertAlign w:val="superscript"/>
          <w:lang w:val="en-US" w:eastAsia="zh-CN" w:bidi="ar-SA"/>
        </w:rPr>
        <w:t>3）</w:t>
      </w:r>
      <w:r>
        <w:rPr>
          <w:rFonts w:hint="eastAsia" w:ascii="仿宋_GB2312" w:hAnsi="仿宋_GB2312" w:eastAsia="仿宋_GB2312" w:cs="仿宋_GB2312"/>
          <w:color w:val="auto"/>
          <w:kern w:val="2"/>
          <w:sz w:val="32"/>
          <w:szCs w:val="32"/>
          <w:lang w:val="en-US" w:eastAsia="zh-CN" w:bidi="ar-SA"/>
        </w:rPr>
        <w:t>）及《钢铁烧结、球团工业大气污染物排放标准》（GB28662-2012）表3大气污染物特别排放限值（氟化物：4.0mg/m</w:t>
      </w:r>
      <w:r>
        <w:rPr>
          <w:rFonts w:hint="eastAsia" w:ascii="仿宋_GB2312" w:hAnsi="仿宋_GB2312" w:eastAsia="仿宋_GB2312" w:cs="仿宋_GB2312"/>
          <w:color w:val="auto"/>
          <w:kern w:val="2"/>
          <w:sz w:val="32"/>
          <w:szCs w:val="32"/>
          <w:vertAlign w:val="superscript"/>
          <w:lang w:val="en-US" w:eastAsia="zh-CN" w:bidi="ar-SA"/>
        </w:rPr>
        <w:t>3</w:t>
      </w:r>
      <w:r>
        <w:rPr>
          <w:rFonts w:hint="eastAsia" w:ascii="仿宋_GB2312" w:hAnsi="仿宋_GB2312" w:eastAsia="仿宋_GB2312" w:cs="仿宋_GB2312"/>
          <w:color w:val="auto"/>
          <w:kern w:val="2"/>
          <w:sz w:val="32"/>
          <w:szCs w:val="32"/>
          <w:lang w:val="en-US" w:eastAsia="zh-CN" w:bidi="ar-SA"/>
        </w:rPr>
        <w:t>、二噁英：0.5ng-TEQ/m</w:t>
      </w:r>
      <w:r>
        <w:rPr>
          <w:rFonts w:hint="eastAsia" w:ascii="仿宋_GB2312" w:hAnsi="仿宋_GB2312" w:eastAsia="仿宋_GB2312" w:cs="仿宋_GB2312"/>
          <w:color w:val="auto"/>
          <w:kern w:val="2"/>
          <w:sz w:val="32"/>
          <w:szCs w:val="32"/>
          <w:vertAlign w:val="superscript"/>
          <w:lang w:val="en-US" w:eastAsia="zh-CN" w:bidi="ar-SA"/>
        </w:rPr>
        <w:t>3</w:t>
      </w:r>
      <w:r>
        <w:rPr>
          <w:rFonts w:hint="eastAsia" w:ascii="仿宋_GB2312" w:hAnsi="仿宋_GB2312" w:eastAsia="仿宋_GB2312" w:cs="仿宋_GB2312"/>
          <w:color w:val="auto"/>
          <w:kern w:val="2"/>
          <w:sz w:val="32"/>
          <w:szCs w:val="32"/>
          <w:vertAlign w:val="baseline"/>
          <w:lang w:val="en-US" w:eastAsia="zh-CN" w:bidi="ar-SA"/>
        </w:rPr>
        <w:t>）</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项目选矿工序厂区内无组织颗粒物废气排放满足《铁矿采选工业污染物排放标准》（GB28661-2012）表 7 现有和新建企业大气污染物无组织排放限值。项目球团工序厂区内无组织废气颗粒物排放浓度执行《钢铁烧结、球团工业大气污染物排放标准》（GB28662-2012）表4现有和新建企业颗粒物无组织排放浓度限值（有厂房生产车间）；厂界颗粒物、硫酸雾无组织排放浓度执行《大气污染物综合排放标准》（GB16297-1996）表2无组织排放监控浓度限值。</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（二）严格落实固体废物污染防治措施。</w:t>
      </w:r>
      <w:r>
        <w:rPr>
          <w:rFonts w:hint="eastAsia" w:ascii="仿宋_GB2312" w:hAnsi="仿宋_GB2312" w:eastAsia="仿宋_GB2312" w:cs="仿宋_GB2312"/>
          <w:color w:val="auto"/>
          <w:kern w:val="2"/>
          <w:sz w:val="32"/>
          <w:szCs w:val="32"/>
          <w:lang w:val="en-GB" w:eastAsia="zh-CN" w:bidi="ar-SA"/>
        </w:rPr>
        <w:t>本项目固体废物主要有除尘器下灰、铁尾矿、废矿物油、脱硫石膏、废油桶、废筛网、废滤袋、废钢球、废催化剂及生活垃圾等。项目尾矿砂由运输车辆运往内蒙古融冠达矿业有限公司尾矿库处置，废矿物油、废油桶、废催化剂等危险废物暂存于危废间，定期交由有资质单位处置，废筛网和废滤袋定期外售给物资回收单位再利用，生活垃圾由当地环卫部门统一清运，其他固体废物重新返回生产工序再利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8" w:firstLineChars="19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（三）严格落实各项水污染防治措施。</w:t>
      </w:r>
      <w:r>
        <w:rPr>
          <w:rFonts w:hint="eastAsia" w:ascii="仿宋_GB2312" w:hAnsi="仿宋_GB2312" w:eastAsia="仿宋_GB2312" w:cs="仿宋_GB2312"/>
          <w:color w:val="auto"/>
          <w:kern w:val="2"/>
          <w:sz w:val="32"/>
          <w:szCs w:val="32"/>
          <w:lang w:val="en-US" w:eastAsia="zh-CN" w:bidi="ar-SA"/>
        </w:rPr>
        <w:t>本项目各生产工序产生的废水均经过压滤、沉淀，最终进入环水池重新利用，不外排。运营期废水主要为生活污水和锅炉排污水。项目生活污水和锅炉排污水经化粪池处理后达到《污水综合排放标准》（GB8978- 1996）三级标准，进入厂区化粪池，排入园区污水管网，最终进入城市污水处理厂。</w:t>
      </w:r>
    </w:p>
    <w:p>
      <w:pPr>
        <w:keepNext w:val="0"/>
        <w:keepLines w:val="0"/>
        <w:pageBreakBefore w:val="0"/>
        <w:widowControl w:val="0"/>
        <w:numPr>
          <w:ilvl w:val="0"/>
          <w:numId w:val="1"/>
        </w:numPr>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zh-TW" w:eastAsia="zh-TW" w:bidi="en-US"/>
        </w:rPr>
      </w:pPr>
      <w:r>
        <w:rPr>
          <w:rFonts w:hint="eastAsia" w:ascii="楷体" w:hAnsi="楷体" w:eastAsia="楷体" w:cs="楷体"/>
          <w:color w:val="auto"/>
          <w:kern w:val="2"/>
          <w:sz w:val="32"/>
          <w:szCs w:val="32"/>
          <w:lang w:val="en-US" w:eastAsia="zh-CN" w:bidi="ar-SA"/>
        </w:rPr>
        <w:t>严格落实噪声防治措施。</w:t>
      </w:r>
      <w:r>
        <w:rPr>
          <w:rFonts w:hint="eastAsia" w:ascii="仿宋_GB2312" w:hAnsi="仿宋_GB2312" w:eastAsia="仿宋_GB2312" w:cs="仿宋_GB2312"/>
          <w:color w:val="auto"/>
          <w:sz w:val="32"/>
          <w:szCs w:val="32"/>
          <w:lang w:val="zh-TW" w:eastAsia="zh-TW" w:bidi="en-US"/>
        </w:rPr>
        <w:t>运营期噪声主要设备为圆锥破碎机、振动筛、溢流型球磨机</w:t>
      </w:r>
      <w:r>
        <w:rPr>
          <w:rFonts w:hint="eastAsia" w:ascii="仿宋_GB2312" w:hAnsi="仿宋_GB2312" w:eastAsia="仿宋_GB2312" w:cs="仿宋_GB2312"/>
          <w:color w:val="auto"/>
          <w:sz w:val="32"/>
          <w:szCs w:val="32"/>
          <w:lang w:val="zh-TW" w:eastAsia="zh-CN" w:bidi="en-US"/>
        </w:rPr>
        <w:t>、</w:t>
      </w:r>
      <w:r>
        <w:rPr>
          <w:rFonts w:hint="eastAsia" w:ascii="仿宋_GB2312" w:hAnsi="仿宋_GB2312" w:eastAsia="仿宋_GB2312" w:cs="仿宋_GB2312"/>
          <w:color w:val="auto"/>
          <w:sz w:val="32"/>
          <w:szCs w:val="32"/>
          <w:lang w:val="zh-TW" w:eastAsia="zh-TW" w:bidi="en-US"/>
        </w:rPr>
        <w:t>圆筒干燥机、助燃风机、循环水泵及水力旋流器组等，针对各设备噪声源特征使用消音、减振等噪声治理措施，厂界噪声</w:t>
      </w:r>
      <w:r>
        <w:rPr>
          <w:rFonts w:hint="eastAsia" w:ascii="仿宋_GB2312" w:hAnsi="仿宋_GB2312" w:eastAsia="仿宋_GB2312" w:cs="仿宋_GB2312"/>
          <w:color w:val="auto"/>
          <w:sz w:val="32"/>
          <w:szCs w:val="32"/>
          <w:lang w:val="en-US" w:eastAsia="zh-CN" w:bidi="en-US"/>
        </w:rPr>
        <w:t>可</w:t>
      </w:r>
      <w:r>
        <w:rPr>
          <w:rFonts w:hint="eastAsia" w:ascii="仿宋_GB2312" w:hAnsi="仿宋_GB2312" w:eastAsia="仿宋_GB2312" w:cs="仿宋_GB2312"/>
          <w:color w:val="auto"/>
          <w:sz w:val="32"/>
          <w:szCs w:val="32"/>
          <w:lang w:val="zh-TW" w:eastAsia="zh-TW" w:bidi="en-US"/>
        </w:rPr>
        <w:t>满足《工业企业厂界环境噪声排放标准》(GB12348-2008)</w:t>
      </w:r>
      <w:r>
        <w:rPr>
          <w:rFonts w:hint="eastAsia" w:ascii="仿宋_GB2312" w:hAnsi="仿宋_GB2312" w:eastAsia="仿宋_GB2312" w:cs="仿宋_GB2312"/>
          <w:color w:val="auto"/>
          <w:sz w:val="32"/>
          <w:szCs w:val="32"/>
          <w:lang w:val="en-US" w:eastAsia="zh-CN" w:bidi="en-US"/>
        </w:rPr>
        <w:t>3</w:t>
      </w:r>
      <w:r>
        <w:rPr>
          <w:rFonts w:hint="eastAsia" w:ascii="仿宋_GB2312" w:hAnsi="仿宋_GB2312" w:eastAsia="仿宋_GB2312" w:cs="仿宋_GB2312"/>
          <w:color w:val="auto"/>
          <w:sz w:val="32"/>
          <w:szCs w:val="32"/>
          <w:lang w:val="zh-TW" w:eastAsia="zh-TW" w:bidi="en-US"/>
        </w:rPr>
        <w:t>类标准限值。</w:t>
      </w:r>
    </w:p>
    <w:p>
      <w:pPr>
        <w:keepNext w:val="0"/>
        <w:keepLines w:val="0"/>
        <w:pageBreakBefore w:val="0"/>
        <w:widowControl w:val="0"/>
        <w:numPr>
          <w:ilvl w:val="0"/>
          <w:numId w:val="1"/>
        </w:numPr>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zh-TW" w:eastAsia="zh-TW" w:bidi="en-US"/>
        </w:rPr>
      </w:pPr>
      <w:r>
        <w:rPr>
          <w:rFonts w:hint="eastAsia" w:ascii="楷体" w:hAnsi="楷体" w:eastAsia="楷体" w:cs="楷体"/>
          <w:color w:val="auto"/>
          <w:sz w:val="32"/>
          <w:szCs w:val="32"/>
          <w:lang w:eastAsia="zh-CN" w:bidi="en-US"/>
        </w:rPr>
        <w:t>严格落实各项环境风险防范措施</w:t>
      </w:r>
      <w:r>
        <w:rPr>
          <w:rFonts w:hint="eastAsia" w:ascii="楷体" w:hAnsi="楷体" w:eastAsia="楷体" w:cs="楷体"/>
          <w:color w:val="auto"/>
          <w:sz w:val="32"/>
          <w:szCs w:val="32"/>
          <w:lang w:bidi="en-US"/>
        </w:rPr>
        <w:t>。</w:t>
      </w:r>
      <w:r>
        <w:rPr>
          <w:rFonts w:hint="eastAsia" w:ascii="仿宋_GB2312" w:hAnsi="仿宋_GB2312" w:eastAsia="仿宋_GB2312" w:cs="仿宋_GB2312"/>
          <w:color w:val="auto"/>
          <w:sz w:val="32"/>
          <w:szCs w:val="32"/>
          <w:lang w:val="zh-TW" w:eastAsia="zh-TW" w:bidi="en-US"/>
        </w:rPr>
        <w:t>加强危险化学品的储存、输送和使用管理，加强危险废物收集、贮存和出厂转移环节的环境管理和风险防范。按规范设置自动监测、报警、紧急切断及紧急停车系统，以及防火、防爆、防中毒等事故处理系统。配备足够的应急发电设施，确保紧急情况下应急设备可有效使用。项目投产运行后应加强应急演练，确保发生突发环境事件时能及时采取有效的应急响应措施，控制事故影响范围和程度。建设单位应确保在非事故状态下不占用消防事故水池。如需占用，占用容积不得超过1/3，并应设置在事故时可以紧急排空的技术措施。</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楷体" w:hAnsi="楷体" w:eastAsia="楷体" w:cs="楷体"/>
          <w:color w:val="auto"/>
          <w:kern w:val="2"/>
          <w:sz w:val="32"/>
          <w:szCs w:val="32"/>
          <w:lang w:val="en-US" w:eastAsia="zh-CN" w:bidi="ar-SA"/>
        </w:rPr>
        <w:t>（六）</w:t>
      </w:r>
      <w:r>
        <w:rPr>
          <w:rFonts w:hint="eastAsia" w:ascii="楷体" w:hAnsi="楷体" w:eastAsia="楷体" w:cs="楷体"/>
          <w:color w:val="auto"/>
          <w:sz w:val="32"/>
          <w:szCs w:val="32"/>
          <w:lang w:bidi="en-US"/>
        </w:rPr>
        <w:t>严格落实运营期污染源监测计划。</w:t>
      </w:r>
      <w:r>
        <w:rPr>
          <w:rFonts w:hint="eastAsia" w:ascii="仿宋_GB2312" w:hAnsi="仿宋_GB2312" w:eastAsia="仿宋_GB2312" w:cs="仿宋_GB2312"/>
          <w:color w:val="auto"/>
          <w:sz w:val="32"/>
          <w:szCs w:val="32"/>
          <w:lang w:bidi="en-US"/>
        </w:rPr>
        <w:t>按照相关标准、规范等要求，落实报告书提出的环境管理及监测计划，</w:t>
      </w:r>
      <w:r>
        <w:rPr>
          <w:rFonts w:hint="eastAsia" w:ascii="仿宋_GB2312" w:hAnsi="仿宋_GB2312" w:eastAsia="仿宋_GB2312" w:cs="仿宋_GB2312"/>
          <w:color w:val="auto"/>
          <w:sz w:val="32"/>
          <w:szCs w:val="32"/>
          <w:lang w:val="en-US" w:eastAsia="zh-CN" w:bidi="en-US"/>
        </w:rPr>
        <w:t>加强污染监控感知端建设，</w:t>
      </w:r>
      <w:r>
        <w:rPr>
          <w:rFonts w:hint="eastAsia" w:ascii="仿宋_GB2312" w:hAnsi="仿宋_GB2312" w:eastAsia="仿宋_GB2312" w:cs="仿宋_GB2312"/>
          <w:color w:val="auto"/>
          <w:sz w:val="32"/>
          <w:szCs w:val="32"/>
          <w:lang w:bidi="en-US"/>
        </w:rPr>
        <w:t>建立运营期污染源监测管理体系，并覆盖常规污染物、特征污染物。如出现污染物超标排放情况，应立即查明原因并采取进一步</w:t>
      </w:r>
      <w:r>
        <w:rPr>
          <w:rFonts w:hint="eastAsia" w:ascii="仿宋_GB2312" w:hAnsi="仿宋_GB2312" w:eastAsia="仿宋_GB2312" w:cs="仿宋_GB2312"/>
          <w:color w:val="auto"/>
          <w:sz w:val="32"/>
          <w:szCs w:val="32"/>
          <w:lang w:val="en-US" w:eastAsia="zh-CN" w:bidi="en-US"/>
        </w:rPr>
        <w:t>采取</w:t>
      </w:r>
      <w:r>
        <w:rPr>
          <w:rFonts w:hint="eastAsia" w:ascii="仿宋_GB2312" w:hAnsi="仿宋_GB2312" w:eastAsia="仿宋_GB2312" w:cs="仿宋_GB2312"/>
          <w:color w:val="auto"/>
          <w:sz w:val="32"/>
          <w:szCs w:val="32"/>
          <w:lang w:bidi="en-US"/>
        </w:rPr>
        <w:t>污染物减排措施。</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三、项目建设必须严格执行配套的环境保护设施与主体工程同时设计、同时施工、同时投产使用的环境保护“三同时”制度。严格落实污染防治措施设计要求。应将优化和细化后的各项污染防治措施及概算纳入设计以及施工等招标文件及合同，并明确责任。按规定程序实施竣工环境保护验收。</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四、我局委托锡林郭勒盟生态环境局</w:t>
      </w:r>
      <w:r>
        <w:rPr>
          <w:rFonts w:hint="eastAsia" w:ascii="仿宋_GB2312" w:hAnsi="仿宋_GB2312" w:eastAsia="仿宋_GB2312" w:cs="仿宋_GB2312"/>
          <w:color w:val="auto"/>
          <w:sz w:val="32"/>
          <w:szCs w:val="32"/>
          <w:lang w:val="en-US" w:eastAsia="zh-CN" w:bidi="en-US"/>
        </w:rPr>
        <w:t>二连浩特市</w:t>
      </w:r>
      <w:r>
        <w:rPr>
          <w:rFonts w:hint="eastAsia" w:ascii="仿宋_GB2312" w:hAnsi="仿宋_GB2312" w:eastAsia="仿宋_GB2312" w:cs="仿宋_GB2312"/>
          <w:color w:val="auto"/>
          <w:sz w:val="32"/>
          <w:szCs w:val="32"/>
          <w:lang w:bidi="en-US"/>
        </w:rPr>
        <w:t>分局对该项目各项污染防治措施落实情况进行监督检查和管理。</w:t>
      </w:r>
    </w:p>
    <w:p>
      <w:pPr>
        <w:rPr>
          <w:rFonts w:hint="eastAsia" w:ascii="仿宋_GB2312" w:hAnsi="仿宋_GB2312" w:eastAsia="仿宋_GB2312" w:cs="仿宋_GB2312"/>
          <w:color w:val="auto"/>
          <w:sz w:val="32"/>
          <w:szCs w:val="32"/>
        </w:rPr>
      </w:pPr>
    </w:p>
    <w:p>
      <w:pPr>
        <w:rPr>
          <w:rFonts w:hint="eastAsia"/>
          <w:color w:val="auto"/>
        </w:rPr>
      </w:pPr>
    </w:p>
    <w:p>
      <w:pPr>
        <w:keepNext w:val="0"/>
        <w:keepLines w:val="0"/>
        <w:pageBreakBefore w:val="0"/>
        <w:widowControl w:val="0"/>
        <w:kinsoku/>
        <w:wordWrap/>
        <w:overflowPunct/>
        <w:autoSpaceDE w:val="0"/>
        <w:autoSpaceDN w:val="0"/>
        <w:bidi w:val="0"/>
        <w:adjustRightInd w:val="0"/>
        <w:snapToGrid w:val="0"/>
        <w:spacing w:line="560" w:lineRule="exact"/>
        <w:ind w:firstLine="3840" w:firstLineChars="1200"/>
        <w:textAlignment w:val="auto"/>
        <w:rPr>
          <w:rFonts w:hint="eastAsia" w:ascii="仿宋_GB2312" w:hAnsi="仿宋_GB2312" w:eastAsia="仿宋_GB2312" w:cs="仿宋_GB2312"/>
          <w:color w:val="auto"/>
          <w:sz w:val="32"/>
          <w:szCs w:val="32"/>
          <w:highlight w:val="none"/>
          <w:lang w:bidi="en-US"/>
        </w:rPr>
      </w:pPr>
      <w:r>
        <w:rPr>
          <w:rFonts w:hint="eastAsia" w:ascii="仿宋_GB2312" w:hAnsi="仿宋_GB2312" w:eastAsia="仿宋_GB2312" w:cs="仿宋_GB2312"/>
          <w:color w:val="auto"/>
          <w:sz w:val="32"/>
          <w:szCs w:val="32"/>
          <w:lang w:bidi="en-US"/>
        </w:rPr>
        <w:t>锡林</w:t>
      </w:r>
      <w:r>
        <w:rPr>
          <w:rFonts w:hint="eastAsia" w:ascii="仿宋_GB2312" w:hAnsi="仿宋_GB2312" w:eastAsia="仿宋_GB2312" w:cs="仿宋_GB2312"/>
          <w:color w:val="auto"/>
          <w:sz w:val="32"/>
          <w:szCs w:val="32"/>
          <w:highlight w:val="none"/>
          <w:lang w:bidi="en-US"/>
        </w:rPr>
        <w:t>郭勒盟生态环境局</w:t>
      </w:r>
    </w:p>
    <w:p>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ascii="仿宋" w:hAnsi="仿宋" w:eastAsia="仿宋" w:cs="仿宋"/>
          <w:highlight w:val="none"/>
        </w:rPr>
      </w:pPr>
      <w:r>
        <w:rPr>
          <w:rFonts w:hint="eastAsia" w:ascii="仿宋_GB2312" w:hAnsi="仿宋_GB2312" w:eastAsia="仿宋_GB2312" w:cs="仿宋_GB2312"/>
          <w:color w:val="auto"/>
          <w:sz w:val="32"/>
          <w:szCs w:val="32"/>
          <w:highlight w:val="none"/>
          <w:lang w:bidi="en-US"/>
        </w:rPr>
        <w:t>2023年</w:t>
      </w:r>
      <w:r>
        <w:rPr>
          <w:rFonts w:hint="eastAsia" w:ascii="仿宋_GB2312" w:hAnsi="仿宋_GB2312" w:eastAsia="仿宋_GB2312" w:cs="仿宋_GB2312"/>
          <w:color w:val="auto"/>
          <w:sz w:val="32"/>
          <w:szCs w:val="32"/>
          <w:highlight w:val="none"/>
          <w:lang w:val="en-US" w:eastAsia="zh-CN" w:bidi="en-US"/>
        </w:rPr>
        <w:t>10</w:t>
      </w:r>
      <w:r>
        <w:rPr>
          <w:rFonts w:hint="eastAsia" w:ascii="仿宋_GB2312" w:hAnsi="仿宋_GB2312" w:eastAsia="仿宋_GB2312" w:cs="仿宋_GB2312"/>
          <w:color w:val="auto"/>
          <w:sz w:val="32"/>
          <w:szCs w:val="32"/>
          <w:highlight w:val="none"/>
          <w:lang w:bidi="en-US"/>
        </w:rPr>
        <w:t>月</w:t>
      </w:r>
      <w:r>
        <w:rPr>
          <w:rFonts w:hint="eastAsia" w:ascii="仿宋_GB2312" w:hAnsi="仿宋_GB2312" w:eastAsia="仿宋_GB2312" w:cs="仿宋_GB2312"/>
          <w:color w:val="auto"/>
          <w:sz w:val="32"/>
          <w:szCs w:val="32"/>
          <w:highlight w:val="none"/>
          <w:lang w:val="en-US" w:eastAsia="zh-CN" w:bidi="en-US"/>
        </w:rPr>
        <w:t>30</w:t>
      </w:r>
      <w:r>
        <w:rPr>
          <w:rFonts w:hint="eastAsia" w:ascii="仿宋_GB2312" w:hAnsi="仿宋_GB2312" w:eastAsia="仿宋_GB2312" w:cs="仿宋_GB2312"/>
          <w:color w:val="auto"/>
          <w:sz w:val="32"/>
          <w:szCs w:val="32"/>
          <w:highlight w:val="none"/>
          <w:lang w:bidi="en-US"/>
        </w:rPr>
        <w:t>日</w:t>
      </w:r>
    </w:p>
    <w:p>
      <w:pPr>
        <w:pStyle w:val="16"/>
        <w:rPr>
          <w:rFonts w:hint="eastAsia" w:ascii="仿宋" w:hAnsi="仿宋" w:eastAsia="仿宋" w:cs="仿宋"/>
          <w:highlight w:val="none"/>
        </w:rPr>
      </w:pPr>
    </w:p>
    <w:p>
      <w:pPr>
        <w:rPr>
          <w:rFonts w:hint="eastAsia" w:ascii="仿宋" w:hAnsi="仿宋" w:eastAsia="仿宋" w:cs="仿宋"/>
          <w:highlight w:val="none"/>
        </w:rPr>
      </w:pPr>
    </w:p>
    <w:p>
      <w:pPr>
        <w:pStyle w:val="16"/>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pStyle w:val="16"/>
        <w:rPr>
          <w:rFonts w:hint="eastAsia" w:ascii="仿宋" w:hAnsi="仿宋" w:eastAsia="仿宋" w:cs="仿宋"/>
          <w:highlight w:val="none"/>
        </w:rPr>
      </w:pPr>
    </w:p>
    <w:p>
      <w:pPr>
        <w:pStyle w:val="16"/>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bookmarkStart w:id="1" w:name="_GoBack"/>
      <w:bookmarkEnd w:id="1"/>
    </w:p>
    <w:p>
      <w:pPr>
        <w:rPr>
          <w:rFonts w:hint="eastAsia" w:ascii="仿宋" w:hAnsi="仿宋" w:eastAsia="仿宋" w:cs="仿宋"/>
          <w:highlight w:val="none"/>
        </w:rPr>
      </w:pPr>
    </w:p>
    <w:p>
      <w:pPr>
        <w:rPr>
          <w:rFonts w:hint="eastAsia"/>
        </w:rPr>
      </w:pPr>
    </w:p>
    <w:p>
      <w:pPr>
        <w:pStyle w:val="11"/>
        <w:rPr>
          <w:rFonts w:hint="eastAsia" w:ascii="仿宋" w:hAnsi="仿宋" w:eastAsia="仿宋" w:cs="仿宋"/>
          <w:highlight w:val="none"/>
        </w:rPr>
      </w:pPr>
    </w:p>
    <w:p>
      <w:pPr>
        <w:pStyle w:val="16"/>
        <w:keepNext w:val="0"/>
        <w:keepLines w:val="0"/>
        <w:pageBreakBefore w:val="0"/>
        <w:widowControl w:val="0"/>
        <w:kinsoku/>
        <w:wordWrap/>
        <w:overflowPunct/>
        <w:topLinePunct w:val="0"/>
        <w:bidi w:val="0"/>
        <w:snapToGrid/>
        <w:spacing w:line="500" w:lineRule="exact"/>
        <w:jc w:val="both"/>
        <w:textAlignment w:val="auto"/>
        <w:rPr>
          <w:rFonts w:hint="eastAsia" w:ascii="仿宋" w:hAnsi="仿宋" w:eastAsia="仿宋" w:cs="仿宋"/>
          <w:color w:val="auto"/>
          <w:kern w:val="2"/>
          <w:sz w:val="28"/>
          <w:szCs w:val="28"/>
          <w:highlight w:val="none"/>
          <w:lang w:eastAsia="zh-CN" w:bidi="en-US"/>
        </w:rPr>
      </w:pPr>
      <w:r>
        <w:rPr>
          <w:rFonts w:hint="eastAsia" w:ascii="仿宋" w:hAnsi="仿宋" w:eastAsia="仿宋" w:cs="仿宋"/>
          <w:color w:val="auto"/>
          <w:kern w:val="2"/>
          <w:sz w:val="28"/>
          <w:szCs w:val="28"/>
          <w:highlight w:val="none"/>
          <w:lang w:bidi="en-US"/>
        </w:rPr>
        <w:t>抄送：盟生态环境综合行政执法支队</w:t>
      </w:r>
      <w:r>
        <w:rPr>
          <w:rFonts w:hint="eastAsia" w:ascii="仿宋" w:hAnsi="仿宋" w:eastAsia="仿宋" w:cs="仿宋"/>
          <w:color w:val="auto"/>
          <w:kern w:val="2"/>
          <w:sz w:val="28"/>
          <w:szCs w:val="28"/>
          <w:highlight w:val="none"/>
          <w:lang w:eastAsia="zh-CN" w:bidi="en-US"/>
        </w:rPr>
        <w:t>，</w:t>
      </w:r>
      <w:r>
        <w:rPr>
          <w:rFonts w:hint="eastAsia" w:ascii="仿宋" w:hAnsi="仿宋" w:eastAsia="仿宋" w:cs="仿宋"/>
          <w:color w:val="auto"/>
          <w:kern w:val="2"/>
          <w:sz w:val="28"/>
          <w:szCs w:val="28"/>
          <w:highlight w:val="none"/>
          <w:lang w:bidi="en-US"/>
        </w:rPr>
        <w:t>盟生态环境</w:t>
      </w:r>
      <w:r>
        <w:rPr>
          <w:rFonts w:hint="eastAsia" w:ascii="仿宋" w:hAnsi="仿宋" w:eastAsia="仿宋" w:cs="仿宋"/>
          <w:color w:val="auto"/>
          <w:kern w:val="2"/>
          <w:sz w:val="28"/>
          <w:szCs w:val="28"/>
          <w:highlight w:val="none"/>
          <w:lang w:eastAsia="zh-CN" w:bidi="en-US"/>
        </w:rPr>
        <w:t>局</w:t>
      </w:r>
      <w:r>
        <w:rPr>
          <w:rFonts w:hint="eastAsia" w:ascii="仿宋" w:hAnsi="仿宋" w:eastAsia="仿宋" w:cs="仿宋"/>
          <w:color w:val="auto"/>
          <w:kern w:val="2"/>
          <w:sz w:val="28"/>
          <w:szCs w:val="28"/>
          <w:highlight w:val="none"/>
          <w:lang w:val="en-US" w:eastAsia="zh-CN" w:bidi="en-US"/>
        </w:rPr>
        <w:t>二连浩特市分局</w:t>
      </w:r>
    </w:p>
    <w:p>
      <w:pPr>
        <w:keepNext w:val="0"/>
        <w:keepLines w:val="0"/>
        <w:pageBreakBefore w:val="0"/>
        <w:widowControl w:val="0"/>
        <w:pBdr>
          <w:top w:val="single" w:color="auto" w:sz="4" w:space="1"/>
          <w:left w:val="none" w:color="auto" w:sz="0" w:space="4"/>
          <w:bottom w:val="single" w:color="auto" w:sz="4" w:space="1"/>
          <w:right w:val="none" w:color="auto" w:sz="0" w:space="4"/>
        </w:pBdr>
        <w:kinsoku/>
        <w:wordWrap/>
        <w:overflowPunct/>
        <w:topLinePunct w:val="0"/>
        <w:bidi w:val="0"/>
        <w:snapToGrid/>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锡林郭勒盟生态环境局办公室             2023年</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940A54"/>
    <w:multiLevelType w:val="singleLevel"/>
    <w:tmpl w:val="4B940A54"/>
    <w:lvl w:ilvl="0" w:tentative="0">
      <w:start w:val="4"/>
      <w:numFmt w:val="chineseCounting"/>
      <w:suff w:val="nothing"/>
      <w:lvlText w:val="（%1）"/>
      <w:lvlJc w:val="left"/>
      <w:rPr>
        <w:rFonts w:hint="eastAsia" w:ascii="楷体" w:hAnsi="楷体" w:eastAsia="楷体" w:cs="楷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jZjliNThiMThmZTZiMTZlZjM4YWI1NWNjNGNiZjYifQ=="/>
  </w:docVars>
  <w:rsids>
    <w:rsidRoot w:val="00BE15C5"/>
    <w:rsid w:val="00096BAA"/>
    <w:rsid w:val="001577BB"/>
    <w:rsid w:val="00157C95"/>
    <w:rsid w:val="001A08E0"/>
    <w:rsid w:val="0023504A"/>
    <w:rsid w:val="00275F15"/>
    <w:rsid w:val="0029260D"/>
    <w:rsid w:val="0030521F"/>
    <w:rsid w:val="00314696"/>
    <w:rsid w:val="00333BAE"/>
    <w:rsid w:val="00351DD5"/>
    <w:rsid w:val="0036799A"/>
    <w:rsid w:val="003F6E8C"/>
    <w:rsid w:val="00565FD0"/>
    <w:rsid w:val="006D5A5C"/>
    <w:rsid w:val="0078439C"/>
    <w:rsid w:val="008169E9"/>
    <w:rsid w:val="008B4F82"/>
    <w:rsid w:val="008C5ED5"/>
    <w:rsid w:val="00977DFE"/>
    <w:rsid w:val="00981820"/>
    <w:rsid w:val="00A74547"/>
    <w:rsid w:val="00B3474C"/>
    <w:rsid w:val="00BB3EEE"/>
    <w:rsid w:val="00BE15C5"/>
    <w:rsid w:val="00C054DA"/>
    <w:rsid w:val="00C23C2B"/>
    <w:rsid w:val="00C769C0"/>
    <w:rsid w:val="00CA00EE"/>
    <w:rsid w:val="00D14C38"/>
    <w:rsid w:val="00D37553"/>
    <w:rsid w:val="00DA6EE3"/>
    <w:rsid w:val="00E76C09"/>
    <w:rsid w:val="00F13EA9"/>
    <w:rsid w:val="00F96E63"/>
    <w:rsid w:val="00FF17CD"/>
    <w:rsid w:val="019C606F"/>
    <w:rsid w:val="04082137"/>
    <w:rsid w:val="064265FE"/>
    <w:rsid w:val="07E80A5E"/>
    <w:rsid w:val="08125FE6"/>
    <w:rsid w:val="09F707CE"/>
    <w:rsid w:val="0C7A4895"/>
    <w:rsid w:val="0D6D6C1D"/>
    <w:rsid w:val="0EE27BE5"/>
    <w:rsid w:val="134A4ECA"/>
    <w:rsid w:val="1D61177E"/>
    <w:rsid w:val="1F9C573C"/>
    <w:rsid w:val="25C45CCE"/>
    <w:rsid w:val="27B80082"/>
    <w:rsid w:val="29D8150D"/>
    <w:rsid w:val="2CF929A0"/>
    <w:rsid w:val="2DFD607A"/>
    <w:rsid w:val="2F1F3E8C"/>
    <w:rsid w:val="2F7E7F6E"/>
    <w:rsid w:val="31255C7D"/>
    <w:rsid w:val="36604982"/>
    <w:rsid w:val="3E4E3847"/>
    <w:rsid w:val="46B26845"/>
    <w:rsid w:val="4A3B72B4"/>
    <w:rsid w:val="53B13A0B"/>
    <w:rsid w:val="56990422"/>
    <w:rsid w:val="65980358"/>
    <w:rsid w:val="67927E4C"/>
    <w:rsid w:val="68387D94"/>
    <w:rsid w:val="6E1A4AAF"/>
    <w:rsid w:val="70EA0941"/>
    <w:rsid w:val="78CC1696"/>
    <w:rsid w:val="7C5E4C41"/>
    <w:rsid w:val="7CE53CE8"/>
    <w:rsid w:val="7F6C2C5A"/>
    <w:rsid w:val="7FD62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9"/>
    <w:pPr>
      <w:keepNext/>
      <w:keepLines/>
      <w:adjustRightInd w:val="0"/>
      <w:snapToGrid w:val="0"/>
      <w:jc w:val="left"/>
      <w:outlineLvl w:val="3"/>
    </w:pPr>
    <w:rPr>
      <w:rFonts w:cstheme="majorBidi"/>
      <w:b/>
      <w:bCs/>
      <w:szCs w:val="28"/>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rFonts w:ascii="Times New Roman" w:hAnsi="Times New Roman" w:eastAsia="宋体"/>
      <w:szCs w:val="24"/>
    </w:rPr>
  </w:style>
  <w:style w:type="paragraph" w:styleId="4">
    <w:name w:val="annotation text"/>
    <w:basedOn w:val="1"/>
    <w:link w:val="24"/>
    <w:semiHidden/>
    <w:unhideWhenUsed/>
    <w:qFormat/>
    <w:uiPriority w:val="99"/>
    <w:pPr>
      <w:jc w:val="left"/>
    </w:pPr>
  </w:style>
  <w:style w:type="paragraph" w:styleId="5">
    <w:name w:val="Body Text Indent"/>
    <w:basedOn w:val="1"/>
    <w:next w:val="6"/>
    <w:qFormat/>
    <w:uiPriority w:val="0"/>
    <w:pPr>
      <w:spacing w:after="120"/>
      <w:ind w:left="420" w:leftChars="200"/>
    </w:pPr>
    <w:rPr>
      <w:rFonts w:ascii="Times New Roman" w:hAnsi="Times New Roman" w:eastAsia="宋体" w:cs="Times New Roman"/>
      <w:szCs w:val="20"/>
    </w:rPr>
  </w:style>
  <w:style w:type="paragraph" w:customStyle="1" w:styleId="6">
    <w:name w:val="样式 正文文本缩进 + 行距: 1.5 倍行距"/>
    <w:basedOn w:val="1"/>
    <w:qFormat/>
    <w:uiPriority w:val="0"/>
    <w:pPr>
      <w:spacing w:after="120" w:line="360" w:lineRule="auto"/>
      <w:ind w:left="90" w:leftChars="32" w:firstLine="560" w:firstLineChars="200"/>
    </w:pPr>
    <w:rPr>
      <w:rFonts w:ascii="Calibri" w:hAnsi="Calibri" w:cs="宋体"/>
      <w:szCs w:val="24"/>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left" w:pos="284"/>
        <w:tab w:val="right" w:leader="dot" w:pos="8296"/>
      </w:tabs>
    </w:pPr>
  </w:style>
  <w:style w:type="paragraph" w:styleId="10">
    <w:name w:val="annotation subject"/>
    <w:basedOn w:val="4"/>
    <w:next w:val="4"/>
    <w:link w:val="25"/>
    <w:semiHidden/>
    <w:unhideWhenUsed/>
    <w:qFormat/>
    <w:uiPriority w:val="99"/>
    <w:rPr>
      <w:b/>
      <w:bCs/>
    </w:rPr>
  </w:style>
  <w:style w:type="paragraph" w:styleId="11">
    <w:name w:val="Body Text First Indent 2"/>
    <w:basedOn w:val="5"/>
    <w:next w:val="1"/>
    <w:qFormat/>
    <w:uiPriority w:val="0"/>
    <w:pPr>
      <w:adjustRightInd w:val="0"/>
      <w:ind w:firstLine="420"/>
      <w:textAlignment w:val="baseline"/>
    </w:pPr>
    <w:rPr>
      <w:rFonts w:ascii="宋体" w:hAnsi="宋体"/>
      <w:sz w:val="18"/>
      <w:szCs w:val="18"/>
    </w:r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paragraph" w:customStyle="1" w:styleId="16">
    <w:name w:val="Default"/>
    <w:basedOn w:val="17"/>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纯文本1"/>
    <w:basedOn w:val="1"/>
    <w:qFormat/>
    <w:uiPriority w:val="0"/>
    <w:rPr>
      <w:rFonts w:ascii="宋体" w:hAnsi="Courier New"/>
      <w:szCs w:val="20"/>
    </w:rPr>
  </w:style>
  <w:style w:type="paragraph" w:customStyle="1" w:styleId="18">
    <w:name w:val="正文1"/>
    <w:basedOn w:val="16"/>
    <w:next w:val="1"/>
    <w:qFormat/>
    <w:uiPriority w:val="0"/>
    <w:pPr>
      <w:tabs>
        <w:tab w:val="left" w:pos="0"/>
        <w:tab w:val="left" w:pos="7012"/>
      </w:tabs>
      <w:autoSpaceDE w:val="0"/>
      <w:autoSpaceDN w:val="0"/>
      <w:spacing w:beforeLines="25" w:afterLines="25" w:line="360" w:lineRule="auto"/>
      <w:ind w:firstLine="480" w:firstLineChars="200"/>
    </w:pPr>
    <w:rPr>
      <w:rFonts w:ascii="宋体" w:hAnsi="Calibri" w:cs="宋体"/>
      <w:color w:val="000000"/>
      <w:sz w:val="24"/>
      <w:szCs w:val="24"/>
    </w:rPr>
  </w:style>
  <w:style w:type="character" w:customStyle="1" w:styleId="19">
    <w:name w:val="未处理的提及1"/>
    <w:basedOn w:val="13"/>
    <w:semiHidden/>
    <w:unhideWhenUsed/>
    <w:qFormat/>
    <w:uiPriority w:val="99"/>
    <w:rPr>
      <w:color w:val="605E5C"/>
      <w:shd w:val="clear" w:color="auto" w:fill="E1DFDD"/>
    </w:rPr>
  </w:style>
  <w:style w:type="character" w:customStyle="1" w:styleId="20">
    <w:name w:val="页眉 字符"/>
    <w:basedOn w:val="13"/>
    <w:link w:val="8"/>
    <w:qFormat/>
    <w:uiPriority w:val="99"/>
    <w:rPr>
      <w:kern w:val="2"/>
      <w:sz w:val="18"/>
      <w:szCs w:val="18"/>
    </w:rPr>
  </w:style>
  <w:style w:type="paragraph" w:customStyle="1" w:styleId="21">
    <w:name w:val="表文"/>
    <w:basedOn w:val="1"/>
    <w:qFormat/>
    <w:uiPriority w:val="0"/>
    <w:pPr>
      <w:overflowPunct w:val="0"/>
      <w:spacing w:line="440" w:lineRule="exact"/>
      <w:jc w:val="center"/>
      <w:textAlignment w:val="baseline"/>
    </w:pPr>
    <w:rPr>
      <w:rFonts w:ascii="Arial" w:hAnsi="Arial" w:eastAsia="宋体" w:cs="Times New Roman"/>
      <w:szCs w:val="20"/>
    </w:rPr>
  </w:style>
  <w:style w:type="paragraph" w:customStyle="1" w:styleId="22">
    <w:name w:val="样式 (符号) 宋体 小四 行距: 1.5 倍行距"/>
    <w:basedOn w:val="1"/>
    <w:qFormat/>
    <w:uiPriority w:val="0"/>
    <w:pPr>
      <w:spacing w:line="360" w:lineRule="auto"/>
      <w:ind w:firstLine="200" w:firstLineChars="200"/>
    </w:pPr>
    <w:rPr>
      <w:rFonts w:ascii="Times New Roman" w:hAnsi="Times New Roman" w:eastAsia="宋体" w:cs="宋体"/>
      <w:sz w:val="24"/>
      <w:szCs w:val="24"/>
    </w:rPr>
  </w:style>
  <w:style w:type="paragraph" w:styleId="23">
    <w:name w:val="List Paragraph"/>
    <w:basedOn w:val="1"/>
    <w:qFormat/>
    <w:uiPriority w:val="99"/>
    <w:pPr>
      <w:ind w:firstLine="420" w:firstLineChars="200"/>
    </w:pPr>
  </w:style>
  <w:style w:type="character" w:customStyle="1" w:styleId="24">
    <w:name w:val="批注文字 字符"/>
    <w:basedOn w:val="13"/>
    <w:link w:val="4"/>
    <w:semiHidden/>
    <w:qFormat/>
    <w:uiPriority w:val="99"/>
    <w:rPr>
      <w:kern w:val="2"/>
      <w:sz w:val="21"/>
      <w:szCs w:val="22"/>
    </w:rPr>
  </w:style>
  <w:style w:type="character" w:customStyle="1" w:styleId="25">
    <w:name w:val="批注主题 字符"/>
    <w:basedOn w:val="24"/>
    <w:link w:val="10"/>
    <w:semiHidden/>
    <w:qFormat/>
    <w:uiPriority w:val="99"/>
    <w:rPr>
      <w:b/>
      <w:bCs/>
      <w:kern w:val="2"/>
      <w:sz w:val="21"/>
      <w:szCs w:val="22"/>
    </w:rPr>
  </w:style>
  <w:style w:type="paragraph" w:customStyle="1" w:styleId="26">
    <w:name w:val="高-正文"/>
    <w:basedOn w:val="1"/>
    <w:qFormat/>
    <w:uiPriority w:val="0"/>
    <w:pPr>
      <w:topLinePunct/>
      <w:adjustRightInd w:val="0"/>
      <w:snapToGrid w:val="0"/>
      <w:spacing w:line="480" w:lineRule="exact"/>
      <w:ind w:firstLine="600"/>
    </w:pPr>
    <w:rPr>
      <w:rFonts w:ascii="等线" w:hAnsi="等线" w:eastAsia="等线"/>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1769</Words>
  <Characters>1931</Characters>
  <Lines>19</Lines>
  <Paragraphs>5</Paragraphs>
  <TotalTime>14</TotalTime>
  <ScaleCrop>false</ScaleCrop>
  <LinksUpToDate>false</LinksUpToDate>
  <CharactersWithSpaces>1945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2023-01-30T09:32:00Z</dcterms:created>
  <dc:creator>hui hui</dc:creator>
  <cp:lastModifiedBy>zilchs</cp:lastModifiedBy>
  <cp:lastPrinted>2023-01-30T09:39:00Z</cp:lastPrinted>
  <dcterms:modified xsi:type="dcterms:W3CDTF">2023-10-25T09:04:03Z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455311356F5D43EC80E5145279EA8883_13</vt:lpwstr>
  </property>
</Properties>
</file>