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color w:val="000000" w:themeColor="text1"/>
          <w:sz w:val="32"/>
          <w:szCs w:val="32"/>
          <w14:textFill>
            <w14:solidFill>
              <w14:schemeClr w14:val="tx1"/>
            </w14:solidFill>
          </w14:textFill>
        </w:rPr>
      </w:pPr>
      <w:bookmarkStart w:id="0" w:name="_Hlk124747957"/>
    </w:p>
    <w:p>
      <w:pPr>
        <w:adjustRightInd w:val="0"/>
        <w:snapToGrid w:val="0"/>
        <w:spacing w:line="360" w:lineRule="auto"/>
        <w:jc w:val="center"/>
        <w:rPr>
          <w:b/>
          <w:bCs/>
          <w:color w:val="000000" w:themeColor="text1"/>
          <w:sz w:val="32"/>
          <w:szCs w:val="32"/>
          <w14:textFill>
            <w14:solidFill>
              <w14:schemeClr w14:val="tx1"/>
            </w14:solidFill>
          </w14:textFill>
        </w:rPr>
      </w:pPr>
    </w:p>
    <w:p>
      <w:pPr>
        <w:pStyle w:val="2"/>
        <w:rPr>
          <w:b/>
          <w:bCs/>
          <w:color w:val="000000" w:themeColor="text1"/>
          <w:sz w:val="32"/>
          <w:szCs w:val="32"/>
          <w14:textFill>
            <w14:solidFill>
              <w14:schemeClr w14:val="tx1"/>
            </w14:solidFill>
          </w14:textFill>
        </w:rPr>
      </w:pPr>
    </w:p>
    <w:p>
      <w:pPr>
        <w:rPr>
          <w:b/>
          <w:bCs/>
          <w:color w:val="000000" w:themeColor="text1"/>
          <w:sz w:val="32"/>
          <w:szCs w:val="32"/>
          <w14:textFill>
            <w14:solidFill>
              <w14:schemeClr w14:val="tx1"/>
            </w14:solidFill>
          </w14:textFill>
        </w:rPr>
      </w:pPr>
    </w:p>
    <w:p>
      <w:pPr>
        <w:pStyle w:val="2"/>
        <w:rPr>
          <w:b/>
          <w:bCs/>
          <w:color w:val="000000" w:themeColor="text1"/>
          <w:sz w:val="32"/>
          <w:szCs w:val="32"/>
          <w14:textFill>
            <w14:solidFill>
              <w14:schemeClr w14:val="tx1"/>
            </w14:solidFill>
          </w14:textFill>
        </w:rPr>
      </w:pPr>
    </w:p>
    <w:p>
      <w:pPr>
        <w:pStyle w:val="2"/>
        <w:ind w:left="0" w:leftChars="0" w:firstLine="0" w:firstLineChars="0"/>
        <w:rPr>
          <w:b/>
          <w:bCs/>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autoSpaceDE w:val="0"/>
        <w:autoSpaceDN w:val="0"/>
        <w:adjustRightInd w:val="0"/>
        <w:snapToGrid w:val="0"/>
        <w:spacing w:line="560" w:lineRule="exact"/>
        <w:jc w:val="center"/>
        <w:rPr>
          <w:rFonts w:ascii="仿宋_GB2312" w:hAnsi="Times New Roman" w:eastAsia="仿宋_GB2312" w:cs="Arial"/>
          <w:color w:val="000000" w:themeColor="text1"/>
          <w:sz w:val="32"/>
          <w:szCs w:val="32"/>
          <w:highlight w:val="none"/>
          <w:lang w:bidi="en-US"/>
          <w14:textFill>
            <w14:solidFill>
              <w14:schemeClr w14:val="tx1"/>
            </w14:solidFill>
          </w14:textFill>
        </w:rPr>
      </w:pPr>
      <w:r>
        <w:rPr>
          <w:rFonts w:hint="eastAsia" w:ascii="仿宋_GB2312" w:hAnsi="Times New Roman" w:eastAsia="仿宋_GB2312" w:cs="Arial"/>
          <w:color w:val="000000" w:themeColor="text1"/>
          <w:sz w:val="32"/>
          <w:szCs w:val="32"/>
          <w:lang w:bidi="en-US"/>
          <w14:textFill>
            <w14:solidFill>
              <w14:schemeClr w14:val="tx1"/>
            </w14:solidFill>
          </w14:textFill>
        </w:rPr>
        <w:t>锡署环审书〔202</w:t>
      </w:r>
      <w:r>
        <w:rPr>
          <w:rFonts w:hint="eastAsia" w:ascii="仿宋_GB2312" w:hAnsi="Times New Roman" w:eastAsia="仿宋_GB2312" w:cs="Arial"/>
          <w:color w:val="auto"/>
          <w:sz w:val="32"/>
          <w:szCs w:val="32"/>
          <w:highlight w:val="none"/>
          <w:lang w:val="en-US" w:eastAsia="zh-CN" w:bidi="en-US"/>
        </w:rPr>
        <w:t>4</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1</w:t>
      </w:r>
      <w:r>
        <w:rPr>
          <w:rFonts w:hint="eastAsia" w:ascii="仿宋_GB2312" w:hAnsi="Times New Roman" w:eastAsia="仿宋_GB2312" w:cs="Arial"/>
          <w:color w:val="auto"/>
          <w:sz w:val="32"/>
          <w:szCs w:val="32"/>
          <w:highlight w:val="none"/>
          <w:lang w:bidi="en-US"/>
        </w:rPr>
        <w:t>号</w:t>
      </w:r>
    </w:p>
    <w:p>
      <w:pPr>
        <w:adjustRightInd w:val="0"/>
        <w:snapToGrid w:val="0"/>
        <w:spacing w:line="360" w:lineRule="auto"/>
        <w:jc w:val="center"/>
        <w:rPr>
          <w:b/>
          <w:bCs/>
          <w:color w:val="000000" w:themeColor="text1"/>
          <w:sz w:val="32"/>
          <w:szCs w:val="32"/>
          <w:highlight w:val="none"/>
          <w14:textFill>
            <w14:solidFill>
              <w14:schemeClr w14:val="tx1"/>
            </w14:solidFill>
          </w14:textFill>
        </w:rPr>
      </w:pPr>
    </w:p>
    <w:p>
      <w:pPr>
        <w:widowControl/>
        <w:spacing w:line="700" w:lineRule="exact"/>
        <w:jc w:val="center"/>
        <w:textAlignment w:val="baseline"/>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锡林郭勒盟生态环境</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局</w:t>
      </w:r>
    </w:p>
    <w:bookmarkEnd w:id="0"/>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关于二连浩特市天利源矿业有限责任公司60万吨/年铁矿石技改项目变更</w:t>
      </w:r>
    </w:p>
    <w:p>
      <w:pPr>
        <w:autoSpaceDE w:val="0"/>
        <w:autoSpaceDN w:val="0"/>
        <w:adjustRightInd w:val="0"/>
        <w:snapToGrid w:val="0"/>
        <w:spacing w:line="7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环境影响报告书的批复</w:t>
      </w:r>
    </w:p>
    <w:p>
      <w:pPr>
        <w:autoSpaceDE w:val="0"/>
        <w:autoSpaceDN w:val="0"/>
        <w:adjustRightInd w:val="0"/>
        <w:snapToGrid w:val="0"/>
        <w:spacing w:line="520" w:lineRule="exact"/>
        <w:rPr>
          <w:rFonts w:ascii="仿宋_GB2312" w:hAnsi="仿宋_GB2312" w:eastAsia="仿宋_GB2312" w:cs="仿宋_GB2312"/>
          <w:color w:val="000000" w:themeColor="text1"/>
          <w:sz w:val="32"/>
          <w:szCs w:val="32"/>
          <w:lang w:bidi="en-US"/>
          <w14:textFill>
            <w14:solidFill>
              <w14:schemeClr w14:val="tx1"/>
            </w14:solidFill>
          </w14:textFill>
        </w:rPr>
      </w:pPr>
    </w:p>
    <w:p>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二连浩特市天利源矿业有限责任公司：</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你单位报送的《二连浩特市天利源矿业有限责任公司60万吨/年铁矿石技改项目变更环境影响报告书》（</w:t>
      </w:r>
      <w:r>
        <w:rPr>
          <w:rFonts w:hint="eastAsia" w:ascii="仿宋_GB2312" w:hAnsi="仿宋_GB2312" w:eastAsia="仿宋_GB2312" w:cs="仿宋_GB2312"/>
          <w:color w:val="000000" w:themeColor="text1"/>
          <w:sz w:val="32"/>
          <w:szCs w:val="32"/>
          <w:lang w:eastAsia="zh-Hans" w:bidi="en-US"/>
          <w14:textFill>
            <w14:solidFill>
              <w14:schemeClr w14:val="tx1"/>
            </w14:solidFill>
          </w14:textFill>
        </w:rPr>
        <w:t>以下简称《报告书》</w:t>
      </w:r>
      <w:r>
        <w:rPr>
          <w:rFonts w:hint="eastAsia" w:ascii="仿宋_GB2312" w:hAnsi="仿宋_GB2312" w:eastAsia="仿宋_GB2312" w:cs="仿宋_GB2312"/>
          <w:color w:val="000000" w:themeColor="text1"/>
          <w:sz w:val="32"/>
          <w:szCs w:val="32"/>
          <w:lang w:bidi="en-US"/>
          <w14:textFill>
            <w14:solidFill>
              <w14:schemeClr w14:val="tx1"/>
            </w14:solidFill>
          </w14:textFill>
        </w:rPr>
        <w:t>）收悉。经研究，批复如下：</w:t>
      </w:r>
    </w:p>
    <w:p>
      <w:pPr>
        <w:pStyle w:val="26"/>
        <w:keepNext w:val="0"/>
        <w:keepLines w:val="0"/>
        <w:pageBreakBefore w:val="0"/>
        <w:widowControl w:val="0"/>
        <w:numPr>
          <w:ilvl w:val="0"/>
          <w:numId w:val="0"/>
        </w:numPr>
        <w:kinsoku/>
        <w:wordWrap/>
        <w:overflowPunct/>
        <w:bidi w:val="0"/>
        <w:spacing w:line="560" w:lineRule="exact"/>
        <w:ind w:firstLine="640" w:firstLineChars="200"/>
        <w:jc w:val="both"/>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一、</w:t>
      </w:r>
      <w:r>
        <w:rPr>
          <w:rFonts w:hint="eastAsia" w:ascii="仿宋_GB2312" w:hAnsi="仿宋_GB2312" w:eastAsia="仿宋_GB2312" w:cs="仿宋_GB2312"/>
          <w:color w:val="000000" w:themeColor="text1"/>
          <w:sz w:val="32"/>
          <w:szCs w:val="32"/>
          <w:lang w:bidi="en-US"/>
          <w14:textFill>
            <w14:solidFill>
              <w14:schemeClr w14:val="tx1"/>
            </w14:solidFill>
          </w14:textFill>
        </w:rPr>
        <w:t>二连浩特市天利源矿业有限责任公司60万吨/年铁矿石技改项目变更</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位于二连浩特市欧亚国际物流园区内东兴东路西侧，苏尼特北二街北侧天利源矿业公司现有厂区内，厂区占地面积为21600m</w:t>
      </w:r>
      <w:r>
        <w:rPr>
          <w:rFonts w:hint="eastAsia" w:ascii="仿宋_GB2312" w:hAnsi="仿宋_GB2312" w:eastAsia="仿宋_GB2312" w:cs="仿宋_GB2312"/>
          <w:b w:val="0"/>
          <w:bCs/>
          <w:color w:val="auto"/>
          <w:kern w:val="0"/>
          <w:sz w:val="32"/>
          <w:szCs w:val="32"/>
          <w:vertAlign w:val="superscript"/>
          <w:lang w:val="en-US" w:eastAsia="zh-CN" w:bidi="ar"/>
        </w:rPr>
        <w:t>2</w:t>
      </w:r>
      <w:r>
        <w:rPr>
          <w:rFonts w:hint="eastAsia" w:ascii="仿宋_GB2312" w:hAnsi="仿宋_GB2312" w:eastAsia="仿宋_GB2312" w:cs="仿宋_GB2312"/>
          <w:b w:val="0"/>
          <w:bCs/>
          <w:color w:val="auto"/>
          <w:kern w:val="0"/>
          <w:sz w:val="32"/>
          <w:szCs w:val="32"/>
          <w:lang w:val="en-US" w:eastAsia="zh-CN" w:bidi="ar"/>
        </w:rPr>
        <w:t>，不新增用地。本次变更项目设计原矿处理规模不变，进场原矿成分变化，由原来的低硫铁矿变更为以高硫铁矿为主，相应的生产工艺由原来的干选磁选工艺变更为以加工高硫铁精矿磨矿浮选系统为主，以辊磨干筛干选系统为辅。此外，根据生产需求对厂区现有平面空间重新进行整体规划设计，将原有车间厂房全部拆除（除办公楼），在基础上新建一座主厂房，将所有生产作业均布设在主厂房内</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《报告书》认为，在全面落实各项生态保护和污染防治措施的前提下，项目建设对环境的不利影响能够得到一定的缓解和控制。我局原则同意本项目按照《报告书》所列的变更内容进行建设，</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不涉及变更的建设内容，按原项目环评报告书及批复执行。</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二、项目在设计、建设和运营过程中还应做好以下工作。</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（一）严格落实各项大气污染防治措施。</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本次变更项目将所有生产作业均布设在全封闭主厂房内，运营期主厂房内选矿废气主要来自矿石装卸、入料、输送、破碎、辊磨、筛分、干选磁选等过程产生的粉尘。</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项目主厂房粉尘治理措施主要有：原料铁矿进场后置于主厂房内1号原料成品库原矿储存区，卸载时降低卸料高度，在库房进出口和原矿卸车区域设置高压微雾装置，定期喷洒抑尘；原矿石铲装进入受矿槽过程中进行高压微雾洒水，并在受矿槽底部皮带受料点等处设置干雾抑尘装置；各输送皮带采用单层罩密闭方式，保证皮带密闭严实，密闭罩和胶带挡板采用搭扣活动连接，方便皮带检修后密闭罩恢复。此外，在皮带输送机转载点安装干雾抑尘装置；圆锥破碎机、高压辊磨机、香蕉弛张筛、双筒式粉矿干选磁选机均采用整体密闭式结构，只有在加料和排料点产生粉尘，设计在设备进出口设置高压微雾装置；干选铁精矿由皮带输送至1号原料成品库精矿储存区储存，并在堆场设置高压微雾装置；项目设计将湿选铁精矿堆场、湿选高硫铁精矿堆场及湿选尾矿堆场均布设在全封闭主厂房浓缩过滤跨内，各物料含水率均约10%，要求每日装车外运，缩短堆存时间，堆场不易起尘。</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干选尾矿储存在主厂房外专用筒仓内，干选尾矿在进入及出筒仓时仓顶呼吸口会产生粉尘。项目设计筒仓进出料产生的废气经仓顶自带集尘管道收集后由风机牵引至仓顶布袋除尘器处理，之后通过仓顶排气口排放。</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项目选矿工序无组织颗粒物废气排放满足《铁矿采选工业污染物排放标准》（GB28661-2012）表 7 现有和新建企业大气污染物无组织排放限值。</w:t>
      </w:r>
    </w:p>
    <w:p>
      <w:pPr>
        <w:keepNext w:val="0"/>
        <w:keepLines w:val="0"/>
        <w:pageBreakBefore w:val="0"/>
        <w:widowControl w:val="0"/>
        <w:numPr>
          <w:ilvl w:val="0"/>
          <w:numId w:val="1"/>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严格落实固体废物污染防治措施。</w:t>
      </w:r>
      <w:r>
        <w:rPr>
          <w:rFonts w:hint="eastAsia" w:ascii="仿宋_GB2312" w:hAnsi="仿宋_GB2312" w:eastAsia="仿宋_GB2312" w:cs="仿宋_GB2312"/>
          <w:color w:val="000000" w:themeColor="text1"/>
          <w:kern w:val="2"/>
          <w:sz w:val="32"/>
          <w:szCs w:val="32"/>
          <w:lang w:val="en-GB" w:eastAsia="zh-CN" w:bidi="ar-SA"/>
          <w14:textFill>
            <w14:solidFill>
              <w14:schemeClr w14:val="tx1"/>
            </w14:solidFill>
          </w14:textFill>
        </w:rPr>
        <w:t>本项目固体废物主要有除尘器下灰及车间沉降粉尘、尾矿、废布袋、废矿物油、废油桶、废药剂包装材料、化验室废液、生活垃圾</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等</w:t>
      </w:r>
      <w:r>
        <w:rPr>
          <w:rFonts w:hint="eastAsia" w:ascii="仿宋_GB2312" w:hAnsi="仿宋_GB2312" w:eastAsia="仿宋_GB2312" w:cs="仿宋_GB2312"/>
          <w:color w:val="000000" w:themeColor="text1"/>
          <w:kern w:val="2"/>
          <w:sz w:val="32"/>
          <w:szCs w:val="32"/>
          <w:lang w:val="en-GB" w:eastAsia="zh-CN" w:bidi="ar-SA"/>
          <w14:textFill>
            <w14:solidFill>
              <w14:schemeClr w14:val="tx1"/>
            </w14:solidFill>
          </w14:textFill>
        </w:rPr>
        <w:t>。项目干选尾矿仓顶除尘器收集的下灰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和选矿产生的尾矿</w:t>
      </w:r>
      <w:r>
        <w:rPr>
          <w:rFonts w:hint="eastAsia" w:ascii="仿宋_GB2312" w:hAnsi="仿宋_GB2312" w:eastAsia="仿宋_GB2312" w:cs="仿宋_GB2312"/>
          <w:color w:val="000000" w:themeColor="text1"/>
          <w:kern w:val="2"/>
          <w:sz w:val="32"/>
          <w:szCs w:val="32"/>
          <w:lang w:val="en-GB" w:eastAsia="zh-CN" w:bidi="ar-SA"/>
          <w14:textFill>
            <w14:solidFill>
              <w14:schemeClr w14:val="tx1"/>
            </w14:solidFill>
          </w14:textFill>
        </w:rPr>
        <w:t>一起运至内蒙古融冠达矿业有限公司尾矿库处置；车间无组织沉降粉尘统一收集后作为原材料回用于选矿工艺；布袋除尘器废布袋由厂家专业人员进行更换回收，即换即回收，不在厂区内暂存；运营期设备维修产生的废矿物油用专用的带盖桶收集，化验室废液由密封、专用容器收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之后</w:t>
      </w:r>
      <w:r>
        <w:rPr>
          <w:rFonts w:hint="eastAsia" w:ascii="仿宋_GB2312" w:hAnsi="仿宋_GB2312" w:eastAsia="仿宋_GB2312" w:cs="仿宋_GB2312"/>
          <w:color w:val="000000" w:themeColor="text1"/>
          <w:kern w:val="2"/>
          <w:sz w:val="32"/>
          <w:szCs w:val="32"/>
          <w:lang w:val="en-GB" w:eastAsia="zh-CN" w:bidi="ar-SA"/>
          <w14:textFill>
            <w14:solidFill>
              <w14:schemeClr w14:val="tx1"/>
            </w14:solidFill>
          </w14:textFill>
        </w:rPr>
        <w:t>与选矿药剂废包装材料</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分区</w:t>
      </w:r>
      <w:r>
        <w:rPr>
          <w:rFonts w:hint="eastAsia" w:ascii="仿宋_GB2312" w:hAnsi="仿宋_GB2312" w:eastAsia="仿宋_GB2312" w:cs="仿宋_GB2312"/>
          <w:color w:val="000000" w:themeColor="text1"/>
          <w:kern w:val="2"/>
          <w:sz w:val="32"/>
          <w:szCs w:val="32"/>
          <w:lang w:val="en-GB" w:eastAsia="zh-CN" w:bidi="ar-SA"/>
          <w14:textFill>
            <w14:solidFill>
              <w14:schemeClr w14:val="tx1"/>
            </w14:solidFill>
          </w14:textFill>
        </w:rPr>
        <w:t>存放于危废暂存间，定期交由有资质单位处置；生活垃圾集中收集临时堆放至厂区垃圾桶内，临时堆场水泥硬化，再定期由环卫部门统一处理。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19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（三）严格落实各项水污染防治措施。</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本项目</w:t>
      </w:r>
      <w:r>
        <w:rPr>
          <w:rFonts w:hint="default" w:ascii="Times New Roman" w:hAnsi="Times New Roman" w:eastAsia="仿宋_GB2312" w:cs="Times New Roman"/>
          <w:color w:val="000000" w:themeColor="text1"/>
          <w:kern w:val="2"/>
          <w:sz w:val="32"/>
          <w:szCs w:val="32"/>
          <w:lang w:val="en-US" w:eastAsia="zh-CN" w:bidi="en-US"/>
          <w14:textFill>
            <w14:solidFill>
              <w14:schemeClr w14:val="tx1"/>
            </w14:solidFill>
          </w14:textFill>
        </w:rPr>
        <w:t>选矿工艺产生的废水经过浓缩池澄清后进入清水池内，之后回用于选矿工序，不外排</w:t>
      </w:r>
      <w:r>
        <w:rPr>
          <w:rFonts w:hint="eastAsia" w:ascii="Times New Roman" w:hAnsi="Times New Roman" w:eastAsia="仿宋_GB2312" w:cs="Times New Roman"/>
          <w:color w:val="000000" w:themeColor="text1"/>
          <w:kern w:val="2"/>
          <w:sz w:val="32"/>
          <w:szCs w:val="32"/>
          <w:lang w:val="en-US" w:eastAsia="zh-CN" w:bidi="en-US"/>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en-US"/>
          <w14:textFill>
            <w14:solidFill>
              <w14:schemeClr w14:val="tx1"/>
            </w14:solidFill>
          </w14:textFill>
        </w:rPr>
        <w:t>厂房跑冒滴漏水和冲洗水经截排水沟收集，全部泵至尾矿浓密机处理，最终回用于选矿用水，不外排</w:t>
      </w:r>
      <w:r>
        <w:rPr>
          <w:rFonts w:hint="eastAsia" w:ascii="Times New Roman" w:hAnsi="Times New Roman" w:eastAsia="仿宋_GB2312" w:cs="Times New Roman"/>
          <w:color w:val="000000" w:themeColor="text1"/>
          <w:kern w:val="2"/>
          <w:sz w:val="32"/>
          <w:szCs w:val="32"/>
          <w:lang w:val="en-US" w:eastAsia="zh-CN" w:bidi="en-US"/>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en-US"/>
          <w14:textFill>
            <w14:solidFill>
              <w14:schemeClr w14:val="tx1"/>
            </w14:solidFill>
          </w14:textFill>
        </w:rPr>
        <w:t>洗车台废水经洗车台沉淀池沉淀处理后循环使用，不外排；冬季采暖电锅炉排污水用于厂区洒水，不外排；项目职工生活污水排入厂区现有化粪池，</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经化粪池处理后达到《污水综合排放标准》（GB8978- 1996）三级标准，</w:t>
      </w:r>
      <w:r>
        <w:rPr>
          <w:rFonts w:hint="default" w:ascii="Times New Roman" w:hAnsi="Times New Roman" w:eastAsia="仿宋_GB2312" w:cs="Times New Roman"/>
          <w:color w:val="000000" w:themeColor="text1"/>
          <w:kern w:val="2"/>
          <w:sz w:val="32"/>
          <w:szCs w:val="32"/>
          <w:lang w:val="en-US" w:eastAsia="zh-CN" w:bidi="en-US"/>
          <w14:textFill>
            <w14:solidFill>
              <w14:schemeClr w14:val="tx1"/>
            </w14:solidFill>
          </w14:textFill>
        </w:rPr>
        <w:t>运至二连浩特市污水处理厂处理，不外排。</w:t>
      </w:r>
    </w:p>
    <w:p>
      <w:pPr>
        <w:keepNext w:val="0"/>
        <w:keepLines w:val="0"/>
        <w:pageBreakBefore w:val="0"/>
        <w:widowControl w:val="0"/>
        <w:numPr>
          <w:ilvl w:val="0"/>
          <w:numId w:val="2"/>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严格落实噪声防治措施。</w:t>
      </w:r>
      <w:r>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t>运营期噪声主要设备为圆锥破碎机、</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高压辊磨机、香蕉弛张筛、</w:t>
      </w:r>
      <w:r>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t>溢流型球磨机</w:t>
      </w:r>
      <w:r>
        <w:rPr>
          <w:rFonts w:hint="eastAsia" w:ascii="仿宋_GB2312" w:hAnsi="仿宋_GB2312" w:eastAsia="仿宋_GB2312" w:cs="仿宋_GB2312"/>
          <w:color w:val="000000" w:themeColor="text1"/>
          <w:sz w:val="32"/>
          <w:szCs w:val="32"/>
          <w:lang w:val="zh-TW" w:eastAsia="zh-CN" w:bidi="en-US"/>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磁选机、浮选机、盘式过滤机、真空泵、鼓风机</w:t>
      </w:r>
      <w:r>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t>等，针对各设备噪声源特征使用消音、减振等噪声治理措施，厂界噪声</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可</w:t>
      </w:r>
      <w:r>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t>满足《工业企业厂界环境噪声排放标准》(GB12348-2008)</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3</w:t>
      </w:r>
      <w:r>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t>类标准限值。</w:t>
      </w:r>
    </w:p>
    <w:p>
      <w:pPr>
        <w:keepNext w:val="0"/>
        <w:keepLines w:val="0"/>
        <w:pageBreakBefore w:val="0"/>
        <w:widowControl w:val="0"/>
        <w:numPr>
          <w:ilvl w:val="0"/>
          <w:numId w:val="2"/>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pPr>
      <w:r>
        <w:rPr>
          <w:rFonts w:hint="eastAsia" w:ascii="楷体" w:hAnsi="楷体" w:eastAsia="楷体" w:cs="楷体"/>
          <w:color w:val="000000" w:themeColor="text1"/>
          <w:sz w:val="32"/>
          <w:szCs w:val="32"/>
          <w:lang w:eastAsia="zh-CN" w:bidi="en-US"/>
          <w14:textFill>
            <w14:solidFill>
              <w14:schemeClr w14:val="tx1"/>
            </w14:solidFill>
          </w14:textFill>
        </w:rPr>
        <w:t>严格落实各项环境风险防范措施</w:t>
      </w:r>
      <w:r>
        <w:rPr>
          <w:rFonts w:hint="eastAsia" w:ascii="楷体" w:hAnsi="楷体" w:eastAsia="楷体" w:cs="楷体"/>
          <w:color w:val="000000" w:themeColor="text1"/>
          <w:sz w:val="32"/>
          <w:szCs w:val="32"/>
          <w:lang w:bidi="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TW" w:eastAsia="zh-TW" w:bidi="en-US"/>
          <w14:textFill>
            <w14:solidFill>
              <w14:schemeClr w14:val="tx1"/>
            </w14:solidFill>
          </w14:textFill>
        </w:rPr>
        <w:t>加强危险化学品的储存、输送和使用管理，加强危险废物收集、贮存和出厂转移环节的环境管理和风险防范。按规范设置</w:t>
      </w:r>
      <w:r>
        <w:rPr>
          <w:rFonts w:hint="eastAsia" w:ascii="仿宋_GB2312" w:hAnsi="仿宋_GB2312" w:eastAsia="仿宋_GB2312" w:cs="仿宋_GB2312"/>
          <w:color w:val="000000" w:themeColor="text1"/>
          <w:sz w:val="32"/>
          <w:szCs w:val="32"/>
          <w:lang w:val="zh-TW" w:eastAsia="zh-TW" w:bidi="en-US"/>
          <w14:textFill>
            <w14:solidFill>
              <w14:schemeClr w14:val="tx1"/>
            </w14:solidFill>
          </w14:textFill>
        </w:rPr>
        <w:t>自动监测、报警、紧急切断及紧急停车系统，以及防火、防爆、防中毒等事故处理系统。配备足够的应急发电设施，确保紧急情况下应急设备可有效使用。项目投产运行后应加强应急演练，确保发生突发环境事件时能及时采取有效的应急响应措施，控制事故影响范围和程度。建设单位应确保在非事故状态下不占用消防事故水池。如需占用，占用容积不得超过1/3，并应设置在事故时可以紧急排空的技术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bidi="en-US"/>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（六）</w:t>
      </w:r>
      <w:r>
        <w:rPr>
          <w:rFonts w:hint="eastAsia" w:ascii="楷体" w:hAnsi="楷体" w:eastAsia="楷体" w:cs="楷体"/>
          <w:color w:val="000000" w:themeColor="text1"/>
          <w:sz w:val="32"/>
          <w:szCs w:val="32"/>
          <w:lang w:bidi="en-US"/>
          <w14:textFill>
            <w14:solidFill>
              <w14:schemeClr w14:val="tx1"/>
            </w14:solidFill>
          </w14:textFill>
        </w:rPr>
        <w:t>严格落实运营期污染源监测计划。</w:t>
      </w:r>
      <w:r>
        <w:rPr>
          <w:rFonts w:hint="eastAsia" w:ascii="仿宋_GB2312" w:hAnsi="仿宋_GB2312" w:eastAsia="仿宋_GB2312" w:cs="仿宋_GB2312"/>
          <w:color w:val="000000" w:themeColor="text1"/>
          <w:sz w:val="32"/>
          <w:szCs w:val="32"/>
          <w:lang w:bidi="en-US"/>
          <w14:textFill>
            <w14:solidFill>
              <w14:schemeClr w14:val="tx1"/>
            </w14:solidFill>
          </w14:textFill>
        </w:rPr>
        <w:t>按照相关标准、规范等要求，落实报告书提出的环境管理及监测计划，</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加强污染监控感知端建设，</w:t>
      </w:r>
      <w:r>
        <w:rPr>
          <w:rFonts w:hint="eastAsia" w:ascii="仿宋_GB2312" w:hAnsi="仿宋_GB2312" w:eastAsia="仿宋_GB2312" w:cs="仿宋_GB2312"/>
          <w:color w:val="000000" w:themeColor="text1"/>
          <w:sz w:val="32"/>
          <w:szCs w:val="32"/>
          <w:lang w:bidi="en-US"/>
          <w14:textFill>
            <w14:solidFill>
              <w14:schemeClr w14:val="tx1"/>
            </w14:solidFill>
          </w14:textFill>
        </w:rPr>
        <w:t>建立运营期污染源监测管理体系，并覆盖常规污染物、特征污染物。如出现污染物超标排放情况，应立即查明原因并采取进一步</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采取</w:t>
      </w:r>
      <w:r>
        <w:rPr>
          <w:rFonts w:hint="eastAsia" w:ascii="仿宋_GB2312" w:hAnsi="仿宋_GB2312" w:eastAsia="仿宋_GB2312" w:cs="仿宋_GB2312"/>
          <w:color w:val="000000" w:themeColor="text1"/>
          <w:sz w:val="32"/>
          <w:szCs w:val="32"/>
          <w:lang w:bidi="en-US"/>
          <w14:textFill>
            <w14:solidFill>
              <w14:schemeClr w14:val="tx1"/>
            </w14:solidFill>
          </w14:textFill>
        </w:rPr>
        <w:t>污染物减排措施。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项目</w:t>
      </w:r>
      <w:r>
        <w:rPr>
          <w:rFonts w:hint="eastAsia" w:ascii="仿宋_GB2312" w:hAnsi="仿宋_GB2312" w:eastAsia="仿宋_GB2312" w:cs="仿宋_GB2312"/>
          <w:color w:val="000000" w:themeColor="text1"/>
          <w:sz w:val="32"/>
          <w:szCs w:val="32"/>
          <w:lang w:bidi="en-US"/>
          <w14:textFill>
            <w14:solidFill>
              <w14:schemeClr w14:val="tx1"/>
            </w14:solidFill>
          </w14:textFill>
        </w:rPr>
        <w:t>建设必须严格执行配套的环境保护设施与主体工程同时设计、同时施工、同时投产使用的环境保护“三同时”制度。严格落实污染防治措施设计要求。应将</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变更</w:t>
      </w:r>
      <w:r>
        <w:rPr>
          <w:rFonts w:hint="eastAsia" w:ascii="仿宋_GB2312" w:hAnsi="仿宋_GB2312" w:eastAsia="仿宋_GB2312" w:cs="仿宋_GB2312"/>
          <w:color w:val="000000" w:themeColor="text1"/>
          <w:sz w:val="32"/>
          <w:szCs w:val="32"/>
          <w:lang w:bidi="en-US"/>
          <w14:textFill>
            <w14:solidFill>
              <w14:schemeClr w14:val="tx1"/>
            </w14:solidFill>
          </w14:textFill>
        </w:rPr>
        <w:t>后的各项污染防治措施及概算纳入设计以及施工等招标文件及合同，并明确责任。按规定程序实施竣工环境保护验收。</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四、我局委托锡林郭勒盟生态环境局</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二连浩特市</w:t>
      </w:r>
      <w:r>
        <w:rPr>
          <w:rFonts w:hint="eastAsia" w:ascii="仿宋_GB2312" w:hAnsi="仿宋_GB2312" w:eastAsia="仿宋_GB2312" w:cs="仿宋_GB2312"/>
          <w:color w:val="000000" w:themeColor="text1"/>
          <w:sz w:val="32"/>
          <w:szCs w:val="32"/>
          <w:lang w:bidi="en-US"/>
          <w14:textFill>
            <w14:solidFill>
              <w14:schemeClr w14:val="tx1"/>
            </w14:solidFill>
          </w14:textFill>
        </w:rPr>
        <w:t>分局对该项目各项污染防治措施落实情况进行监督检查和管理。</w:t>
      </w:r>
    </w:p>
    <w:p>
      <w:pPr>
        <w:pStyle w:val="16"/>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autoSpaceDE w:val="0"/>
        <w:autoSpaceDN w:val="0"/>
        <w:bidi w:val="0"/>
        <w:adjustRightInd w:val="0"/>
        <w:snapToGrid w:val="0"/>
        <w:spacing w:line="560" w:lineRule="exact"/>
        <w:ind w:firstLine="3840" w:firstLineChars="12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锡林</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郭勒盟生态环境局</w:t>
      </w:r>
    </w:p>
    <w:p>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pPr>
        <w:pStyle w:val="16"/>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16"/>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16"/>
        <w:rPr>
          <w:rFonts w:hint="eastAsia" w:ascii="仿宋" w:hAnsi="仿宋" w:eastAsia="仿宋" w:cs="仿宋"/>
          <w:color w:val="000000" w:themeColor="text1"/>
          <w:highlight w:val="none"/>
          <w14:textFill>
            <w14:solidFill>
              <w14:schemeClr w14:val="tx1"/>
            </w14:solidFill>
          </w14:textFill>
        </w:rPr>
      </w:pPr>
    </w:p>
    <w:p>
      <w:pPr>
        <w:pStyle w:val="16"/>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rPr>
      </w:pPr>
      <w:bookmarkStart w:id="1" w:name="_GoBack"/>
      <w:bookmarkEnd w:id="1"/>
    </w:p>
    <w:p>
      <w:pPr>
        <w:rPr>
          <w:rFonts w:hint="eastAsia"/>
        </w:rPr>
      </w:pPr>
    </w:p>
    <w:p>
      <w:pPr>
        <w:rPr>
          <w:rFonts w:hint="eastAsia"/>
          <w:color w:val="000000" w:themeColor="text1"/>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pStyle w:val="16"/>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000000" w:themeColor="text1"/>
          <w:kern w:val="2"/>
          <w:sz w:val="28"/>
          <w:szCs w:val="28"/>
          <w:highlight w:val="none"/>
          <w:lang w:bidi="en-US"/>
          <w14:textFill>
            <w14:solidFill>
              <w14:schemeClr w14:val="tx1"/>
            </w14:solidFill>
          </w14:textFill>
        </w:rPr>
        <w:t>抄送：盟生态环境综合行政执法支队</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w:t>
      </w:r>
      <w:r>
        <w:rPr>
          <w:rFonts w:hint="eastAsia" w:ascii="仿宋" w:hAnsi="仿宋" w:eastAsia="仿宋" w:cs="仿宋"/>
          <w:color w:val="000000" w:themeColor="text1"/>
          <w:kern w:val="2"/>
          <w:sz w:val="28"/>
          <w:szCs w:val="28"/>
          <w:highlight w:val="none"/>
          <w:lang w:bidi="en-US"/>
          <w14:textFill>
            <w14:solidFill>
              <w14:schemeClr w14:val="tx1"/>
            </w14:solidFill>
          </w14:textFill>
        </w:rPr>
        <w:t>盟生态环境</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局</w:t>
      </w: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二连浩特市分局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锡林郭勒盟生态环境局办公室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rPr>
    </w:lvl>
  </w:abstractNum>
  <w:abstractNum w:abstractNumId="1">
    <w:nsid w:val="7492B25E"/>
    <w:multiLevelType w:val="singleLevel"/>
    <w:tmpl w:val="7492B25E"/>
    <w:lvl w:ilvl="0" w:tentative="0">
      <w:start w:val="2"/>
      <w:numFmt w:val="chineseCounting"/>
      <w:suff w:val="nothing"/>
      <w:lvlText w:val="（%1）"/>
      <w:lvlJc w:val="left"/>
      <w:rPr>
        <w:rFonts w:hint="eastAsia" w:ascii="楷体" w:hAnsi="楷体" w:eastAsia="楷体" w:cs="楷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yNDlkZDkyY2ExMmFiMzkxMDQ0MjYzN2E2ZDFlMjI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4082137"/>
    <w:rsid w:val="064265FE"/>
    <w:rsid w:val="07E80A5E"/>
    <w:rsid w:val="08125FE6"/>
    <w:rsid w:val="09F707CE"/>
    <w:rsid w:val="0A126564"/>
    <w:rsid w:val="0C7A4895"/>
    <w:rsid w:val="0D6D6C1D"/>
    <w:rsid w:val="0EE27BE5"/>
    <w:rsid w:val="12DA6EB3"/>
    <w:rsid w:val="134A4ECA"/>
    <w:rsid w:val="1D61177E"/>
    <w:rsid w:val="1F9C573C"/>
    <w:rsid w:val="25C45CCE"/>
    <w:rsid w:val="27B80082"/>
    <w:rsid w:val="29D8150D"/>
    <w:rsid w:val="2CF929A0"/>
    <w:rsid w:val="2DFD607A"/>
    <w:rsid w:val="2F1F3E8C"/>
    <w:rsid w:val="2F7E7F6E"/>
    <w:rsid w:val="31255C7D"/>
    <w:rsid w:val="36604982"/>
    <w:rsid w:val="395A1061"/>
    <w:rsid w:val="41C4192F"/>
    <w:rsid w:val="43B07F60"/>
    <w:rsid w:val="46B26845"/>
    <w:rsid w:val="4A3B72B4"/>
    <w:rsid w:val="56990422"/>
    <w:rsid w:val="65980358"/>
    <w:rsid w:val="67927E4C"/>
    <w:rsid w:val="67A4431E"/>
    <w:rsid w:val="68387D94"/>
    <w:rsid w:val="6E1A4AAF"/>
    <w:rsid w:val="70EA0941"/>
    <w:rsid w:val="722C2936"/>
    <w:rsid w:val="78CC1696"/>
    <w:rsid w:val="7CE53CE8"/>
    <w:rsid w:val="7F6C2C5A"/>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firstLine="420"/>
      <w:textAlignment w:val="baseline"/>
    </w:pPr>
    <w:rPr>
      <w:rFonts w:ascii="宋体" w:hAnsi="宋体"/>
      <w:sz w:val="18"/>
      <w:szCs w:val="18"/>
    </w:rPr>
  </w:style>
  <w:style w:type="paragraph" w:styleId="3">
    <w:name w:val="Body Text Indent"/>
    <w:basedOn w:val="1"/>
    <w:next w:val="1"/>
    <w:autoRedefine/>
    <w:qFormat/>
    <w:uiPriority w:val="0"/>
    <w:pPr>
      <w:spacing w:after="120"/>
      <w:ind w:left="420" w:leftChars="200"/>
    </w:pPr>
    <w:rPr>
      <w:rFonts w:ascii="Times New Roman" w:hAnsi="Times New Roman" w:eastAsia="宋体" w:cs="Times New Roman"/>
      <w:szCs w:val="20"/>
    </w:rPr>
  </w:style>
  <w:style w:type="paragraph" w:styleId="5">
    <w:name w:val="Normal Indent"/>
    <w:basedOn w:val="1"/>
    <w:next w:val="1"/>
    <w:qFormat/>
    <w:uiPriority w:val="0"/>
    <w:pPr>
      <w:ind w:firstLine="420" w:firstLineChars="200"/>
    </w:pPr>
    <w:rPr>
      <w:rFonts w:ascii="Times New Roman" w:hAnsi="Times New Roman" w:eastAsia="宋体"/>
      <w:szCs w:val="24"/>
    </w:rPr>
  </w:style>
  <w:style w:type="paragraph" w:styleId="6">
    <w:name w:val="annotation text"/>
    <w:basedOn w:val="1"/>
    <w:link w:val="24"/>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left" w:pos="284"/>
        <w:tab w:val="right" w:leader="dot" w:pos="8296"/>
      </w:tabs>
    </w:pPr>
  </w:style>
  <w:style w:type="paragraph" w:styleId="10">
    <w:name w:val="annotation subject"/>
    <w:basedOn w:val="6"/>
    <w:next w:val="6"/>
    <w:link w:val="25"/>
    <w:autoRedefine/>
    <w:semiHidden/>
    <w:unhideWhenUsed/>
    <w:qFormat/>
    <w:uiPriority w:val="99"/>
    <w:rPr>
      <w:b/>
      <w:bCs/>
    </w:r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paragraph" w:customStyle="1" w:styleId="15">
    <w:name w:val="样式 正文文本缩进 + 行距: 1.5 倍行距"/>
    <w:basedOn w:val="1"/>
    <w:autoRedefine/>
    <w:qFormat/>
    <w:uiPriority w:val="0"/>
    <w:pPr>
      <w:spacing w:after="120" w:line="360" w:lineRule="auto"/>
      <w:ind w:left="90" w:leftChars="32" w:firstLine="560" w:firstLineChars="200"/>
    </w:pPr>
    <w:rPr>
      <w:rFonts w:ascii="Calibri" w:hAnsi="Calibri" w:cs="宋体"/>
      <w:szCs w:val="24"/>
    </w:rPr>
  </w:style>
  <w:style w:type="paragraph" w:customStyle="1" w:styleId="16">
    <w:name w:val="Default"/>
    <w:basedOn w:val="17"/>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semiHidden/>
    <w:unhideWhenUsed/>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1]正文"/>
    <w:basedOn w:val="1"/>
    <w:qFormat/>
    <w:uiPriority w:val="0"/>
    <w:pPr>
      <w:widowControl/>
      <w:snapToGrid w:val="0"/>
      <w:jc w:val="left"/>
    </w:pPr>
    <w:rPr>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2379</Words>
  <Characters>2625</Characters>
  <Lines>19</Lines>
  <Paragraphs>5</Paragraphs>
  <TotalTime>5</TotalTime>
  <ScaleCrop>false</ScaleCrop>
  <LinksUpToDate>false</LinksUpToDate>
  <CharactersWithSpaces>2643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2024-01-03T09:33:16Z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5CC8FA5D3A2B4ADAA902D3BE338EEDF8_13</vt:lpwstr>
  </property>
</Properties>
</file>