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color w:val="auto"/>
          <w:sz w:val="32"/>
          <w:szCs w:val="32"/>
        </w:rPr>
      </w:pPr>
      <w:bookmarkStart w:id="0" w:name="_Hlk124747957"/>
    </w:p>
    <w:p>
      <w:pPr>
        <w:adjustRightInd w:val="0"/>
        <w:snapToGrid w:val="0"/>
        <w:spacing w:line="360" w:lineRule="auto"/>
        <w:jc w:val="center"/>
        <w:rPr>
          <w:b/>
          <w:bCs/>
          <w:color w:val="auto"/>
          <w:sz w:val="32"/>
          <w:szCs w:val="32"/>
        </w:rPr>
      </w:pPr>
    </w:p>
    <w:p>
      <w:pPr>
        <w:pStyle w:val="2"/>
        <w:rPr>
          <w:b/>
          <w:bCs/>
          <w:color w:val="auto"/>
          <w:sz w:val="32"/>
          <w:szCs w:val="32"/>
        </w:rPr>
      </w:pPr>
    </w:p>
    <w:p>
      <w:pPr>
        <w:rPr>
          <w:b/>
          <w:bCs/>
          <w:color w:val="auto"/>
          <w:sz w:val="32"/>
          <w:szCs w:val="32"/>
        </w:rPr>
      </w:pPr>
    </w:p>
    <w:p>
      <w:pPr>
        <w:pStyle w:val="2"/>
        <w:rPr>
          <w:b/>
          <w:bCs/>
          <w:color w:val="auto"/>
          <w:sz w:val="32"/>
          <w:szCs w:val="32"/>
        </w:rPr>
      </w:pPr>
    </w:p>
    <w:p>
      <w:pPr>
        <w:pStyle w:val="2"/>
        <w:ind w:left="0" w:leftChars="0" w:firstLine="0" w:firstLineChars="0"/>
        <w:rPr>
          <w:b/>
          <w:bCs/>
          <w:color w:val="auto"/>
          <w:sz w:val="32"/>
          <w:szCs w:val="32"/>
        </w:rPr>
      </w:pPr>
    </w:p>
    <w:p>
      <w:pPr>
        <w:rPr>
          <w:color w:val="auto"/>
        </w:rPr>
      </w:pPr>
    </w:p>
    <w:p>
      <w:pPr>
        <w:pStyle w:val="2"/>
        <w:rPr>
          <w:color w:val="auto"/>
        </w:rPr>
      </w:pPr>
    </w:p>
    <w:p>
      <w:pPr>
        <w:rPr>
          <w:color w:val="auto"/>
        </w:rPr>
      </w:pPr>
    </w:p>
    <w:p>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锡署环审书〔202</w:t>
      </w:r>
      <w:r>
        <w:rPr>
          <w:rFonts w:hint="eastAsia" w:ascii="仿宋_GB2312" w:hAnsi="Times New Roman" w:eastAsia="仿宋_GB2312" w:cs="Arial"/>
          <w:color w:val="auto"/>
          <w:sz w:val="32"/>
          <w:szCs w:val="32"/>
          <w:lang w:val="en-US" w:eastAsia="zh-CN" w:bidi="en-US"/>
        </w:rPr>
        <w:t>4</w:t>
      </w:r>
      <w:r>
        <w:rPr>
          <w:rFonts w:hint="eastAsia" w:ascii="仿宋_GB2312" w:hAnsi="Times New Roman" w:eastAsia="仿宋_GB2312" w:cs="Arial"/>
          <w:color w:val="auto"/>
          <w:sz w:val="32"/>
          <w:szCs w:val="32"/>
          <w:lang w:bidi="en-US"/>
        </w:rPr>
        <w:t>〕</w:t>
      </w:r>
      <w:r>
        <w:rPr>
          <w:rFonts w:hint="eastAsia" w:ascii="仿宋_GB2312" w:hAnsi="Times New Roman" w:eastAsia="仿宋_GB2312" w:cs="Arial"/>
          <w:color w:val="auto"/>
          <w:sz w:val="32"/>
          <w:szCs w:val="32"/>
          <w:highlight w:val="none"/>
          <w:lang w:val="en-US" w:eastAsia="zh-CN" w:bidi="en-US"/>
        </w:rPr>
        <w:t>2</w:t>
      </w:r>
      <w:r>
        <w:rPr>
          <w:rFonts w:hint="eastAsia" w:ascii="仿宋_GB2312" w:hAnsi="Times New Roman" w:eastAsia="仿宋_GB2312" w:cs="Arial"/>
          <w:color w:val="auto"/>
          <w:sz w:val="32"/>
          <w:szCs w:val="32"/>
          <w:highlight w:val="none"/>
          <w:lang w:bidi="en-US"/>
        </w:rPr>
        <w:t>号</w:t>
      </w:r>
    </w:p>
    <w:p>
      <w:pPr>
        <w:adjustRightInd w:val="0"/>
        <w:snapToGrid w:val="0"/>
        <w:spacing w:line="360" w:lineRule="auto"/>
        <w:jc w:val="center"/>
        <w:rPr>
          <w:b/>
          <w:bCs/>
          <w:color w:val="auto"/>
          <w:sz w:val="32"/>
          <w:szCs w:val="32"/>
          <w:highlight w:val="none"/>
        </w:rPr>
      </w:pPr>
    </w:p>
    <w:p>
      <w:pPr>
        <w:widowControl/>
        <w:spacing w:line="700" w:lineRule="exact"/>
        <w:jc w:val="center"/>
        <w:textAlignment w:val="baseline"/>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highlight w:val="none"/>
        </w:rPr>
        <w:t>锡林郭勒盟生态环境</w:t>
      </w:r>
      <w:r>
        <w:rPr>
          <w:rFonts w:hint="eastAsia" w:ascii="方正小标宋简体" w:hAnsi="方正小标宋简体" w:eastAsia="方正小标宋简体" w:cs="方正小标宋简体"/>
          <w:bCs/>
          <w:color w:val="auto"/>
          <w:sz w:val="44"/>
          <w:szCs w:val="44"/>
        </w:rPr>
        <w:t>局</w:t>
      </w:r>
    </w:p>
    <w:bookmarkEnd w:id="0"/>
    <w:p>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关于内蒙古钧玮矿业工贸有限公司</w:t>
      </w:r>
    </w:p>
    <w:p>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年产300万吨铁精粉浮选降硫项目</w:t>
      </w:r>
    </w:p>
    <w:p>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环境影响报告书的批复</w:t>
      </w:r>
    </w:p>
    <w:p>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pPr>
        <w:keepNext w:val="0"/>
        <w:keepLines w:val="0"/>
        <w:pageBreakBefore w:val="0"/>
        <w:widowControl w:val="0"/>
        <w:kinsoku/>
        <w:wordWrap/>
        <w:overflowPunct/>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内蒙古钧玮矿业工贸有限公司：</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你单位报送的《内蒙古钧玮矿业工贸有限公司年产300万吨铁精粉浮选降硫项目环境影响报告书》（</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pPr>
        <w:pStyle w:val="25"/>
        <w:keepNext w:val="0"/>
        <w:keepLines w:val="0"/>
        <w:pageBreakBefore w:val="0"/>
        <w:widowControl w:val="0"/>
        <w:numPr>
          <w:ilvl w:val="0"/>
          <w:numId w:val="0"/>
        </w:numPr>
        <w:kinsoku/>
        <w:wordWrap/>
        <w:overflowPunct/>
        <w:bidi w:val="0"/>
        <w:spacing w:line="560" w:lineRule="exact"/>
        <w:ind w:firstLine="640" w:firstLineChars="200"/>
        <w:jc w:val="both"/>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bidi="en-US"/>
        </w:rPr>
        <w:t>一、内蒙古钧玮矿业工贸有限公司年产300万吨铁精粉浮选降硫项目</w:t>
      </w:r>
      <w:r>
        <w:rPr>
          <w:rFonts w:hint="eastAsia" w:ascii="仿宋_GB2312" w:hAnsi="仿宋_GB2312" w:eastAsia="仿宋_GB2312" w:cs="仿宋_GB2312"/>
          <w:b w:val="0"/>
          <w:bCs/>
          <w:color w:val="auto"/>
          <w:kern w:val="0"/>
          <w:sz w:val="32"/>
          <w:szCs w:val="32"/>
          <w:lang w:val="en-US" w:eastAsia="zh-CN" w:bidi="ar"/>
        </w:rPr>
        <w:t>位于内蒙古自治区二连浩特市边境经济合作区矿产品加工区东三环路和苏尼特北二街交叉路西南角内蒙古钧玮矿业工贸有限公司原有厂地内，占地面积为70823.9平方米（106.236亩）。本项目技改后年处理铁矿石（TFe57%）360万吨，生产铁精粉（TFe67%）250.62万吨，铁回收率82.5%，生产硫精粉（TFe59.50%）49.38万吨，铁回收率11.72%。项目新增劳动定员15人，项目总投资为4800万元，其中环保投资为44万元，占总投资比例为0.92%。</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二、项目在设计、建设和运营过程中还应做好以下工作。</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highlight w:val="none"/>
          <w:lang w:val="en-US" w:eastAsia="zh-CN" w:bidi="ar-SA"/>
        </w:rPr>
        <w:t>（一）严格落实各项大气污染防治措施。</w:t>
      </w:r>
      <w:r>
        <w:rPr>
          <w:rFonts w:hint="eastAsia" w:ascii="仿宋_GB2312" w:hAnsi="仿宋_GB2312" w:eastAsia="仿宋_GB2312" w:cs="仿宋_GB2312"/>
          <w:color w:val="auto"/>
          <w:kern w:val="2"/>
          <w:sz w:val="32"/>
          <w:szCs w:val="32"/>
          <w:highlight w:val="none"/>
          <w:lang w:val="en-US" w:eastAsia="zh-CN" w:bidi="ar-SA"/>
        </w:rPr>
        <w:t>项目有组织废气为现有锅炉房产生的烟气，无组织废气主要包括原矿库、精粉库和装车仓在储存、装卸及转运过程中的产生粉尘。现有生物质锅炉烟气由1套水浴除尘器处理，烟囱高度提高为35m，经处理后的烟气可满足《锅炉大气污染物排放标准》（GB13271-2014）中表2规定的排放限值。矿石及精粉储装运过程中会有粉尘产生，企业在装卸时，通</w:t>
      </w:r>
      <w:bookmarkStart w:id="1" w:name="_GoBack"/>
      <w:bookmarkEnd w:id="1"/>
      <w:r>
        <w:rPr>
          <w:rFonts w:hint="eastAsia" w:ascii="仿宋_GB2312" w:hAnsi="仿宋_GB2312" w:eastAsia="仿宋_GB2312" w:cs="仿宋_GB2312"/>
          <w:color w:val="auto"/>
          <w:kern w:val="2"/>
          <w:sz w:val="32"/>
          <w:szCs w:val="32"/>
          <w:highlight w:val="none"/>
          <w:lang w:val="en-US" w:eastAsia="zh-CN" w:bidi="ar-SA"/>
        </w:rPr>
        <w:t>过降低物料装卸高度，且库房均为封闭厂房，厂房内设置雾</w:t>
      </w:r>
      <w:r>
        <w:rPr>
          <w:rFonts w:hint="eastAsia" w:ascii="仿宋_GB2312" w:hAnsi="仿宋_GB2312" w:eastAsia="仿宋_GB2312" w:cs="仿宋_GB2312"/>
          <w:color w:val="auto"/>
          <w:kern w:val="2"/>
          <w:sz w:val="32"/>
          <w:szCs w:val="32"/>
          <w:lang w:val="en-US" w:eastAsia="zh-CN" w:bidi="ar-SA"/>
        </w:rPr>
        <w:t>炮装置，定期喷洒抑尘，抑尘效率可达到90%以上，经处理后的颗粒物可满足《铁矿采选工业污染物排放标准》</w:t>
      </w:r>
      <w:r>
        <w:rPr>
          <w:rFonts w:hint="eastAsia" w:ascii="仿宋_GB2312" w:hAnsi="仿宋_GB2312" w:eastAsia="仿宋_GB2312" w:cs="仿宋_GB2312"/>
          <w:b w:val="0"/>
          <w:bCs/>
          <w:color w:val="auto"/>
          <w:sz w:val="32"/>
          <w:szCs w:val="32"/>
          <w:highlight w:val="none"/>
          <w:lang w:bidi="en-US"/>
        </w:rPr>
        <w:t>（GB28661-2012）</w:t>
      </w:r>
      <w:r>
        <w:rPr>
          <w:rFonts w:hint="eastAsia" w:ascii="仿宋_GB2312" w:hAnsi="仿宋_GB2312" w:eastAsia="仿宋_GB2312" w:cs="仿宋_GB2312"/>
          <w:color w:val="auto"/>
          <w:kern w:val="2"/>
          <w:sz w:val="32"/>
          <w:szCs w:val="32"/>
          <w:lang w:val="en-US" w:eastAsia="zh-CN" w:bidi="ar-SA"/>
        </w:rPr>
        <w:t>表7大气污染物排放浓度限值。</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（二）严格落实固体废物污染防治措施。</w:t>
      </w:r>
      <w:r>
        <w:rPr>
          <w:rFonts w:hint="eastAsia" w:ascii="仿宋_GB2312" w:hAnsi="仿宋_GB2312" w:eastAsia="仿宋_GB2312" w:cs="仿宋_GB2312"/>
          <w:color w:val="auto"/>
          <w:kern w:val="2"/>
          <w:sz w:val="32"/>
          <w:szCs w:val="32"/>
          <w:lang w:val="en-US" w:eastAsia="zh-CN" w:bidi="ar-SA"/>
        </w:rPr>
        <w:t>尾矿砂主要来自铁矿石磁选、粗选工段，尾矿砂为I类一般工业固体废弃物，尾矿砂通过皮带输送机至尾矿砂暂存库，由运输车辆当日运往二连浩特市固体废弃物处置中心进行处理。原有生物质锅炉燃烧产生的灰渣在锅炉房暂存后，定期与尾矿砂运往二连浩特固体废弃物处理中心处置。设备维修产生的废矿物油和废油桶属于危险废物，废矿物油可直接作为设备维护使用；机油、黄油由厂家及时配送，产生的废油桶经危废暂存间暂存后由有资质单位处理。浮选工艺产生的过期药品及废包装桶，经危废暂存间暂存后由有资质单位处理。厂区员工日常生活所产生的生活垃圾，由当地环卫部门统一清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19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b w:val="0"/>
          <w:bCs/>
          <w:color w:val="auto"/>
          <w:kern w:val="2"/>
          <w:sz w:val="32"/>
          <w:szCs w:val="32"/>
          <w:lang w:val="en-US" w:eastAsia="zh-CN" w:bidi="ar-SA"/>
        </w:rPr>
        <w:t>选矿过程中产生的浓缩废水经沉淀浓缩后循环使用。锅炉排污水回用于生产。项目无生产废水外排。本项目生活污水经过化粪池预处理后，排入二连浩特市城市污水处理厂。</w:t>
      </w:r>
    </w:p>
    <w:p>
      <w:pPr>
        <w:keepNext w:val="0"/>
        <w:keepLines w:val="0"/>
        <w:pageBreakBefore w:val="0"/>
        <w:widowControl w:val="0"/>
        <w:numPr>
          <w:ilvl w:val="0"/>
          <w:numId w:val="1"/>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zh-TW" w:eastAsia="zh-TW" w:bidi="en-US"/>
        </w:rPr>
      </w:pPr>
      <w:r>
        <w:rPr>
          <w:rFonts w:hint="eastAsia" w:ascii="楷体" w:hAnsi="楷体" w:eastAsia="楷体" w:cs="楷体"/>
          <w:color w:val="auto"/>
          <w:kern w:val="2"/>
          <w:sz w:val="32"/>
          <w:szCs w:val="32"/>
          <w:lang w:val="en-US" w:eastAsia="zh-CN" w:bidi="ar-SA"/>
        </w:rPr>
        <w:t>严格落实噪声防治措施。</w:t>
      </w:r>
      <w:r>
        <w:rPr>
          <w:rFonts w:hint="eastAsia" w:ascii="仿宋_GB2312" w:hAnsi="仿宋_GB2312" w:eastAsia="仿宋_GB2312" w:cs="仿宋_GB2312"/>
          <w:color w:val="auto"/>
          <w:sz w:val="32"/>
          <w:szCs w:val="32"/>
          <w:lang w:val="zh-TW" w:eastAsia="zh-TW" w:bidi="en-US"/>
        </w:rPr>
        <w:t>运营期噪声主要设备为振动</w:t>
      </w:r>
      <w:r>
        <w:rPr>
          <w:rFonts w:hint="eastAsia" w:ascii="仿宋_GB2312" w:hAnsi="仿宋_GB2312" w:eastAsia="仿宋_GB2312" w:cs="仿宋_GB2312"/>
          <w:color w:val="auto"/>
          <w:sz w:val="32"/>
          <w:szCs w:val="32"/>
          <w:lang w:val="en-US" w:eastAsia="zh-CN" w:bidi="en-US"/>
        </w:rPr>
        <w:t>给料机</w:t>
      </w:r>
      <w:r>
        <w:rPr>
          <w:rFonts w:hint="eastAsia" w:ascii="仿宋_GB2312" w:hAnsi="仿宋_GB2312" w:eastAsia="仿宋_GB2312" w:cs="仿宋_GB2312"/>
          <w:color w:val="auto"/>
          <w:sz w:val="32"/>
          <w:szCs w:val="32"/>
          <w:lang w:val="zh-TW" w:eastAsia="zh-TW" w:bidi="en-US"/>
        </w:rPr>
        <w:t>、球磨机</w:t>
      </w:r>
      <w:r>
        <w:rPr>
          <w:rFonts w:hint="eastAsia" w:ascii="仿宋_GB2312" w:hAnsi="仿宋_GB2312" w:eastAsia="仿宋_GB2312" w:cs="仿宋_GB2312"/>
          <w:color w:val="auto"/>
          <w:sz w:val="32"/>
          <w:szCs w:val="32"/>
          <w:lang w:val="zh-TW" w:eastAsia="zh-CN" w:bidi="en-US"/>
        </w:rPr>
        <w:t>、</w:t>
      </w:r>
      <w:r>
        <w:rPr>
          <w:rFonts w:hint="eastAsia" w:ascii="仿宋_GB2312" w:hAnsi="仿宋_GB2312" w:eastAsia="仿宋_GB2312" w:cs="仿宋_GB2312"/>
          <w:color w:val="auto"/>
          <w:sz w:val="32"/>
          <w:szCs w:val="32"/>
          <w:lang w:val="en-US" w:eastAsia="zh-CN" w:bidi="en-US"/>
        </w:rPr>
        <w:t>浮选机</w:t>
      </w:r>
      <w:r>
        <w:rPr>
          <w:rFonts w:hint="eastAsia" w:ascii="仿宋_GB2312" w:hAnsi="仿宋_GB2312" w:eastAsia="仿宋_GB2312" w:cs="仿宋_GB2312"/>
          <w:color w:val="auto"/>
          <w:sz w:val="32"/>
          <w:szCs w:val="32"/>
          <w:lang w:val="zh-TW" w:eastAsia="zh-TW" w:bidi="en-US"/>
        </w:rPr>
        <w:t>及</w:t>
      </w:r>
      <w:r>
        <w:rPr>
          <w:rFonts w:hint="eastAsia" w:ascii="仿宋_GB2312" w:hAnsi="仿宋_GB2312" w:eastAsia="仿宋_GB2312" w:cs="仿宋_GB2312"/>
          <w:color w:val="auto"/>
          <w:sz w:val="32"/>
          <w:szCs w:val="32"/>
          <w:lang w:val="en-US" w:eastAsia="zh-CN" w:bidi="en-US"/>
        </w:rPr>
        <w:t>压滤机</w:t>
      </w:r>
      <w:r>
        <w:rPr>
          <w:rFonts w:hint="eastAsia" w:ascii="仿宋_GB2312" w:hAnsi="仿宋_GB2312" w:eastAsia="仿宋_GB2312" w:cs="仿宋_GB2312"/>
          <w:color w:val="auto"/>
          <w:sz w:val="32"/>
          <w:szCs w:val="32"/>
          <w:lang w:val="zh-TW" w:eastAsia="zh-TW" w:bidi="en-US"/>
        </w:rPr>
        <w:t>等，针对各设备噪声源特征使用</w:t>
      </w:r>
      <w:r>
        <w:rPr>
          <w:rFonts w:hint="eastAsia" w:ascii="仿宋_GB2312" w:hAnsi="仿宋_GB2312" w:eastAsia="仿宋_GB2312" w:cs="仿宋_GB2312"/>
          <w:color w:val="auto"/>
          <w:sz w:val="32"/>
          <w:szCs w:val="32"/>
          <w:lang w:val="en-US" w:eastAsia="zh-CN" w:bidi="en-US"/>
        </w:rPr>
        <w:t>隔音</w:t>
      </w:r>
      <w:r>
        <w:rPr>
          <w:rFonts w:hint="eastAsia" w:ascii="仿宋_GB2312" w:hAnsi="仿宋_GB2312" w:eastAsia="仿宋_GB2312" w:cs="仿宋_GB2312"/>
          <w:color w:val="auto"/>
          <w:sz w:val="32"/>
          <w:szCs w:val="32"/>
          <w:lang w:val="zh-TW" w:eastAsia="zh-TW" w:bidi="en-US"/>
        </w:rPr>
        <w:t>、减振等噪声治理措施，厂界噪声</w:t>
      </w:r>
      <w:r>
        <w:rPr>
          <w:rFonts w:hint="eastAsia" w:ascii="仿宋_GB2312" w:hAnsi="仿宋_GB2312" w:eastAsia="仿宋_GB2312" w:cs="仿宋_GB2312"/>
          <w:color w:val="auto"/>
          <w:sz w:val="32"/>
          <w:szCs w:val="32"/>
          <w:lang w:val="en-US" w:eastAsia="zh-CN" w:bidi="en-US"/>
        </w:rPr>
        <w:t>可</w:t>
      </w:r>
      <w:r>
        <w:rPr>
          <w:rFonts w:hint="eastAsia" w:ascii="仿宋_GB2312" w:hAnsi="仿宋_GB2312" w:eastAsia="仿宋_GB2312" w:cs="仿宋_GB2312"/>
          <w:color w:val="auto"/>
          <w:sz w:val="32"/>
          <w:szCs w:val="32"/>
          <w:lang w:val="zh-TW" w:eastAsia="zh-TW" w:bidi="en-US"/>
        </w:rPr>
        <w:t>满足《工业企业厂界环境噪声排放标准》(GB12348-2008)</w:t>
      </w:r>
      <w:r>
        <w:rPr>
          <w:rFonts w:hint="eastAsia" w:ascii="仿宋_GB2312" w:hAnsi="仿宋_GB2312" w:eastAsia="仿宋_GB2312" w:cs="仿宋_GB2312"/>
          <w:color w:val="auto"/>
          <w:sz w:val="32"/>
          <w:szCs w:val="32"/>
          <w:lang w:val="en-US" w:eastAsia="zh-CN" w:bidi="en-US"/>
        </w:rPr>
        <w:t>3</w:t>
      </w:r>
      <w:r>
        <w:rPr>
          <w:rFonts w:hint="eastAsia" w:ascii="仿宋_GB2312" w:hAnsi="仿宋_GB2312" w:eastAsia="仿宋_GB2312" w:cs="仿宋_GB2312"/>
          <w:color w:val="auto"/>
          <w:sz w:val="32"/>
          <w:szCs w:val="32"/>
          <w:lang w:val="zh-TW" w:eastAsia="zh-TW" w:bidi="en-US"/>
        </w:rPr>
        <w:t>类标准限值。</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楷体" w:hAnsi="楷体" w:eastAsia="楷体" w:cs="楷体"/>
          <w:color w:val="auto"/>
          <w:kern w:val="2"/>
          <w:sz w:val="32"/>
          <w:szCs w:val="32"/>
          <w:lang w:val="en-US" w:eastAsia="zh-CN" w:bidi="ar-SA"/>
        </w:rPr>
        <w:t>（五）</w:t>
      </w:r>
      <w:r>
        <w:rPr>
          <w:rFonts w:hint="eastAsia" w:ascii="楷体" w:hAnsi="楷体" w:eastAsia="楷体" w:cs="楷体"/>
          <w:color w:val="auto"/>
          <w:sz w:val="32"/>
          <w:szCs w:val="32"/>
          <w:lang w:bidi="en-US"/>
        </w:rPr>
        <w:t>严格落实运营期污染源监测计划。</w:t>
      </w:r>
      <w:r>
        <w:rPr>
          <w:rFonts w:hint="eastAsia" w:ascii="仿宋_GB2312" w:hAnsi="仿宋_GB2312" w:eastAsia="仿宋_GB2312" w:cs="仿宋_GB2312"/>
          <w:color w:val="auto"/>
          <w:sz w:val="32"/>
          <w:szCs w:val="32"/>
          <w:lang w:bidi="en-US"/>
        </w:rPr>
        <w:t>按照相关标准、规范等要求，落实报告书提出的环境管理及监测计划，</w:t>
      </w:r>
      <w:r>
        <w:rPr>
          <w:rFonts w:hint="eastAsia" w:ascii="仿宋_GB2312" w:hAnsi="仿宋_GB2312" w:eastAsia="仿宋_GB2312" w:cs="仿宋_GB2312"/>
          <w:color w:val="auto"/>
          <w:sz w:val="32"/>
          <w:szCs w:val="32"/>
          <w:lang w:val="en-US" w:eastAsia="zh-CN" w:bidi="en-US"/>
        </w:rPr>
        <w:t>加强污染监控感知端建设，</w:t>
      </w:r>
      <w:r>
        <w:rPr>
          <w:rFonts w:hint="eastAsia" w:ascii="仿宋_GB2312" w:hAnsi="仿宋_GB2312" w:eastAsia="仿宋_GB2312" w:cs="仿宋_GB2312"/>
          <w:color w:val="auto"/>
          <w:sz w:val="32"/>
          <w:szCs w:val="32"/>
          <w:lang w:bidi="en-US"/>
        </w:rPr>
        <w:t>建立运营期污染源监测管理体系，并覆盖常规污染物、特征污染物。如出现污染物超标排放情况，应立即查明原因并采取进一步</w:t>
      </w:r>
      <w:r>
        <w:rPr>
          <w:rFonts w:hint="eastAsia" w:ascii="仿宋_GB2312" w:hAnsi="仿宋_GB2312" w:eastAsia="仿宋_GB2312" w:cs="仿宋_GB2312"/>
          <w:color w:val="auto"/>
          <w:sz w:val="32"/>
          <w:szCs w:val="32"/>
          <w:lang w:val="en-US" w:eastAsia="zh-CN" w:bidi="en-US"/>
        </w:rPr>
        <w:t>采取</w:t>
      </w:r>
      <w:r>
        <w:rPr>
          <w:rFonts w:hint="eastAsia" w:ascii="仿宋_GB2312" w:hAnsi="仿宋_GB2312" w:eastAsia="仿宋_GB2312" w:cs="仿宋_GB2312"/>
          <w:color w:val="auto"/>
          <w:sz w:val="32"/>
          <w:szCs w:val="32"/>
          <w:lang w:bidi="en-US"/>
        </w:rPr>
        <w:t>污染物减排措施。</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val="en-US" w:eastAsia="zh-CN" w:bidi="en-US"/>
        </w:rPr>
        <w:t>二连浩特市</w:t>
      </w:r>
      <w:r>
        <w:rPr>
          <w:rFonts w:hint="eastAsia" w:ascii="仿宋_GB2312" w:hAnsi="仿宋_GB2312" w:eastAsia="仿宋_GB2312" w:cs="仿宋_GB2312"/>
          <w:color w:val="auto"/>
          <w:sz w:val="32"/>
          <w:szCs w:val="32"/>
          <w:lang w:bidi="en-US"/>
        </w:rPr>
        <w:t>分局对该项目各项污染防治措施落实情况进行监督检查和管理。</w:t>
      </w:r>
    </w:p>
    <w:p>
      <w:pPr>
        <w:keepNext w:val="0"/>
        <w:keepLines w:val="0"/>
        <w:pageBreakBefore w:val="0"/>
        <w:widowControl w:val="0"/>
        <w:kinsoku/>
        <w:wordWrap/>
        <w:overflowPunct/>
        <w:bidi w:val="0"/>
        <w:spacing w:line="560" w:lineRule="exact"/>
        <w:rPr>
          <w:rFonts w:hint="eastAsia" w:ascii="仿宋_GB2312" w:hAnsi="仿宋_GB2312" w:eastAsia="仿宋_GB2312" w:cs="仿宋_GB2312"/>
          <w:color w:val="auto"/>
          <w:sz w:val="32"/>
          <w:szCs w:val="32"/>
        </w:rPr>
      </w:pPr>
    </w:p>
    <w:p>
      <w:pPr>
        <w:pStyle w:val="15"/>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autoSpaceDE w:val="0"/>
        <w:autoSpaceDN w:val="0"/>
        <w:bidi w:val="0"/>
        <w:adjustRightInd w:val="0"/>
        <w:snapToGrid w:val="0"/>
        <w:spacing w:line="560" w:lineRule="exact"/>
        <w:ind w:firstLine="3840" w:firstLineChars="12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 w:hAnsi="仿宋" w:eastAsia="仿宋" w:cs="仿宋"/>
          <w:highlight w:val="none"/>
        </w:rPr>
      </w:pPr>
      <w:r>
        <w:rPr>
          <w:rFonts w:hint="eastAsia" w:ascii="仿宋_GB2312" w:hAnsi="仿宋_GB2312" w:eastAsia="仿宋_GB2312" w:cs="仿宋_GB2312"/>
          <w:color w:val="auto"/>
          <w:sz w:val="32"/>
          <w:szCs w:val="32"/>
          <w:highlight w:val="none"/>
          <w:lang w:bidi="en-US"/>
        </w:rPr>
        <w:t>202</w:t>
      </w:r>
      <w:r>
        <w:rPr>
          <w:rFonts w:hint="eastAsia" w:ascii="仿宋_GB2312" w:hAnsi="仿宋_GB2312" w:eastAsia="仿宋_GB2312" w:cs="仿宋_GB2312"/>
          <w:color w:val="auto"/>
          <w:sz w:val="32"/>
          <w:szCs w:val="32"/>
          <w:highlight w:val="none"/>
          <w:lang w:val="en-US" w:eastAsia="zh-CN" w:bidi="en-US"/>
        </w:rPr>
        <w:t>4</w:t>
      </w:r>
      <w:r>
        <w:rPr>
          <w:rFonts w:hint="eastAsia" w:ascii="仿宋_GB2312" w:hAnsi="仿宋_GB2312" w:eastAsia="仿宋_GB2312" w:cs="仿宋_GB2312"/>
          <w:color w:val="auto"/>
          <w:sz w:val="32"/>
          <w:szCs w:val="32"/>
          <w:highlight w:val="none"/>
          <w:lang w:bidi="en-US"/>
        </w:rPr>
        <w:t>年</w:t>
      </w:r>
      <w:r>
        <w:rPr>
          <w:rFonts w:hint="eastAsia" w:ascii="仿宋_GB2312" w:hAnsi="仿宋_GB2312" w:eastAsia="仿宋_GB2312" w:cs="仿宋_GB2312"/>
          <w:color w:val="auto"/>
          <w:sz w:val="32"/>
          <w:szCs w:val="32"/>
          <w:highlight w:val="none"/>
          <w:lang w:val="en-US" w:eastAsia="zh-CN" w:bidi="en-US"/>
        </w:rPr>
        <w:t>1</w:t>
      </w:r>
      <w:r>
        <w:rPr>
          <w:rFonts w:hint="eastAsia" w:ascii="仿宋_GB2312" w:hAnsi="仿宋_GB2312" w:eastAsia="仿宋_GB2312" w:cs="仿宋_GB2312"/>
          <w:color w:val="auto"/>
          <w:sz w:val="32"/>
          <w:szCs w:val="32"/>
          <w:highlight w:val="none"/>
          <w:lang w:bidi="en-US"/>
        </w:rPr>
        <w:t>月</w:t>
      </w:r>
      <w:r>
        <w:rPr>
          <w:rFonts w:hint="eastAsia" w:ascii="仿宋_GB2312" w:hAnsi="仿宋_GB2312" w:eastAsia="仿宋_GB2312" w:cs="仿宋_GB2312"/>
          <w:color w:val="auto"/>
          <w:sz w:val="32"/>
          <w:szCs w:val="32"/>
          <w:highlight w:val="none"/>
          <w:lang w:val="en-US" w:eastAsia="zh-CN" w:bidi="en-US"/>
        </w:rPr>
        <w:t>4</w:t>
      </w:r>
      <w:r>
        <w:rPr>
          <w:rFonts w:hint="eastAsia" w:ascii="仿宋_GB2312" w:hAnsi="仿宋_GB2312" w:eastAsia="仿宋_GB2312" w:cs="仿宋_GB2312"/>
          <w:color w:val="auto"/>
          <w:sz w:val="32"/>
          <w:szCs w:val="32"/>
          <w:highlight w:val="none"/>
          <w:lang w:bidi="en-US"/>
        </w:rPr>
        <w:t>日</w:t>
      </w:r>
    </w:p>
    <w:p>
      <w:pPr>
        <w:pStyle w:val="15"/>
        <w:rPr>
          <w:rFonts w:hint="eastAsia" w:ascii="仿宋" w:hAnsi="仿宋" w:eastAsia="仿宋" w:cs="仿宋"/>
          <w:highlight w:val="none"/>
        </w:rPr>
      </w:pPr>
    </w:p>
    <w:p>
      <w:pPr>
        <w:rPr>
          <w:rFonts w:hint="eastAsia" w:ascii="仿宋" w:hAnsi="仿宋" w:eastAsia="仿宋" w:cs="仿宋"/>
          <w:highlight w:val="none"/>
        </w:rPr>
      </w:pPr>
    </w:p>
    <w:p>
      <w:pPr>
        <w:pStyle w:val="15"/>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15"/>
        <w:rPr>
          <w:rFonts w:hint="eastAsia" w:ascii="仿宋" w:hAnsi="仿宋" w:eastAsia="仿宋" w:cs="仿宋"/>
          <w:highlight w:val="none"/>
        </w:rPr>
      </w:pPr>
    </w:p>
    <w:p>
      <w:pPr>
        <w:pStyle w:val="15"/>
        <w:rPr>
          <w:rFonts w:hint="eastAsia" w:ascii="仿宋" w:hAnsi="仿宋" w:eastAsia="仿宋" w:cs="仿宋"/>
          <w:highlight w:val="none"/>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ascii="仿宋" w:hAnsi="仿宋" w:eastAsia="仿宋" w:cs="仿宋"/>
          <w:highlight w:val="none"/>
        </w:rPr>
      </w:pPr>
    </w:p>
    <w:p>
      <w:pPr>
        <w:pStyle w:val="15"/>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盟生态环境</w:t>
      </w:r>
      <w:r>
        <w:rPr>
          <w:rFonts w:hint="eastAsia" w:ascii="仿宋" w:hAnsi="仿宋" w:eastAsia="仿宋" w:cs="仿宋"/>
          <w:color w:val="auto"/>
          <w:kern w:val="2"/>
          <w:sz w:val="28"/>
          <w:szCs w:val="28"/>
          <w:highlight w:val="none"/>
          <w:lang w:eastAsia="zh-CN" w:bidi="en-US"/>
        </w:rPr>
        <w:t>局</w:t>
      </w:r>
      <w:r>
        <w:rPr>
          <w:rFonts w:hint="eastAsia" w:ascii="仿宋" w:hAnsi="仿宋" w:eastAsia="仿宋" w:cs="仿宋"/>
          <w:color w:val="auto"/>
          <w:kern w:val="2"/>
          <w:sz w:val="28"/>
          <w:szCs w:val="28"/>
          <w:highlight w:val="none"/>
          <w:lang w:val="en-US" w:eastAsia="zh-CN" w:bidi="en-US"/>
        </w:rPr>
        <w:t>二连浩特市分局</w:t>
      </w:r>
    </w:p>
    <w:p>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锡林郭勒盟生态环境局办公室              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40A54"/>
    <w:multiLevelType w:val="singleLevel"/>
    <w:tmpl w:val="4B940A54"/>
    <w:lvl w:ilvl="0" w:tentative="0">
      <w:start w:val="4"/>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4082137"/>
    <w:rsid w:val="064265FE"/>
    <w:rsid w:val="07E80A5E"/>
    <w:rsid w:val="08125FE6"/>
    <w:rsid w:val="09F707CE"/>
    <w:rsid w:val="0C7A4895"/>
    <w:rsid w:val="0D6D6C1D"/>
    <w:rsid w:val="0EE27BE5"/>
    <w:rsid w:val="134A4ECA"/>
    <w:rsid w:val="14C2659D"/>
    <w:rsid w:val="1D61177E"/>
    <w:rsid w:val="1F9C573C"/>
    <w:rsid w:val="27B80082"/>
    <w:rsid w:val="29D8150D"/>
    <w:rsid w:val="2CF929A0"/>
    <w:rsid w:val="2DFD607A"/>
    <w:rsid w:val="2F1F3E8C"/>
    <w:rsid w:val="2F7E7F6E"/>
    <w:rsid w:val="31255C7D"/>
    <w:rsid w:val="3FD85C84"/>
    <w:rsid w:val="46B26845"/>
    <w:rsid w:val="4A3B72B4"/>
    <w:rsid w:val="4F8E455D"/>
    <w:rsid w:val="56990422"/>
    <w:rsid w:val="65980358"/>
    <w:rsid w:val="67927E4C"/>
    <w:rsid w:val="68387D94"/>
    <w:rsid w:val="6E1A4AAF"/>
    <w:rsid w:val="70EA0941"/>
    <w:rsid w:val="78CC1696"/>
    <w:rsid w:val="7CE53CE8"/>
    <w:rsid w:val="7F6C2C5A"/>
    <w:rsid w:val="7FD6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firstLine="420"/>
      <w:textAlignment w:val="baseline"/>
    </w:pPr>
    <w:rPr>
      <w:rFonts w:ascii="宋体" w:hAnsi="宋体"/>
      <w:sz w:val="18"/>
      <w:szCs w:val="18"/>
    </w:rPr>
  </w:style>
  <w:style w:type="paragraph" w:styleId="3">
    <w:name w:val="Body Text Indent"/>
    <w:basedOn w:val="1"/>
    <w:next w:val="1"/>
    <w:autoRedefine/>
    <w:qFormat/>
    <w:uiPriority w:val="0"/>
    <w:pPr>
      <w:spacing w:after="120"/>
      <w:ind w:left="420" w:leftChars="200"/>
    </w:pPr>
    <w:rPr>
      <w:rFonts w:ascii="Times New Roman" w:hAnsi="Times New Roman" w:eastAsia="宋体" w:cs="Times New Roman"/>
      <w:szCs w:val="20"/>
    </w:rPr>
  </w:style>
  <w:style w:type="paragraph" w:styleId="5">
    <w:name w:val="Normal Indent"/>
    <w:basedOn w:val="1"/>
    <w:next w:val="1"/>
    <w:autoRedefine/>
    <w:qFormat/>
    <w:uiPriority w:val="0"/>
    <w:pPr>
      <w:ind w:firstLine="420" w:firstLineChars="200"/>
    </w:pPr>
    <w:rPr>
      <w:rFonts w:ascii="Times New Roman" w:hAnsi="Times New Roman" w:eastAsia="宋体"/>
      <w:szCs w:val="24"/>
    </w:rPr>
  </w:style>
  <w:style w:type="paragraph" w:styleId="6">
    <w:name w:val="annotation text"/>
    <w:basedOn w:val="1"/>
    <w:link w:val="23"/>
    <w:autoRedefine/>
    <w:semiHidden/>
    <w:unhideWhenUsed/>
    <w:qFormat/>
    <w:uiPriority w:val="99"/>
    <w:pPr>
      <w:jc w:val="left"/>
    </w:pPr>
  </w:style>
  <w:style w:type="paragraph" w:styleId="7">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tabs>
        <w:tab w:val="left" w:pos="284"/>
        <w:tab w:val="right" w:leader="dot" w:pos="8296"/>
      </w:tabs>
    </w:pPr>
  </w:style>
  <w:style w:type="paragraph" w:styleId="10">
    <w:name w:val="annotation subject"/>
    <w:basedOn w:val="6"/>
    <w:next w:val="6"/>
    <w:link w:val="24"/>
    <w:autoRedefine/>
    <w:semiHidden/>
    <w:unhideWhenUsed/>
    <w:qFormat/>
    <w:uiPriority w:val="99"/>
    <w:rPr>
      <w:b/>
      <w:bCs/>
    </w:r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styleId="14">
    <w:name w:val="annotation reference"/>
    <w:basedOn w:val="12"/>
    <w:autoRedefine/>
    <w:semiHidden/>
    <w:unhideWhenUsed/>
    <w:qFormat/>
    <w:uiPriority w:val="99"/>
    <w:rPr>
      <w:sz w:val="21"/>
      <w:szCs w:val="21"/>
    </w:rPr>
  </w:style>
  <w:style w:type="paragraph" w:customStyle="1" w:styleId="15">
    <w:name w:val="Default"/>
    <w:basedOn w:val="16"/>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纯文本1"/>
    <w:basedOn w:val="1"/>
    <w:autoRedefine/>
    <w:qFormat/>
    <w:uiPriority w:val="0"/>
    <w:rPr>
      <w:rFonts w:ascii="宋体" w:hAnsi="Courier New"/>
      <w:szCs w:val="20"/>
    </w:rPr>
  </w:style>
  <w:style w:type="paragraph" w:customStyle="1" w:styleId="17">
    <w:name w:val="正文1"/>
    <w:basedOn w:val="15"/>
    <w:next w:val="1"/>
    <w:autoRedefine/>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8">
    <w:name w:val="未处理的提及1"/>
    <w:basedOn w:val="12"/>
    <w:autoRedefine/>
    <w:semiHidden/>
    <w:unhideWhenUsed/>
    <w:qFormat/>
    <w:uiPriority w:val="99"/>
    <w:rPr>
      <w:color w:val="605E5C"/>
      <w:shd w:val="clear" w:color="auto" w:fill="E1DFDD"/>
    </w:rPr>
  </w:style>
  <w:style w:type="character" w:customStyle="1" w:styleId="19">
    <w:name w:val="页眉 字符"/>
    <w:basedOn w:val="12"/>
    <w:link w:val="8"/>
    <w:autoRedefine/>
    <w:qFormat/>
    <w:uiPriority w:val="99"/>
    <w:rPr>
      <w:kern w:val="2"/>
      <w:sz w:val="18"/>
      <w:szCs w:val="18"/>
    </w:rPr>
  </w:style>
  <w:style w:type="paragraph" w:customStyle="1" w:styleId="20">
    <w:name w:val="表文"/>
    <w:basedOn w:val="1"/>
    <w:autoRedefine/>
    <w:qFormat/>
    <w:uiPriority w:val="0"/>
    <w:pPr>
      <w:overflowPunct w:val="0"/>
      <w:spacing w:line="440" w:lineRule="exact"/>
      <w:jc w:val="center"/>
      <w:textAlignment w:val="baseline"/>
    </w:pPr>
    <w:rPr>
      <w:rFonts w:ascii="Arial" w:hAnsi="Arial" w:eastAsia="宋体" w:cs="Times New Roman"/>
      <w:szCs w:val="20"/>
    </w:rPr>
  </w:style>
  <w:style w:type="paragraph" w:customStyle="1" w:styleId="21">
    <w:name w:val="样式 (符号) 宋体 小四 行距: 1.5 倍行距"/>
    <w:basedOn w:val="1"/>
    <w:autoRedefine/>
    <w:qFormat/>
    <w:uiPriority w:val="0"/>
    <w:pPr>
      <w:spacing w:line="360" w:lineRule="auto"/>
      <w:ind w:firstLine="200" w:firstLineChars="200"/>
    </w:pPr>
    <w:rPr>
      <w:rFonts w:ascii="Times New Roman" w:hAnsi="Times New Roman" w:eastAsia="宋体" w:cs="宋体"/>
      <w:sz w:val="24"/>
      <w:szCs w:val="24"/>
    </w:rPr>
  </w:style>
  <w:style w:type="paragraph" w:styleId="22">
    <w:name w:val="List Paragraph"/>
    <w:basedOn w:val="1"/>
    <w:autoRedefine/>
    <w:qFormat/>
    <w:uiPriority w:val="99"/>
    <w:pPr>
      <w:ind w:firstLine="420" w:firstLineChars="200"/>
    </w:pPr>
  </w:style>
  <w:style w:type="character" w:customStyle="1" w:styleId="23">
    <w:name w:val="批注文字 字符"/>
    <w:basedOn w:val="12"/>
    <w:link w:val="6"/>
    <w:autoRedefine/>
    <w:semiHidden/>
    <w:qFormat/>
    <w:uiPriority w:val="99"/>
    <w:rPr>
      <w:kern w:val="2"/>
      <w:sz w:val="21"/>
      <w:szCs w:val="22"/>
    </w:rPr>
  </w:style>
  <w:style w:type="character" w:customStyle="1" w:styleId="24">
    <w:name w:val="批注主题 字符"/>
    <w:basedOn w:val="23"/>
    <w:link w:val="10"/>
    <w:autoRedefine/>
    <w:semiHidden/>
    <w:qFormat/>
    <w:uiPriority w:val="99"/>
    <w:rPr>
      <w:b/>
      <w:bCs/>
      <w:kern w:val="2"/>
      <w:sz w:val="21"/>
      <w:szCs w:val="22"/>
    </w:rPr>
  </w:style>
  <w:style w:type="paragraph" w:customStyle="1" w:styleId="25">
    <w:name w:val="高-正文"/>
    <w:basedOn w:val="1"/>
    <w:autoRedefine/>
    <w:qFormat/>
    <w:uiPriority w:val="0"/>
    <w:pPr>
      <w:topLinePunct/>
      <w:adjustRightInd w:val="0"/>
      <w:snapToGrid w:val="0"/>
      <w:spacing w:line="480" w:lineRule="exact"/>
      <w:ind w:firstLine="6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1769</Words>
  <Characters>1931</Characters>
  <Lines>19</Lines>
  <Paragraphs>5</Paragraphs>
  <TotalTime>75</TotalTime>
  <ScaleCrop>false</ScaleCrop>
  <LinksUpToDate>false</LinksUpToDate>
  <CharactersWithSpaces>1945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2023-01-30T09:32:00Z</dcterms:created>
  <dc:creator>hui hui</dc:creator>
  <cp:lastModifiedBy>zilchs</cp:lastModifiedBy>
  <cp:lastPrinted>2024-01-04T09:18:11Z</cp:lastPrinted>
  <dcterms:modified xsi:type="dcterms:W3CDTF">2024-01-04T09:18:17Z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90F799DBAE774CA98BC8C03ADF29184C_13</vt:lpwstr>
  </property>
</Properties>
</file>