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color w:val="auto"/>
          <w:sz w:val="32"/>
          <w:szCs w:val="32"/>
        </w:rPr>
      </w:pPr>
      <w:bookmarkStart w:id="0" w:name="_Hlk124747957"/>
    </w:p>
    <w:p>
      <w:pPr>
        <w:adjustRightInd w:val="0"/>
        <w:snapToGrid w:val="0"/>
        <w:spacing w:line="360" w:lineRule="auto"/>
        <w:jc w:val="center"/>
        <w:rPr>
          <w:b/>
          <w:bCs/>
          <w:color w:val="auto"/>
          <w:sz w:val="32"/>
          <w:szCs w:val="32"/>
        </w:rPr>
      </w:pPr>
    </w:p>
    <w:p>
      <w:pPr>
        <w:pStyle w:val="10"/>
        <w:rPr>
          <w:b/>
          <w:bCs/>
          <w:color w:val="auto"/>
          <w:sz w:val="32"/>
          <w:szCs w:val="32"/>
        </w:rPr>
      </w:pPr>
    </w:p>
    <w:p>
      <w:pPr>
        <w:rPr>
          <w:b/>
          <w:bCs/>
          <w:color w:val="auto"/>
          <w:sz w:val="32"/>
          <w:szCs w:val="32"/>
        </w:rPr>
      </w:pPr>
    </w:p>
    <w:p>
      <w:pPr>
        <w:pStyle w:val="10"/>
        <w:rPr>
          <w:b/>
          <w:bCs/>
          <w:color w:val="auto"/>
          <w:sz w:val="32"/>
          <w:szCs w:val="32"/>
        </w:rPr>
      </w:pPr>
    </w:p>
    <w:p>
      <w:pPr>
        <w:pStyle w:val="10"/>
        <w:ind w:left="0" w:leftChars="0" w:firstLine="0" w:firstLineChars="0"/>
        <w:rPr>
          <w:b/>
          <w:bCs/>
          <w:color w:val="auto"/>
          <w:sz w:val="32"/>
          <w:szCs w:val="32"/>
        </w:rPr>
      </w:pPr>
    </w:p>
    <w:p>
      <w:pPr>
        <w:rPr>
          <w:color w:val="auto"/>
        </w:rPr>
      </w:pPr>
    </w:p>
    <w:p>
      <w:pPr>
        <w:pStyle w:val="10"/>
        <w:rPr>
          <w:color w:val="auto"/>
        </w:rPr>
      </w:pPr>
    </w:p>
    <w:p>
      <w:pPr>
        <w:rPr>
          <w:color w:val="auto"/>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4</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3</w:t>
      </w:r>
      <w:r>
        <w:rPr>
          <w:rFonts w:hint="eastAsia" w:ascii="仿宋_GB2312" w:hAnsi="Times New Roman" w:eastAsia="仿宋_GB2312" w:cs="Arial"/>
          <w:color w:val="auto"/>
          <w:sz w:val="32"/>
          <w:szCs w:val="32"/>
          <w:highlight w:val="none"/>
          <w:lang w:bidi="en-US"/>
        </w:rPr>
        <w:t>号</w:t>
      </w:r>
    </w:p>
    <w:p>
      <w:pPr>
        <w:adjustRightInd w:val="0"/>
        <w:snapToGrid w:val="0"/>
        <w:spacing w:line="360" w:lineRule="auto"/>
        <w:jc w:val="center"/>
        <w:rPr>
          <w:b/>
          <w:bCs/>
          <w:color w:val="auto"/>
          <w:sz w:val="32"/>
          <w:szCs w:val="32"/>
          <w:highlight w:val="none"/>
        </w:rPr>
      </w:pPr>
    </w:p>
    <w:p>
      <w:pPr>
        <w:widowControl/>
        <w:spacing w:line="7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pPr>
        <w:autoSpaceDE w:val="0"/>
        <w:autoSpaceDN w:val="0"/>
        <w:adjustRightInd w:val="0"/>
        <w:snapToGrid w:val="0"/>
        <w:spacing w:line="7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val="en-US" w:eastAsia="zh-CN"/>
        </w:rPr>
        <w:t>太仆寺旗年产25000吨磷酸铁锂正极材料建设项目</w:t>
      </w:r>
      <w:r>
        <w:rPr>
          <w:rFonts w:hint="eastAsia" w:ascii="方正小标宋简体" w:hAnsi="方正小标宋简体" w:eastAsia="方正小标宋简体" w:cs="方正小标宋简体"/>
          <w:bCs/>
          <w:color w:val="auto"/>
          <w:sz w:val="44"/>
          <w:szCs w:val="44"/>
          <w:highlight w:val="none"/>
        </w:rPr>
        <w:t>环境影响报告书的批复</w:t>
      </w:r>
    </w:p>
    <w:p>
      <w:pPr>
        <w:autoSpaceDE w:val="0"/>
        <w:autoSpaceDN w:val="0"/>
        <w:adjustRightInd w:val="0"/>
        <w:snapToGrid w:val="0"/>
        <w:spacing w:line="520" w:lineRule="exact"/>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autoSpaceDE w:val="0"/>
        <w:autoSpaceDN w:val="0"/>
        <w:bidi w:val="0"/>
        <w:adjustRightInd w:val="0"/>
        <w:snapToGrid w:val="0"/>
        <w:spacing w:line="56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内蒙古中合新材料有限公司</w:t>
      </w:r>
      <w:r>
        <w:rPr>
          <w:rFonts w:hint="eastAsia" w:ascii="仿宋_GB2312" w:hAnsi="仿宋_GB2312" w:eastAsia="仿宋_GB2312" w:cs="仿宋_GB2312"/>
          <w:color w:val="auto"/>
          <w:sz w:val="32"/>
          <w:szCs w:val="32"/>
          <w:lang w:bidi="en-US"/>
        </w:rPr>
        <w:t>：</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太仆寺旗年产25000吨磷酸铁锂正极材料建设项目</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bidi="en-US"/>
        </w:rPr>
        <w:t>（</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pStyle w:val="25"/>
        <w:keepNext w:val="0"/>
        <w:keepLines w:val="0"/>
        <w:pageBreakBefore w:val="0"/>
        <w:widowControl w:val="0"/>
        <w:numPr>
          <w:ilvl w:val="0"/>
          <w:numId w:val="0"/>
        </w:numPr>
        <w:kinsoku/>
        <w:wordWrap/>
        <w:overflowPunct/>
        <w:bidi w:val="0"/>
        <w:spacing w:line="560" w:lineRule="exact"/>
        <w:ind w:firstLine="640" w:firstLineChars="200"/>
        <w:jc w:val="both"/>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一、太仆寺旗年产25000吨磷酸铁锂正极材料建设项目</w:t>
      </w:r>
      <w:r>
        <w:rPr>
          <w:rFonts w:hint="eastAsia" w:ascii="仿宋_GB2312" w:hAnsi="仿宋_GB2312" w:eastAsia="仿宋_GB2312" w:cs="仿宋_GB2312"/>
          <w:b w:val="0"/>
          <w:bCs/>
          <w:color w:val="auto"/>
          <w:kern w:val="0"/>
          <w:sz w:val="32"/>
          <w:szCs w:val="32"/>
          <w:lang w:val="en-US" w:eastAsia="zh-CN" w:bidi="ar"/>
        </w:rPr>
        <w:t>位于内蒙古自治区锡林郭勒盟太仆寺旗宝昌产业园内，占地面积为35266.5平方米，项目建设正极材料车间，内部建设投料系统、分散研磨合批系统、喷雾干燥系统、烧结辊道窑、粉碎混批及包装等设备，配套建设实验楼、纯水制备系统、循环冷却水系统、空压站、制氮站、污水处理站等其他公辅工程及环保工程，项目建设规模为年产磷酸铁锂25000吨。项目总投资69000万元，其中环保投资1688万元，占总投资比例为2.45%。</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和拟采取的污染防治措施及下述要求进行建设。</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运营期投料工</w:t>
      </w:r>
      <w:r>
        <w:rPr>
          <w:rFonts w:hint="eastAsia" w:ascii="仿宋_GB2312" w:hAnsi="仿宋_GB2312" w:eastAsia="仿宋_GB2312" w:cs="仿宋_GB2312"/>
          <w:color w:val="auto"/>
          <w:sz w:val="32"/>
          <w:szCs w:val="32"/>
          <w:lang w:eastAsia="zh-CN" w:bidi="en-US"/>
        </w:rPr>
        <w:t>序废气、喷雾干燥废气、</w:t>
      </w:r>
      <w:r>
        <w:rPr>
          <w:rFonts w:hint="eastAsia" w:ascii="仿宋_GB2312" w:hAnsi="仿宋_GB2312" w:eastAsia="仿宋_GB2312" w:cs="仿宋_GB2312"/>
          <w:color w:val="auto"/>
          <w:sz w:val="32"/>
          <w:szCs w:val="32"/>
          <w:lang w:bidi="en-US"/>
        </w:rPr>
        <w:t>装钵</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卸钵废气、烧结</w:t>
      </w:r>
      <w:r>
        <w:rPr>
          <w:rFonts w:hint="eastAsia" w:ascii="仿宋_GB2312" w:hAnsi="仿宋_GB2312" w:eastAsia="仿宋_GB2312" w:cs="仿宋_GB2312"/>
          <w:color w:val="auto"/>
          <w:sz w:val="32"/>
          <w:szCs w:val="32"/>
          <w:lang w:eastAsia="zh-CN" w:bidi="en-US"/>
        </w:rPr>
        <w:t>前、</w:t>
      </w:r>
      <w:r>
        <w:rPr>
          <w:rFonts w:hint="eastAsia" w:ascii="仿宋_GB2312" w:hAnsi="仿宋_GB2312" w:eastAsia="仿宋_GB2312" w:cs="仿宋_GB2312"/>
          <w:color w:val="auto"/>
          <w:sz w:val="32"/>
          <w:szCs w:val="32"/>
          <w:lang w:bidi="en-US"/>
        </w:rPr>
        <w:t>后缓</w:t>
      </w:r>
      <w:r>
        <w:rPr>
          <w:rFonts w:hint="eastAsia" w:ascii="仿宋_GB2312" w:hAnsi="仿宋_GB2312" w:eastAsia="仿宋_GB2312" w:cs="仿宋_GB2312"/>
          <w:color w:val="auto"/>
          <w:sz w:val="32"/>
          <w:szCs w:val="32"/>
          <w:lang w:eastAsia="zh-CN" w:bidi="en-US"/>
        </w:rPr>
        <w:t>冲仓废气、</w:t>
      </w:r>
      <w:r>
        <w:rPr>
          <w:rFonts w:hint="eastAsia" w:ascii="仿宋_GB2312" w:hAnsi="仿宋_GB2312" w:eastAsia="仿宋_GB2312" w:cs="仿宋_GB2312"/>
          <w:color w:val="auto"/>
          <w:sz w:val="32"/>
          <w:szCs w:val="32"/>
          <w:lang w:bidi="en-US"/>
        </w:rPr>
        <w:t>粉碎前</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后料仓废气、</w:t>
      </w:r>
      <w:r>
        <w:rPr>
          <w:rFonts w:hint="eastAsia" w:ascii="仿宋_GB2312" w:hAnsi="仿宋_GB2312" w:eastAsia="仿宋_GB2312" w:cs="仿宋_GB2312"/>
          <w:color w:val="auto"/>
          <w:sz w:val="32"/>
          <w:szCs w:val="32"/>
          <w:lang w:eastAsia="zh-CN" w:bidi="en-US"/>
        </w:rPr>
        <w:t>混批前料仓废气、筛分前缓存仓废气、</w:t>
      </w:r>
      <w:r>
        <w:rPr>
          <w:rFonts w:hint="eastAsia" w:ascii="仿宋_GB2312" w:hAnsi="仿宋_GB2312" w:eastAsia="仿宋_GB2312" w:cs="仿宋_GB2312"/>
          <w:color w:val="auto"/>
          <w:sz w:val="32"/>
          <w:szCs w:val="32"/>
          <w:lang w:bidi="en-US"/>
        </w:rPr>
        <w:t>包装缓存仓废气</w:t>
      </w:r>
      <w:r>
        <w:rPr>
          <w:rFonts w:hint="eastAsia" w:ascii="仿宋_GB2312" w:hAnsi="仿宋_GB2312" w:eastAsia="仿宋_GB2312" w:cs="仿宋_GB2312"/>
          <w:color w:val="auto"/>
          <w:sz w:val="32"/>
          <w:szCs w:val="32"/>
          <w:lang w:eastAsia="zh-CN" w:bidi="en-US"/>
        </w:rPr>
        <w:t>、筛分废气</w:t>
      </w:r>
      <w:r>
        <w:rPr>
          <w:rFonts w:hint="eastAsia" w:ascii="仿宋_GB2312" w:hAnsi="仿宋_GB2312" w:eastAsia="仿宋_GB2312" w:cs="仿宋_GB2312"/>
          <w:color w:val="auto"/>
          <w:sz w:val="32"/>
          <w:szCs w:val="32"/>
          <w:lang w:bidi="en-US"/>
        </w:rPr>
        <w:t>和包装废气</w:t>
      </w:r>
      <w:r>
        <w:rPr>
          <w:rFonts w:hint="eastAsia" w:ascii="仿宋_GB2312" w:hAnsi="仿宋_GB2312" w:eastAsia="仿宋_GB2312" w:cs="仿宋_GB2312"/>
          <w:color w:val="auto"/>
          <w:sz w:val="32"/>
          <w:szCs w:val="32"/>
          <w:lang w:eastAsia="zh-CN" w:bidi="en-US"/>
        </w:rPr>
        <w:t>产生的颗粒物均采用布袋除尘器处理，处理后颗粒物满足《无机化学工业污染物排放标准》（GB31573-2015）表3标准限值；辊道窑烧结尾气进入配套的吸附浓缩</w:t>
      </w:r>
      <w:r>
        <w:rPr>
          <w:rFonts w:hint="eastAsia" w:ascii="仿宋_GB2312" w:hAnsi="仿宋_GB2312" w:eastAsia="仿宋_GB2312" w:cs="仿宋_GB2312"/>
          <w:color w:val="auto"/>
          <w:sz w:val="32"/>
          <w:szCs w:val="32"/>
          <w:lang w:val="en-US" w:eastAsia="zh-CN" w:bidi="en-US"/>
        </w:rPr>
        <w:t>+蓄热式焚烧炉（RTO）</w:t>
      </w:r>
      <w:r>
        <w:rPr>
          <w:rFonts w:hint="eastAsia" w:ascii="仿宋_GB2312" w:hAnsi="仿宋_GB2312" w:eastAsia="仿宋_GB2312" w:cs="仿宋_GB2312"/>
          <w:color w:val="auto"/>
          <w:sz w:val="32"/>
          <w:szCs w:val="32"/>
          <w:lang w:eastAsia="zh-CN" w:bidi="en-US"/>
        </w:rPr>
        <w:t>进行燃烧，去除废气中的CO、非甲烷总烃，处理后颗粒物满足《无机化学工业污染物排放标准》（GB31573-2015）表3标准限值，非甲烷总烃满足《大气污染物综合排放标准》（GB16297-1996）表2标准限值；实验室废气主要为实验试剂配置产生的硫酸雾、非甲烷总烃，经通风橱</w:t>
      </w:r>
      <w:r>
        <w:rPr>
          <w:rFonts w:hint="eastAsia" w:ascii="仿宋_GB2312" w:hAnsi="仿宋_GB2312" w:eastAsia="仿宋_GB2312" w:cs="仿宋_GB2312"/>
          <w:color w:val="auto"/>
          <w:sz w:val="32"/>
          <w:szCs w:val="32"/>
          <w:lang w:val="en-US" w:eastAsia="zh-CN" w:bidi="en-US"/>
        </w:rPr>
        <w:t>+</w:t>
      </w:r>
      <w:r>
        <w:rPr>
          <w:rFonts w:hint="eastAsia" w:ascii="仿宋_GB2312" w:hAnsi="仿宋_GB2312" w:eastAsia="仿宋_GB2312" w:cs="仿宋_GB2312"/>
          <w:color w:val="auto"/>
          <w:sz w:val="32"/>
          <w:szCs w:val="32"/>
          <w:lang w:eastAsia="zh-CN" w:bidi="en-US"/>
        </w:rPr>
        <w:t>1套活性炭吸附装置处理，处理后硫酸雾、非甲烷总烃满足《大气污染物综合排放标准》（GB16297-1996）表2标准限值；污水处理站废气为硫化氢、氨、臭气浓度，污水处理站各池体加盖密闭</w:t>
      </w:r>
      <w:r>
        <w:rPr>
          <w:rFonts w:hint="eastAsia" w:ascii="仿宋_GB2312" w:hAnsi="仿宋_GB2312" w:eastAsia="仿宋_GB2312" w:cs="仿宋_GB2312"/>
          <w:color w:val="auto"/>
          <w:sz w:val="32"/>
          <w:szCs w:val="32"/>
          <w:lang w:val="en-US" w:eastAsia="zh-CN" w:bidi="en-US"/>
        </w:rPr>
        <w:t>+1套生物除臭装置处理，处理后恶臭气体满足《恶臭污染物排放标准》（GB14554-93）表2标准限值，无组织恶臭执行《恶臭污染物排放标准》（GB14554-93）表1厂界标准值。</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（二）</w:t>
      </w:r>
      <w:r>
        <w:rPr>
          <w:rFonts w:hint="eastAsia" w:ascii="楷体" w:hAnsi="楷体" w:eastAsia="楷体" w:cs="楷体"/>
          <w:color w:val="auto"/>
          <w:kern w:val="2"/>
          <w:sz w:val="32"/>
          <w:szCs w:val="32"/>
          <w:lang w:val="en-US" w:eastAsia="zh-CN" w:bidi="ar-SA"/>
        </w:rPr>
        <w:t>严格落实固体废物污染防治措施。</w:t>
      </w:r>
      <w:r>
        <w:rPr>
          <w:rFonts w:hint="eastAsia" w:ascii="仿宋_GB2312" w:hAnsi="仿宋_GB2312" w:eastAsia="仿宋_GB2312" w:cs="仿宋_GB2312"/>
          <w:color w:val="auto"/>
          <w:sz w:val="32"/>
          <w:szCs w:val="32"/>
          <w:lang w:val="en-GB" w:eastAsia="zh-CN" w:bidi="en-US"/>
        </w:rPr>
        <w:t>运营期各生产工段的除尘灰返回生产线；</w:t>
      </w:r>
      <w:r>
        <w:rPr>
          <w:rFonts w:hint="eastAsia" w:ascii="仿宋_GB2312" w:hAnsi="仿宋_GB2312" w:eastAsia="仿宋_GB2312" w:cs="仿宋_GB2312"/>
          <w:color w:val="auto"/>
          <w:sz w:val="32"/>
          <w:szCs w:val="32"/>
          <w:lang w:eastAsia="zh-CN" w:bidi="en-US"/>
        </w:rPr>
        <w:t>废金属、废包装袋，外售废品回收企业；纯水站反渗透膜、废活性炭、废烧钵、污水站污泥送园区一般工业固废填埋场填埋；除臭装置废填料定期由厂家更换回收；废机油、实验室废试剂、废试剂瓶、实验室废气处理产生废活性炭暂存于厂区危废暂存库内，最终交由有资质单位处置；</w:t>
      </w:r>
      <w:r>
        <w:rPr>
          <w:rFonts w:hint="eastAsia" w:ascii="仿宋_GB2312" w:hAnsi="仿宋_GB2312" w:eastAsia="仿宋_GB2312" w:cs="仿宋_GB2312"/>
          <w:color w:val="auto"/>
          <w:kern w:val="2"/>
          <w:sz w:val="32"/>
          <w:szCs w:val="32"/>
          <w:lang w:val="en-US" w:eastAsia="zh-CN" w:bidi="ar-SA"/>
        </w:rPr>
        <w:t>厂区员工日常生活所产生的生活垃圾，由当地环卫部门统一清运。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8" w:firstLineChars="19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color w:val="auto"/>
          <w:sz w:val="32"/>
          <w:szCs w:val="32"/>
          <w:lang w:eastAsia="zh-CN" w:bidi="en-US"/>
        </w:rPr>
        <w:t>运营期洗罐及设备冲洗水、实验室废水排入厂区新建污水站处理，最终排入园区污水处理厂处理；纯水制备系统浓水、循环冷却水定期排放废水属于清净下水，直接排入园区污水处理厂处理；生活污水经化粪池处理后进入园区污水处理厂处理。</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kern w:val="2"/>
          <w:sz w:val="32"/>
          <w:szCs w:val="32"/>
          <w:lang w:val="en-US" w:eastAsia="zh-CN" w:bidi="ar-SA"/>
        </w:rPr>
        <w:t>严格落实噪声防治措施。</w:t>
      </w:r>
      <w:r>
        <w:rPr>
          <w:rFonts w:hint="eastAsia" w:ascii="仿宋_GB2312" w:hAnsi="仿宋_GB2312" w:eastAsia="仿宋_GB2312" w:cs="仿宋_GB2312"/>
          <w:color w:val="auto"/>
          <w:sz w:val="32"/>
          <w:szCs w:val="32"/>
          <w:lang w:bidi="en-US"/>
        </w:rPr>
        <w:t>运营期噪声主要为各类风机，空压机、泵、砂磨机、辊道窑</w:t>
      </w:r>
      <w:r>
        <w:rPr>
          <w:rFonts w:hint="eastAsia" w:ascii="仿宋_GB2312" w:hAnsi="仿宋_GB2312" w:eastAsia="仿宋_GB2312" w:cs="仿宋_GB2312"/>
          <w:color w:val="auto"/>
          <w:sz w:val="32"/>
          <w:szCs w:val="32"/>
          <w:lang w:eastAsia="zh-CN" w:bidi="en-US"/>
        </w:rPr>
        <w:t>、</w:t>
      </w:r>
      <w:r>
        <w:rPr>
          <w:rFonts w:hint="eastAsia" w:ascii="仿宋_GB2312" w:hAnsi="仿宋_GB2312" w:eastAsia="仿宋_GB2312" w:cs="仿宋_GB2312"/>
          <w:color w:val="auto"/>
          <w:sz w:val="32"/>
          <w:szCs w:val="32"/>
          <w:lang w:bidi="en-US"/>
        </w:rPr>
        <w:t>压缩机、粉碎设备、包装机等噪声。针对主要噪声设备选用低噪声设备，以及消音、减振、隔声等降噪措施，</w:t>
      </w:r>
      <w:r>
        <w:rPr>
          <w:rFonts w:hint="eastAsia" w:ascii="仿宋_GB2312" w:hAnsi="仿宋_GB2312" w:eastAsia="仿宋_GB2312" w:cs="仿宋_GB2312"/>
          <w:color w:val="auto"/>
          <w:sz w:val="32"/>
          <w:szCs w:val="32"/>
          <w:lang w:val="zh-TW" w:eastAsia="zh-TW" w:bidi="en-US"/>
        </w:rPr>
        <w:t>厂界噪声</w:t>
      </w:r>
      <w:r>
        <w:rPr>
          <w:rFonts w:hint="eastAsia" w:ascii="仿宋_GB2312" w:hAnsi="仿宋_GB2312" w:eastAsia="仿宋_GB2312" w:cs="仿宋_GB2312"/>
          <w:color w:val="auto"/>
          <w:sz w:val="32"/>
          <w:szCs w:val="32"/>
          <w:lang w:bidi="en-US"/>
        </w:rPr>
        <w:t>可</w:t>
      </w:r>
      <w:r>
        <w:rPr>
          <w:rFonts w:hint="eastAsia" w:ascii="仿宋_GB2312" w:hAnsi="仿宋_GB2312" w:eastAsia="仿宋_GB2312" w:cs="仿宋_GB2312"/>
          <w:color w:val="auto"/>
          <w:sz w:val="32"/>
          <w:szCs w:val="32"/>
          <w:lang w:val="zh-TW" w:eastAsia="zh-TW" w:bidi="en-US"/>
        </w:rPr>
        <w:t>满足《工业企业厂界环境噪声排放标准》(GB12348-2008)</w:t>
      </w:r>
      <w:r>
        <w:rPr>
          <w:rFonts w:hint="eastAsia" w:ascii="仿宋_GB2312" w:hAnsi="仿宋_GB2312" w:eastAsia="仿宋_GB2312" w:cs="仿宋_GB2312"/>
          <w:color w:val="auto"/>
          <w:sz w:val="32"/>
          <w:szCs w:val="32"/>
          <w:lang w:bidi="en-US"/>
        </w:rPr>
        <w:t>3</w:t>
      </w:r>
      <w:r>
        <w:rPr>
          <w:rFonts w:hint="eastAsia" w:ascii="仿宋_GB2312" w:hAnsi="仿宋_GB2312" w:eastAsia="仿宋_GB2312" w:cs="仿宋_GB2312"/>
          <w:color w:val="auto"/>
          <w:sz w:val="32"/>
          <w:szCs w:val="32"/>
          <w:lang w:val="zh-TW" w:eastAsia="zh-TW" w:bidi="en-US"/>
        </w:rPr>
        <w:t>类标准限值。</w:t>
      </w:r>
    </w:p>
    <w:p>
      <w:pPr>
        <w:keepNext w:val="0"/>
        <w:keepLines w:val="0"/>
        <w:pageBreakBefore w:val="0"/>
        <w:widowControl w:val="0"/>
        <w:numPr>
          <w:ilvl w:val="0"/>
          <w:numId w:val="1"/>
        </w:numPr>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zh-TW" w:eastAsia="zh-TW" w:bidi="en-US"/>
        </w:rPr>
      </w:pPr>
      <w:r>
        <w:rPr>
          <w:rFonts w:hint="eastAsia" w:ascii="楷体" w:hAnsi="楷体" w:eastAsia="楷体" w:cs="楷体"/>
          <w:color w:val="auto"/>
          <w:sz w:val="32"/>
          <w:szCs w:val="32"/>
          <w:lang w:eastAsia="zh-CN" w:bidi="en-US"/>
        </w:rPr>
        <w:t>严格落实各项环境风险防范措施</w:t>
      </w:r>
      <w:r>
        <w:rPr>
          <w:rFonts w:hint="eastAsia" w:ascii="楷体" w:hAnsi="楷体" w:eastAsia="楷体" w:cs="楷体"/>
          <w:color w:val="auto"/>
          <w:sz w:val="32"/>
          <w:szCs w:val="32"/>
          <w:lang w:bidi="en-US"/>
        </w:rPr>
        <w:t>。</w:t>
      </w:r>
      <w:r>
        <w:rPr>
          <w:rFonts w:hint="eastAsia" w:ascii="仿宋_GB2312" w:hAnsi="仿宋_GB2312" w:eastAsia="仿宋_GB2312" w:cs="仿宋_GB2312"/>
          <w:color w:val="auto"/>
          <w:sz w:val="32"/>
          <w:szCs w:val="32"/>
          <w:highlight w:val="none"/>
        </w:rPr>
        <w:t>严格落实各项风险防范措施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制定突发环境事件应急预案并定期开展应急演练，配备足够的应急队伍、设备和物资。按照分类管理、分级响应、区域联动的原则，做好项目与地方政府的突发环境事件联防联控工作，不断提升区域环境风险防范能力，有效防控区域环境风险。</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楷体" w:hAnsi="楷体" w:eastAsia="楷体" w:cs="楷体"/>
          <w:color w:val="auto"/>
          <w:kern w:val="2"/>
          <w:sz w:val="32"/>
          <w:szCs w:val="32"/>
          <w:lang w:val="en-US" w:eastAsia="zh-CN" w:bidi="ar-SA"/>
        </w:rPr>
        <w:t>（六）</w:t>
      </w:r>
      <w:r>
        <w:rPr>
          <w:rFonts w:hint="eastAsia" w:ascii="楷体" w:hAnsi="楷体" w:eastAsia="楷体" w:cs="楷体"/>
          <w:color w:val="auto"/>
          <w:sz w:val="32"/>
          <w:szCs w:val="32"/>
          <w:lang w:bidi="en-US"/>
        </w:rPr>
        <w:t>严格落实运营期污染源监测计划。</w:t>
      </w:r>
      <w:r>
        <w:rPr>
          <w:rFonts w:hint="eastAsia" w:ascii="仿宋_GB2312" w:hAnsi="仿宋_GB2312" w:eastAsia="仿宋_GB2312" w:cs="仿宋_GB2312"/>
          <w:color w:val="auto"/>
          <w:sz w:val="32"/>
          <w:szCs w:val="32"/>
          <w:lang w:bidi="en-US"/>
        </w:rPr>
        <w:t>按照相关标准、规范等要求，落实报告书提出的环境管理及监测计划，</w:t>
      </w:r>
      <w:r>
        <w:rPr>
          <w:rFonts w:hint="eastAsia" w:ascii="仿宋_GB2312" w:hAnsi="仿宋_GB2312" w:eastAsia="仿宋_GB2312" w:cs="仿宋_GB2312"/>
          <w:color w:val="auto"/>
          <w:sz w:val="32"/>
          <w:szCs w:val="32"/>
          <w:lang w:val="en-US" w:eastAsia="zh-CN" w:bidi="en-US"/>
        </w:rPr>
        <w:t>加强污染监控感知端建设，</w:t>
      </w:r>
      <w:r>
        <w:rPr>
          <w:rFonts w:hint="eastAsia" w:ascii="仿宋_GB2312" w:hAnsi="仿宋_GB2312" w:eastAsia="仿宋_GB2312" w:cs="仿宋_GB2312"/>
          <w:color w:val="auto"/>
          <w:sz w:val="32"/>
          <w:szCs w:val="32"/>
          <w:lang w:bidi="en-US"/>
        </w:rPr>
        <w:t>建立运营期污染源监测管理体系，并覆盖常规污染物、特征污染物。如出现污染物超标排放情况，应立即查明原因并采取进一步污染物减排措施。</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eastAsia="zh-CN" w:bidi="en-US"/>
        </w:rPr>
        <w:t>太仆寺旗分局</w:t>
      </w:r>
      <w:r>
        <w:rPr>
          <w:rFonts w:hint="eastAsia" w:ascii="仿宋_GB2312" w:hAnsi="仿宋_GB2312" w:eastAsia="仿宋_GB2312" w:cs="仿宋_GB2312"/>
          <w:color w:val="auto"/>
          <w:sz w:val="32"/>
          <w:szCs w:val="32"/>
          <w:lang w:bidi="en-US"/>
        </w:rPr>
        <w:t>对该项目各项污染防治措施落实情况进行监督检查和管理。</w:t>
      </w:r>
    </w:p>
    <w:p>
      <w:pPr>
        <w:rPr>
          <w:rFonts w:hint="eastAsia"/>
          <w:color w:val="auto"/>
        </w:rPr>
      </w:pPr>
    </w:p>
    <w:p>
      <w:pPr>
        <w:rPr>
          <w:rFonts w:hint="eastAsia"/>
          <w:color w:val="auto"/>
        </w:rPr>
      </w:pPr>
    </w:p>
    <w:p>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ascii="仿宋" w:hAnsi="仿宋" w:eastAsia="仿宋_GB2312" w:cs="仿宋"/>
          <w:color w:val="auto"/>
          <w:highlight w:val="none"/>
          <w:lang w:val="en-US" w:eastAsia="zh-CN"/>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4</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1</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15</w:t>
      </w:r>
      <w:r>
        <w:rPr>
          <w:rFonts w:hint="eastAsia" w:ascii="仿宋_GB2312" w:hAnsi="仿宋_GB2312" w:eastAsia="仿宋_GB2312" w:cs="仿宋_GB2312"/>
          <w:color w:val="auto"/>
          <w:sz w:val="32"/>
          <w:szCs w:val="32"/>
          <w:highlight w:val="none"/>
          <w:lang w:bidi="en-US"/>
        </w:rPr>
        <w:t>日</w:t>
      </w:r>
    </w:p>
    <w:p>
      <w:pPr>
        <w:pStyle w:val="15"/>
        <w:rPr>
          <w:rFonts w:hint="eastAsia" w:ascii="仿宋" w:hAnsi="仿宋" w:eastAsia="仿宋" w:cs="仿宋"/>
          <w:color w:val="auto"/>
          <w:highlight w:val="none"/>
        </w:rPr>
      </w:pPr>
    </w:p>
    <w:p>
      <w:pPr>
        <w:rPr>
          <w:rFonts w:hint="eastAsia" w:ascii="仿宋" w:hAnsi="仿宋" w:eastAsia="仿宋" w:cs="仿宋"/>
          <w:color w:val="auto"/>
          <w:highlight w:val="none"/>
        </w:rPr>
      </w:pPr>
    </w:p>
    <w:p>
      <w:pPr>
        <w:rPr>
          <w:rFonts w:hint="eastAsia" w:ascii="仿宋" w:hAnsi="仿宋" w:eastAsia="仿宋" w:cs="仿宋"/>
          <w:color w:val="auto"/>
          <w:highlight w:val="none"/>
        </w:rPr>
      </w:pPr>
      <w:bookmarkStart w:id="1" w:name="_GoBack"/>
      <w:bookmarkEnd w:id="1"/>
    </w:p>
    <w:p>
      <w:pPr>
        <w:pStyle w:val="15"/>
        <w:keepNext w:val="0"/>
        <w:keepLines w:val="0"/>
        <w:pageBreakBefore w:val="0"/>
        <w:widowControl w:val="0"/>
        <w:kinsoku/>
        <w:wordWrap/>
        <w:overflowPunct/>
        <w:topLinePunct w:val="0"/>
        <w:bidi w:val="0"/>
        <w:snapToGrid/>
        <w:spacing w:line="500" w:lineRule="exact"/>
        <w:jc w:val="both"/>
        <w:textAlignment w:val="auto"/>
        <w:rPr>
          <w:rFonts w:hint="eastAsia" w:ascii="仿宋" w:hAnsi="仿宋" w:eastAsia="仿宋" w:cs="仿宋"/>
          <w:color w:val="auto"/>
          <w:kern w:val="2"/>
          <w:sz w:val="28"/>
          <w:szCs w:val="28"/>
          <w:highlight w:val="none"/>
          <w:lang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盟生态环境局</w:t>
      </w:r>
      <w:r>
        <w:rPr>
          <w:rFonts w:hint="eastAsia" w:ascii="仿宋" w:hAnsi="仿宋" w:eastAsia="仿宋" w:cs="仿宋"/>
          <w:color w:val="auto"/>
          <w:kern w:val="2"/>
          <w:sz w:val="28"/>
          <w:szCs w:val="28"/>
          <w:highlight w:val="none"/>
          <w:lang w:eastAsia="zh-CN" w:bidi="en-US"/>
        </w:rPr>
        <w:t>太仆寺旗分局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锡林郭勒盟生态环境局办公室              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940A54"/>
    <w:multiLevelType w:val="singleLevel"/>
    <w:tmpl w:val="4B940A54"/>
    <w:lvl w:ilvl="0" w:tentative="0">
      <w:start w:val="4"/>
      <w:numFmt w:val="chineseCounting"/>
      <w:suff w:val="nothing"/>
      <w:lvlText w:val="（%1）"/>
      <w:lvlJc w:val="left"/>
      <w:rPr>
        <w:rFonts w:hint="eastAsia" w:ascii="楷体" w:hAnsi="楷体" w:eastAsia="楷体" w:cs="楷体"/>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3C2BF5"/>
    <w:rsid w:val="04082137"/>
    <w:rsid w:val="04D60042"/>
    <w:rsid w:val="05FD1001"/>
    <w:rsid w:val="064265FE"/>
    <w:rsid w:val="065A7A8E"/>
    <w:rsid w:val="07E80A5E"/>
    <w:rsid w:val="08125FE6"/>
    <w:rsid w:val="09F707CE"/>
    <w:rsid w:val="0A055186"/>
    <w:rsid w:val="0C7A4895"/>
    <w:rsid w:val="0D6D6C1D"/>
    <w:rsid w:val="0EE27BE5"/>
    <w:rsid w:val="109F048E"/>
    <w:rsid w:val="134A4ECA"/>
    <w:rsid w:val="1B7C0676"/>
    <w:rsid w:val="1D61177E"/>
    <w:rsid w:val="1F9C573C"/>
    <w:rsid w:val="22B733D3"/>
    <w:rsid w:val="29D8150D"/>
    <w:rsid w:val="2CF929A0"/>
    <w:rsid w:val="2F1F3E8C"/>
    <w:rsid w:val="2F2B74F6"/>
    <w:rsid w:val="2F7E7F6E"/>
    <w:rsid w:val="3AD90E3C"/>
    <w:rsid w:val="3FC31BD1"/>
    <w:rsid w:val="445D3A2B"/>
    <w:rsid w:val="466622E2"/>
    <w:rsid w:val="46B26845"/>
    <w:rsid w:val="4A3B72B4"/>
    <w:rsid w:val="4CDD40CE"/>
    <w:rsid w:val="501114FC"/>
    <w:rsid w:val="56990422"/>
    <w:rsid w:val="5C1271C4"/>
    <w:rsid w:val="5FA70BB0"/>
    <w:rsid w:val="617526E2"/>
    <w:rsid w:val="640E5DD6"/>
    <w:rsid w:val="65980358"/>
    <w:rsid w:val="67927E4C"/>
    <w:rsid w:val="68387D94"/>
    <w:rsid w:val="69CC12A6"/>
    <w:rsid w:val="6E1A4AAF"/>
    <w:rsid w:val="6FD159E5"/>
    <w:rsid w:val="6FEE6D0C"/>
    <w:rsid w:val="70EA0941"/>
    <w:rsid w:val="77A04D8F"/>
    <w:rsid w:val="78CC1696"/>
    <w:rsid w:val="795254DD"/>
    <w:rsid w:val="7CE53CE8"/>
    <w:rsid w:val="7E5356DB"/>
    <w:rsid w:val="7F6C2C5A"/>
    <w:rsid w:val="7FD6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autoRedefine/>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rPr>
      <w:rFonts w:ascii="Times New Roman" w:hAnsi="Times New Roman" w:eastAsia="宋体"/>
      <w:szCs w:val="24"/>
    </w:rPr>
  </w:style>
  <w:style w:type="paragraph" w:styleId="4">
    <w:name w:val="annotation text"/>
    <w:basedOn w:val="1"/>
    <w:link w:val="23"/>
    <w:autoRedefine/>
    <w:semiHidden/>
    <w:unhideWhenUsed/>
    <w:qFormat/>
    <w:uiPriority w:val="99"/>
    <w:pPr>
      <w:jc w:val="left"/>
    </w:p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39"/>
    <w:pPr>
      <w:tabs>
        <w:tab w:val="left" w:pos="284"/>
        <w:tab w:val="right" w:leader="dot" w:pos="8296"/>
      </w:tabs>
    </w:pPr>
  </w:style>
  <w:style w:type="paragraph" w:styleId="9">
    <w:name w:val="annotation subject"/>
    <w:basedOn w:val="4"/>
    <w:next w:val="4"/>
    <w:link w:val="24"/>
    <w:semiHidden/>
    <w:unhideWhenUsed/>
    <w:qFormat/>
    <w:uiPriority w:val="99"/>
    <w:rPr>
      <w:b/>
      <w:bCs/>
    </w:rPr>
  </w:style>
  <w:style w:type="paragraph" w:styleId="10">
    <w:name w:val="Body Text First Indent 2"/>
    <w:basedOn w:val="5"/>
    <w:next w:val="1"/>
    <w:autoRedefine/>
    <w:qFormat/>
    <w:uiPriority w:val="0"/>
    <w:pPr>
      <w:adjustRightInd w:val="0"/>
      <w:ind w:firstLine="420"/>
      <w:textAlignment w:val="baseline"/>
    </w:pPr>
    <w:rPr>
      <w:rFonts w:ascii="宋体" w:hAnsi="宋体"/>
      <w:sz w:val="18"/>
      <w:szCs w:val="18"/>
    </w:r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semiHidden/>
    <w:unhideWhenUsed/>
    <w:qFormat/>
    <w:uiPriority w:val="99"/>
    <w:rPr>
      <w:sz w:val="21"/>
      <w:szCs w:val="21"/>
    </w:rPr>
  </w:style>
  <w:style w:type="paragraph" w:customStyle="1" w:styleId="15">
    <w:name w:val="Default"/>
    <w:basedOn w:val="1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纯文本1"/>
    <w:basedOn w:val="1"/>
    <w:autoRedefine/>
    <w:qFormat/>
    <w:uiPriority w:val="0"/>
    <w:rPr>
      <w:rFonts w:ascii="宋体" w:hAnsi="Courier New"/>
      <w:szCs w:val="20"/>
    </w:rPr>
  </w:style>
  <w:style w:type="paragraph" w:customStyle="1" w:styleId="17">
    <w:name w:val="正文1"/>
    <w:basedOn w:val="15"/>
    <w:next w:val="1"/>
    <w:qFormat/>
    <w:uiPriority w:val="0"/>
    <w:pPr>
      <w:tabs>
        <w:tab w:val="left" w:pos="0"/>
        <w:tab w:val="left" w:pos="7012"/>
      </w:tabs>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8">
    <w:name w:val="未处理的提及1"/>
    <w:basedOn w:val="12"/>
    <w:autoRedefine/>
    <w:semiHidden/>
    <w:unhideWhenUsed/>
    <w:qFormat/>
    <w:uiPriority w:val="99"/>
    <w:rPr>
      <w:color w:val="605E5C"/>
      <w:shd w:val="clear" w:color="auto" w:fill="E1DFDD"/>
    </w:rPr>
  </w:style>
  <w:style w:type="character" w:customStyle="1" w:styleId="19">
    <w:name w:val="页眉 字符"/>
    <w:basedOn w:val="12"/>
    <w:link w:val="7"/>
    <w:autoRedefine/>
    <w:qFormat/>
    <w:uiPriority w:val="99"/>
    <w:rPr>
      <w:kern w:val="2"/>
      <w:sz w:val="18"/>
      <w:szCs w:val="18"/>
    </w:rPr>
  </w:style>
  <w:style w:type="paragraph" w:customStyle="1" w:styleId="20">
    <w:name w:val="表文"/>
    <w:basedOn w:val="1"/>
    <w:autoRedefine/>
    <w:qFormat/>
    <w:uiPriority w:val="0"/>
    <w:pPr>
      <w:overflowPunct w:val="0"/>
      <w:spacing w:line="440" w:lineRule="exact"/>
      <w:jc w:val="center"/>
      <w:textAlignment w:val="baseline"/>
    </w:pPr>
    <w:rPr>
      <w:rFonts w:ascii="Arial" w:hAnsi="Arial" w:eastAsia="宋体" w:cs="Times New Roman"/>
      <w:szCs w:val="20"/>
    </w:rPr>
  </w:style>
  <w:style w:type="paragraph" w:customStyle="1" w:styleId="21">
    <w:name w:val="样式 (符号) 宋体 小四 行距: 1.5 倍行距"/>
    <w:basedOn w:val="1"/>
    <w:autoRedefine/>
    <w:qFormat/>
    <w:uiPriority w:val="0"/>
    <w:pPr>
      <w:spacing w:line="360" w:lineRule="auto"/>
      <w:ind w:firstLine="200" w:firstLineChars="200"/>
    </w:pPr>
    <w:rPr>
      <w:rFonts w:ascii="Times New Roman" w:hAnsi="Times New Roman" w:eastAsia="宋体" w:cs="宋体"/>
      <w:sz w:val="24"/>
      <w:szCs w:val="24"/>
    </w:rPr>
  </w:style>
  <w:style w:type="paragraph" w:styleId="22">
    <w:name w:val="List Paragraph"/>
    <w:basedOn w:val="1"/>
    <w:autoRedefine/>
    <w:qFormat/>
    <w:uiPriority w:val="99"/>
    <w:pPr>
      <w:ind w:firstLine="420" w:firstLineChars="200"/>
    </w:pPr>
  </w:style>
  <w:style w:type="character" w:customStyle="1" w:styleId="23">
    <w:name w:val="批注文字 字符"/>
    <w:basedOn w:val="12"/>
    <w:link w:val="4"/>
    <w:autoRedefine/>
    <w:semiHidden/>
    <w:qFormat/>
    <w:uiPriority w:val="99"/>
    <w:rPr>
      <w:kern w:val="2"/>
      <w:sz w:val="21"/>
      <w:szCs w:val="22"/>
    </w:rPr>
  </w:style>
  <w:style w:type="character" w:customStyle="1" w:styleId="24">
    <w:name w:val="批注主题 字符"/>
    <w:basedOn w:val="23"/>
    <w:link w:val="9"/>
    <w:autoRedefine/>
    <w:semiHidden/>
    <w:qFormat/>
    <w:uiPriority w:val="99"/>
    <w:rPr>
      <w:b/>
      <w:bCs/>
      <w:kern w:val="2"/>
      <w:sz w:val="21"/>
      <w:szCs w:val="22"/>
    </w:rPr>
  </w:style>
  <w:style w:type="paragraph" w:customStyle="1" w:styleId="25">
    <w:name w:val="高-正文"/>
    <w:basedOn w:val="1"/>
    <w:autoRedefine/>
    <w:qFormat/>
    <w:uiPriority w:val="0"/>
    <w:pPr>
      <w:topLinePunct/>
      <w:adjustRightInd w:val="0"/>
      <w:snapToGrid w:val="0"/>
      <w:spacing w:line="480" w:lineRule="exact"/>
      <w:ind w:firstLine="6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1769</Words>
  <Characters>1931</Characters>
  <Lines>19</Lines>
  <Paragraphs>5</Paragraphs>
  <TotalTime>18</TotalTime>
  <ScaleCrop>false</ScaleCrop>
  <LinksUpToDate>false</LinksUpToDate>
  <CharactersWithSpaces>1945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2023-01-30T09:32:00Z</dcterms:created>
  <dc:creator>hui hui</dc:creator>
  <cp:lastModifiedBy>zilchs</cp:lastModifiedBy>
  <cp:lastPrinted>2023-01-30T09:39:00Z</cp:lastPrinted>
  <dcterms:modified xsi:type="dcterms:W3CDTF">2024-01-15T07:40:11Z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3756DD9593EC4225BBDBAAA3CB0E4682</vt:lpwstr>
  </property>
</Properties>
</file>