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firstLine="0" w:firstLineChars="0"/>
        <w:rPr>
          <w:rFonts w:hint="default" w:ascii="Times New Roman" w:hAnsi="Times New Roman" w:cs="Times New Roman"/>
          <w:color w:val="auto"/>
          <w:highlight w:val="yellow"/>
        </w:rPr>
      </w:pPr>
    </w:p>
    <w:p>
      <w:pPr>
        <w:pStyle w:val="10"/>
        <w:snapToGrid w:val="0"/>
        <w:spacing w:line="560" w:lineRule="exact"/>
        <w:ind w:firstLine="640"/>
        <w:rPr>
          <w:rFonts w:hint="default" w:ascii="Times New Roman" w:hAnsi="Times New Roman" w:cs="Times New Roman"/>
          <w:color w:val="auto"/>
          <w:highlight w:val="yellow"/>
        </w:rPr>
      </w:pPr>
    </w:p>
    <w:p>
      <w:pPr>
        <w:snapToGrid w:val="0"/>
        <w:spacing w:line="560" w:lineRule="exact"/>
        <w:rPr>
          <w:rFonts w:hint="default" w:ascii="Times New Roman" w:hAnsi="Times New Roman" w:cs="Times New Roman"/>
          <w:color w:val="auto"/>
          <w:highlight w:val="yellow"/>
        </w:rPr>
      </w:pPr>
    </w:p>
    <w:p>
      <w:pPr>
        <w:snapToGrid w:val="0"/>
        <w:spacing w:line="560" w:lineRule="exact"/>
        <w:rPr>
          <w:rFonts w:hint="default" w:ascii="Times New Roman" w:hAnsi="Times New Roman" w:cs="Times New Roman"/>
          <w:color w:val="auto"/>
          <w:highlight w:val="yellow"/>
        </w:rPr>
      </w:pPr>
    </w:p>
    <w:p>
      <w:pPr>
        <w:snapToGrid w:val="0"/>
        <w:spacing w:line="560" w:lineRule="exact"/>
        <w:rPr>
          <w:rFonts w:hint="default" w:ascii="Times New Roman" w:hAnsi="Times New Roman" w:cs="Times New Roman"/>
          <w:color w:val="auto"/>
          <w:highlight w:val="yellow"/>
        </w:rPr>
      </w:pPr>
    </w:p>
    <w:p>
      <w:pPr>
        <w:snapToGrid w:val="0"/>
        <w:spacing w:line="560" w:lineRule="exact"/>
        <w:rPr>
          <w:rFonts w:hint="default" w:ascii="Times New Roman" w:hAnsi="Times New Roman" w:cs="Times New Roman"/>
          <w:color w:val="auto"/>
          <w:highlight w:val="yellow"/>
        </w:rPr>
      </w:pPr>
    </w:p>
    <w:p>
      <w:pPr>
        <w:snapToGrid w:val="0"/>
        <w:spacing w:line="560" w:lineRule="exact"/>
        <w:ind w:firstLine="0" w:firstLineChars="0"/>
        <w:rPr>
          <w:rFonts w:hint="default" w:ascii="Times New Roman" w:hAnsi="Times New Roman" w:cs="Times New Roman"/>
          <w:color w:val="auto"/>
          <w:highlight w:val="yellow"/>
        </w:rPr>
      </w:pPr>
    </w:p>
    <w:p>
      <w:pPr>
        <w:pStyle w:val="11"/>
        <w:ind w:firstLine="480"/>
        <w:rPr>
          <w:rFonts w:hint="default" w:ascii="Times New Roman" w:hAnsi="Times New Roman" w:cs="Times New Roman"/>
          <w:color w:val="auto"/>
          <w:highlight w:val="yellow"/>
        </w:rPr>
      </w:pPr>
    </w:p>
    <w:p>
      <w:pPr>
        <w:snapToGrid w:val="0"/>
        <w:spacing w:line="560" w:lineRule="exact"/>
        <w:rPr>
          <w:rFonts w:hint="default" w:ascii="Times New Roman" w:hAnsi="Times New Roman" w:cs="Times New Roman"/>
          <w:color w:val="auto"/>
          <w:highlight w:val="none"/>
        </w:rPr>
      </w:pPr>
    </w:p>
    <w:p>
      <w:pPr>
        <w:snapToGrid w:val="0"/>
        <w:spacing w:line="560" w:lineRule="exact"/>
        <w:rPr>
          <w:rFonts w:hint="default" w:ascii="Times New Roman" w:hAnsi="Times New Roman" w:cs="Times New Roman"/>
          <w:color w:val="auto"/>
          <w:highlight w:val="none"/>
        </w:rPr>
      </w:pPr>
    </w:p>
    <w:p>
      <w:pPr>
        <w:snapToGrid w:val="0"/>
        <w:spacing w:line="560" w:lineRule="exact"/>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锡署环审书〔202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号</w:t>
      </w:r>
    </w:p>
    <w:p>
      <w:pPr>
        <w:pStyle w:val="11"/>
        <w:ind w:firstLine="480"/>
        <w:rPr>
          <w:rFonts w:hint="default" w:ascii="Times New Roman" w:hAnsi="Times New Roman" w:cs="Times New Roman"/>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锡林郭勒盟生态环境局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sz w:val="44"/>
          <w:szCs w:val="44"/>
          <w:lang w:val="en-US" w:eastAsia="zh-CN"/>
        </w:rPr>
        <w:t>关于</w:t>
      </w:r>
      <w:r>
        <w:rPr>
          <w:rFonts w:hint="eastAsia" w:ascii="方正小标宋简体" w:hAnsi="方正小标宋简体" w:eastAsia="方正小标宋简体" w:cs="方正小标宋简体"/>
          <w:b w:val="0"/>
          <w:bCs w:val="0"/>
          <w:color w:val="auto"/>
          <w:sz w:val="44"/>
          <w:szCs w:val="44"/>
          <w:highlight w:val="none"/>
        </w:rPr>
        <w:t>锡林郭勒盟明阳新能源有限公司</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rPr>
        <w:t>年产300台套风电叶片高端制造项目</w:t>
      </w:r>
      <w:r>
        <w:rPr>
          <w:rFonts w:hint="eastAsia" w:ascii="方正小标宋简体" w:hAnsi="方正小标宋简体" w:eastAsia="方正小标宋简体" w:cs="方正小标宋简体"/>
          <w:b w:val="0"/>
          <w:bCs w:val="0"/>
          <w:color w:val="auto"/>
          <w:sz w:val="44"/>
          <w:szCs w:val="44"/>
          <w:highlight w:val="none"/>
          <w:lang w:eastAsia="zh-CN"/>
        </w:rPr>
        <w:t>环境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影响报告书的批复</w:t>
      </w:r>
    </w:p>
    <w:p>
      <w:pPr>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锡林郭勒盟明阳新能源有限公司</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你单位委托内蒙古昀雅项目管理咨询有限公司编制的《</w:t>
      </w:r>
      <w:r>
        <w:rPr>
          <w:rFonts w:hint="eastAsia" w:ascii="仿宋_GB2312" w:hAnsi="仿宋_GB2312" w:eastAsia="仿宋_GB2312" w:cs="仿宋_GB2312"/>
          <w:b w:val="0"/>
          <w:bCs w:val="0"/>
          <w:color w:val="auto"/>
          <w:sz w:val="32"/>
          <w:szCs w:val="32"/>
          <w:highlight w:val="none"/>
        </w:rPr>
        <w:t>锡林郭勒盟明阳新能源有限公司年产300台套风电叶片高端制造项目</w:t>
      </w:r>
      <w:r>
        <w:rPr>
          <w:rFonts w:hint="eastAsia" w:ascii="仿宋_GB2312" w:hAnsi="仿宋_GB2312" w:eastAsia="仿宋_GB2312" w:cs="仿宋_GB2312"/>
          <w:b w:val="0"/>
          <w:bCs w:val="0"/>
          <w:color w:val="auto"/>
          <w:sz w:val="32"/>
          <w:szCs w:val="32"/>
          <w:highlight w:val="none"/>
          <w:lang w:eastAsia="zh-CN"/>
        </w:rPr>
        <w:t>环境影响报告书</w:t>
      </w:r>
      <w:r>
        <w:rPr>
          <w:rFonts w:hint="eastAsia" w:ascii="仿宋_GB2312" w:hAnsi="仿宋_GB2312" w:eastAsia="仿宋_GB2312" w:cs="仿宋_GB2312"/>
          <w:b w:val="0"/>
          <w:bCs w:val="0"/>
          <w:color w:val="auto"/>
          <w:sz w:val="32"/>
          <w:szCs w:val="32"/>
          <w:lang w:eastAsia="zh-CN"/>
        </w:rPr>
        <w:t>》（以下简称《报告书》）收悉。经研究，批复如下：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lang w:eastAsia="zh-CN"/>
        </w:rPr>
        <w:t>项目位于内蒙古锡林郭勒盟锡林浩特市锡林大街东段</w:t>
      </w:r>
      <w:r>
        <w:rPr>
          <w:rFonts w:hint="eastAsia" w:ascii="仿宋_GB2312" w:hAnsi="仿宋_GB2312" w:eastAsia="仿宋_GB2312" w:cs="仿宋_GB2312"/>
          <w:b w:val="0"/>
          <w:bCs w:val="0"/>
          <w:color w:val="auto"/>
          <w:sz w:val="32"/>
          <w:szCs w:val="32"/>
          <w:highlight w:val="none"/>
        </w:rPr>
        <w:t>锡林郭勒盟明阳新能源有限公司</w:t>
      </w:r>
      <w:r>
        <w:rPr>
          <w:rFonts w:hint="eastAsia" w:ascii="仿宋_GB2312" w:hAnsi="仿宋_GB2312" w:eastAsia="仿宋_GB2312" w:cs="仿宋_GB2312"/>
          <w:b w:val="0"/>
          <w:bCs w:val="0"/>
          <w:color w:val="auto"/>
          <w:sz w:val="32"/>
          <w:szCs w:val="32"/>
          <w:highlight w:val="none"/>
          <w:lang w:val="en-US" w:eastAsia="zh-CN"/>
        </w:rPr>
        <w:t>院</w:t>
      </w:r>
      <w:r>
        <w:rPr>
          <w:rFonts w:hint="eastAsia" w:ascii="仿宋_GB2312" w:hAnsi="仿宋_GB2312" w:eastAsia="仿宋_GB2312" w:cs="仿宋_GB2312"/>
          <w:b w:val="0"/>
          <w:bCs w:val="0"/>
          <w:color w:val="auto"/>
          <w:sz w:val="32"/>
          <w:szCs w:val="32"/>
          <w:lang w:eastAsia="zh-CN"/>
        </w:rPr>
        <w:t>内，本期工程占地面积210305.42m</w:t>
      </w:r>
      <w:r>
        <w:rPr>
          <w:rFonts w:hint="eastAsia" w:ascii="仿宋_GB2312" w:hAnsi="仿宋_GB2312" w:eastAsia="仿宋_GB2312" w:cs="仿宋_GB2312"/>
          <w:b w:val="0"/>
          <w:bCs w:val="0"/>
          <w:color w:val="auto"/>
          <w:sz w:val="32"/>
          <w:szCs w:val="32"/>
          <w:vertAlign w:val="superscript"/>
          <w:lang w:eastAsia="zh-CN"/>
        </w:rPr>
        <w:t>2</w:t>
      </w:r>
      <w:r>
        <w:rPr>
          <w:rFonts w:hint="eastAsia" w:ascii="仿宋_GB2312" w:hAnsi="仿宋_GB2312" w:eastAsia="仿宋_GB2312" w:cs="仿宋_GB2312"/>
          <w:b w:val="0"/>
          <w:bCs w:val="0"/>
          <w:color w:val="auto"/>
          <w:sz w:val="32"/>
          <w:szCs w:val="32"/>
          <w:lang w:eastAsia="zh-CN"/>
        </w:rPr>
        <w:t>，不新增占地。项目建设性质为</w:t>
      </w:r>
      <w:bookmarkStart w:id="0" w:name="_GoBack"/>
      <w:bookmarkEnd w:id="0"/>
      <w:r>
        <w:rPr>
          <w:rFonts w:hint="eastAsia" w:ascii="仿宋_GB2312" w:hAnsi="仿宋_GB2312" w:eastAsia="仿宋_GB2312" w:cs="仿宋_GB2312"/>
          <w:b w:val="0"/>
          <w:bCs w:val="0"/>
          <w:color w:val="auto"/>
          <w:sz w:val="32"/>
          <w:szCs w:val="32"/>
          <w:lang w:eastAsia="zh-CN"/>
        </w:rPr>
        <w:t>新建，工程主要建设叶片车间</w:t>
      </w:r>
      <w:r>
        <w:rPr>
          <w:rFonts w:hint="default"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油漆厂房</w:t>
      </w:r>
      <w:r>
        <w:rPr>
          <w:rFonts w:hint="default"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库房</w:t>
      </w:r>
      <w:r>
        <w:rPr>
          <w:rFonts w:hint="default"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危险化学品库</w:t>
      </w:r>
      <w:r>
        <w:rPr>
          <w:rFonts w:hint="default"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危废暂存间</w:t>
      </w:r>
      <w:r>
        <w:rPr>
          <w:rFonts w:hint="default"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一般固废暂存间</w:t>
      </w:r>
      <w:r>
        <w:rPr>
          <w:rFonts w:hint="default"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门卫</w:t>
      </w:r>
      <w:r>
        <w:rPr>
          <w:rFonts w:hint="default" w:ascii="仿宋_GB2312" w:hAnsi="仿宋_GB2312" w:eastAsia="仿宋_GB2312" w:cs="仿宋_GB2312"/>
          <w:b w:val="0"/>
          <w:bCs w:val="0"/>
          <w:color w:val="auto"/>
          <w:sz w:val="32"/>
          <w:szCs w:val="32"/>
          <w:lang w:eastAsia="zh-CN"/>
        </w:rPr>
        <w:t>房、</w:t>
      </w:r>
      <w:r>
        <w:rPr>
          <w:rFonts w:hint="eastAsia" w:ascii="仿宋_GB2312" w:hAnsi="仿宋_GB2312" w:eastAsia="仿宋_GB2312" w:cs="仿宋_GB2312"/>
          <w:b w:val="0"/>
          <w:bCs w:val="0"/>
          <w:color w:val="auto"/>
          <w:sz w:val="32"/>
          <w:szCs w:val="32"/>
          <w:lang w:eastAsia="zh-CN"/>
        </w:rPr>
        <w:t>叶片堆场</w:t>
      </w:r>
      <w:r>
        <w:rPr>
          <w:rFonts w:hint="default"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转运场及其他发电机房</w:t>
      </w:r>
      <w:r>
        <w:rPr>
          <w:rFonts w:hint="default"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空压机房等配套及附属设施；项目建成2条叶片生产线，年生产 5</w:t>
      </w:r>
      <w:r>
        <w:rPr>
          <w:rFonts w:hint="default"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10MW 及以上陆上超长碳波混叶片300 套（台）。项目劳动定员为</w:t>
      </w:r>
      <w:r>
        <w:rPr>
          <w:rFonts w:hint="eastAsia" w:ascii="仿宋_GB2312" w:hAnsi="仿宋_GB2312" w:eastAsia="仿宋_GB2312" w:cs="仿宋_GB2312"/>
          <w:b w:val="0"/>
          <w:bCs w:val="0"/>
          <w:color w:val="auto"/>
          <w:sz w:val="32"/>
          <w:szCs w:val="32"/>
          <w:highlight w:val="none"/>
          <w:lang w:val="en-US" w:eastAsia="zh-CN"/>
        </w:rPr>
        <w:t>420</w:t>
      </w:r>
      <w:r>
        <w:rPr>
          <w:rFonts w:hint="eastAsia" w:ascii="仿宋_GB2312" w:hAnsi="仿宋_GB2312" w:eastAsia="仿宋_GB2312" w:cs="仿宋_GB2312"/>
          <w:b w:val="0"/>
          <w:bCs w:val="0"/>
          <w:color w:val="auto"/>
          <w:sz w:val="32"/>
          <w:szCs w:val="32"/>
          <w:highlight w:val="none"/>
        </w:rPr>
        <w:t>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年工作</w:t>
      </w:r>
      <w:r>
        <w:rPr>
          <w:rFonts w:hint="eastAsia" w:ascii="仿宋_GB2312" w:hAnsi="仿宋_GB2312" w:eastAsia="仿宋_GB2312" w:cs="仿宋_GB2312"/>
          <w:b w:val="0"/>
          <w:bCs w:val="0"/>
          <w:color w:val="auto"/>
          <w:sz w:val="32"/>
          <w:szCs w:val="32"/>
          <w:highlight w:val="none"/>
          <w:lang w:val="en-US" w:eastAsia="zh-CN"/>
        </w:rPr>
        <w:t>300</w:t>
      </w:r>
      <w:r>
        <w:rPr>
          <w:rFonts w:hint="eastAsia" w:ascii="仿宋_GB2312" w:hAnsi="仿宋_GB2312" w:eastAsia="仿宋_GB2312" w:cs="仿宋_GB2312"/>
          <w:b w:val="0"/>
          <w:bCs w:val="0"/>
          <w:color w:val="auto"/>
          <w:sz w:val="32"/>
          <w:szCs w:val="32"/>
          <w:highlight w:val="none"/>
        </w:rPr>
        <w:t>天，每天</w:t>
      </w:r>
      <w:r>
        <w:rPr>
          <w:rFonts w:hint="eastAsia" w:ascii="仿宋_GB2312" w:hAnsi="仿宋_GB2312" w:eastAsia="仿宋_GB2312" w:cs="仿宋_GB2312"/>
          <w:b w:val="0"/>
          <w:bCs w:val="0"/>
          <w:color w:val="auto"/>
          <w:sz w:val="32"/>
          <w:szCs w:val="32"/>
          <w:highlight w:val="none"/>
          <w:lang w:eastAsia="zh-CN"/>
        </w:rPr>
        <w:t>两</w:t>
      </w:r>
      <w:r>
        <w:rPr>
          <w:rFonts w:hint="eastAsia" w:ascii="仿宋_GB2312" w:hAnsi="仿宋_GB2312" w:eastAsia="仿宋_GB2312" w:cs="仿宋_GB2312"/>
          <w:b w:val="0"/>
          <w:bCs w:val="0"/>
          <w:color w:val="auto"/>
          <w:sz w:val="32"/>
          <w:szCs w:val="32"/>
          <w:highlight w:val="none"/>
        </w:rPr>
        <w:t>班，每班</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小时</w:t>
      </w:r>
      <w:r>
        <w:rPr>
          <w:rFonts w:hint="eastAsia" w:ascii="仿宋_GB2312" w:hAnsi="仿宋_GB2312" w:eastAsia="仿宋_GB2312" w:cs="仿宋_GB2312"/>
          <w:b w:val="0"/>
          <w:bCs w:val="0"/>
          <w:color w:val="auto"/>
          <w:sz w:val="32"/>
          <w:szCs w:val="32"/>
          <w:highlight w:val="none"/>
          <w:lang w:eastAsia="zh-CN"/>
        </w:rPr>
        <w:t>。项目</w:t>
      </w:r>
      <w:r>
        <w:rPr>
          <w:rFonts w:hint="eastAsia" w:ascii="仿宋_GB2312" w:hAnsi="仿宋_GB2312" w:eastAsia="仿宋_GB2312" w:cs="仿宋_GB2312"/>
          <w:b w:val="0"/>
          <w:bCs w:val="0"/>
          <w:color w:val="auto"/>
          <w:sz w:val="32"/>
          <w:szCs w:val="32"/>
          <w:highlight w:val="none"/>
        </w:rPr>
        <w:t>总投资</w:t>
      </w:r>
      <w:r>
        <w:rPr>
          <w:rFonts w:hint="eastAsia" w:ascii="仿宋_GB2312" w:hAnsi="仿宋_GB2312" w:eastAsia="仿宋_GB2312" w:cs="仿宋_GB2312"/>
          <w:b w:val="0"/>
          <w:bCs w:val="0"/>
          <w:color w:val="auto"/>
          <w:sz w:val="32"/>
          <w:szCs w:val="32"/>
          <w:highlight w:val="none"/>
          <w:lang w:val="en-US" w:eastAsia="zh-CN"/>
        </w:rPr>
        <w:t>8000</w:t>
      </w:r>
      <w:r>
        <w:rPr>
          <w:rFonts w:hint="eastAsia" w:ascii="仿宋_GB2312" w:hAnsi="仿宋_GB2312" w:eastAsia="仿宋_GB2312" w:cs="仿宋_GB2312"/>
          <w:b w:val="0"/>
          <w:bCs w:val="0"/>
          <w:color w:val="auto"/>
          <w:sz w:val="32"/>
          <w:szCs w:val="32"/>
          <w:highlight w:val="none"/>
        </w:rPr>
        <w:t>万元，其中环保投资为414万元，环保投资比例为5.18%</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报告书》认为，在全面落实各项生态保护和污染防治措施的前提下，项目建设对环境的不利影响能够得到一定的缓解和控制。因此，我局原则同意本项目按照《报告书》所列的建设项目性质、规模、地点和拟采取的污染防治措施及下述要求进行建设。</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项目在设计、建设和运营过程中还应做好以下工作。</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严格落实各项大气污染防治措施。</w:t>
      </w:r>
      <w:r>
        <w:rPr>
          <w:rFonts w:hint="eastAsia" w:ascii="仿宋_GB2312" w:hAnsi="仿宋_GB2312" w:eastAsia="仿宋_GB2312" w:cs="仿宋_GB2312"/>
          <w:b w:val="0"/>
          <w:bCs w:val="0"/>
          <w:color w:val="auto"/>
          <w:sz w:val="32"/>
          <w:szCs w:val="32"/>
          <w:highlight w:val="none"/>
          <w:lang w:val="en-US" w:eastAsia="zh-CN"/>
        </w:rPr>
        <w:t>该项目成型车间树脂配置、灌注固化工序、喷胶工序产生的有机废气经集气罩收集后由沸石分子筛吸附浓缩+催化燃烧装置（TA002）处理后由1根25.5m高排气筒（DA001）排放，非甲烷总烃有组织排放速率及排放浓度需满足《大气污染物综合排放标准》（GB16297-1996）表2二级标准。修型车间打孔、打磨、铣磨废气经移动式集气罩收集后，经布袋除尘器（TA003）处理后由1根25.5m排气筒（DA002）排放，颗粒物有组织排放速率及排放浓度需满足《大气污染物综合排放标准》（GB16297-1996）表2二级标准。危废暂存间有机废气和油漆厂房涂装有机废气引至1套沸石分子筛吸附浓缩+催化燃烧装置（TA004）+25.5m高的排气筒排放（DA003）。经处理后，各废气排放浓度需满足《大气污染物综合排放标准》（GB16297-1996）表2二级标准。涂刷脱模剂、合膜缝补强产生的无组织有机废气排放厂界外需满足《大气污染物综合排放标准》（GB16297-1996）二级标准，厂区内需满足《挥发性有机物无组织排放控制标准》（GB37822-2019）附录A厂区内无组织排放限值要求（以非甲烷总烃计）。拉挤梁切割粉尘经设备自带机器系统收集后，由设备自带固定式封闭除尘器（布袋除尘器）（TA001）收集处理，不外排。</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严格落实固体废物污染防治措施。</w:t>
      </w:r>
      <w:r>
        <w:rPr>
          <w:rFonts w:hint="eastAsia" w:ascii="仿宋_GB2312" w:hAnsi="仿宋_GB2312" w:eastAsia="仿宋_GB2312" w:cs="仿宋_GB2312"/>
          <w:b w:val="0"/>
          <w:bCs w:val="0"/>
          <w:color w:val="auto"/>
          <w:sz w:val="32"/>
          <w:szCs w:val="32"/>
          <w:highlight w:val="none"/>
          <w:lang w:val="en-US" w:eastAsia="zh-CN"/>
        </w:rPr>
        <w:t>废边角料、废真空辅材、除尘器收集的粉尘、一般废包装材料、灌注树脂及固化剂残余、结构胶及固化剂残余，废催化剂等一般工业固体废物，收集后暂存于一般固废暂存间，定期外售。含油漆的废物（废滚筒、抹布、漆渣废物等）、废腻子及固化剂残余、废毛刷及废刮板、废润滑油、含油废物、废沸石分子筛、沾染毒性物质废包装物等危险废物收集后分区暂存于危废暂存间，定期交由有资质单位安全处置。生活垃圾由当地环卫部门统一清运。危废暂存间的建设及设计要满足《中华人民共和国固体废物污染环境防治法》和《危险废物贮存污染控制标准》（GB18597-2023）要求。</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严格落实各项水污染防治措施。</w:t>
      </w:r>
      <w:r>
        <w:rPr>
          <w:rFonts w:hint="eastAsia" w:ascii="仿宋_GB2312" w:hAnsi="仿宋_GB2312" w:eastAsia="仿宋_GB2312" w:cs="仿宋_GB2312"/>
          <w:b w:val="0"/>
          <w:bCs w:val="0"/>
          <w:color w:val="auto"/>
          <w:sz w:val="32"/>
          <w:szCs w:val="32"/>
          <w:highlight w:val="none"/>
          <w:lang w:val="en-US" w:eastAsia="zh-CN"/>
        </w:rPr>
        <w:t>运营期废水主要为生活污水。生活污水经化粪池进行沉淀降解后由吸污车定期清运至锡林浩特市污水处理厂处理，待市政污水管网接通后排入管网，并满足《污水综合排放标准》（GB8978-1996）表4三级标准。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严格落实噪声防治措施。</w:t>
      </w:r>
      <w:r>
        <w:rPr>
          <w:rFonts w:hint="eastAsia" w:ascii="仿宋_GB2312" w:hAnsi="仿宋_GB2312" w:eastAsia="仿宋_GB2312" w:cs="仿宋_GB2312"/>
          <w:b w:val="0"/>
          <w:bCs w:val="0"/>
          <w:color w:val="auto"/>
          <w:sz w:val="32"/>
          <w:szCs w:val="32"/>
          <w:highlight w:val="none"/>
          <w:lang w:val="en-US" w:eastAsia="zh-CN"/>
        </w:rPr>
        <w:t>优先选用低噪声设备，优化高噪声设备布局，采取严格的减振、隔声等降噪措施，确保厂界噪声满足《工业企业厂界环境噪声排放标准》（GB12348-2008）中3类标准。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严格落实土壤和地下水污染防治措施。</w:t>
      </w:r>
      <w:r>
        <w:rPr>
          <w:rFonts w:hint="eastAsia" w:ascii="仿宋_GB2312" w:hAnsi="仿宋_GB2312" w:eastAsia="仿宋_GB2312" w:cs="仿宋_GB2312"/>
          <w:b w:val="0"/>
          <w:bCs w:val="0"/>
          <w:color w:val="auto"/>
          <w:sz w:val="32"/>
          <w:szCs w:val="32"/>
          <w:highlight w:val="none"/>
          <w:lang w:val="en-US" w:eastAsia="zh-CN"/>
        </w:rPr>
        <w:t>严格执行“源头控制、分区防控、污染监控、应急响应”相结合的原则。</w:t>
      </w:r>
      <w:r>
        <w:rPr>
          <w:rFonts w:hint="eastAsia" w:ascii="仿宋_GB2312" w:hAnsi="仿宋_GB2312" w:eastAsia="仿宋_GB2312" w:cs="仿宋_GB2312"/>
          <w:b w:val="0"/>
          <w:bCs w:val="0"/>
          <w:snapToGrid w:val="0"/>
          <w:color w:val="auto"/>
          <w:kern w:val="0"/>
          <w:sz w:val="32"/>
          <w:szCs w:val="32"/>
          <w:lang w:val="en-US" w:eastAsia="zh-CN"/>
        </w:rPr>
        <w:t>危险废物暂存间</w:t>
      </w:r>
      <w:r>
        <w:rPr>
          <w:rFonts w:hint="eastAsia" w:ascii="仿宋_GB2312" w:hAnsi="仿宋_GB2312" w:eastAsia="仿宋_GB2312" w:cs="仿宋_GB2312"/>
          <w:b w:val="0"/>
          <w:bCs w:val="0"/>
          <w:color w:val="auto"/>
          <w:sz w:val="32"/>
          <w:szCs w:val="32"/>
        </w:rPr>
        <w:t>、危险</w:t>
      </w:r>
      <w:r>
        <w:rPr>
          <w:rFonts w:hint="eastAsia" w:ascii="仿宋_GB2312" w:hAnsi="仿宋_GB2312" w:eastAsia="仿宋_GB2312" w:cs="仿宋_GB2312"/>
          <w:b w:val="0"/>
          <w:bCs w:val="0"/>
          <w:color w:val="auto"/>
          <w:sz w:val="32"/>
          <w:szCs w:val="32"/>
          <w:lang w:eastAsia="zh-CN"/>
        </w:rPr>
        <w:t>化学</w:t>
      </w:r>
      <w:r>
        <w:rPr>
          <w:rFonts w:hint="eastAsia" w:ascii="仿宋_GB2312" w:hAnsi="仿宋_GB2312" w:eastAsia="仿宋_GB2312" w:cs="仿宋_GB2312"/>
          <w:b w:val="0"/>
          <w:bCs w:val="0"/>
          <w:color w:val="auto"/>
          <w:sz w:val="32"/>
          <w:szCs w:val="32"/>
        </w:rPr>
        <w:t>品库</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油漆厂房为重点防渗区，其中危废暂存间的防渗设计原则上执行《危险废物贮存污染控制标准》（GB18597-2023）。</w:t>
      </w:r>
      <w:r>
        <w:rPr>
          <w:rFonts w:hint="eastAsia" w:ascii="仿宋_GB2312" w:hAnsi="仿宋_GB2312" w:eastAsia="仿宋_GB2312" w:cs="仿宋_GB2312"/>
          <w:b w:val="0"/>
          <w:bCs w:val="0"/>
          <w:color w:val="auto"/>
          <w:sz w:val="32"/>
          <w:szCs w:val="32"/>
          <w:lang w:eastAsia="zh-CN"/>
        </w:rPr>
        <w:t>需要达到《环境影响评价技术导则</w:t>
      </w:r>
      <w:r>
        <w:rPr>
          <w:rFonts w:hint="eastAsia" w:ascii="仿宋_GB2312" w:hAnsi="仿宋_GB2312" w:eastAsia="仿宋_GB2312" w:cs="仿宋_GB2312"/>
          <w:b w:val="0"/>
          <w:bCs w:val="0"/>
          <w:color w:val="auto"/>
          <w:sz w:val="32"/>
          <w:szCs w:val="32"/>
          <w:lang w:val="en-US" w:eastAsia="zh-CN"/>
        </w:rPr>
        <w:t xml:space="preserve"> 地下水环境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HJ610-2016</w:t>
      </w:r>
      <w:r>
        <w:rPr>
          <w:rFonts w:hint="eastAsia" w:ascii="仿宋_GB2312" w:hAnsi="仿宋_GB2312" w:eastAsia="仿宋_GB2312" w:cs="仿宋_GB2312"/>
          <w:b w:val="0"/>
          <w:bCs w:val="0"/>
          <w:color w:val="auto"/>
          <w:sz w:val="32"/>
          <w:szCs w:val="32"/>
          <w:lang w:eastAsia="zh-CN"/>
        </w:rPr>
        <w:t>）中分区防控中重点防渗区技术要求：等效黏土防渗层</w:t>
      </w:r>
      <w:r>
        <w:rPr>
          <w:rFonts w:hint="eastAsia" w:ascii="仿宋_GB2312" w:hAnsi="仿宋_GB2312" w:eastAsia="仿宋_GB2312" w:cs="仿宋_GB2312"/>
          <w:b w:val="0"/>
          <w:bCs w:val="0"/>
          <w:color w:val="auto"/>
          <w:sz w:val="32"/>
          <w:szCs w:val="32"/>
          <w:lang w:val="en-US" w:eastAsia="zh-CN"/>
        </w:rPr>
        <w:t>Mb≥6.0m，K≤1.0×10</w:t>
      </w:r>
      <w:r>
        <w:rPr>
          <w:rFonts w:hint="eastAsia" w:ascii="仿宋_GB2312" w:hAnsi="仿宋_GB2312" w:eastAsia="仿宋_GB2312" w:cs="仿宋_GB2312"/>
          <w:b w:val="0"/>
          <w:bCs w:val="0"/>
          <w:color w:val="auto"/>
          <w:sz w:val="32"/>
          <w:szCs w:val="32"/>
          <w:vertAlign w:val="superscript"/>
          <w:lang w:val="en-US" w:eastAsia="zh-CN"/>
        </w:rPr>
        <w:t>-7</w:t>
      </w:r>
      <w:r>
        <w:rPr>
          <w:rFonts w:hint="eastAsia" w:ascii="仿宋_GB2312" w:hAnsi="仿宋_GB2312" w:eastAsia="仿宋_GB2312" w:cs="仿宋_GB2312"/>
          <w:b w:val="0"/>
          <w:bCs w:val="0"/>
          <w:color w:val="auto"/>
          <w:sz w:val="32"/>
          <w:szCs w:val="32"/>
          <w:lang w:val="en-US" w:eastAsia="zh-CN"/>
        </w:rPr>
        <w:t>cm/s；</w:t>
      </w:r>
      <w:r>
        <w:rPr>
          <w:rFonts w:hint="eastAsia" w:ascii="仿宋_GB2312" w:hAnsi="仿宋_GB2312" w:eastAsia="仿宋_GB2312" w:cs="仿宋_GB2312"/>
          <w:b w:val="0"/>
          <w:bCs w:val="0"/>
          <w:color w:val="auto"/>
          <w:kern w:val="2"/>
          <w:sz w:val="32"/>
          <w:szCs w:val="32"/>
        </w:rPr>
        <w:t>一般固废间、隔油池、化粪池、</w:t>
      </w:r>
      <w:r>
        <w:rPr>
          <w:rFonts w:hint="eastAsia" w:ascii="仿宋_GB2312" w:hAnsi="仿宋_GB2312" w:eastAsia="仿宋_GB2312" w:cs="仿宋_GB2312"/>
          <w:b w:val="0"/>
          <w:bCs w:val="0"/>
          <w:color w:val="auto"/>
          <w:sz w:val="32"/>
          <w:szCs w:val="32"/>
        </w:rPr>
        <w:t>成型车间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修型车间</w:t>
      </w:r>
      <w:r>
        <w:rPr>
          <w:rFonts w:hint="eastAsia" w:ascii="仿宋_GB2312" w:hAnsi="仿宋_GB2312" w:eastAsia="仿宋_GB2312" w:cs="仿宋_GB2312"/>
          <w:b w:val="0"/>
          <w:bCs w:val="0"/>
          <w:snapToGrid w:val="0"/>
          <w:color w:val="auto"/>
          <w:kern w:val="0"/>
          <w:sz w:val="32"/>
          <w:szCs w:val="32"/>
          <w:lang w:val="en-US" w:eastAsia="zh-CN" w:bidi="ar"/>
        </w:rPr>
        <w:t>为</w:t>
      </w:r>
      <w:r>
        <w:rPr>
          <w:rFonts w:hint="eastAsia" w:ascii="仿宋_GB2312" w:hAnsi="仿宋_GB2312" w:eastAsia="仿宋_GB2312" w:cs="仿宋_GB2312"/>
          <w:b w:val="0"/>
          <w:bCs w:val="0"/>
          <w:color w:val="auto"/>
          <w:sz w:val="32"/>
          <w:szCs w:val="32"/>
        </w:rPr>
        <w:t>一般防渗区</w:t>
      </w:r>
      <w:r>
        <w:rPr>
          <w:rFonts w:hint="eastAsia" w:ascii="仿宋_GB2312" w:hAnsi="仿宋_GB2312" w:eastAsia="仿宋_GB2312" w:cs="仿宋_GB2312"/>
          <w:b w:val="0"/>
          <w:bCs w:val="0"/>
          <w:color w:val="auto"/>
          <w:sz w:val="32"/>
          <w:szCs w:val="32"/>
          <w:lang w:eastAsia="zh-CN"/>
        </w:rPr>
        <w:t>，需要达到《环境影响评价技术导则</w:t>
      </w:r>
      <w:r>
        <w:rPr>
          <w:rFonts w:hint="eastAsia" w:ascii="仿宋_GB2312" w:hAnsi="仿宋_GB2312" w:eastAsia="仿宋_GB2312" w:cs="仿宋_GB2312"/>
          <w:b w:val="0"/>
          <w:bCs w:val="0"/>
          <w:color w:val="auto"/>
          <w:sz w:val="32"/>
          <w:szCs w:val="32"/>
          <w:lang w:val="en-US" w:eastAsia="zh-CN"/>
        </w:rPr>
        <w:t xml:space="preserve"> 地下水环境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HJ610-2016</w:t>
      </w:r>
      <w:r>
        <w:rPr>
          <w:rFonts w:hint="eastAsia" w:ascii="仿宋_GB2312" w:hAnsi="仿宋_GB2312" w:eastAsia="仿宋_GB2312" w:cs="仿宋_GB2312"/>
          <w:b w:val="0"/>
          <w:bCs w:val="0"/>
          <w:color w:val="auto"/>
          <w:sz w:val="32"/>
          <w:szCs w:val="32"/>
          <w:lang w:eastAsia="zh-CN"/>
        </w:rPr>
        <w:t>）中分区防控中一般防渗区技术要求：等效黏土防渗层</w:t>
      </w:r>
      <w:r>
        <w:rPr>
          <w:rFonts w:hint="eastAsia" w:ascii="仿宋_GB2312" w:hAnsi="仿宋_GB2312" w:eastAsia="仿宋_GB2312" w:cs="仿宋_GB2312"/>
          <w:b w:val="0"/>
          <w:bCs w:val="0"/>
          <w:color w:val="auto"/>
          <w:sz w:val="32"/>
          <w:szCs w:val="32"/>
          <w:lang w:val="en-US" w:eastAsia="zh-CN"/>
        </w:rPr>
        <w:t>Mb≥1.5m，K≤1.0×10</w:t>
      </w:r>
      <w:r>
        <w:rPr>
          <w:rFonts w:hint="eastAsia" w:ascii="仿宋_GB2312" w:hAnsi="仿宋_GB2312" w:eastAsia="仿宋_GB2312" w:cs="仿宋_GB2312"/>
          <w:b w:val="0"/>
          <w:bCs w:val="0"/>
          <w:color w:val="auto"/>
          <w:sz w:val="32"/>
          <w:szCs w:val="32"/>
          <w:vertAlign w:val="superscript"/>
          <w:lang w:val="en-US" w:eastAsia="zh-CN"/>
        </w:rPr>
        <w:t>-7</w:t>
      </w:r>
      <w:r>
        <w:rPr>
          <w:rFonts w:hint="eastAsia" w:ascii="仿宋_GB2312" w:hAnsi="仿宋_GB2312" w:eastAsia="仿宋_GB2312" w:cs="仿宋_GB2312"/>
          <w:b w:val="0"/>
          <w:bCs w:val="0"/>
          <w:color w:val="auto"/>
          <w:sz w:val="32"/>
          <w:szCs w:val="32"/>
          <w:lang w:val="en-US" w:eastAsia="zh-CN"/>
        </w:rPr>
        <w:t>cm/s；</w:t>
      </w:r>
      <w:r>
        <w:rPr>
          <w:rFonts w:hint="eastAsia" w:ascii="仿宋_GB2312" w:hAnsi="仿宋_GB2312" w:eastAsia="仿宋_GB2312" w:cs="仿宋_GB2312"/>
          <w:b w:val="0"/>
          <w:bCs w:val="0"/>
          <w:color w:val="auto"/>
          <w:spacing w:val="-3"/>
          <w:sz w:val="32"/>
          <w:szCs w:val="32"/>
          <w:lang w:eastAsia="zh-CN"/>
        </w:rPr>
        <w:t>转运场</w:t>
      </w:r>
      <w:r>
        <w:rPr>
          <w:rFonts w:hint="eastAsia" w:ascii="仿宋_GB2312" w:hAnsi="仿宋_GB2312" w:eastAsia="仿宋_GB2312" w:cs="仿宋_GB2312"/>
          <w:b w:val="0"/>
          <w:bCs w:val="0"/>
          <w:color w:val="auto"/>
          <w:kern w:val="2"/>
          <w:sz w:val="32"/>
          <w:szCs w:val="32"/>
          <w:lang w:val="en-US" w:eastAsia="zh-CN"/>
        </w:rPr>
        <w:t>、叶片堆场、厂房办公区、门卫、厂区道路为简单防渗区</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严格落实环境风险防治措施。</w:t>
      </w:r>
      <w:r>
        <w:rPr>
          <w:rFonts w:hint="eastAsia" w:ascii="仿宋_GB2312" w:hAnsi="仿宋_GB2312" w:eastAsia="仿宋_GB2312" w:cs="仿宋_GB2312"/>
          <w:b w:val="0"/>
          <w:bCs w:val="0"/>
          <w:color w:val="auto"/>
          <w:sz w:val="32"/>
          <w:szCs w:val="32"/>
          <w:highlight w:val="none"/>
          <w:lang w:val="en-US" w:eastAsia="zh-CN"/>
        </w:rPr>
        <w:t>按照规范要求存放风险物质；加强生产过程设备的管理与维修，防止跑、冒、滴、漏现象的发生；建立完善的环境监督制度和事故应急措施，制定切实可行的环境风险应急预案，加强对风险物质运输、贮存过程和对生产工程主体装置、环保设施的运行管理；严格落实风险防范措施和应急预案，切实杜绝环境风险事故。</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严格落实运营期污染源监测计划。</w:t>
      </w:r>
      <w:r>
        <w:rPr>
          <w:rFonts w:hint="eastAsia" w:ascii="仿宋_GB2312" w:hAnsi="仿宋_GB2312" w:eastAsia="仿宋_GB2312" w:cs="仿宋_GB2312"/>
          <w:b w:val="0"/>
          <w:bCs w:val="0"/>
          <w:color w:val="auto"/>
          <w:sz w:val="32"/>
          <w:szCs w:val="32"/>
          <w:highlight w:val="none"/>
          <w:lang w:val="en-US" w:eastAsia="zh-CN"/>
        </w:rPr>
        <w:t>按照国家和地方有关规定设置规范的污染物排放口，并设立标志牌。按照相关标准、规范等要求，落实《报告书》提出的环境管理及监测计划。强化污染源与无组织排放源管理，制定自行监测方案，落实环境管理与监测计划，按规定开展自行监测和信息公开。各排气筒应按照规范要求预留永久性监测口和采样监测平台。如出现污染物超标情况，应立即查明原因并采取进一步污染物减排措施。</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建立畅通的公众参与平台。</w:t>
      </w:r>
      <w:r>
        <w:rPr>
          <w:rFonts w:hint="eastAsia" w:ascii="仿宋_GB2312" w:hAnsi="仿宋_GB2312" w:eastAsia="仿宋_GB2312" w:cs="仿宋_GB2312"/>
          <w:b w:val="0"/>
          <w:bCs w:val="0"/>
          <w:color w:val="auto"/>
          <w:sz w:val="32"/>
          <w:szCs w:val="32"/>
          <w:highlight w:val="none"/>
          <w:lang w:val="en-US" w:eastAsia="zh-CN"/>
        </w:rPr>
        <w:t>加强宣传和沟通工作，关注周边居民意见，及时解决公众担忧的环境问题，满足公众合理的环境诉求。</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建设必须严格执行配套的环境保护措施与主体工程同时设计、同时施工、同时投产使用的环境保护“三同时”制度。严格落实污染防治措施设计要求。应将优化和细化后的各项污染物防治措施及概算纳入设计以及施工等招标文件及合同，并明确责任。按规定程序实施竣工环境保护验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我局委托锡林郭勒盟生态环境局锡林浩特市分局对该项目各项污染防治措施落实情况进行监督检查和管理。</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color w:val="auto"/>
          <w:sz w:val="32"/>
          <w:szCs w:val="32"/>
          <w:lang w:val="en-US" w:eastAsia="zh-CN"/>
        </w:rPr>
      </w:pPr>
    </w:p>
    <w:p>
      <w:pPr>
        <w:pStyle w:val="9"/>
        <w:rPr>
          <w:rFonts w:hint="eastAsia"/>
          <w:lang w:val="en-US" w:eastAsia="zh-CN"/>
        </w:rPr>
      </w:pPr>
    </w:p>
    <w:p>
      <w:pPr>
        <w:pStyle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center"/>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锡林郭勒盟生态环境局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center"/>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2024年3月7日</w:t>
      </w: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rPr>
      </w:pPr>
    </w:p>
    <w:p>
      <w:pPr>
        <w:rPr>
          <w:rFonts w:hint="eastAsia" w:ascii="仿宋_GB2312" w:hAnsi="仿宋_GB2312" w:eastAsia="仿宋_GB2312" w:cs="仿宋_GB2312"/>
          <w:sz w:val="32"/>
          <w:szCs w:val="32"/>
          <w:highlight w:val="none"/>
          <w:lang w:bidi="en-US"/>
        </w:rPr>
      </w:pPr>
    </w:p>
    <w:p>
      <w:pPr>
        <w:pStyle w:val="2"/>
      </w:pPr>
    </w:p>
    <w:p>
      <w:pPr>
        <w:pStyle w:val="2"/>
        <w:rPr>
          <w:highlight w:val="none"/>
        </w:rPr>
      </w:pPr>
    </w:p>
    <w:p>
      <w:pPr>
        <w:pStyle w:val="12"/>
        <w:spacing w:line="500" w:lineRule="exact"/>
        <w:rPr>
          <w:rFonts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抄送：盟生态环境综合行政执法支队，盟生态环境局</w:t>
      </w:r>
      <w:r>
        <w:rPr>
          <w:rFonts w:hint="eastAsia" w:ascii="仿宋" w:hAnsi="仿宋" w:eastAsia="仿宋" w:cs="仿宋"/>
          <w:color w:val="auto"/>
          <w:sz w:val="28"/>
          <w:szCs w:val="28"/>
          <w:highlight w:val="none"/>
          <w:lang w:val="en-US" w:eastAsia="zh-CN" w:bidi="en-US"/>
        </w:rPr>
        <w:t>锡林浩特市</w:t>
      </w:r>
      <w:r>
        <w:rPr>
          <w:rFonts w:hint="eastAsia" w:ascii="仿宋" w:hAnsi="仿宋" w:eastAsia="仿宋" w:cs="仿宋"/>
          <w:color w:val="auto"/>
          <w:sz w:val="28"/>
          <w:szCs w:val="28"/>
          <w:highlight w:val="none"/>
          <w:lang w:bidi="en-US"/>
        </w:rPr>
        <w:t>分局</w:t>
      </w:r>
    </w:p>
    <w:p>
      <w:pPr>
        <w:pBdr>
          <w:top w:val="single" w:color="auto" w:sz="4" w:space="1"/>
          <w:left w:val="none" w:color="auto" w:sz="0" w:space="4"/>
          <w:bottom w:val="single" w:color="auto" w:sz="4" w:space="1"/>
          <w:right w:val="none" w:color="auto" w:sz="0" w:space="4"/>
        </w:pBdr>
        <w:spacing w:line="500" w:lineRule="exact"/>
        <w:rPr>
          <w:rFonts w:hint="eastAsia"/>
          <w:lang w:val="en-US" w:eastAsia="zh-CN"/>
        </w:rPr>
      </w:pPr>
      <w:r>
        <w:rPr>
          <w:rFonts w:hint="eastAsia" w:ascii="仿宋" w:hAnsi="仿宋" w:eastAsia="仿宋" w:cs="仿宋"/>
          <w:sz w:val="28"/>
          <w:szCs w:val="28"/>
          <w:highlight w:val="none"/>
        </w:rPr>
        <w:t>锡林郭勒盟生态环境局办公室              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76748"/>
    <w:multiLevelType w:val="singleLevel"/>
    <w:tmpl w:val="9E976748"/>
    <w:lvl w:ilvl="0" w:tentative="0">
      <w:start w:val="1"/>
      <w:numFmt w:val="chineseCounting"/>
      <w:suff w:val="nothing"/>
      <w:lvlText w:val="%1、"/>
      <w:lvlJc w:val="left"/>
      <w:rPr>
        <w:rFonts w:hint="eastAsia"/>
      </w:rPr>
    </w:lvl>
  </w:abstractNum>
  <w:abstractNum w:abstractNumId="1">
    <w:nsid w:val="A87AE6D4"/>
    <w:multiLevelType w:val="singleLevel"/>
    <w:tmpl w:val="A87AE6D4"/>
    <w:lvl w:ilvl="0" w:tentative="0">
      <w:start w:val="1"/>
      <w:numFmt w:val="chineseCounting"/>
      <w:suff w:val="nothing"/>
      <w:lvlText w:val="（%1）"/>
      <w:lvlJc w:val="left"/>
      <w:rPr>
        <w:rFonts w:hint="eastAsia" w:ascii="楷体" w:hAnsi="楷体" w:eastAsia="楷体" w:cs="楷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ZjliNThiMThmZTZiMTZlZjM4YWI1NWNjNGNiZjYifQ=="/>
  </w:docVars>
  <w:rsids>
    <w:rsidRoot w:val="00000000"/>
    <w:rsid w:val="0813279D"/>
    <w:rsid w:val="1240072B"/>
    <w:rsid w:val="35FE1047"/>
    <w:rsid w:val="3B3B2CBA"/>
    <w:rsid w:val="4BE14FA4"/>
    <w:rsid w:val="5746432B"/>
    <w:rsid w:val="577E4D9F"/>
    <w:rsid w:val="7ECC2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autoRedefine/>
    <w:semiHidden/>
    <w:unhideWhenUsed/>
    <w:qFormat/>
    <w:uiPriority w:val="0"/>
    <w:pPr>
      <w:keepNext/>
      <w:keepLines/>
      <w:spacing w:beforeLines="0" w:beforeAutospacing="0" w:afterLines="0" w:afterAutospacing="0" w:line="360" w:lineRule="auto"/>
      <w:outlineLvl w:val="4"/>
    </w:pPr>
    <w:rPr>
      <w:rFonts w:ascii="Arial" w:hAnsi="Arial" w:eastAsia="宋体" w:cs="Arial"/>
      <w:snapToGrid w:val="0"/>
      <w:color w:val="000000"/>
      <w:kern w:val="0"/>
      <w:sz w:val="24"/>
      <w:szCs w:val="21"/>
    </w:rPr>
  </w:style>
  <w:style w:type="character" w:default="1" w:styleId="8">
    <w:name w:val="Default Paragraph Font"/>
    <w:autoRedefine/>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firstLine="420"/>
      <w:textAlignment w:val="baseline"/>
    </w:pPr>
    <w:rPr>
      <w:rFonts w:ascii="宋体" w:hAnsi="宋体"/>
      <w:sz w:val="18"/>
      <w:szCs w:val="18"/>
    </w:rPr>
  </w:style>
  <w:style w:type="paragraph" w:styleId="3">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Default1"/>
    <w:autoRedefine/>
    <w:qFormat/>
    <w:uiPriority w:val="99"/>
    <w:pPr>
      <w:widowControl w:val="0"/>
      <w:autoSpaceDE w:val="0"/>
      <w:autoSpaceDN w:val="0"/>
      <w:adjustRightInd w:val="0"/>
    </w:pPr>
    <w:rPr>
      <w:rFonts w:ascii="宋体" w:hAnsi="Times New Roman" w:eastAsia="微软雅黑" w:cs="宋体"/>
      <w:color w:val="000000"/>
      <w:sz w:val="24"/>
      <w:szCs w:val="24"/>
      <w:lang w:val="en-US" w:eastAsia="zh-CN" w:bidi="ar-SA"/>
    </w:rPr>
  </w:style>
  <w:style w:type="paragraph" w:customStyle="1" w:styleId="10">
    <w:name w:val="[1]正文"/>
    <w:basedOn w:val="1"/>
    <w:autoRedefine/>
    <w:qFormat/>
    <w:uiPriority w:val="0"/>
    <w:pPr>
      <w:autoSpaceDE w:val="0"/>
      <w:autoSpaceDN w:val="0"/>
      <w:ind w:left="0" w:leftChars="0" w:firstLine="200" w:firstLineChars="200"/>
    </w:pPr>
    <w:rPr>
      <w:rFonts w:ascii="Times New Roman" w:hAnsi="Times New Roman" w:eastAsia="宋体" w:cs="Times New Roman"/>
      <w:color w:val="000000"/>
      <w:kern w:val="0"/>
      <w:szCs w:val="24"/>
      <w:lang w:val="zh-CN"/>
    </w:rPr>
  </w:style>
  <w:style w:type="paragraph" w:customStyle="1" w:styleId="11">
    <w:name w:val="报告书正文"/>
    <w:basedOn w:val="1"/>
    <w:autoRedefine/>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12">
    <w:name w:val="Default"/>
    <w:basedOn w:val="13"/>
    <w:next w:val="1"/>
    <w:autoRedefine/>
    <w:qFormat/>
    <w:uiPriority w:val="0"/>
    <w:pPr>
      <w:autoSpaceDE w:val="0"/>
      <w:autoSpaceDN w:val="0"/>
      <w:adjustRightInd w:val="0"/>
    </w:pPr>
    <w:rPr>
      <w:rFonts w:hAnsi="Times New Roman" w:eastAsia="宋体" w:cs="宋体"/>
      <w:color w:val="000000"/>
      <w:sz w:val="24"/>
      <w:szCs w:val="24"/>
    </w:rPr>
  </w:style>
  <w:style w:type="paragraph" w:customStyle="1" w:styleId="13">
    <w:name w:val="纯文本1"/>
    <w:basedOn w:val="1"/>
    <w:autoRedefine/>
    <w:qFormat/>
    <w:uiPriority w:val="0"/>
    <w:rPr>
      <w:rFonts w:ascii="宋体" w:hAnsi="Courier New"/>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2023-10-25T01:09:00Z</dcterms:created>
  <dc:creator>Administrator</dc:creator>
  <cp:lastModifiedBy>zilchs</cp:lastModifiedBy>
  <dcterms:modified xsi:type="dcterms:W3CDTF">2024-03-11T01:43:06Z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12C0F7D125D640A28745AC643112937F_12</vt:lpwstr>
  </property>
</Properties>
</file>