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b/>
          <w:bCs/>
          <w:sz w:val="32"/>
          <w:szCs w:val="32"/>
        </w:rPr>
      </w:pPr>
      <w:bookmarkStart w:id="0" w:name="_Hlk124747957"/>
    </w:p>
    <w:p>
      <w:pPr>
        <w:adjustRightInd w:val="0"/>
        <w:snapToGrid w:val="0"/>
        <w:spacing w:line="360" w:lineRule="auto"/>
        <w:jc w:val="center"/>
        <w:rPr>
          <w:b/>
          <w:bCs/>
          <w:sz w:val="32"/>
          <w:szCs w:val="32"/>
        </w:rPr>
      </w:pPr>
    </w:p>
    <w:p>
      <w:pPr>
        <w:pStyle w:val="3"/>
        <w:rPr>
          <w:b/>
          <w:bCs/>
          <w:sz w:val="32"/>
          <w:szCs w:val="32"/>
        </w:rPr>
      </w:pPr>
    </w:p>
    <w:p>
      <w:pPr>
        <w:rPr>
          <w:b/>
          <w:bCs/>
          <w:sz w:val="32"/>
          <w:szCs w:val="32"/>
        </w:rPr>
      </w:pPr>
    </w:p>
    <w:p>
      <w:pPr>
        <w:pStyle w:val="3"/>
        <w:rPr>
          <w:b/>
          <w:bCs/>
          <w:sz w:val="32"/>
          <w:szCs w:val="32"/>
        </w:rPr>
      </w:pPr>
    </w:p>
    <w:p>
      <w:pPr>
        <w:rPr>
          <w:b/>
          <w:bCs/>
          <w:sz w:val="32"/>
          <w:szCs w:val="32"/>
        </w:rPr>
      </w:pPr>
    </w:p>
    <w:p>
      <w:pPr>
        <w:pStyle w:val="3"/>
        <w:rPr>
          <w:b/>
          <w:bCs/>
          <w:sz w:val="32"/>
          <w:szCs w:val="32"/>
        </w:rPr>
      </w:pPr>
    </w:p>
    <w:p/>
    <w:p>
      <w:pPr>
        <w:pStyle w:val="3"/>
      </w:pPr>
    </w:p>
    <w:p/>
    <w:p>
      <w:pPr>
        <w:autoSpaceDE w:val="0"/>
        <w:autoSpaceDN w:val="0"/>
        <w:adjustRightInd w:val="0"/>
        <w:snapToGrid w:val="0"/>
        <w:spacing w:line="560" w:lineRule="exact"/>
        <w:jc w:val="center"/>
        <w:rPr>
          <w:rFonts w:ascii="仿宋_GB2312" w:hAnsi="Times New Roman" w:eastAsia="仿宋_GB2312" w:cs="Arial"/>
          <w:color w:val="auto"/>
          <w:sz w:val="32"/>
          <w:szCs w:val="32"/>
          <w:lang w:bidi="en-US"/>
        </w:rPr>
      </w:pPr>
      <w:bookmarkStart w:id="1" w:name="_GoBack"/>
      <w:r>
        <w:rPr>
          <w:rFonts w:hint="eastAsia" w:ascii="仿宋_GB2312" w:hAnsi="Times New Roman" w:eastAsia="仿宋_GB2312" w:cs="Arial"/>
          <w:color w:val="auto"/>
          <w:sz w:val="32"/>
          <w:szCs w:val="32"/>
          <w:lang w:bidi="en-US"/>
        </w:rPr>
        <w:t>锡署环审书〔202</w:t>
      </w:r>
      <w:r>
        <w:rPr>
          <w:rFonts w:hint="eastAsia" w:ascii="仿宋_GB2312" w:hAnsi="Times New Roman" w:eastAsia="仿宋_GB2312" w:cs="Arial"/>
          <w:color w:val="auto"/>
          <w:sz w:val="32"/>
          <w:szCs w:val="32"/>
          <w:lang w:val="en-US" w:eastAsia="zh-CN" w:bidi="en-US"/>
        </w:rPr>
        <w:t>4</w:t>
      </w:r>
      <w:r>
        <w:rPr>
          <w:rFonts w:hint="eastAsia" w:ascii="仿宋_GB2312" w:hAnsi="Times New Roman" w:eastAsia="仿宋_GB2312" w:cs="Arial"/>
          <w:color w:val="auto"/>
          <w:sz w:val="32"/>
          <w:szCs w:val="32"/>
          <w:lang w:bidi="en-US"/>
        </w:rPr>
        <w:t>〕</w:t>
      </w:r>
      <w:r>
        <w:rPr>
          <w:rFonts w:hint="eastAsia" w:ascii="仿宋_GB2312" w:hAnsi="Times New Roman" w:eastAsia="仿宋_GB2312" w:cs="Arial"/>
          <w:color w:val="auto"/>
          <w:sz w:val="32"/>
          <w:szCs w:val="32"/>
          <w:lang w:val="en-US" w:eastAsia="zh-CN" w:bidi="en-US"/>
        </w:rPr>
        <w:t>13</w:t>
      </w:r>
      <w:r>
        <w:rPr>
          <w:rFonts w:hint="eastAsia" w:ascii="仿宋_GB2312" w:hAnsi="Times New Roman" w:eastAsia="仿宋_GB2312" w:cs="Arial"/>
          <w:color w:val="auto"/>
          <w:sz w:val="32"/>
          <w:szCs w:val="32"/>
          <w:lang w:bidi="en-US"/>
        </w:rPr>
        <w:t>号</w:t>
      </w:r>
    </w:p>
    <w:bookmarkEnd w:id="1"/>
    <w:p>
      <w:pPr>
        <w:adjustRightInd w:val="0"/>
        <w:snapToGrid w:val="0"/>
        <w:spacing w:line="560" w:lineRule="exact"/>
        <w:ind w:firstLine="640" w:firstLineChars="200"/>
        <w:jc w:val="center"/>
        <w:rPr>
          <w:b/>
          <w:bCs/>
          <w:sz w:val="32"/>
          <w:szCs w:val="32"/>
        </w:rPr>
      </w:pPr>
    </w:p>
    <w:p>
      <w:pPr>
        <w:widowControl/>
        <w:spacing w:line="700" w:lineRule="exact"/>
        <w:jc w:val="center"/>
        <w:textAlignment w:val="baseline"/>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锡林郭勒盟生态环境局</w:t>
      </w:r>
    </w:p>
    <w:bookmarkEnd w:id="0"/>
    <w:p>
      <w:pPr>
        <w:spacing w:line="660" w:lineRule="exact"/>
        <w:ind w:left="440" w:hanging="440" w:hangingChars="10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关于内蒙古自治区锡林郭勒盟正蓝旗</w:t>
      </w:r>
    </w:p>
    <w:p>
      <w:pPr>
        <w:spacing w:line="660" w:lineRule="exact"/>
        <w:ind w:left="440" w:hanging="440" w:hangingChars="10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上都镇餐厨垃圾及生活垃圾集中处理项目</w:t>
      </w:r>
    </w:p>
    <w:p>
      <w:pPr>
        <w:spacing w:line="660" w:lineRule="exact"/>
        <w:ind w:left="440" w:hanging="440" w:hangingChars="10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环境影响报告书的批复</w:t>
      </w:r>
    </w:p>
    <w:p>
      <w:pPr>
        <w:spacing w:line="560" w:lineRule="exact"/>
        <w:ind w:firstLine="420" w:firstLineChars="200"/>
      </w:pPr>
    </w:p>
    <w:p>
      <w:pPr>
        <w:keepNext w:val="0"/>
        <w:keepLines w:val="0"/>
        <w:pageBreakBefore w:val="0"/>
        <w:kinsoku/>
        <w:wordWrap/>
        <w:overflowPunct/>
        <w:topLinePunct w:val="0"/>
        <w:autoSpaceDE w:val="0"/>
        <w:autoSpaceDN w:val="0"/>
        <w:bidi w:val="0"/>
        <w:adjustRightInd w:val="0"/>
        <w:snapToGrid w:val="0"/>
        <w:spacing w:line="480" w:lineRule="exact"/>
        <w:textAlignment w:val="auto"/>
        <w:rPr>
          <w:rFonts w:ascii="仿宋_GB2312" w:hAnsi="仿宋_GB2312" w:eastAsia="仿宋_GB2312" w:cs="仿宋_GB2312"/>
          <w:color w:val="000000"/>
          <w:sz w:val="32"/>
          <w:szCs w:val="32"/>
          <w:lang w:bidi="en-US"/>
        </w:rPr>
      </w:pPr>
      <w:r>
        <w:rPr>
          <w:rFonts w:hint="eastAsia" w:ascii="仿宋_GB2312" w:hAnsi="仿宋_GB2312" w:eastAsia="仿宋_GB2312" w:cs="仿宋_GB2312"/>
          <w:color w:val="000000"/>
          <w:sz w:val="32"/>
          <w:szCs w:val="32"/>
          <w:lang w:bidi="en-US"/>
        </w:rPr>
        <w:t>正蓝旗住房和城乡建设局：</w:t>
      </w:r>
    </w:p>
    <w:p>
      <w:pPr>
        <w:keepNext w:val="0"/>
        <w:keepLines w:val="0"/>
        <w:pageBreakBefore w:val="0"/>
        <w:kinsoku/>
        <w:wordWrap/>
        <w:overflowPunct/>
        <w:topLinePunct w:val="0"/>
        <w:autoSpaceDE w:val="0"/>
        <w:autoSpaceDN w:val="0"/>
        <w:bidi w:val="0"/>
        <w:adjustRightInd w:val="0"/>
        <w:snapToGrid w:val="0"/>
        <w:spacing w:line="480" w:lineRule="exact"/>
        <w:ind w:firstLine="640" w:firstLineChars="200"/>
        <w:textAlignment w:val="auto"/>
        <w:rPr>
          <w:rFonts w:ascii="仿宋_GB2312" w:hAnsi="仿宋_GB2312" w:eastAsia="仿宋_GB2312" w:cs="仿宋_GB2312"/>
          <w:color w:val="000000"/>
          <w:sz w:val="32"/>
          <w:szCs w:val="32"/>
          <w:lang w:bidi="en-US"/>
        </w:rPr>
      </w:pPr>
      <w:r>
        <w:rPr>
          <w:rFonts w:hint="eastAsia" w:ascii="仿宋_GB2312" w:hAnsi="仿宋_GB2312" w:eastAsia="仿宋_GB2312" w:cs="仿宋_GB2312"/>
          <w:color w:val="000000"/>
          <w:sz w:val="32"/>
          <w:szCs w:val="32"/>
          <w:lang w:bidi="en-US"/>
        </w:rPr>
        <w:t>你单位委托</w:t>
      </w:r>
      <w:r>
        <w:rPr>
          <w:rFonts w:ascii="Times New Roman" w:hAnsi="Times New Roman" w:eastAsia="仿宋_GB2312" w:cs="Times New Roman"/>
          <w:sz w:val="32"/>
          <w:szCs w:val="32"/>
        </w:rPr>
        <w:t>内蒙古致远方略工程咨询有限公司</w:t>
      </w:r>
      <w:r>
        <w:rPr>
          <w:rFonts w:hint="eastAsia" w:ascii="Times New Roman" w:hAnsi="Times New Roman" w:eastAsia="仿宋_GB2312" w:cs="Times New Roman"/>
          <w:sz w:val="32"/>
          <w:szCs w:val="32"/>
        </w:rPr>
        <w:t>编制</w:t>
      </w:r>
      <w:r>
        <w:rPr>
          <w:rFonts w:hint="eastAsia" w:ascii="仿宋_GB2312" w:hAnsi="仿宋_GB2312" w:eastAsia="仿宋_GB2312" w:cs="仿宋_GB2312"/>
          <w:color w:val="000000"/>
          <w:sz w:val="32"/>
          <w:szCs w:val="32"/>
          <w:lang w:bidi="en-US"/>
        </w:rPr>
        <w:t>的《内蒙古自治区锡林郭勒盟正蓝旗上都镇餐厨垃圾及生活垃圾集中处理项目环境影响报告书》</w:t>
      </w:r>
      <w:r>
        <w:rPr>
          <w:rFonts w:ascii="仿宋_GB2312" w:hAnsi="仿宋_GB2312" w:eastAsia="仿宋_GB2312" w:cs="仿宋_GB2312"/>
          <w:color w:val="000000"/>
          <w:sz w:val="32"/>
          <w:szCs w:val="32"/>
          <w:lang w:bidi="en-US"/>
        </w:rPr>
        <w:t>（</w:t>
      </w:r>
      <w:r>
        <w:rPr>
          <w:rFonts w:hint="eastAsia" w:ascii="仿宋_GB2312" w:hAnsi="仿宋_GB2312" w:eastAsia="仿宋_GB2312" w:cs="仿宋_GB2312"/>
          <w:color w:val="000000"/>
          <w:sz w:val="32"/>
          <w:szCs w:val="32"/>
          <w:lang w:bidi="en-US"/>
        </w:rPr>
        <w:t>以下简称《报告书》</w:t>
      </w:r>
      <w:r>
        <w:rPr>
          <w:rFonts w:ascii="仿宋_GB2312" w:hAnsi="仿宋_GB2312" w:eastAsia="仿宋_GB2312" w:cs="仿宋_GB2312"/>
          <w:color w:val="000000"/>
          <w:sz w:val="32"/>
          <w:szCs w:val="32"/>
          <w:lang w:bidi="en-US"/>
        </w:rPr>
        <w:t>）</w:t>
      </w:r>
      <w:r>
        <w:rPr>
          <w:rFonts w:hint="eastAsia" w:ascii="仿宋_GB2312" w:hAnsi="仿宋_GB2312" w:eastAsia="仿宋_GB2312" w:cs="仿宋_GB2312"/>
          <w:color w:val="000000"/>
          <w:sz w:val="32"/>
          <w:szCs w:val="32"/>
          <w:lang w:bidi="en-US"/>
        </w:rPr>
        <w:t>收悉。经研究，批复如下</w:t>
      </w:r>
      <w:r>
        <w:rPr>
          <w:rFonts w:ascii="仿宋_GB2312" w:hAnsi="仿宋_GB2312" w:eastAsia="仿宋_GB2312" w:cs="仿宋_GB2312"/>
          <w:color w:val="000000"/>
          <w:sz w:val="32"/>
          <w:szCs w:val="32"/>
          <w:lang w:bidi="en-US"/>
        </w:rPr>
        <w:t>：</w:t>
      </w:r>
    </w:p>
    <w:p>
      <w:pPr>
        <w:keepNext w:val="0"/>
        <w:keepLines w:val="0"/>
        <w:pageBreakBefore w:val="0"/>
        <w:numPr>
          <w:ilvl w:val="0"/>
          <w:numId w:val="1"/>
        </w:numPr>
        <w:kinsoku/>
        <w:wordWrap/>
        <w:overflowPunct/>
        <w:topLinePunct w:val="0"/>
        <w:autoSpaceDE w:val="0"/>
        <w:autoSpaceDN w:val="0"/>
        <w:bidi w:val="0"/>
        <w:adjustRightInd w:val="0"/>
        <w:snapToGrid w:val="0"/>
        <w:spacing w:line="480" w:lineRule="exact"/>
        <w:ind w:firstLine="640" w:firstLineChars="200"/>
        <w:textAlignment w:val="auto"/>
        <w:rPr>
          <w:rFonts w:ascii="仿宋_GB2312" w:hAnsi="仿宋_GB2312" w:eastAsia="仿宋_GB2312" w:cs="仿宋_GB2312"/>
          <w:color w:val="000000"/>
          <w:sz w:val="32"/>
          <w:szCs w:val="32"/>
          <w:lang w:bidi="en-US"/>
        </w:rPr>
      </w:pPr>
      <w:r>
        <w:rPr>
          <w:rFonts w:hint="eastAsia" w:ascii="仿宋_GB2312" w:hAnsi="仿宋_GB2312" w:eastAsia="仿宋_GB2312" w:cs="仿宋_GB2312"/>
          <w:color w:val="000000"/>
          <w:sz w:val="32"/>
          <w:szCs w:val="32"/>
          <w:lang w:bidi="en-US"/>
        </w:rPr>
        <w:t>项目位于</w:t>
      </w:r>
      <w:r>
        <w:rPr>
          <w:rFonts w:ascii="仿宋_GB2312" w:hAnsi="仿宋_GB2312" w:eastAsia="仿宋_GB2312" w:cs="仿宋_GB2312"/>
          <w:color w:val="000000"/>
          <w:sz w:val="32"/>
          <w:szCs w:val="32"/>
          <w:lang w:bidi="en-US"/>
        </w:rPr>
        <w:t>正蓝旗上都镇生活垃圾填埋场东侧</w:t>
      </w:r>
      <w:r>
        <w:rPr>
          <w:rFonts w:hint="eastAsia" w:ascii="仿宋_GB2312" w:hAnsi="仿宋_GB2312" w:eastAsia="仿宋_GB2312" w:cs="仿宋_GB2312"/>
          <w:color w:val="000000"/>
          <w:sz w:val="32"/>
          <w:szCs w:val="32"/>
          <w:lang w:bidi="en-US"/>
        </w:rPr>
        <w:t>，中心地理坐标为北纬</w:t>
      </w:r>
      <w:r>
        <w:rPr>
          <w:rFonts w:ascii="仿宋_GB2312" w:hAnsi="仿宋_GB2312" w:eastAsia="仿宋_GB2312" w:cs="仿宋_GB2312"/>
          <w:color w:val="000000"/>
          <w:sz w:val="32"/>
          <w:szCs w:val="32"/>
          <w:lang w:bidi="en-US"/>
        </w:rPr>
        <w:t>42°13'28.33"</w:t>
      </w:r>
      <w:r>
        <w:rPr>
          <w:rFonts w:hint="eastAsia" w:ascii="仿宋_GB2312" w:hAnsi="仿宋_GB2312" w:eastAsia="仿宋_GB2312" w:cs="仿宋_GB2312"/>
          <w:color w:val="000000"/>
          <w:sz w:val="32"/>
          <w:szCs w:val="32"/>
          <w:lang w:bidi="en-US"/>
        </w:rPr>
        <w:t>，东经</w:t>
      </w:r>
      <w:r>
        <w:rPr>
          <w:rFonts w:ascii="仿宋_GB2312" w:hAnsi="仿宋_GB2312" w:eastAsia="仿宋_GB2312" w:cs="仿宋_GB2312"/>
          <w:color w:val="000000"/>
          <w:sz w:val="32"/>
          <w:szCs w:val="32"/>
          <w:lang w:bidi="en-US"/>
        </w:rPr>
        <w:t>116°5'29.59"</w:t>
      </w:r>
      <w:r>
        <w:rPr>
          <w:rFonts w:hint="eastAsia" w:ascii="仿宋_GB2312" w:hAnsi="仿宋_GB2312" w:eastAsia="仿宋_GB2312" w:cs="仿宋_GB2312"/>
          <w:color w:val="000000"/>
          <w:sz w:val="32"/>
          <w:szCs w:val="32"/>
          <w:lang w:bidi="en-US"/>
        </w:rPr>
        <w:t>，</w:t>
      </w:r>
      <w:r>
        <w:rPr>
          <w:rFonts w:hint="eastAsia" w:ascii="仿宋_GB2312" w:hAnsi="仿宋_GB2312" w:eastAsia="仿宋_GB2312" w:cs="仿宋_GB2312"/>
          <w:kern w:val="0"/>
          <w:sz w:val="32"/>
          <w:szCs w:val="32"/>
          <w:lang w:bidi="ar"/>
        </w:rPr>
        <w:t>总占地面积为</w:t>
      </w:r>
      <w:r>
        <w:rPr>
          <w:rFonts w:ascii="仿宋_GB2312" w:hAnsi="仿宋_GB2312" w:eastAsia="仿宋_GB2312" w:cs="仿宋_GB2312"/>
          <w:kern w:val="0"/>
          <w:sz w:val="32"/>
          <w:szCs w:val="32"/>
          <w:lang w:bidi="ar"/>
        </w:rPr>
        <w:t>12600㎡</w:t>
      </w:r>
      <w:r>
        <w:rPr>
          <w:rFonts w:hint="eastAsia" w:ascii="仿宋_GB2312" w:hAnsi="仿宋_GB2312" w:eastAsia="仿宋_GB2312" w:cs="仿宋_GB2312"/>
          <w:kern w:val="0"/>
          <w:sz w:val="32"/>
          <w:szCs w:val="32"/>
          <w:lang w:bidi="ar"/>
        </w:rPr>
        <w:t>。</w:t>
      </w:r>
      <w:r>
        <w:rPr>
          <w:rFonts w:ascii="仿宋_GB2312" w:hAnsi="仿宋_GB2312" w:eastAsia="仿宋_GB2312" w:cs="仿宋_GB2312"/>
          <w:kern w:val="0"/>
          <w:sz w:val="32"/>
          <w:szCs w:val="32"/>
          <w:lang w:bidi="ar"/>
        </w:rPr>
        <w:t>项目采用机械炉排炉焚烧工艺，主体工程由生活垃圾焚烧系统，餐厨垃圾预处理、干污泥输送系统</w:t>
      </w:r>
      <w:r>
        <w:rPr>
          <w:rFonts w:hint="eastAsia" w:ascii="仿宋_GB2312" w:hAnsi="仿宋_GB2312" w:eastAsia="仿宋_GB2312" w:cs="仿宋_GB2312"/>
          <w:kern w:val="0"/>
          <w:sz w:val="32"/>
          <w:szCs w:val="32"/>
          <w:lang w:val="en-US" w:eastAsia="zh-CN" w:bidi="ar"/>
        </w:rPr>
        <w:t>等</w:t>
      </w:r>
      <w:r>
        <w:rPr>
          <w:rFonts w:ascii="仿宋_GB2312" w:hAnsi="仿宋_GB2312" w:eastAsia="仿宋_GB2312" w:cs="仿宋_GB2312"/>
          <w:kern w:val="0"/>
          <w:sz w:val="32"/>
          <w:szCs w:val="32"/>
          <w:lang w:bidi="ar"/>
        </w:rPr>
        <w:t>构成，</w:t>
      </w:r>
      <w:r>
        <w:rPr>
          <w:rFonts w:ascii="仿宋" w:hAnsi="仿宋" w:eastAsia="仿宋" w:cs="仿宋"/>
          <w:i w:val="0"/>
          <w:iCs w:val="0"/>
          <w:caps w:val="0"/>
          <w:color w:val="000000"/>
          <w:spacing w:val="0"/>
          <w:sz w:val="32"/>
          <w:szCs w:val="32"/>
          <w:shd w:val="clear" w:fill="FFFFFF"/>
        </w:rPr>
        <w:t>主要建设内容</w:t>
      </w:r>
      <w:r>
        <w:rPr>
          <w:rFonts w:hint="eastAsia" w:ascii="仿宋" w:hAnsi="仿宋" w:eastAsia="仿宋" w:cs="仿宋"/>
          <w:i w:val="0"/>
          <w:iCs w:val="0"/>
          <w:caps w:val="0"/>
          <w:color w:val="000000"/>
          <w:spacing w:val="0"/>
          <w:sz w:val="32"/>
          <w:szCs w:val="32"/>
          <w:shd w:val="clear" w:fill="FFFFFF"/>
          <w:lang w:val="en-US" w:eastAsia="zh-CN"/>
        </w:rPr>
        <w:t>有</w:t>
      </w:r>
      <w:r>
        <w:rPr>
          <w:rFonts w:ascii="仿宋_GB2312" w:hAnsi="仿宋_GB2312" w:eastAsia="仿宋_GB2312" w:cs="仿宋_GB2312"/>
          <w:kern w:val="0"/>
          <w:sz w:val="32"/>
          <w:szCs w:val="32"/>
          <w:lang w:bidi="ar"/>
        </w:rPr>
        <w:t>76t/d机械炉排焚烧炉</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val="en-US" w:eastAsia="zh-CN" w:bidi="ar"/>
        </w:rPr>
        <w:t>垃圾池、</w:t>
      </w:r>
      <w:r>
        <w:rPr>
          <w:rFonts w:ascii="仿宋_GB2312" w:hAnsi="仿宋_GB2312" w:eastAsia="仿宋_GB2312" w:cs="仿宋_GB2312"/>
          <w:kern w:val="0"/>
          <w:sz w:val="32"/>
          <w:szCs w:val="32"/>
          <w:lang w:bidi="ar"/>
        </w:rPr>
        <w:t>渗滤液处理</w:t>
      </w:r>
      <w:r>
        <w:rPr>
          <w:rFonts w:hint="eastAsia" w:ascii="仿宋_GB2312" w:hAnsi="仿宋_GB2312" w:eastAsia="仿宋_GB2312" w:cs="仿宋_GB2312"/>
          <w:kern w:val="0"/>
          <w:sz w:val="32"/>
          <w:szCs w:val="32"/>
          <w:lang w:val="en-US" w:eastAsia="zh-CN" w:bidi="ar"/>
        </w:rPr>
        <w:t>系统、除臭系统、烟气净化系统、</w:t>
      </w:r>
      <w:r>
        <w:rPr>
          <w:rFonts w:ascii="仿宋_GB2312" w:hAnsi="仿宋_GB2312" w:eastAsia="仿宋_GB2312" w:cs="仿宋_GB2312"/>
          <w:kern w:val="0"/>
          <w:sz w:val="32"/>
          <w:szCs w:val="32"/>
          <w:lang w:bidi="ar"/>
        </w:rPr>
        <w:t>配套厂房、管理用房及附属设施</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color w:val="000000"/>
          <w:sz w:val="32"/>
          <w:szCs w:val="32"/>
          <w:lang w:bidi="en-US"/>
        </w:rPr>
        <w:t>项目劳动定员为</w:t>
      </w:r>
      <w:r>
        <w:rPr>
          <w:rFonts w:ascii="仿宋_GB2312" w:hAnsi="仿宋_GB2312" w:eastAsia="仿宋_GB2312" w:cs="仿宋_GB2312"/>
          <w:color w:val="000000"/>
          <w:sz w:val="32"/>
          <w:szCs w:val="32"/>
          <w:lang w:bidi="en-US"/>
        </w:rPr>
        <w:t>20</w:t>
      </w:r>
      <w:r>
        <w:rPr>
          <w:rFonts w:hint="eastAsia" w:ascii="仿宋_GB2312" w:hAnsi="仿宋_GB2312" w:eastAsia="仿宋_GB2312" w:cs="仿宋_GB2312"/>
          <w:color w:val="000000"/>
          <w:sz w:val="32"/>
          <w:szCs w:val="32"/>
          <w:lang w:bidi="en-US"/>
        </w:rPr>
        <w:t>人，年工作时间</w:t>
      </w:r>
      <w:r>
        <w:rPr>
          <w:rFonts w:ascii="仿宋_GB2312" w:hAnsi="仿宋_GB2312" w:eastAsia="仿宋_GB2312" w:cs="仿宋_GB2312"/>
          <w:color w:val="000000"/>
          <w:sz w:val="32"/>
          <w:szCs w:val="32"/>
          <w:lang w:bidi="en-US"/>
        </w:rPr>
        <w:t>8000h</w:t>
      </w:r>
      <w:r>
        <w:rPr>
          <w:rFonts w:hint="eastAsia" w:ascii="仿宋_GB2312" w:hAnsi="仿宋_GB2312" w:eastAsia="仿宋_GB2312" w:cs="仿宋_GB2312"/>
          <w:color w:val="000000"/>
          <w:sz w:val="32"/>
          <w:szCs w:val="32"/>
          <w:lang w:bidi="en-US"/>
        </w:rPr>
        <w:t>。工程总投资</w:t>
      </w:r>
      <w:r>
        <w:rPr>
          <w:rFonts w:ascii="仿宋_GB2312" w:hAnsi="仿宋_GB2312" w:eastAsia="仿宋_GB2312" w:cs="仿宋_GB2312"/>
          <w:color w:val="000000"/>
          <w:sz w:val="32"/>
          <w:szCs w:val="32"/>
          <w:lang w:bidi="en-US"/>
        </w:rPr>
        <w:t>6500</w:t>
      </w:r>
      <w:r>
        <w:rPr>
          <w:rFonts w:hint="eastAsia" w:ascii="仿宋_GB2312" w:hAnsi="仿宋_GB2312" w:eastAsia="仿宋_GB2312" w:cs="仿宋_GB2312"/>
          <w:color w:val="000000"/>
          <w:sz w:val="32"/>
          <w:szCs w:val="32"/>
          <w:lang w:bidi="en-US"/>
        </w:rPr>
        <w:t>万元，其中环保投资约</w:t>
      </w:r>
      <w:r>
        <w:rPr>
          <w:rFonts w:ascii="仿宋_GB2312" w:hAnsi="仿宋_GB2312" w:eastAsia="仿宋_GB2312" w:cs="仿宋_GB2312"/>
          <w:color w:val="000000"/>
          <w:sz w:val="32"/>
          <w:szCs w:val="32"/>
          <w:lang w:bidi="en-US"/>
        </w:rPr>
        <w:t>818.5</w:t>
      </w:r>
      <w:r>
        <w:rPr>
          <w:rFonts w:hint="eastAsia" w:ascii="仿宋_GB2312" w:hAnsi="仿宋_GB2312" w:eastAsia="仿宋_GB2312" w:cs="仿宋_GB2312"/>
          <w:color w:val="000000"/>
          <w:sz w:val="32"/>
          <w:szCs w:val="32"/>
          <w:lang w:bidi="en-US"/>
        </w:rPr>
        <w:t>万元，占总投资比例</w:t>
      </w:r>
      <w:r>
        <w:rPr>
          <w:rFonts w:ascii="仿宋_GB2312" w:hAnsi="仿宋_GB2312" w:eastAsia="仿宋_GB2312" w:cs="仿宋_GB2312"/>
          <w:color w:val="000000"/>
          <w:sz w:val="32"/>
          <w:szCs w:val="32"/>
          <w:lang w:bidi="en-US"/>
        </w:rPr>
        <w:t>12.6</w:t>
      </w:r>
      <w:r>
        <w:rPr>
          <w:rFonts w:hint="eastAsia" w:ascii="仿宋_GB2312" w:hAnsi="仿宋_GB2312" w:eastAsia="仿宋_GB2312" w:cs="仿宋_GB2312"/>
          <w:color w:val="000000"/>
          <w:sz w:val="32"/>
          <w:szCs w:val="32"/>
          <w:lang w:bidi="en-US"/>
        </w:rPr>
        <w:t>%。</w:t>
      </w:r>
    </w:p>
    <w:p>
      <w:pPr>
        <w:keepNext w:val="0"/>
        <w:keepLines w:val="0"/>
        <w:pageBreakBefore w:val="0"/>
        <w:kinsoku/>
        <w:wordWrap/>
        <w:overflowPunct/>
        <w:topLinePunct w:val="0"/>
        <w:autoSpaceDE w:val="0"/>
        <w:autoSpaceDN w:val="0"/>
        <w:bidi w:val="0"/>
        <w:adjustRightInd w:val="0"/>
        <w:snapToGrid w:val="0"/>
        <w:spacing w:line="480" w:lineRule="exact"/>
        <w:ind w:firstLine="640" w:firstLineChars="200"/>
        <w:textAlignment w:val="auto"/>
        <w:rPr>
          <w:rFonts w:ascii="仿宋_GB2312" w:hAnsi="仿宋_GB2312" w:eastAsia="仿宋_GB2312" w:cs="仿宋_GB2312"/>
          <w:color w:val="000000"/>
          <w:sz w:val="32"/>
          <w:szCs w:val="32"/>
          <w:lang w:bidi="en-US"/>
        </w:rPr>
      </w:pPr>
      <w:r>
        <w:rPr>
          <w:rFonts w:hint="eastAsia" w:ascii="仿宋_GB2312" w:hAnsi="仿宋_GB2312" w:eastAsia="仿宋_GB2312" w:cs="仿宋_GB2312"/>
          <w:color w:val="000000"/>
          <w:sz w:val="32"/>
          <w:szCs w:val="32"/>
          <w:lang w:bidi="en-US"/>
        </w:rPr>
        <w:t>《报告书》认为，在全面落实各项生态保护和污染防治措施的前提下，项目建设对环境的不利影响能够得到一定的缓解和控制。因此，我局原则同意本项目按照《报告书》所列的建设项目性质、规模、地点和拟采取的污染防治措施及下述要求进行建设。</w:t>
      </w:r>
    </w:p>
    <w:p>
      <w:pPr>
        <w:keepNext w:val="0"/>
        <w:keepLines w:val="0"/>
        <w:pageBreakBefore w:val="0"/>
        <w:kinsoku/>
        <w:wordWrap/>
        <w:overflowPunct/>
        <w:topLinePunct w:val="0"/>
        <w:autoSpaceDE w:val="0"/>
        <w:autoSpaceDN w:val="0"/>
        <w:bidi w:val="0"/>
        <w:adjustRightInd w:val="0"/>
        <w:snapToGrid w:val="0"/>
        <w:spacing w:line="480" w:lineRule="exact"/>
        <w:ind w:firstLine="640" w:firstLineChars="200"/>
        <w:textAlignment w:val="auto"/>
        <w:rPr>
          <w:rFonts w:ascii="仿宋_GB2312" w:hAnsi="仿宋_GB2312" w:eastAsia="仿宋_GB2312" w:cs="仿宋_GB2312"/>
          <w:color w:val="000000"/>
          <w:sz w:val="32"/>
          <w:szCs w:val="32"/>
          <w:lang w:bidi="en-US"/>
        </w:rPr>
      </w:pPr>
      <w:r>
        <w:rPr>
          <w:rFonts w:hint="eastAsia" w:ascii="仿宋_GB2312" w:hAnsi="仿宋_GB2312" w:eastAsia="仿宋_GB2312" w:cs="仿宋_GB2312"/>
          <w:color w:val="000000"/>
          <w:sz w:val="32"/>
          <w:szCs w:val="32"/>
          <w:lang w:bidi="en-US"/>
        </w:rPr>
        <w:t>二、项目在设计、建设和运营过程中还应做好以下工作。</w:t>
      </w:r>
    </w:p>
    <w:p>
      <w:pPr>
        <w:keepNext w:val="0"/>
        <w:keepLines w:val="0"/>
        <w:pageBreakBefore w:val="0"/>
        <w:kinsoku/>
        <w:wordWrap/>
        <w:overflowPunct/>
        <w:topLinePunct w:val="0"/>
        <w:bidi w:val="0"/>
        <w:spacing w:line="480" w:lineRule="exact"/>
        <w:ind w:firstLine="640" w:firstLineChars="200"/>
        <w:textAlignment w:val="auto"/>
        <w:rPr>
          <w:rFonts w:ascii="仿宋_GB2312" w:hAnsi="仿宋_GB2312" w:eastAsia="仿宋_GB2312" w:cs="仿宋_GB2312"/>
          <w:sz w:val="32"/>
          <w:szCs w:val="32"/>
          <w:lang w:bidi="en-US"/>
        </w:rPr>
      </w:pPr>
      <w:r>
        <w:rPr>
          <w:rFonts w:hint="eastAsia" w:ascii="楷体" w:hAnsi="楷体" w:eastAsia="楷体" w:cs="楷体"/>
          <w:sz w:val="32"/>
          <w:szCs w:val="32"/>
          <w:lang w:bidi="en-US"/>
        </w:rPr>
        <w:t>（一）严格落实各项大气污染防治措施。</w:t>
      </w:r>
      <w:r>
        <w:rPr>
          <w:rFonts w:hint="eastAsia" w:ascii="仿宋_GB2312" w:hAnsi="仿宋_GB2312" w:eastAsia="仿宋_GB2312" w:cs="仿宋_GB2312"/>
          <w:sz w:val="32"/>
          <w:szCs w:val="32"/>
          <w:lang w:bidi="en-US"/>
        </w:rPr>
        <w:t>该项目焚烧炉烟气采用“</w:t>
      </w:r>
      <w:r>
        <w:rPr>
          <w:rFonts w:ascii="仿宋_GB2312" w:hAnsi="仿宋_GB2312" w:eastAsia="仿宋_GB2312" w:cs="仿宋_GB2312"/>
          <w:sz w:val="32"/>
          <w:szCs w:val="32"/>
          <w:lang w:bidi="en-US"/>
        </w:rPr>
        <w:t>SNCR炉内脱硝+</w:t>
      </w:r>
      <w:r>
        <w:rPr>
          <w:rFonts w:hint="eastAsia" w:ascii="仿宋_GB2312" w:hAnsi="仿宋_GB2312" w:eastAsia="仿宋_GB2312" w:cs="仿宋_GB2312"/>
          <w:sz w:val="32"/>
          <w:szCs w:val="32"/>
          <w:lang w:bidi="en-US"/>
        </w:rPr>
        <w:t>半干法脱酸</w:t>
      </w:r>
      <w:r>
        <w:rPr>
          <w:rFonts w:ascii="仿宋_GB2312" w:hAnsi="仿宋_GB2312" w:eastAsia="仿宋_GB2312" w:cs="仿宋_GB2312"/>
          <w:sz w:val="32"/>
          <w:szCs w:val="32"/>
          <w:lang w:bidi="en-US"/>
        </w:rPr>
        <w:t>+干法脱酸+活性炭</w:t>
      </w:r>
      <w:r>
        <w:rPr>
          <w:rFonts w:hint="eastAsia" w:ascii="仿宋_GB2312" w:hAnsi="仿宋_GB2312" w:eastAsia="仿宋_GB2312" w:cs="仿宋_GB2312"/>
          <w:sz w:val="32"/>
          <w:szCs w:val="32"/>
          <w:lang w:bidi="en-US"/>
        </w:rPr>
        <w:t>喷射</w:t>
      </w:r>
      <w:r>
        <w:rPr>
          <w:rFonts w:ascii="仿宋_GB2312" w:hAnsi="仿宋_GB2312" w:eastAsia="仿宋_GB2312" w:cs="仿宋_GB2312"/>
          <w:sz w:val="32"/>
          <w:szCs w:val="32"/>
          <w:lang w:bidi="en-US"/>
        </w:rPr>
        <w:t>+布袋除尘器</w:t>
      </w:r>
      <w:r>
        <w:rPr>
          <w:rFonts w:hint="eastAsia" w:ascii="仿宋_GB2312" w:hAnsi="仿宋_GB2312" w:eastAsia="仿宋_GB2312" w:cs="仿宋_GB2312"/>
          <w:sz w:val="32"/>
          <w:szCs w:val="32"/>
          <w:lang w:bidi="en-US"/>
        </w:rPr>
        <w:t>”处理并满足《生活垃圾焚烧污染控制标准》（GB18485-2014）后经1根45m高排气筒排放。</w:t>
      </w:r>
      <w:r>
        <w:rPr>
          <w:rFonts w:ascii="仿宋_GB2312" w:hAnsi="仿宋_GB2312" w:eastAsia="仿宋_GB2312" w:cs="仿宋_GB2312"/>
          <w:sz w:val="32"/>
          <w:szCs w:val="32"/>
          <w:lang w:bidi="en-US"/>
        </w:rPr>
        <w:t>餐厨污泥预处理</w:t>
      </w:r>
      <w:r>
        <w:rPr>
          <w:rFonts w:hint="eastAsia" w:ascii="仿宋_GB2312" w:hAnsi="仿宋_GB2312" w:eastAsia="仿宋_GB2312" w:cs="仿宋_GB2312"/>
          <w:sz w:val="32"/>
          <w:szCs w:val="32"/>
          <w:lang w:bidi="en-US"/>
        </w:rPr>
        <w:t>间</w:t>
      </w:r>
      <w:r>
        <w:rPr>
          <w:rFonts w:ascii="仿宋_GB2312" w:hAnsi="仿宋_GB2312" w:eastAsia="仿宋_GB2312" w:cs="仿宋_GB2312"/>
          <w:sz w:val="32"/>
          <w:szCs w:val="32"/>
          <w:lang w:bidi="en-US"/>
        </w:rPr>
        <w:t>、垃圾池和</w:t>
      </w:r>
      <w:r>
        <w:rPr>
          <w:rFonts w:hint="eastAsia" w:ascii="仿宋_GB2312" w:hAnsi="仿宋_GB2312" w:eastAsia="仿宋_GB2312" w:cs="仿宋_GB2312"/>
          <w:sz w:val="32"/>
          <w:szCs w:val="32"/>
          <w:lang w:bidi="en-US"/>
        </w:rPr>
        <w:t>渗滤液处理站臭气采用负压收集，臭气</w:t>
      </w:r>
      <w:r>
        <w:rPr>
          <w:rFonts w:ascii="仿宋_GB2312" w:hAnsi="仿宋_GB2312" w:eastAsia="仿宋_GB2312" w:cs="仿宋_GB2312"/>
          <w:sz w:val="32"/>
          <w:szCs w:val="32"/>
          <w:lang w:bidi="en-US"/>
        </w:rPr>
        <w:t>经</w:t>
      </w:r>
      <w:r>
        <w:rPr>
          <w:rFonts w:hint="eastAsia" w:ascii="仿宋_GB2312" w:hAnsi="仿宋_GB2312" w:eastAsia="仿宋_GB2312" w:cs="仿宋_GB2312"/>
          <w:sz w:val="32"/>
          <w:szCs w:val="32"/>
          <w:lang w:bidi="en-US"/>
        </w:rPr>
        <w:t>负压风机收集送入焚烧炉作为助燃空气。停炉检修时，臭气负压收集后经活性炭吸附处理并满足《恶臭污染物排放标准》（GB14554-1993）后经排气筒排放。卸车大厅进出口设空气幕，定期冲洗地面并喷洒除臭液。主厂房</w:t>
      </w:r>
      <w:r>
        <w:rPr>
          <w:rFonts w:ascii="仿宋_GB2312" w:hAnsi="仿宋_GB2312" w:eastAsia="仿宋_GB2312" w:cs="仿宋_GB2312"/>
          <w:sz w:val="32"/>
          <w:szCs w:val="32"/>
          <w:lang w:bidi="en-US"/>
        </w:rPr>
        <w:t>、垃圾输送系统采用全密闭设计</w:t>
      </w:r>
      <w:r>
        <w:rPr>
          <w:rFonts w:hint="eastAsia" w:ascii="仿宋_GB2312" w:hAnsi="仿宋_GB2312" w:eastAsia="仿宋_GB2312" w:cs="仿宋_GB2312"/>
          <w:sz w:val="32"/>
          <w:szCs w:val="32"/>
          <w:lang w:bidi="en-US"/>
        </w:rPr>
        <w:t>。</w:t>
      </w:r>
    </w:p>
    <w:p>
      <w:pPr>
        <w:keepNext w:val="0"/>
        <w:keepLines w:val="0"/>
        <w:pageBreakBefore w:val="0"/>
        <w:widowControl/>
        <w:kinsoku/>
        <w:wordWrap/>
        <w:overflowPunct/>
        <w:topLinePunct w:val="0"/>
        <w:bidi w:val="0"/>
        <w:spacing w:line="480" w:lineRule="exact"/>
        <w:ind w:firstLine="640" w:firstLineChars="200"/>
        <w:textAlignment w:val="auto"/>
        <w:rPr>
          <w:rFonts w:ascii="仿宋_GB2312" w:hAnsi="仿宋_GB2312" w:eastAsia="仿宋_GB2312" w:cs="仿宋_GB2312"/>
          <w:color w:val="000000"/>
          <w:sz w:val="32"/>
          <w:szCs w:val="32"/>
          <w:lang w:bidi="en-US"/>
        </w:rPr>
      </w:pPr>
      <w:r>
        <w:rPr>
          <w:rFonts w:hint="eastAsia" w:ascii="楷体" w:hAnsi="楷体" w:eastAsia="楷体" w:cs="楷体"/>
          <w:sz w:val="32"/>
          <w:szCs w:val="32"/>
          <w:lang w:bidi="en-US"/>
        </w:rPr>
        <w:t>（二）严格落实固体废物污染防治措施。</w:t>
      </w:r>
      <w:r>
        <w:rPr>
          <w:rFonts w:hint="eastAsia" w:ascii="仿宋_GB2312" w:hAnsi="仿宋_GB2312" w:eastAsia="仿宋_GB2312" w:cs="仿宋_GB2312"/>
          <w:color w:val="000000"/>
          <w:sz w:val="32"/>
          <w:szCs w:val="32"/>
          <w:highlight w:val="none"/>
          <w:lang w:val="en-US" w:eastAsia="zh-CN" w:bidi="en-US"/>
        </w:rPr>
        <w:t>飞灰经固化稳定满足《生活垃圾填埋场污染控制标准》（GB16889-2008）要求后，</w:t>
      </w:r>
      <w:r>
        <w:rPr>
          <w:rFonts w:hint="eastAsia" w:ascii="仿宋_GB2312" w:hAnsi="仿宋_GB2312" w:eastAsia="仿宋_GB2312" w:cs="仿宋_GB2312"/>
          <w:color w:val="000000"/>
          <w:sz w:val="32"/>
          <w:szCs w:val="32"/>
          <w:lang w:val="en-US" w:eastAsia="zh-CN" w:bidi="en-US"/>
        </w:rPr>
        <w:t>定期</w:t>
      </w:r>
      <w:r>
        <w:rPr>
          <w:rFonts w:ascii="仿宋_GB2312" w:hAnsi="仿宋_GB2312" w:eastAsia="仿宋_GB2312" w:cs="仿宋_GB2312"/>
          <w:color w:val="000000"/>
          <w:sz w:val="32"/>
          <w:szCs w:val="32"/>
          <w:lang w:bidi="en-US"/>
        </w:rPr>
        <w:t>拉运至紧邻的生活垃圾填埋场</w:t>
      </w:r>
      <w:r>
        <w:rPr>
          <w:rFonts w:hint="eastAsia" w:ascii="仿宋_GB2312" w:hAnsi="仿宋_GB2312" w:eastAsia="仿宋_GB2312" w:cs="仿宋_GB2312"/>
          <w:color w:val="000000"/>
          <w:sz w:val="32"/>
          <w:szCs w:val="32"/>
          <w:lang w:val="en-US" w:eastAsia="zh-CN" w:bidi="en-US"/>
        </w:rPr>
        <w:t>分区</w:t>
      </w:r>
      <w:r>
        <w:rPr>
          <w:rFonts w:ascii="仿宋_GB2312" w:hAnsi="仿宋_GB2312" w:eastAsia="仿宋_GB2312" w:cs="仿宋_GB2312"/>
          <w:color w:val="000000"/>
          <w:sz w:val="32"/>
          <w:szCs w:val="32"/>
          <w:lang w:bidi="en-US"/>
        </w:rPr>
        <w:t>填埋。生活垃圾和生化污泥焚烧炉焚烧处理。废活性炭、废布袋</w:t>
      </w:r>
      <w:r>
        <w:rPr>
          <w:rFonts w:hint="eastAsia" w:ascii="仿宋_GB2312" w:hAnsi="仿宋_GB2312" w:eastAsia="仿宋_GB2312" w:cs="仿宋_GB2312"/>
          <w:color w:val="000000"/>
          <w:sz w:val="32"/>
          <w:szCs w:val="32"/>
          <w:lang w:bidi="en-US"/>
        </w:rPr>
        <w:t>、</w:t>
      </w:r>
      <w:r>
        <w:rPr>
          <w:rFonts w:ascii="仿宋_GB2312" w:hAnsi="仿宋_GB2312" w:eastAsia="仿宋_GB2312" w:cs="仿宋_GB2312"/>
          <w:color w:val="000000"/>
          <w:sz w:val="32"/>
          <w:szCs w:val="32"/>
          <w:lang w:bidi="en-US"/>
        </w:rPr>
        <w:t>实验室废液和废耐火材料等危险废物暂存于危废库，定期交由有资质单位处理</w:t>
      </w:r>
      <w:r>
        <w:rPr>
          <w:rFonts w:hint="eastAsia" w:ascii="仿宋_GB2312" w:hAnsi="仿宋_GB2312" w:eastAsia="仿宋_GB2312" w:cs="仿宋_GB2312"/>
          <w:color w:val="000000"/>
          <w:sz w:val="32"/>
          <w:szCs w:val="32"/>
          <w:lang w:bidi="en-US"/>
        </w:rPr>
        <w:t>。</w:t>
      </w:r>
      <w:r>
        <w:rPr>
          <w:rFonts w:hint="eastAsia" w:ascii="仿宋_GB2312" w:hAnsi="仿宋_GB2312" w:eastAsia="仿宋_GB2312" w:cs="仿宋_GB2312"/>
          <w:sz w:val="32"/>
          <w:szCs w:val="32"/>
        </w:rPr>
        <w:t>危废暂存间的建设及设计要满足</w:t>
      </w:r>
      <w:r>
        <w:rPr>
          <w:rFonts w:hint="eastAsia" w:ascii="仿宋_GB2312" w:hAnsi="仿宋_GB2312" w:eastAsia="仿宋_GB2312" w:cs="仿宋_GB2312"/>
          <w:kern w:val="0"/>
          <w:sz w:val="32"/>
          <w:szCs w:val="32"/>
          <w:lang w:bidi="ar"/>
        </w:rPr>
        <w:t>《中华人民共和国固体废物污染环境防治法》和《危险废物贮存污染控制标准》（GB18597-2023）要求。</w:t>
      </w:r>
    </w:p>
    <w:p>
      <w:pPr>
        <w:keepNext w:val="0"/>
        <w:keepLines w:val="0"/>
        <w:pageBreakBefore w:val="0"/>
        <w:kinsoku/>
        <w:wordWrap/>
        <w:overflowPunct/>
        <w:topLinePunct w:val="0"/>
        <w:autoSpaceDE w:val="0"/>
        <w:autoSpaceDN w:val="0"/>
        <w:bidi w:val="0"/>
        <w:adjustRightInd w:val="0"/>
        <w:snapToGrid w:val="0"/>
        <w:spacing w:line="480" w:lineRule="exact"/>
        <w:ind w:firstLine="640" w:firstLineChars="200"/>
        <w:textAlignment w:val="auto"/>
        <w:rPr>
          <w:rFonts w:ascii="仿宋_GB2312" w:hAnsi="仿宋_GB2312" w:eastAsia="仿宋_GB2312" w:cs="仿宋_GB2312"/>
          <w:color w:val="000000"/>
          <w:sz w:val="32"/>
          <w:szCs w:val="32"/>
          <w:lang w:bidi="en-US"/>
        </w:rPr>
      </w:pPr>
      <w:r>
        <w:rPr>
          <w:rFonts w:hint="eastAsia" w:ascii="楷体" w:hAnsi="楷体" w:eastAsia="楷体" w:cs="楷体"/>
          <w:color w:val="000000"/>
          <w:sz w:val="32"/>
          <w:szCs w:val="32"/>
          <w:lang w:bidi="en-US"/>
        </w:rPr>
        <w:t>（三）严格落实各项水污染防治措施。</w:t>
      </w:r>
      <w:r>
        <w:rPr>
          <w:rFonts w:hint="eastAsia" w:ascii="仿宋_GB2312" w:hAnsi="仿宋_GB2312" w:eastAsia="仿宋_GB2312" w:cs="仿宋_GB2312"/>
          <w:color w:val="000000"/>
          <w:sz w:val="32"/>
          <w:szCs w:val="32"/>
          <w:lang w:bidi="en-US"/>
        </w:rPr>
        <w:t>运营期废水主要为</w:t>
      </w:r>
      <w:r>
        <w:rPr>
          <w:rFonts w:ascii="仿宋_GB2312" w:hAnsi="仿宋_GB2312" w:eastAsia="仿宋_GB2312" w:cs="仿宋_GB2312"/>
          <w:color w:val="000000"/>
          <w:sz w:val="32"/>
          <w:szCs w:val="32"/>
          <w:lang w:bidi="en-US"/>
        </w:rPr>
        <w:t>生活污水、垃圾渗滤液、初期雨水、垃圾卸料区冲洗水</w:t>
      </w:r>
      <w:r>
        <w:rPr>
          <w:rFonts w:hint="eastAsia" w:ascii="仿宋_GB2312" w:hAnsi="仿宋_GB2312" w:eastAsia="仿宋_GB2312" w:cs="仿宋_GB2312"/>
          <w:color w:val="000000"/>
          <w:sz w:val="32"/>
          <w:szCs w:val="32"/>
          <w:lang w:bidi="en-US"/>
        </w:rPr>
        <w:t>和</w:t>
      </w:r>
      <w:r>
        <w:rPr>
          <w:rFonts w:ascii="仿宋_GB2312" w:hAnsi="仿宋_GB2312" w:eastAsia="仿宋_GB2312" w:cs="仿宋_GB2312"/>
          <w:color w:val="000000"/>
          <w:sz w:val="32"/>
          <w:szCs w:val="32"/>
          <w:lang w:bidi="en-US"/>
        </w:rPr>
        <w:t>垃圾车冲洗水</w:t>
      </w:r>
      <w:r>
        <w:rPr>
          <w:rFonts w:hint="eastAsia" w:ascii="仿宋_GB2312" w:hAnsi="仿宋_GB2312" w:eastAsia="仿宋_GB2312" w:cs="仿宋_GB2312"/>
          <w:color w:val="000000"/>
          <w:sz w:val="32"/>
          <w:szCs w:val="32"/>
          <w:lang w:bidi="en-US"/>
        </w:rPr>
        <w:t>。其中</w:t>
      </w:r>
      <w:r>
        <w:rPr>
          <w:rFonts w:ascii="仿宋_GB2312" w:hAnsi="仿宋_GB2312" w:eastAsia="仿宋_GB2312" w:cs="仿宋_GB2312"/>
          <w:color w:val="000000"/>
          <w:sz w:val="32"/>
          <w:szCs w:val="32"/>
          <w:lang w:bidi="en-US"/>
        </w:rPr>
        <w:t>生活污水、垃圾渗滤液、初期雨水、垃圾卸料区冲洗水、垃圾车冲洗水经20</w:t>
      </w:r>
      <w:r>
        <w:rPr>
          <w:rFonts w:hint="eastAsia" w:ascii="仿宋_GB2312" w:hAnsi="仿宋_GB2312" w:eastAsia="仿宋_GB2312" w:cs="仿宋_GB2312"/>
          <w:color w:val="000000"/>
          <w:sz w:val="32"/>
          <w:szCs w:val="32"/>
          <w:lang w:val="en-US" w:eastAsia="zh-CN" w:bidi="en-US"/>
        </w:rPr>
        <w:t xml:space="preserve"> </w:t>
      </w:r>
      <w:r>
        <w:rPr>
          <w:rFonts w:ascii="仿宋_GB2312" w:hAnsi="仿宋_GB2312" w:eastAsia="仿宋_GB2312" w:cs="仿宋_GB2312"/>
          <w:color w:val="000000"/>
          <w:sz w:val="32"/>
          <w:szCs w:val="32"/>
          <w:lang w:bidi="en-US"/>
        </w:rPr>
        <w:t>m³/d垃圾渗滤液处理站处理，</w:t>
      </w:r>
      <w:r>
        <w:rPr>
          <w:rFonts w:hint="eastAsia" w:ascii="仿宋_GB2312" w:hAnsi="仿宋_GB2312" w:eastAsia="仿宋_GB2312" w:cs="仿宋_GB2312"/>
          <w:color w:val="000000"/>
          <w:sz w:val="32"/>
          <w:szCs w:val="32"/>
          <w:lang w:bidi="en-US"/>
        </w:rPr>
        <w:t>出水</w:t>
      </w:r>
      <w:r>
        <w:rPr>
          <w:rFonts w:hint="eastAsia" w:ascii="仿宋_GB2312" w:hAnsi="仿宋_GB2312" w:eastAsia="仿宋_GB2312" w:cs="仿宋_GB2312"/>
          <w:color w:val="000000"/>
          <w:sz w:val="32"/>
          <w:szCs w:val="32"/>
          <w:highlight w:val="none"/>
          <w:lang w:bidi="en-US"/>
        </w:rPr>
        <w:t>满足</w:t>
      </w:r>
      <w:r>
        <w:rPr>
          <w:rFonts w:hint="eastAsia" w:ascii="仿宋_GB2312" w:hAnsi="仿宋_GB2312" w:eastAsia="仿宋_GB2312" w:cs="仿宋_GB2312"/>
          <w:color w:val="000000"/>
          <w:sz w:val="32"/>
          <w:szCs w:val="32"/>
          <w:highlight w:val="none"/>
          <w:lang w:val="en-US" w:eastAsia="zh-CN" w:bidi="en-US"/>
        </w:rPr>
        <w:t>《生活垃圾填埋场污染控制标准》（GB16889-2008）</w:t>
      </w:r>
      <w:r>
        <w:rPr>
          <w:rFonts w:hint="eastAsia" w:ascii="仿宋_GB2312" w:hAnsi="仿宋_GB2312" w:eastAsia="仿宋_GB2312" w:cs="仿宋_GB2312"/>
          <w:color w:val="000000"/>
          <w:sz w:val="32"/>
          <w:szCs w:val="32"/>
          <w:highlight w:val="none"/>
          <w:lang w:bidi="en-US"/>
        </w:rPr>
        <w:t>标准后</w:t>
      </w:r>
      <w:r>
        <w:rPr>
          <w:rFonts w:ascii="Times New Roman" w:hAnsi="Times New Roman" w:eastAsia="仿宋" w:cs="Times New Roman"/>
          <w:sz w:val="32"/>
          <w:szCs w:val="32"/>
          <w:lang w:bidi="en-US"/>
        </w:rPr>
        <w:t>回用于</w:t>
      </w:r>
      <w:r>
        <w:rPr>
          <w:rFonts w:hint="eastAsia" w:ascii="Times New Roman" w:hAnsi="Times New Roman" w:eastAsia="仿宋" w:cs="Times New Roman"/>
          <w:sz w:val="32"/>
          <w:szCs w:val="32"/>
          <w:lang w:bidi="en-US"/>
        </w:rPr>
        <w:t>卸料平台、垃圾车冲洗及烟气降温</w:t>
      </w:r>
      <w:r>
        <w:rPr>
          <w:rFonts w:ascii="仿宋_GB2312" w:hAnsi="仿宋_GB2312" w:eastAsia="仿宋_GB2312" w:cs="仿宋_GB2312"/>
          <w:color w:val="000000"/>
          <w:sz w:val="32"/>
          <w:szCs w:val="32"/>
          <w:lang w:bidi="en-US"/>
        </w:rPr>
        <w:t>；餐厨垃圾预处理渗滤液回喷至焚烧炉；</w:t>
      </w:r>
      <w:r>
        <w:rPr>
          <w:rFonts w:ascii="Times New Roman" w:hAnsi="Times New Roman" w:eastAsia="仿宋" w:cs="Times New Roman"/>
          <w:sz w:val="32"/>
          <w:szCs w:val="32"/>
          <w:lang w:bidi="en-US"/>
        </w:rPr>
        <w:t>污泥干化冷凝水回用于</w:t>
      </w:r>
      <w:r>
        <w:rPr>
          <w:rFonts w:hint="eastAsia" w:ascii="Times New Roman" w:hAnsi="Times New Roman" w:eastAsia="仿宋" w:cs="Times New Roman"/>
          <w:sz w:val="32"/>
          <w:szCs w:val="32"/>
          <w:lang w:bidi="en-US"/>
        </w:rPr>
        <w:t>烟气降温</w:t>
      </w:r>
      <w:r>
        <w:rPr>
          <w:rFonts w:hint="eastAsia" w:ascii="仿宋_GB2312" w:hAnsi="仿宋_GB2312" w:eastAsia="仿宋_GB2312" w:cs="仿宋_GB2312"/>
          <w:color w:val="000000"/>
          <w:sz w:val="32"/>
          <w:szCs w:val="32"/>
          <w:lang w:bidi="en-US"/>
        </w:rPr>
        <w:t>。</w:t>
      </w:r>
    </w:p>
    <w:p>
      <w:pPr>
        <w:keepNext w:val="0"/>
        <w:keepLines w:val="0"/>
        <w:pageBreakBefore w:val="0"/>
        <w:kinsoku/>
        <w:wordWrap/>
        <w:overflowPunct/>
        <w:topLinePunct w:val="0"/>
        <w:autoSpaceDE w:val="0"/>
        <w:autoSpaceDN w:val="0"/>
        <w:bidi w:val="0"/>
        <w:adjustRightInd w:val="0"/>
        <w:snapToGrid w:val="0"/>
        <w:spacing w:line="480" w:lineRule="exact"/>
        <w:ind w:firstLine="640" w:firstLineChars="200"/>
        <w:textAlignment w:val="auto"/>
        <w:rPr>
          <w:rFonts w:ascii="仿宋_GB2312" w:hAnsi="仿宋_GB2312" w:eastAsia="仿宋_GB2312" w:cs="仿宋_GB2312"/>
          <w:color w:val="000000"/>
          <w:sz w:val="32"/>
          <w:szCs w:val="32"/>
          <w:lang w:bidi="en-US"/>
        </w:rPr>
      </w:pPr>
      <w:r>
        <w:rPr>
          <w:rFonts w:hint="eastAsia" w:ascii="楷体" w:hAnsi="楷体" w:eastAsia="楷体" w:cs="楷体"/>
          <w:color w:val="000000"/>
          <w:sz w:val="32"/>
          <w:szCs w:val="32"/>
          <w:lang w:bidi="en-US"/>
        </w:rPr>
        <w:t>（四）严格落实噪声防治措施。</w:t>
      </w:r>
      <w:r>
        <w:rPr>
          <w:rFonts w:hint="eastAsia" w:ascii="仿宋_GB2312" w:hAnsi="仿宋_GB2312" w:eastAsia="仿宋_GB2312" w:cs="仿宋_GB2312"/>
          <w:color w:val="000000"/>
          <w:sz w:val="32"/>
          <w:szCs w:val="32"/>
          <w:lang w:bidi="en-US"/>
        </w:rPr>
        <w:t>优先选用低噪声设备，优化高噪声设备布局，采取消声、隔声、减振、屏蔽等降噪措施，确保厂界噪声满足《工业企业厂界环境噪声排放标准》（GB12348-2008）中2类标准。</w:t>
      </w:r>
    </w:p>
    <w:p>
      <w:pPr>
        <w:keepNext w:val="0"/>
        <w:keepLines w:val="0"/>
        <w:pageBreakBefore w:val="0"/>
        <w:widowControl/>
        <w:kinsoku/>
        <w:wordWrap/>
        <w:overflowPunct/>
        <w:topLinePunct w:val="0"/>
        <w:bidi w:val="0"/>
        <w:spacing w:line="480" w:lineRule="exact"/>
        <w:ind w:firstLine="640" w:firstLineChars="200"/>
        <w:textAlignment w:val="auto"/>
        <w:rPr>
          <w:rFonts w:hint="default" w:ascii="仿宋_GB2312" w:hAnsi="仿宋_GB2312" w:eastAsia="仿宋_GB2312" w:cs="仿宋_GB2312"/>
          <w:color w:val="auto"/>
          <w:kern w:val="0"/>
          <w:sz w:val="32"/>
          <w:szCs w:val="32"/>
          <w:lang w:val="en-US" w:eastAsia="zh-CN" w:bidi="ar"/>
        </w:rPr>
      </w:pPr>
      <w:r>
        <w:rPr>
          <w:rFonts w:hint="eastAsia" w:ascii="楷体" w:hAnsi="楷体" w:eastAsia="楷体" w:cs="楷体"/>
          <w:color w:val="000000"/>
          <w:sz w:val="32"/>
          <w:szCs w:val="32"/>
          <w:lang w:bidi="en-US"/>
        </w:rPr>
        <w:t>（五）严格落实土壤和地下水污染防治措施。</w:t>
      </w:r>
      <w:r>
        <w:rPr>
          <w:rFonts w:hint="eastAsia" w:ascii="仿宋_GB2312" w:hAnsi="仿宋_GB2312" w:eastAsia="仿宋_GB2312" w:cs="仿宋_GB2312"/>
          <w:color w:val="auto"/>
          <w:kern w:val="0"/>
          <w:sz w:val="32"/>
          <w:szCs w:val="32"/>
          <w:lang w:val="en-US" w:eastAsia="zh-CN" w:bidi="ar"/>
        </w:rPr>
        <w:t>按照“源头控制、分区防控、污染监控、应急响应”相结合的原则采取分区防渗，其中</w:t>
      </w:r>
      <w:r>
        <w:rPr>
          <w:rFonts w:ascii="仿宋_GB2312" w:hAnsi="仿宋_GB2312" w:eastAsia="仿宋_GB2312" w:cs="仿宋_GB2312"/>
          <w:kern w:val="0"/>
          <w:sz w:val="32"/>
          <w:szCs w:val="32"/>
          <w:lang w:bidi="ar"/>
        </w:rPr>
        <w:t>垃圾池、渗滤液处理系统、飞灰固化车间、危废库、事故水池、柴油罐区</w:t>
      </w:r>
      <w:r>
        <w:rPr>
          <w:rFonts w:hint="eastAsia" w:ascii="仿宋_GB2312" w:hAnsi="仿宋_GB2312" w:eastAsia="仿宋_GB2312" w:cs="仿宋_GB2312"/>
          <w:kern w:val="0"/>
          <w:sz w:val="32"/>
          <w:szCs w:val="32"/>
          <w:lang w:val="en-US" w:eastAsia="zh-CN" w:bidi="ar"/>
        </w:rPr>
        <w:t>等采取重点防渗措施；</w:t>
      </w:r>
      <w:r>
        <w:rPr>
          <w:rFonts w:ascii="仿宋_GB2312" w:hAnsi="仿宋_GB2312" w:eastAsia="仿宋_GB2312" w:cs="仿宋_GB2312"/>
          <w:kern w:val="0"/>
          <w:sz w:val="32"/>
          <w:szCs w:val="32"/>
          <w:lang w:bidi="ar"/>
        </w:rPr>
        <w:t>焚烧炉间、烟气净化间、渣坑</w:t>
      </w:r>
      <w:r>
        <w:rPr>
          <w:rFonts w:hint="eastAsia" w:ascii="仿宋_GB2312" w:hAnsi="仿宋_GB2312" w:eastAsia="仿宋_GB2312" w:cs="仿宋_GB2312"/>
          <w:kern w:val="0"/>
          <w:sz w:val="32"/>
          <w:szCs w:val="32"/>
          <w:lang w:bidi="ar"/>
        </w:rPr>
        <w:t>、</w:t>
      </w:r>
      <w:r>
        <w:rPr>
          <w:rFonts w:ascii="仿宋_GB2312" w:hAnsi="仿宋_GB2312" w:eastAsia="仿宋_GB2312" w:cs="仿宋_GB2312"/>
          <w:kern w:val="0"/>
          <w:sz w:val="32"/>
          <w:szCs w:val="32"/>
          <w:lang w:bidi="ar"/>
        </w:rPr>
        <w:t>初期雨水收集池</w:t>
      </w:r>
      <w:r>
        <w:rPr>
          <w:rFonts w:hint="eastAsia" w:ascii="仿宋_GB2312" w:hAnsi="仿宋_GB2312" w:eastAsia="仿宋_GB2312" w:cs="仿宋_GB2312"/>
          <w:kern w:val="0"/>
          <w:sz w:val="32"/>
          <w:szCs w:val="32"/>
          <w:lang w:val="en-US" w:eastAsia="zh-CN" w:bidi="ar"/>
        </w:rPr>
        <w:t>等采取一般防渗措施；</w:t>
      </w:r>
      <w:r>
        <w:rPr>
          <w:rFonts w:hint="eastAsia" w:ascii="仿宋_GB2312" w:hAnsi="仿宋_GB2312" w:eastAsia="仿宋_GB2312" w:cs="仿宋_GB2312"/>
          <w:kern w:val="0"/>
          <w:sz w:val="32"/>
          <w:szCs w:val="32"/>
          <w:lang w:bidi="ar"/>
        </w:rPr>
        <w:t>办公楼、门卫室、地磅房</w:t>
      </w:r>
      <w:r>
        <w:rPr>
          <w:rFonts w:hint="eastAsia" w:ascii="仿宋_GB2312" w:hAnsi="仿宋_GB2312" w:eastAsia="仿宋_GB2312" w:cs="仿宋_GB2312"/>
          <w:kern w:val="0"/>
          <w:sz w:val="32"/>
          <w:szCs w:val="32"/>
          <w:lang w:val="en-US" w:eastAsia="zh-CN" w:bidi="ar"/>
        </w:rPr>
        <w:t>采取简单防渗措施。</w:t>
      </w:r>
    </w:p>
    <w:p>
      <w:pPr>
        <w:keepNext w:val="0"/>
        <w:keepLines w:val="0"/>
        <w:pageBreakBefore w:val="0"/>
        <w:widowControl/>
        <w:kinsoku/>
        <w:wordWrap/>
        <w:overflowPunct/>
        <w:topLinePunct w:val="0"/>
        <w:bidi w:val="0"/>
        <w:spacing w:line="480" w:lineRule="exact"/>
        <w:ind w:firstLine="640" w:firstLineChars="200"/>
        <w:textAlignment w:val="auto"/>
        <w:rPr>
          <w:rFonts w:ascii="仿宋_GB2312" w:hAnsi="仿宋_GB2312" w:eastAsia="仿宋_GB2312" w:cs="仿宋_GB2312"/>
          <w:color w:val="000000"/>
          <w:sz w:val="32"/>
          <w:szCs w:val="32"/>
        </w:rPr>
      </w:pPr>
      <w:r>
        <w:rPr>
          <w:rFonts w:hint="eastAsia" w:ascii="楷体" w:hAnsi="楷体" w:eastAsia="楷体" w:cs="楷体"/>
          <w:color w:val="000000"/>
          <w:sz w:val="32"/>
          <w:szCs w:val="32"/>
          <w:lang w:bidi="en-US"/>
        </w:rPr>
        <w:t>（六）严格落实环境风险防治措施。</w:t>
      </w:r>
      <w:r>
        <w:rPr>
          <w:rFonts w:hint="eastAsia" w:ascii="仿宋_GB2312" w:hAnsi="仿宋_GB2312" w:eastAsia="仿宋_GB2312" w:cs="仿宋_GB2312"/>
          <w:kern w:val="0"/>
          <w:sz w:val="32"/>
          <w:szCs w:val="32"/>
          <w:lang w:bidi="ar"/>
        </w:rPr>
        <w:t>按照规范布置罐区，设围堰和防火堤；加强生产过程设备的管理与维修，防止跑、冒、滴、漏现象的发生；在有可能泄漏可燃气体和有毒气体的部位设置可燃气和有毒气体探测器和通风除臭系统，</w:t>
      </w:r>
      <w:r>
        <w:rPr>
          <w:rFonts w:hint="eastAsia" w:ascii="仿宋_GB2312" w:hAnsi="仿宋_GB2312" w:eastAsia="仿宋_GB2312" w:cs="仿宋_GB2312"/>
          <w:sz w:val="32"/>
          <w:szCs w:val="32"/>
        </w:rPr>
        <w:t>一旦发生泄漏及时报警；</w:t>
      </w:r>
      <w:r>
        <w:rPr>
          <w:rFonts w:hint="eastAsia" w:ascii="仿宋_GB2312" w:hAnsi="仿宋_GB2312" w:eastAsia="仿宋_GB2312" w:cs="仿宋_GB2312"/>
          <w:color w:val="000000"/>
          <w:sz w:val="32"/>
          <w:szCs w:val="32"/>
        </w:rPr>
        <w:t>建立完善的环境监督制度和事故应急措施，制定切实可行的环境风险应急预案，加强对生活垃圾和厨余垃圾的收集、运输、贮存过程和对处置工程主体装置、环保设施的运行管理；严格落实风险防范措施和应急预案，切实杜绝环境风险事故。</w:t>
      </w:r>
    </w:p>
    <w:p>
      <w:pPr>
        <w:keepNext w:val="0"/>
        <w:keepLines w:val="0"/>
        <w:pageBreakBefore w:val="0"/>
        <w:kinsoku/>
        <w:wordWrap/>
        <w:overflowPunct/>
        <w:topLinePunct w:val="0"/>
        <w:autoSpaceDE w:val="0"/>
        <w:autoSpaceDN w:val="0"/>
        <w:bidi w:val="0"/>
        <w:adjustRightInd w:val="0"/>
        <w:spacing w:line="480" w:lineRule="exact"/>
        <w:ind w:firstLine="640" w:firstLineChars="200"/>
        <w:textAlignment w:val="auto"/>
        <w:rPr>
          <w:rFonts w:ascii="仿宋_GB2312" w:hAnsi="仿宋_GB2312" w:eastAsia="仿宋_GB2312" w:cs="仿宋_GB2312"/>
          <w:color w:val="000000"/>
          <w:sz w:val="32"/>
          <w:szCs w:val="32"/>
        </w:rPr>
      </w:pPr>
      <w:r>
        <w:rPr>
          <w:rFonts w:hint="eastAsia" w:ascii="楷体" w:hAnsi="楷体" w:eastAsia="楷体" w:cs="楷体"/>
          <w:color w:val="000000"/>
          <w:sz w:val="32"/>
          <w:szCs w:val="32"/>
          <w:lang w:bidi="en-US"/>
        </w:rPr>
        <w:t>（七）严格落实运营期污染源监测计划。</w:t>
      </w:r>
      <w:r>
        <w:rPr>
          <w:rFonts w:ascii="仿宋_GB2312" w:hAnsi="仿宋_GB2312" w:eastAsia="仿宋_GB2312" w:cs="仿宋_GB2312"/>
          <w:color w:val="000000"/>
          <w:sz w:val="32"/>
          <w:szCs w:val="32"/>
        </w:rPr>
        <w:t>按照</w:t>
      </w:r>
      <w:r>
        <w:rPr>
          <w:rFonts w:hint="eastAsia" w:ascii="仿宋_GB2312" w:hAnsi="仿宋_GB2312" w:eastAsia="仿宋_GB2312" w:cs="仿宋_GB2312"/>
          <w:color w:val="000000"/>
          <w:sz w:val="32"/>
          <w:szCs w:val="32"/>
        </w:rPr>
        <w:t>国家和地方有关规定设置规范的污染物排放口，并设立标志牌。按照相关标准、规范等要求，落实《报告书》提出的环境管理及监测计划，安装烟气自动连续监测等感知端系统，并与生态环境部门联网。强化污染源与无组织排放源管理，制定自行监测方案，落实环境管理与监测计划，按规定开展自行监测和信息公开。各排气筒应按照规范要求预留永久性监测口和采样监测平台。如出现污染物超标情况，应立即查明原因并采取进一步污染物减排措施。</w:t>
      </w:r>
    </w:p>
    <w:p>
      <w:pPr>
        <w:keepNext w:val="0"/>
        <w:keepLines w:val="0"/>
        <w:pageBreakBefore w:val="0"/>
        <w:kinsoku/>
        <w:wordWrap/>
        <w:overflowPunct/>
        <w:topLinePunct w:val="0"/>
        <w:bidi w:val="0"/>
        <w:spacing w:line="480" w:lineRule="exact"/>
        <w:ind w:firstLine="640" w:firstLineChars="200"/>
        <w:textAlignment w:val="auto"/>
        <w:rPr>
          <w:sz w:val="32"/>
          <w:szCs w:val="32"/>
        </w:rPr>
      </w:pPr>
      <w:r>
        <w:rPr>
          <w:rFonts w:hint="eastAsia" w:ascii="楷体" w:hAnsi="楷体" w:eastAsia="楷体" w:cs="楷体"/>
          <w:color w:val="000000"/>
          <w:sz w:val="32"/>
          <w:szCs w:val="32"/>
          <w:lang w:bidi="en-US"/>
        </w:rPr>
        <w:t>（八）建立畅通的公众参与平台。</w:t>
      </w:r>
      <w:r>
        <w:rPr>
          <w:rFonts w:hint="eastAsia" w:ascii="仿宋_GB2312" w:hAnsi="仿宋_GB2312" w:eastAsia="仿宋_GB2312" w:cs="仿宋_GB2312"/>
          <w:color w:val="000000"/>
          <w:sz w:val="32"/>
          <w:szCs w:val="32"/>
        </w:rPr>
        <w:t>加强宣传和沟通工作，关注周边居民意见，及时解决公众担忧的环境问题，满足公众合理的环境诉求。</w:t>
      </w:r>
    </w:p>
    <w:p>
      <w:pPr>
        <w:keepNext w:val="0"/>
        <w:keepLines w:val="0"/>
        <w:pageBreakBefore w:val="0"/>
        <w:kinsoku/>
        <w:wordWrap/>
        <w:overflowPunct/>
        <w:topLinePunct w:val="0"/>
        <w:autoSpaceDE w:val="0"/>
        <w:autoSpaceDN w:val="0"/>
        <w:bidi w:val="0"/>
        <w:adjustRightInd w:val="0"/>
        <w:snapToGrid w:val="0"/>
        <w:spacing w:line="480" w:lineRule="exact"/>
        <w:ind w:firstLine="640" w:firstLineChars="200"/>
        <w:textAlignment w:val="auto"/>
        <w:rPr>
          <w:rFonts w:ascii="仿宋_GB2312" w:hAnsi="仿宋_GB2312" w:eastAsia="仿宋_GB2312" w:cs="仿宋_GB2312"/>
          <w:color w:val="000000"/>
          <w:sz w:val="32"/>
          <w:szCs w:val="32"/>
          <w:lang w:bidi="en-US"/>
        </w:rPr>
      </w:pPr>
      <w:r>
        <w:rPr>
          <w:rFonts w:hint="eastAsia" w:ascii="仿宋_GB2312" w:hAnsi="仿宋_GB2312" w:eastAsia="仿宋_GB2312" w:cs="仿宋_GB2312"/>
          <w:color w:val="000000"/>
          <w:sz w:val="32"/>
          <w:szCs w:val="32"/>
          <w:lang w:bidi="en-US"/>
        </w:rPr>
        <w:t>三、项目建设必须严格执行配套的环境保护设施与主体工程同时设计、同时施工、同时投产使用的环境保护“三同时”制度。严格落实污染防治措施设计要求。应将优化和细化后的各项污染防治措施及概算纳入设计以及施工等招标文件及合同，并明确责任。按规定程序实施竣工环境保护验收。</w:t>
      </w:r>
    </w:p>
    <w:p>
      <w:pPr>
        <w:keepNext w:val="0"/>
        <w:keepLines w:val="0"/>
        <w:pageBreakBefore w:val="0"/>
        <w:kinsoku/>
        <w:wordWrap/>
        <w:overflowPunct/>
        <w:topLinePunct w:val="0"/>
        <w:autoSpaceDE w:val="0"/>
        <w:autoSpaceDN w:val="0"/>
        <w:bidi w:val="0"/>
        <w:adjustRightInd w:val="0"/>
        <w:snapToGrid w:val="0"/>
        <w:spacing w:line="480" w:lineRule="exact"/>
        <w:ind w:firstLine="640" w:firstLineChars="200"/>
        <w:textAlignment w:val="auto"/>
        <w:rPr>
          <w:rFonts w:ascii="仿宋_GB2312" w:hAnsi="仿宋_GB2312" w:eastAsia="仿宋_GB2312" w:cs="仿宋_GB2312"/>
          <w:color w:val="000000"/>
          <w:sz w:val="32"/>
          <w:szCs w:val="32"/>
          <w:lang w:bidi="en-US"/>
        </w:rPr>
      </w:pPr>
      <w:r>
        <w:rPr>
          <w:rFonts w:hint="eastAsia" w:ascii="仿宋_GB2312" w:hAnsi="仿宋_GB2312" w:eastAsia="仿宋_GB2312" w:cs="仿宋_GB2312"/>
          <w:color w:val="000000"/>
          <w:sz w:val="32"/>
          <w:szCs w:val="32"/>
          <w:lang w:bidi="en-US"/>
        </w:rPr>
        <w:t>四、我局委托锡林郭勒盟生态环境局</w:t>
      </w:r>
      <w:r>
        <w:rPr>
          <w:rFonts w:ascii="仿宋_GB2312" w:hAnsi="仿宋_GB2312" w:eastAsia="仿宋_GB2312" w:cs="仿宋_GB2312"/>
          <w:color w:val="000000"/>
          <w:sz w:val="32"/>
          <w:szCs w:val="32"/>
          <w:lang w:bidi="en-US"/>
        </w:rPr>
        <w:t>正蓝旗</w:t>
      </w:r>
      <w:r>
        <w:rPr>
          <w:rFonts w:hint="eastAsia" w:ascii="仿宋_GB2312" w:hAnsi="仿宋_GB2312" w:eastAsia="仿宋_GB2312" w:cs="仿宋_GB2312"/>
          <w:color w:val="000000"/>
          <w:sz w:val="32"/>
          <w:szCs w:val="32"/>
          <w:lang w:bidi="en-US"/>
        </w:rPr>
        <w:t>分局对该项目各项污染防治措施落实情况进行监督检查和管理。</w:t>
      </w:r>
    </w:p>
    <w:p>
      <w:pPr>
        <w:keepNext w:val="0"/>
        <w:keepLines w:val="0"/>
        <w:pageBreakBefore w:val="0"/>
        <w:kinsoku/>
        <w:wordWrap/>
        <w:overflowPunct/>
        <w:topLinePunct w:val="0"/>
        <w:autoSpaceDE w:val="0"/>
        <w:autoSpaceDN w:val="0"/>
        <w:bidi w:val="0"/>
        <w:adjustRightInd w:val="0"/>
        <w:snapToGrid w:val="0"/>
        <w:spacing w:line="480" w:lineRule="exact"/>
        <w:ind w:firstLine="640" w:firstLineChars="200"/>
        <w:textAlignment w:val="auto"/>
        <w:rPr>
          <w:rFonts w:ascii="仿宋_GB2312" w:hAnsi="仿宋_GB2312" w:eastAsia="仿宋_GB2312" w:cs="仿宋_GB2312"/>
          <w:color w:val="000000"/>
          <w:sz w:val="32"/>
          <w:szCs w:val="32"/>
          <w:lang w:bidi="en-US"/>
        </w:rPr>
      </w:pPr>
    </w:p>
    <w:p>
      <w:pPr>
        <w:keepNext w:val="0"/>
        <w:keepLines w:val="0"/>
        <w:pageBreakBefore w:val="0"/>
        <w:kinsoku/>
        <w:wordWrap/>
        <w:overflowPunct/>
        <w:topLinePunct w:val="0"/>
        <w:autoSpaceDE w:val="0"/>
        <w:autoSpaceDN w:val="0"/>
        <w:bidi w:val="0"/>
        <w:adjustRightInd w:val="0"/>
        <w:snapToGrid w:val="0"/>
        <w:spacing w:line="480" w:lineRule="exact"/>
        <w:ind w:firstLine="640" w:firstLineChars="200"/>
        <w:textAlignment w:val="auto"/>
        <w:rPr>
          <w:rFonts w:ascii="仿宋_GB2312" w:hAnsi="仿宋_GB2312" w:eastAsia="仿宋_GB2312" w:cs="仿宋_GB2312"/>
          <w:color w:val="000000"/>
          <w:sz w:val="32"/>
          <w:szCs w:val="32"/>
          <w:lang w:bidi="en-US"/>
        </w:rPr>
      </w:pPr>
    </w:p>
    <w:p>
      <w:pPr>
        <w:keepNext w:val="0"/>
        <w:keepLines w:val="0"/>
        <w:pageBreakBefore w:val="0"/>
        <w:kinsoku/>
        <w:wordWrap/>
        <w:overflowPunct/>
        <w:topLinePunct w:val="0"/>
        <w:autoSpaceDE w:val="0"/>
        <w:autoSpaceDN w:val="0"/>
        <w:bidi w:val="0"/>
        <w:adjustRightInd w:val="0"/>
        <w:snapToGrid w:val="0"/>
        <w:spacing w:line="480" w:lineRule="exact"/>
        <w:ind w:firstLine="3520" w:firstLineChars="1100"/>
        <w:textAlignment w:val="auto"/>
        <w:rPr>
          <w:rFonts w:ascii="仿宋_GB2312" w:hAnsi="仿宋_GB2312" w:eastAsia="仿宋_GB2312" w:cs="仿宋_GB2312"/>
          <w:color w:val="000000"/>
          <w:sz w:val="32"/>
          <w:szCs w:val="32"/>
          <w:lang w:bidi="en-US"/>
        </w:rPr>
      </w:pPr>
      <w:r>
        <w:rPr>
          <w:rFonts w:hint="eastAsia" w:ascii="仿宋_GB2312" w:hAnsi="仿宋_GB2312" w:eastAsia="仿宋_GB2312" w:cs="仿宋_GB2312"/>
          <w:color w:val="000000"/>
          <w:sz w:val="32"/>
          <w:szCs w:val="32"/>
          <w:lang w:bidi="en-US"/>
        </w:rPr>
        <w:t>锡林郭勒盟生态环境局</w:t>
      </w:r>
    </w:p>
    <w:p>
      <w:pPr>
        <w:keepNext w:val="0"/>
        <w:keepLines w:val="0"/>
        <w:pageBreakBefore w:val="0"/>
        <w:kinsoku/>
        <w:wordWrap/>
        <w:overflowPunct/>
        <w:topLinePunct w:val="0"/>
        <w:autoSpaceDE w:val="0"/>
        <w:autoSpaceDN w:val="0"/>
        <w:bidi w:val="0"/>
        <w:adjustRightInd w:val="0"/>
        <w:snapToGrid w:val="0"/>
        <w:spacing w:line="480" w:lineRule="exact"/>
        <w:ind w:firstLine="4160" w:firstLineChars="1300"/>
        <w:textAlignment w:val="auto"/>
        <w:rPr>
          <w:rFonts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bidi="en-US"/>
        </w:rPr>
        <w:t>202</w:t>
      </w:r>
      <w:r>
        <w:rPr>
          <w:rFonts w:ascii="仿宋_GB2312" w:hAnsi="仿宋_GB2312" w:eastAsia="仿宋_GB2312" w:cs="仿宋_GB2312"/>
          <w:color w:val="auto"/>
          <w:sz w:val="32"/>
          <w:szCs w:val="32"/>
          <w:lang w:bidi="en-US"/>
        </w:rPr>
        <w:t>4</w:t>
      </w:r>
      <w:r>
        <w:rPr>
          <w:rFonts w:hint="eastAsia" w:ascii="仿宋_GB2312" w:hAnsi="仿宋_GB2312" w:eastAsia="仿宋_GB2312" w:cs="仿宋_GB2312"/>
          <w:color w:val="auto"/>
          <w:sz w:val="32"/>
          <w:szCs w:val="32"/>
          <w:lang w:bidi="en-US"/>
        </w:rPr>
        <w:t>年</w:t>
      </w:r>
      <w:r>
        <w:rPr>
          <w:rFonts w:ascii="仿宋_GB2312" w:hAnsi="仿宋_GB2312" w:eastAsia="仿宋_GB2312" w:cs="仿宋_GB2312"/>
          <w:color w:val="auto"/>
          <w:sz w:val="32"/>
          <w:szCs w:val="32"/>
          <w:lang w:bidi="en-US"/>
        </w:rPr>
        <w:t>3</w:t>
      </w:r>
      <w:r>
        <w:rPr>
          <w:rFonts w:hint="eastAsia" w:ascii="仿宋_GB2312" w:hAnsi="仿宋_GB2312" w:eastAsia="仿宋_GB2312" w:cs="仿宋_GB2312"/>
          <w:color w:val="auto"/>
          <w:sz w:val="32"/>
          <w:szCs w:val="32"/>
          <w:lang w:bidi="en-US"/>
        </w:rPr>
        <w:t>月2</w:t>
      </w:r>
      <w:r>
        <w:rPr>
          <w:rFonts w:hint="eastAsia" w:ascii="仿宋_GB2312" w:hAnsi="仿宋_GB2312" w:eastAsia="仿宋_GB2312" w:cs="仿宋_GB2312"/>
          <w:color w:val="auto"/>
          <w:sz w:val="32"/>
          <w:szCs w:val="32"/>
          <w:lang w:val="en-US" w:eastAsia="zh-CN" w:bidi="en-US"/>
        </w:rPr>
        <w:t>8</w:t>
      </w:r>
      <w:r>
        <w:rPr>
          <w:rFonts w:hint="eastAsia" w:ascii="仿宋_GB2312" w:hAnsi="仿宋_GB2312" w:eastAsia="仿宋_GB2312" w:cs="仿宋_GB2312"/>
          <w:color w:val="auto"/>
          <w:sz w:val="32"/>
          <w:szCs w:val="32"/>
          <w:lang w:bidi="en-US"/>
        </w:rPr>
        <w:t>日</w:t>
      </w:r>
    </w:p>
    <w:p>
      <w:pPr>
        <w:spacing w:line="520" w:lineRule="exact"/>
        <w:rPr>
          <w:rFonts w:ascii="仿宋_GB2312" w:hAnsi="仿宋_GB2312" w:eastAsia="仿宋_GB2312" w:cs="仿宋_GB2312"/>
          <w:color w:val="000000"/>
          <w:sz w:val="32"/>
          <w:szCs w:val="32"/>
          <w:lang w:bidi="en-US"/>
        </w:rPr>
      </w:pPr>
    </w:p>
    <w:p/>
    <w:p>
      <w:pPr>
        <w:pStyle w:val="9"/>
        <w:rPr>
          <w:u w:val="single"/>
        </w:rPr>
      </w:pPr>
      <w:r>
        <w:rPr>
          <w:rFonts w:hint="eastAsia"/>
          <w:u w:val="single"/>
        </w:rPr>
        <w:t xml:space="preserve">                                                                                            </w:t>
      </w:r>
    </w:p>
    <w:p>
      <w:pPr>
        <w:pStyle w:val="17"/>
        <w:jc w:val="both"/>
        <w:rPr>
          <w:rFonts w:ascii="仿宋" w:hAnsi="仿宋" w:eastAsia="仿宋" w:cs="仿宋"/>
          <w:color w:val="auto"/>
          <w:kern w:val="2"/>
          <w:sz w:val="28"/>
          <w:szCs w:val="28"/>
          <w:lang w:bidi="en-US"/>
        </w:rPr>
      </w:pPr>
      <w:r>
        <w:rPr>
          <w:rFonts w:hint="eastAsia" w:ascii="仿宋" w:hAnsi="仿宋" w:eastAsia="仿宋" w:cs="仿宋"/>
          <w:color w:val="auto"/>
          <w:kern w:val="2"/>
          <w:sz w:val="28"/>
          <w:szCs w:val="28"/>
          <w:lang w:bidi="en-US"/>
        </w:rPr>
        <w:t>抄送：盟生态环境综合行政执法支队，盟生态环境局</w:t>
      </w:r>
      <w:r>
        <w:rPr>
          <w:rFonts w:ascii="仿宋" w:hAnsi="仿宋" w:eastAsia="仿宋" w:cs="仿宋"/>
          <w:color w:val="auto"/>
          <w:kern w:val="2"/>
          <w:sz w:val="28"/>
          <w:szCs w:val="28"/>
          <w:lang w:bidi="en-US"/>
        </w:rPr>
        <w:t>正蓝旗</w:t>
      </w:r>
      <w:r>
        <w:rPr>
          <w:rFonts w:hint="eastAsia" w:ascii="仿宋" w:hAnsi="仿宋" w:eastAsia="仿宋" w:cs="仿宋"/>
          <w:color w:val="auto"/>
          <w:kern w:val="2"/>
          <w:sz w:val="28"/>
          <w:szCs w:val="28"/>
          <w:lang w:bidi="en-US"/>
        </w:rPr>
        <w:t>分局</w:t>
      </w:r>
    </w:p>
    <w:p>
      <w:pPr>
        <w:pBdr>
          <w:top w:val="single" w:color="auto" w:sz="4" w:space="1"/>
          <w:left w:val="none" w:color="auto" w:sz="0" w:space="4"/>
          <w:bottom w:val="single" w:color="auto" w:sz="4" w:space="1"/>
          <w:right w:val="none" w:color="auto" w:sz="0" w:space="4"/>
        </w:pBdr>
        <w:spacing w:line="560" w:lineRule="exact"/>
        <w:rPr>
          <w:rFonts w:ascii="仿宋" w:hAnsi="仿宋" w:eastAsia="仿宋" w:cs="仿宋"/>
          <w:color w:val="FF0000"/>
          <w:sz w:val="28"/>
          <w:szCs w:val="28"/>
        </w:rPr>
      </w:pPr>
      <w:r>
        <w:rPr>
          <w:rFonts w:hint="eastAsia" w:ascii="仿宋" w:hAnsi="仿宋" w:eastAsia="仿宋" w:cs="仿宋"/>
          <w:sz w:val="28"/>
          <w:szCs w:val="28"/>
        </w:rPr>
        <w:t xml:space="preserve">锡林郭勒盟生态环境局办公室              </w:t>
      </w:r>
      <w:r>
        <w:rPr>
          <w:rFonts w:hint="eastAsia" w:ascii="仿宋" w:hAnsi="仿宋" w:eastAsia="仿宋" w:cs="仿宋"/>
          <w:color w:val="auto"/>
          <w:sz w:val="28"/>
          <w:szCs w:val="28"/>
        </w:rPr>
        <w:t>202</w:t>
      </w:r>
      <w:r>
        <w:rPr>
          <w:rFonts w:ascii="仿宋" w:hAnsi="仿宋" w:eastAsia="仿宋" w:cs="仿宋"/>
          <w:color w:val="auto"/>
          <w:sz w:val="28"/>
          <w:szCs w:val="28"/>
        </w:rPr>
        <w:t>4</w:t>
      </w:r>
      <w:r>
        <w:rPr>
          <w:rFonts w:hint="eastAsia" w:ascii="仿宋" w:hAnsi="仿宋" w:eastAsia="仿宋" w:cs="仿宋"/>
          <w:color w:val="auto"/>
          <w:sz w:val="28"/>
          <w:szCs w:val="28"/>
        </w:rPr>
        <w:t>年</w:t>
      </w:r>
      <w:r>
        <w:rPr>
          <w:rFonts w:ascii="仿宋" w:hAnsi="仿宋" w:eastAsia="仿宋" w:cs="仿宋"/>
          <w:color w:val="auto"/>
          <w:sz w:val="28"/>
          <w:szCs w:val="28"/>
        </w:rPr>
        <w:t>3</w:t>
      </w:r>
      <w:r>
        <w:rPr>
          <w:rFonts w:hint="eastAsia" w:ascii="仿宋" w:hAnsi="仿宋" w:eastAsia="仿宋" w:cs="仿宋"/>
          <w:color w:val="auto"/>
          <w:sz w:val="28"/>
          <w:szCs w:val="28"/>
        </w:rPr>
        <w:t>月2</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日印发</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5E61DA"/>
    <w:multiLevelType w:val="singleLevel"/>
    <w:tmpl w:val="885E61D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VjZjliNThiMThmZTZiMTZlZjM4YWI1NWNjNGNiZjYifQ=="/>
    <w:docVar w:name="KSO_WPS_MARK_KEY" w:val="09d15ec7-0bf2-44f8-8c61-ef6b5d062c09"/>
  </w:docVars>
  <w:rsids>
    <w:rsidRoot w:val="00BE15C5"/>
    <w:rsid w:val="0023504A"/>
    <w:rsid w:val="0024349F"/>
    <w:rsid w:val="0029260D"/>
    <w:rsid w:val="00314696"/>
    <w:rsid w:val="00351DD5"/>
    <w:rsid w:val="004E301F"/>
    <w:rsid w:val="00565FD0"/>
    <w:rsid w:val="005E036A"/>
    <w:rsid w:val="006C40F1"/>
    <w:rsid w:val="0078439C"/>
    <w:rsid w:val="00805AAC"/>
    <w:rsid w:val="008A103C"/>
    <w:rsid w:val="00BE15C5"/>
    <w:rsid w:val="00CA00EE"/>
    <w:rsid w:val="00D1298A"/>
    <w:rsid w:val="00DE2D15"/>
    <w:rsid w:val="00EB0D7B"/>
    <w:rsid w:val="00F61EA1"/>
    <w:rsid w:val="0C894782"/>
    <w:rsid w:val="20530B64"/>
    <w:rsid w:val="22346735"/>
    <w:rsid w:val="31D41A4F"/>
    <w:rsid w:val="39930C47"/>
    <w:rsid w:val="3A953833"/>
    <w:rsid w:val="3C3E2C88"/>
    <w:rsid w:val="3F214472"/>
    <w:rsid w:val="400841FD"/>
    <w:rsid w:val="4287527F"/>
    <w:rsid w:val="4533740B"/>
    <w:rsid w:val="47D65885"/>
    <w:rsid w:val="48A15F89"/>
    <w:rsid w:val="4F906F0A"/>
    <w:rsid w:val="53082155"/>
    <w:rsid w:val="540E7578"/>
    <w:rsid w:val="59761363"/>
    <w:rsid w:val="5DB93D9B"/>
    <w:rsid w:val="660D2688"/>
    <w:rsid w:val="6BF4175A"/>
    <w:rsid w:val="6D5745A9"/>
    <w:rsid w:val="6E1A4AAF"/>
    <w:rsid w:val="70C71F9F"/>
    <w:rsid w:val="744D770B"/>
    <w:rsid w:val="76F04055"/>
    <w:rsid w:val="772E3597"/>
    <w:rsid w:val="776A0FBB"/>
    <w:rsid w:val="7B9B2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3"/>
    <w:autoRedefine/>
    <w:qFormat/>
    <w:uiPriority w:val="0"/>
    <w:pPr>
      <w:ind w:firstLine="420" w:firstLineChars="200"/>
    </w:pPr>
    <w:rPr>
      <w:rFonts w:eastAsia="宋体"/>
    </w:rPr>
  </w:style>
  <w:style w:type="paragraph" w:styleId="3">
    <w:name w:val="Body Text First Indent 2"/>
    <w:basedOn w:val="4"/>
    <w:next w:val="5"/>
    <w:autoRedefine/>
    <w:qFormat/>
    <w:uiPriority w:val="0"/>
    <w:pPr>
      <w:adjustRightInd w:val="0"/>
      <w:ind w:firstLine="420"/>
      <w:textAlignment w:val="baseline"/>
    </w:pPr>
    <w:rPr>
      <w:rFonts w:ascii="宋体" w:hAnsi="宋体"/>
      <w:sz w:val="18"/>
      <w:szCs w:val="18"/>
    </w:rPr>
  </w:style>
  <w:style w:type="paragraph" w:styleId="4">
    <w:name w:val="Body Text Indent"/>
    <w:basedOn w:val="1"/>
    <w:next w:val="1"/>
    <w:autoRedefine/>
    <w:qFormat/>
    <w:uiPriority w:val="0"/>
    <w:pPr>
      <w:spacing w:after="120"/>
      <w:ind w:left="420" w:leftChars="200"/>
    </w:pPr>
    <w:rPr>
      <w:rFonts w:ascii="Times New Roman" w:hAnsi="Times New Roman" w:eastAsia="宋体" w:cs="Times New Roman"/>
      <w:szCs w:val="20"/>
    </w:rPr>
  </w:style>
  <w:style w:type="paragraph" w:styleId="5">
    <w:name w:val="Body Text First Indent"/>
    <w:basedOn w:val="6"/>
    <w:next w:val="1"/>
    <w:autoRedefine/>
    <w:qFormat/>
    <w:uiPriority w:val="0"/>
    <w:pPr>
      <w:spacing w:before="120" w:after="240"/>
      <w:ind w:firstLine="420" w:firstLineChars="100"/>
    </w:pPr>
    <w:rPr>
      <w:rFonts w:ascii="宋体" w:hAnsi="宋体"/>
      <w:szCs w:val="28"/>
      <w:lang w:eastAsia="en-US"/>
    </w:rPr>
  </w:style>
  <w:style w:type="paragraph" w:styleId="6">
    <w:name w:val="Body Text"/>
    <w:basedOn w:val="1"/>
    <w:next w:val="7"/>
    <w:autoRedefine/>
    <w:qFormat/>
    <w:uiPriority w:val="0"/>
    <w:pPr>
      <w:spacing w:after="120"/>
    </w:pPr>
  </w:style>
  <w:style w:type="paragraph" w:customStyle="1" w:styleId="7">
    <w:name w:val="Date1"/>
    <w:basedOn w:val="1"/>
    <w:next w:val="1"/>
    <w:autoRedefine/>
    <w:semiHidden/>
    <w:qFormat/>
    <w:locked/>
    <w:uiPriority w:val="0"/>
    <w:pPr>
      <w:adjustRightInd w:val="0"/>
      <w:spacing w:line="312" w:lineRule="atLeast"/>
      <w:jc w:val="right"/>
      <w:textAlignment w:val="baseline"/>
    </w:pPr>
    <w:rPr>
      <w:rFonts w:ascii="隶书" w:eastAsia="隶书"/>
      <w:kern w:val="0"/>
      <w:sz w:val="32"/>
      <w:szCs w:val="20"/>
    </w:rPr>
  </w:style>
  <w:style w:type="paragraph" w:styleId="8">
    <w:name w:val="annotation text"/>
    <w:basedOn w:val="1"/>
    <w:autoRedefine/>
    <w:semiHidden/>
    <w:unhideWhenUsed/>
    <w:qFormat/>
    <w:uiPriority w:val="99"/>
    <w:pPr>
      <w:jc w:val="left"/>
    </w:pPr>
  </w:style>
  <w:style w:type="paragraph" w:styleId="9">
    <w:name w:val="footer"/>
    <w:basedOn w:val="1"/>
    <w:next w:val="1"/>
    <w:autoRedefine/>
    <w:qFormat/>
    <w:uiPriority w:val="0"/>
    <w:pPr>
      <w:tabs>
        <w:tab w:val="center" w:pos="4153"/>
        <w:tab w:val="right" w:pos="8306"/>
      </w:tabs>
      <w:snapToGrid w:val="0"/>
      <w:jc w:val="left"/>
    </w:pPr>
    <w:rPr>
      <w:rFonts w:ascii="Times New Roman" w:hAnsi="Times New Roman" w:eastAsia="宋体" w:cs="Times New Roman"/>
      <w:sz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tabs>
        <w:tab w:val="left" w:pos="284"/>
        <w:tab w:val="right" w:leader="dot" w:pos="8296"/>
      </w:tabs>
    </w:pPr>
  </w:style>
  <w:style w:type="paragraph" w:styleId="12">
    <w:name w:val="Body Text Indent 3"/>
    <w:basedOn w:val="1"/>
    <w:autoRedefine/>
    <w:unhideWhenUsed/>
    <w:qFormat/>
    <w:uiPriority w:val="0"/>
    <w:pPr>
      <w:ind w:firstLine="570"/>
    </w:pPr>
    <w:rPr>
      <w:szCs w:val="20"/>
    </w:rPr>
  </w:style>
  <w:style w:type="character" w:styleId="15">
    <w:name w:val="Hyperlink"/>
    <w:basedOn w:val="14"/>
    <w:autoRedefine/>
    <w:unhideWhenUsed/>
    <w:qFormat/>
    <w:uiPriority w:val="99"/>
    <w:rPr>
      <w:color w:val="0563C1" w:themeColor="hyperlink"/>
      <w:u w:val="single"/>
      <w14:textFill>
        <w14:solidFill>
          <w14:schemeClr w14:val="hlink"/>
        </w14:solidFill>
      </w14:textFill>
    </w:rPr>
  </w:style>
  <w:style w:type="character" w:customStyle="1" w:styleId="16">
    <w:name w:val="未处理的提及1"/>
    <w:basedOn w:val="14"/>
    <w:autoRedefine/>
    <w:semiHidden/>
    <w:unhideWhenUsed/>
    <w:qFormat/>
    <w:uiPriority w:val="99"/>
    <w:rPr>
      <w:color w:val="605E5C"/>
      <w:shd w:val="clear" w:color="auto" w:fill="E1DFDD"/>
    </w:rPr>
  </w:style>
  <w:style w:type="paragraph" w:customStyle="1" w:styleId="1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8">
    <w:name w:val="页眉 Char"/>
    <w:basedOn w:val="14"/>
    <w:link w:val="10"/>
    <w:autoRedefine/>
    <w:qFormat/>
    <w:uiPriority w:val="99"/>
    <w:rPr>
      <w:kern w:val="2"/>
      <w:sz w:val="18"/>
      <w:szCs w:val="18"/>
    </w:rPr>
  </w:style>
  <w:style w:type="paragraph" w:customStyle="1" w:styleId="19">
    <w:name w:val="表文"/>
    <w:basedOn w:val="1"/>
    <w:autoRedefine/>
    <w:qFormat/>
    <w:uiPriority w:val="0"/>
    <w:pPr>
      <w:overflowPunct w:val="0"/>
      <w:spacing w:line="440" w:lineRule="exact"/>
      <w:jc w:val="center"/>
      <w:textAlignment w:val="baseline"/>
    </w:pPr>
    <w:rPr>
      <w:rFonts w:ascii="Arial" w:hAnsi="Arial" w:eastAsia="宋体" w:cs="Times New Roman"/>
      <w:szCs w:val="20"/>
    </w:rPr>
  </w:style>
  <w:style w:type="paragraph" w:customStyle="1" w:styleId="20">
    <w:name w:val="样式 (符号) 宋体 小四 行距: 1.5 倍行距"/>
    <w:basedOn w:val="1"/>
    <w:autoRedefine/>
    <w:qFormat/>
    <w:uiPriority w:val="0"/>
    <w:pPr>
      <w:spacing w:line="360" w:lineRule="auto"/>
      <w:ind w:firstLine="200" w:firstLineChars="200"/>
    </w:pPr>
    <w:rPr>
      <w:rFonts w:ascii="Times New Roman" w:hAnsi="Times New Roman" w:eastAsia="宋体" w:cs="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6</Pages>
  <Words>370</Words>
  <Characters>2109</Characters>
  <Lines>17</Lines>
  <Paragraphs>4</Paragraphs>
  <TotalTime>2</TotalTime>
  <ScaleCrop>false</ScaleCrop>
  <LinksUpToDate>false</LinksUpToDate>
  <CharactersWithSpaces>2475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2023-01-29T20:14:00Z</dcterms:created>
  <dc:creator>hui hui</dc:creator>
  <cp:lastModifiedBy>zilchs</cp:lastModifiedBy>
  <dcterms:modified xsi:type="dcterms:W3CDTF">2024-04-07T08:51:00Z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AC487847DD644013BEFD2D1432376F06_13</vt:lpwstr>
  </property>
</Properties>
</file>