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b/>
          <w:bCs/>
          <w:sz w:val="32"/>
          <w:szCs w:val="32"/>
        </w:rPr>
      </w:pPr>
      <w:bookmarkStart w:id="0" w:name="_Hlk124747957"/>
    </w:p>
    <w:p>
      <w:pPr>
        <w:adjustRightInd w:val="0"/>
        <w:snapToGrid w:val="0"/>
        <w:spacing w:line="360" w:lineRule="auto"/>
        <w:jc w:val="center"/>
        <w:rPr>
          <w:b/>
          <w:bCs/>
          <w:sz w:val="32"/>
          <w:szCs w:val="32"/>
        </w:rPr>
      </w:pPr>
    </w:p>
    <w:p>
      <w:pPr>
        <w:pStyle w:val="3"/>
        <w:rPr>
          <w:b/>
          <w:bCs/>
          <w:sz w:val="32"/>
          <w:szCs w:val="32"/>
        </w:rPr>
      </w:pPr>
    </w:p>
    <w:p>
      <w:pPr>
        <w:rPr>
          <w:b/>
          <w:bCs/>
          <w:sz w:val="32"/>
          <w:szCs w:val="32"/>
        </w:rPr>
      </w:pPr>
    </w:p>
    <w:p>
      <w:pPr>
        <w:pStyle w:val="3"/>
        <w:rPr>
          <w:b/>
          <w:bCs/>
          <w:sz w:val="32"/>
          <w:szCs w:val="32"/>
        </w:rPr>
      </w:pPr>
    </w:p>
    <w:p>
      <w:pPr>
        <w:rPr>
          <w:b/>
          <w:bCs/>
          <w:sz w:val="32"/>
          <w:szCs w:val="32"/>
        </w:rPr>
      </w:pPr>
    </w:p>
    <w:p>
      <w:pPr>
        <w:pStyle w:val="3"/>
        <w:rPr>
          <w:b/>
          <w:bCs/>
          <w:sz w:val="32"/>
          <w:szCs w:val="32"/>
        </w:rPr>
      </w:pPr>
    </w:p>
    <w:p/>
    <w:p>
      <w:pPr>
        <w:pStyle w:val="3"/>
      </w:pPr>
    </w:p>
    <w:p/>
    <w:p>
      <w:pPr>
        <w:autoSpaceDE w:val="0"/>
        <w:autoSpaceDN w:val="0"/>
        <w:adjustRightInd w:val="0"/>
        <w:snapToGrid w:val="0"/>
        <w:spacing w:line="560" w:lineRule="exact"/>
        <w:ind w:firstLine="2240" w:firstLineChars="700"/>
        <w:jc w:val="left"/>
        <w:rPr>
          <w:rFonts w:hint="eastAsia" w:ascii="仿宋_GB2312" w:hAnsi="Times New Roman" w:eastAsia="仿宋_GB2312" w:cs="Arial"/>
          <w:color w:val="000000"/>
          <w:sz w:val="32"/>
          <w:szCs w:val="32"/>
          <w:highlight w:val="none"/>
          <w:lang w:bidi="en-US"/>
        </w:rPr>
      </w:pPr>
      <w:r>
        <w:rPr>
          <w:rFonts w:hint="eastAsia" w:ascii="仿宋_GB2312" w:hAnsi="Times New Roman" w:eastAsia="仿宋_GB2312" w:cs="Arial"/>
          <w:color w:val="000000"/>
          <w:sz w:val="32"/>
          <w:szCs w:val="32"/>
          <w:lang w:bidi="en-US"/>
        </w:rPr>
        <w:t>锡署环审书</w:t>
      </w:r>
      <w:r>
        <w:rPr>
          <w:rFonts w:hint="eastAsia" w:ascii="仿宋_GB2312" w:hAnsi="仿宋_GB2312" w:eastAsia="仿宋_GB2312" w:cs="仿宋_GB2312"/>
          <w:color w:val="000000"/>
          <w:sz w:val="32"/>
          <w:szCs w:val="32"/>
          <w:lang w:bidi="en-US"/>
        </w:rPr>
        <w:t>〔</w:t>
      </w:r>
      <w:r>
        <w:rPr>
          <w:rFonts w:hint="eastAsia" w:ascii="仿宋_GB2312" w:hAnsi="Times New Roman" w:eastAsia="仿宋_GB2312" w:cs="Arial"/>
          <w:color w:val="000000"/>
          <w:sz w:val="32"/>
          <w:szCs w:val="32"/>
          <w:lang w:bidi="en-US"/>
        </w:rPr>
        <w:t>202</w:t>
      </w:r>
      <w:r>
        <w:rPr>
          <w:rFonts w:hint="eastAsia" w:ascii="仿宋_GB2312" w:hAnsi="Times New Roman" w:eastAsia="仿宋_GB2312" w:cs="Arial"/>
          <w:color w:val="000000"/>
          <w:sz w:val="32"/>
          <w:szCs w:val="32"/>
          <w:highlight w:val="none"/>
          <w:lang w:val="en-US" w:eastAsia="zh-CN" w:bidi="en-US"/>
        </w:rPr>
        <w:t>4</w:t>
      </w:r>
      <w:r>
        <w:rPr>
          <w:rFonts w:hint="eastAsia" w:ascii="仿宋_GB2312" w:hAnsi="仿宋_GB2312" w:eastAsia="仿宋_GB2312" w:cs="仿宋_GB2312"/>
          <w:color w:val="000000"/>
          <w:sz w:val="32"/>
          <w:szCs w:val="32"/>
          <w:highlight w:val="none"/>
          <w:lang w:bidi="en-US"/>
        </w:rPr>
        <w:t>〕</w:t>
      </w:r>
      <w:r>
        <w:rPr>
          <w:rFonts w:hint="eastAsia" w:ascii="仿宋_GB2312" w:hAnsi="Times New Roman" w:eastAsia="仿宋_GB2312" w:cs="Arial"/>
          <w:color w:val="000000"/>
          <w:sz w:val="32"/>
          <w:szCs w:val="32"/>
          <w:highlight w:val="none"/>
          <w:lang w:val="en-US" w:eastAsia="zh-CN" w:bidi="en-US"/>
        </w:rPr>
        <w:t>14</w:t>
      </w:r>
      <w:r>
        <w:rPr>
          <w:rFonts w:hint="eastAsia" w:ascii="仿宋_GB2312" w:hAnsi="Times New Roman" w:eastAsia="仿宋_GB2312" w:cs="Arial"/>
          <w:color w:val="000000"/>
          <w:sz w:val="32"/>
          <w:szCs w:val="32"/>
          <w:highlight w:val="none"/>
          <w:lang w:bidi="en-US"/>
        </w:rPr>
        <w:t>号</w:t>
      </w:r>
    </w:p>
    <w:p>
      <w:pPr>
        <w:adjustRightInd w:val="0"/>
        <w:snapToGrid w:val="0"/>
        <w:spacing w:line="360" w:lineRule="auto"/>
        <w:jc w:val="center"/>
        <w:rPr>
          <w:b/>
          <w:bCs/>
          <w:sz w:val="32"/>
          <w:szCs w:val="32"/>
          <w:highlight w:val="none"/>
        </w:rPr>
      </w:pPr>
    </w:p>
    <w:p>
      <w:pPr>
        <w:widowControl/>
        <w:autoSpaceDE/>
        <w:autoSpaceDN/>
        <w:adjustRightInd/>
        <w:spacing w:line="700" w:lineRule="exact"/>
        <w:ind w:firstLine="0" w:firstLineChars="0"/>
        <w:jc w:val="center"/>
        <w:textAlignment w:val="baseline"/>
        <w:rPr>
          <w:rFonts w:hint="eastAsia" w:ascii="方正小标宋简体" w:hAnsi="方正小标宋简体" w:eastAsia="方正小标宋简体" w:cs="方正小标宋简体"/>
          <w:bCs/>
          <w:color w:val="auto"/>
          <w:sz w:val="44"/>
          <w:szCs w:val="44"/>
          <w:lang w:bidi="ar-SA"/>
        </w:rPr>
      </w:pPr>
      <w:r>
        <w:rPr>
          <w:rFonts w:hint="eastAsia" w:ascii="方正小标宋简体" w:hAnsi="方正小标宋简体" w:eastAsia="方正小标宋简体" w:cs="方正小标宋简体"/>
          <w:bCs/>
          <w:color w:val="auto"/>
          <w:sz w:val="44"/>
          <w:szCs w:val="44"/>
          <w:highlight w:val="none"/>
          <w:lang w:bidi="ar-SA"/>
        </w:rPr>
        <w:t>锡林郭勒盟生态环境</w:t>
      </w:r>
      <w:r>
        <w:rPr>
          <w:rFonts w:hint="eastAsia" w:ascii="方正小标宋简体" w:hAnsi="方正小标宋简体" w:eastAsia="方正小标宋简体" w:cs="方正小标宋简体"/>
          <w:bCs/>
          <w:color w:val="auto"/>
          <w:sz w:val="44"/>
          <w:szCs w:val="44"/>
          <w:lang w:bidi="ar-SA"/>
        </w:rPr>
        <w:t>局</w:t>
      </w:r>
    </w:p>
    <w:bookmarkEnd w:id="0"/>
    <w:p>
      <w:pPr>
        <w:widowControl/>
        <w:autoSpaceDE/>
        <w:autoSpaceDN/>
        <w:adjustRightInd/>
        <w:spacing w:line="700" w:lineRule="exact"/>
        <w:ind w:firstLine="0" w:firstLineChars="0"/>
        <w:jc w:val="center"/>
        <w:textAlignment w:val="baseline"/>
        <w:rPr>
          <w:rFonts w:hint="eastAsia" w:ascii="方正小标宋简体" w:hAnsi="方正小标宋简体" w:eastAsia="方正小标宋简体" w:cs="方正小标宋简体"/>
          <w:bCs/>
          <w:color w:val="auto"/>
          <w:sz w:val="44"/>
          <w:szCs w:val="44"/>
          <w:lang w:bidi="ar-SA"/>
        </w:rPr>
      </w:pPr>
      <w:r>
        <w:rPr>
          <w:rFonts w:hint="eastAsia" w:ascii="方正小标宋简体" w:hAnsi="方正小标宋简体" w:eastAsia="方正小标宋简体" w:cs="方正小标宋简体"/>
          <w:bCs/>
          <w:color w:val="auto"/>
          <w:sz w:val="44"/>
          <w:szCs w:val="44"/>
          <w:lang w:bidi="ar-SA"/>
        </w:rPr>
        <w:t>关于内蒙古晟运储能电子材料科技有限公司二连浩特5万吨/年负极材料项目</w:t>
      </w:r>
    </w:p>
    <w:p>
      <w:pPr>
        <w:widowControl/>
        <w:autoSpaceDE/>
        <w:autoSpaceDN/>
        <w:adjustRightInd/>
        <w:spacing w:line="700" w:lineRule="exact"/>
        <w:ind w:firstLine="0" w:firstLineChars="0"/>
        <w:jc w:val="center"/>
        <w:textAlignment w:val="baseline"/>
        <w:rPr>
          <w:rFonts w:hint="eastAsia" w:ascii="方正小标宋简体" w:hAnsi="方正小标宋简体" w:eastAsia="方正小标宋简体" w:cs="方正小标宋简体"/>
          <w:bCs/>
          <w:color w:val="auto"/>
          <w:sz w:val="44"/>
          <w:szCs w:val="44"/>
          <w:lang w:bidi="ar-SA"/>
        </w:rPr>
      </w:pPr>
      <w:r>
        <w:rPr>
          <w:rFonts w:hint="eastAsia" w:ascii="方正小标宋简体" w:hAnsi="方正小标宋简体" w:eastAsia="方正小标宋简体" w:cs="方正小标宋简体"/>
          <w:bCs/>
          <w:color w:val="auto"/>
          <w:sz w:val="44"/>
          <w:szCs w:val="44"/>
          <w:lang w:bidi="ar-SA"/>
        </w:rPr>
        <w:t>环境影响报告书的批复</w:t>
      </w:r>
    </w:p>
    <w:p>
      <w:pPr>
        <w:pStyle w:val="10"/>
      </w:pPr>
    </w:p>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rPr>
          <w:rFonts w:hint="eastAsia" w:ascii="仿宋_GB2312" w:hAnsi="仿宋_GB2312" w:eastAsia="仿宋_GB2312" w:cs="仿宋_GB2312"/>
          <w:color w:val="000000"/>
          <w:sz w:val="32"/>
          <w:szCs w:val="32"/>
          <w:lang w:val="en-US" w:eastAsia="zh-CN" w:bidi="en-US"/>
        </w:rPr>
      </w:pPr>
      <w:r>
        <w:rPr>
          <w:rFonts w:hint="eastAsia" w:ascii="仿宋_GB2312" w:hAnsi="仿宋_GB2312" w:eastAsia="仿宋_GB2312" w:cs="仿宋_GB2312"/>
          <w:color w:val="000000"/>
          <w:sz w:val="32"/>
          <w:szCs w:val="32"/>
          <w:lang w:val="en-US" w:eastAsia="zh-CN" w:bidi="en-US"/>
        </w:rPr>
        <w:t>内蒙古晟运储能电子材料科技有限公司：</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rPr>
          <w:rFonts w:hint="eastAsia" w:ascii="仿宋_GB2312" w:hAnsi="仿宋_GB2312" w:eastAsia="仿宋_GB2312" w:cs="仿宋_GB2312"/>
          <w:color w:val="000000"/>
          <w:sz w:val="32"/>
          <w:szCs w:val="32"/>
          <w:lang w:val="en-US" w:eastAsia="zh-CN" w:bidi="en-US"/>
        </w:rPr>
      </w:pPr>
      <w:r>
        <w:rPr>
          <w:rFonts w:hint="eastAsia" w:ascii="仿宋_GB2312" w:hAnsi="仿宋_GB2312" w:eastAsia="仿宋_GB2312" w:cs="仿宋_GB2312"/>
          <w:color w:val="000000"/>
          <w:sz w:val="32"/>
          <w:szCs w:val="32"/>
          <w:lang w:val="en-US" w:eastAsia="zh-CN" w:bidi="en-US"/>
        </w:rPr>
        <w:t>你公司报送的《内蒙古晟运储能电子材料科技有限公司二连浩特5万吨/年负极材料项目环境影响报告书》（以下简称《报告书》）收悉。经研究，批复如下：</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rPr>
          <w:rFonts w:hint="eastAsia" w:ascii="仿宋_GB2312" w:hAnsi="仿宋_GB2312" w:eastAsia="仿宋_GB2312" w:cs="仿宋_GB2312"/>
          <w:color w:val="000000"/>
          <w:sz w:val="32"/>
          <w:szCs w:val="32"/>
          <w:lang w:val="en-US" w:eastAsia="zh-CN" w:bidi="en-US"/>
        </w:rPr>
      </w:pPr>
      <w:r>
        <w:rPr>
          <w:rFonts w:hint="eastAsia" w:ascii="仿宋_GB2312" w:hAnsi="仿宋_GB2312" w:eastAsia="仿宋_GB2312" w:cs="仿宋_GB2312"/>
          <w:color w:val="000000"/>
          <w:sz w:val="32"/>
          <w:szCs w:val="32"/>
          <w:lang w:val="en-US" w:eastAsia="zh-CN" w:bidi="en-US"/>
        </w:rPr>
        <w:t>一、该项目位于内蒙古自治区锡林郭勒盟二连浩特市欧亚国际物流园区内，占地面积为400000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m</w:t>
      </w:r>
      <w:r>
        <w:rPr>
          <w:rFonts w:hint="eastAsia" w:ascii="仿宋_GB2312" w:hAnsi="仿宋_GB2312" w:eastAsia="仿宋_GB2312" w:cs="仿宋_GB2312"/>
          <w:color w:val="000000" w:themeColor="text1"/>
          <w:sz w:val="32"/>
          <w:szCs w:val="32"/>
          <w:highlight w:val="none"/>
          <w:vertAlign w:val="superscript"/>
          <w:lang w:val="en-US" w:eastAsia="zh-CN"/>
          <w14:textFill>
            <w14:solidFill>
              <w14:schemeClr w14:val="tx1"/>
            </w14:solidFill>
          </w14:textFill>
        </w:rPr>
        <w:t>2</w:t>
      </w:r>
      <w:r>
        <w:rPr>
          <w:rFonts w:hint="eastAsia" w:ascii="仿宋_GB2312" w:hAnsi="仿宋_GB2312" w:eastAsia="仿宋_GB2312" w:cs="仿宋_GB2312"/>
          <w:color w:val="000000"/>
          <w:sz w:val="32"/>
          <w:szCs w:val="32"/>
          <w:lang w:val="en-US" w:eastAsia="zh-CN" w:bidi="en-US"/>
        </w:rPr>
        <w:t>。建设内容主要包括原料库房、成品库房、原料预处理车间、包覆车间、预碳化车间、二次碳化车间、石墨化车间、成品车间及配套公辅工程等，年产负极材料5万吨，项目总投资167084万元，其中环保投资680万元，占项目总投资的0.41%。</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rPr>
          <w:rFonts w:hint="eastAsia" w:ascii="仿宋_GB2312" w:hAnsi="仿宋_GB2312" w:eastAsia="仿宋_GB2312" w:cs="仿宋_GB2312"/>
          <w:color w:val="000000"/>
          <w:sz w:val="32"/>
          <w:szCs w:val="32"/>
          <w:lang w:val="en-US" w:eastAsia="zh-CN" w:bidi="en-US"/>
        </w:rPr>
      </w:pPr>
      <w:r>
        <w:rPr>
          <w:rFonts w:hint="eastAsia" w:ascii="仿宋_GB2312" w:hAnsi="仿宋_GB2312" w:eastAsia="仿宋_GB2312" w:cs="仿宋_GB2312"/>
          <w:color w:val="000000"/>
          <w:sz w:val="32"/>
          <w:szCs w:val="32"/>
          <w:lang w:val="en-US" w:eastAsia="zh-CN" w:bidi="en-US"/>
        </w:rPr>
        <w:t>《报告书》认为，在全面落实各项生态保护和污染防治措施的前提下，项目建</w:t>
      </w:r>
      <w:r>
        <w:rPr>
          <w:rFonts w:hint="eastAsia" w:ascii="仿宋_GB2312" w:hAnsi="仿宋_GB2312" w:eastAsia="仿宋_GB2312" w:cs="仿宋_GB2312"/>
          <w:color w:val="000000"/>
          <w:sz w:val="32"/>
          <w:szCs w:val="32"/>
          <w:highlight w:val="none"/>
          <w:lang w:val="en-US" w:eastAsia="zh-CN" w:bidi="en-US"/>
        </w:rPr>
        <w:t>设对环境的不利影响能够得到一定的缓解和控制。因此，我局原则同意本项目按照《报告书》所列的建设项目性质、规模、地</w:t>
      </w:r>
      <w:r>
        <w:rPr>
          <w:rFonts w:hint="eastAsia" w:ascii="仿宋_GB2312" w:hAnsi="仿宋_GB2312" w:eastAsia="仿宋_GB2312" w:cs="仿宋_GB2312"/>
          <w:color w:val="000000"/>
          <w:sz w:val="32"/>
          <w:szCs w:val="32"/>
          <w:lang w:val="en-US" w:eastAsia="zh-CN" w:bidi="en-US"/>
        </w:rPr>
        <w:t>点和拟采取的污染防治措施及下述要求进行建设。</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left="0" w:leftChars="0" w:firstLine="640" w:firstLineChars="200"/>
        <w:rPr>
          <w:rFonts w:hint="eastAsia" w:ascii="仿宋_GB2312" w:hAnsi="仿宋_GB2312" w:eastAsia="仿宋_GB2312" w:cs="仿宋_GB2312"/>
          <w:color w:val="000000"/>
          <w:sz w:val="32"/>
          <w:szCs w:val="32"/>
          <w:lang w:val="en-US" w:eastAsia="zh-CN" w:bidi="en-US"/>
        </w:rPr>
      </w:pPr>
      <w:r>
        <w:rPr>
          <w:rFonts w:hint="eastAsia" w:ascii="仿宋_GB2312" w:hAnsi="仿宋_GB2312" w:eastAsia="仿宋_GB2312" w:cs="仿宋_GB2312"/>
          <w:color w:val="000000"/>
          <w:sz w:val="32"/>
          <w:szCs w:val="32"/>
          <w:lang w:val="en-US" w:eastAsia="zh-CN" w:bidi="en-US"/>
        </w:rPr>
        <w:t>项目在设计、建设和运营过程中还应做好以下工作。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rPr>
          <w:rFonts w:hint="eastAsia" w:ascii="仿宋_GB2312" w:hAnsi="仿宋_GB2312" w:eastAsia="仿宋_GB2312" w:cs="仿宋_GB2312"/>
          <w:color w:val="000000"/>
          <w:sz w:val="32"/>
          <w:szCs w:val="32"/>
          <w:lang w:val="en-US" w:eastAsia="zh-CN" w:bidi="en-US"/>
        </w:rPr>
      </w:pPr>
      <w:r>
        <w:rPr>
          <w:rFonts w:hint="eastAsia" w:ascii="楷体" w:hAnsi="楷体" w:eastAsia="楷体" w:cs="楷体"/>
          <w:color w:val="000000"/>
          <w:sz w:val="32"/>
          <w:szCs w:val="32"/>
          <w:lang w:val="en-US" w:eastAsia="zh-CN" w:bidi="en-US"/>
        </w:rPr>
        <w:t>（一）严格落实各项大气污染防治措施。</w:t>
      </w:r>
      <w:r>
        <w:rPr>
          <w:rFonts w:hint="eastAsia" w:ascii="仿宋_GB2312" w:hAnsi="仿宋_GB2312" w:eastAsia="仿宋_GB2312" w:cs="仿宋_GB2312"/>
          <w:color w:val="000000"/>
          <w:sz w:val="32"/>
          <w:szCs w:val="32"/>
          <w:lang w:val="en-US" w:eastAsia="zh-CN" w:bidi="en-US"/>
        </w:rPr>
        <w:t>该项目有组织废气主要污染因子包括颗粒物、SO</w:t>
      </w:r>
      <w:r>
        <w:rPr>
          <w:rFonts w:hint="eastAsia" w:ascii="仿宋_GB2312" w:hAnsi="仿宋_GB2312" w:eastAsia="仿宋_GB2312" w:cs="仿宋_GB2312"/>
          <w:color w:val="000000"/>
          <w:sz w:val="32"/>
          <w:szCs w:val="32"/>
          <w:vertAlign w:val="subscript"/>
          <w:lang w:val="en-US" w:eastAsia="zh-CN" w:bidi="en-US"/>
        </w:rPr>
        <w:t>2</w:t>
      </w:r>
      <w:r>
        <w:rPr>
          <w:rFonts w:hint="eastAsia" w:ascii="仿宋_GB2312" w:hAnsi="仿宋_GB2312" w:eastAsia="仿宋_GB2312" w:cs="仿宋_GB2312"/>
          <w:color w:val="000000"/>
          <w:sz w:val="32"/>
          <w:szCs w:val="32"/>
          <w:lang w:val="en-US" w:eastAsia="zh-CN" w:bidi="en-US"/>
        </w:rPr>
        <w:t>、NOx、沥青烟、苯并[a]芘、非甲烷总烃等，其中投料及破碎粉尘、粉碎粉尘、筛分粉尘、干燥废气主要污染因子为颗粒物，经各自袋式除尘器处理后排放；造粒包覆废气主要污染物为沥青烟、苯并[a]芘、非甲烷总烃，废气经密闭负压收集系统收集后送热风炉焚烧，尾气经电捕焦油器+袋式除尘器+双碱法脱硫处理后排放；预碳化废气、二次碳化废气主要污染因子为颗粒物、SO</w:t>
      </w:r>
      <w:r>
        <w:rPr>
          <w:rFonts w:hint="eastAsia" w:ascii="仿宋_GB2312" w:hAnsi="仿宋_GB2312" w:eastAsia="仿宋_GB2312" w:cs="仿宋_GB2312"/>
          <w:color w:val="000000"/>
          <w:sz w:val="32"/>
          <w:szCs w:val="32"/>
          <w:vertAlign w:val="subscript"/>
          <w:lang w:val="en-US" w:eastAsia="zh-CN" w:bidi="en-US"/>
        </w:rPr>
        <w:t>2</w:t>
      </w:r>
      <w:r>
        <w:rPr>
          <w:rFonts w:hint="eastAsia" w:ascii="仿宋_GB2312" w:hAnsi="仿宋_GB2312" w:eastAsia="仿宋_GB2312" w:cs="仿宋_GB2312"/>
          <w:color w:val="000000"/>
          <w:sz w:val="32"/>
          <w:szCs w:val="32"/>
          <w:lang w:val="en-US" w:eastAsia="zh-CN" w:bidi="en-US"/>
        </w:rPr>
        <w:t>、NOx、非甲烷总烃、沥青烟、苯并[a]芘，废气经密闭负压收集系统收集后送热风炉焚烧，尾气经电捕焦油器+袋式除尘器+双碱法脱硫处理后排放；热风炉烟气主要污染因子为颗粒物、SO</w:t>
      </w:r>
      <w:r>
        <w:rPr>
          <w:rFonts w:hint="eastAsia" w:ascii="仿宋_GB2312" w:hAnsi="仿宋_GB2312" w:eastAsia="仿宋_GB2312" w:cs="仿宋_GB2312"/>
          <w:color w:val="000000"/>
          <w:sz w:val="32"/>
          <w:szCs w:val="32"/>
          <w:vertAlign w:val="subscript"/>
          <w:lang w:val="en-US" w:eastAsia="zh-CN" w:bidi="en-US"/>
        </w:rPr>
        <w:t>2</w:t>
      </w:r>
      <w:r>
        <w:rPr>
          <w:rFonts w:hint="eastAsia" w:ascii="仿宋_GB2312" w:hAnsi="仿宋_GB2312" w:eastAsia="仿宋_GB2312" w:cs="仿宋_GB2312"/>
          <w:color w:val="000000"/>
          <w:sz w:val="32"/>
          <w:szCs w:val="32"/>
          <w:lang w:val="en-US" w:eastAsia="zh-CN" w:bidi="en-US"/>
        </w:rPr>
        <w:t>、NOx，热风炉尾气经电捕焦油器+袋式除尘器+双碱法脱硫处理后排放；石墨化废气主要污染因子为颗粒物、SO</w:t>
      </w:r>
      <w:r>
        <w:rPr>
          <w:rFonts w:hint="eastAsia" w:ascii="仿宋_GB2312" w:hAnsi="仿宋_GB2312" w:eastAsia="仿宋_GB2312" w:cs="仿宋_GB2312"/>
          <w:color w:val="000000"/>
          <w:sz w:val="32"/>
          <w:szCs w:val="32"/>
          <w:vertAlign w:val="subscript"/>
          <w:lang w:val="en-US" w:eastAsia="zh-CN" w:bidi="en-US"/>
        </w:rPr>
        <w:t>2</w:t>
      </w:r>
      <w:r>
        <w:rPr>
          <w:rFonts w:hint="eastAsia" w:ascii="仿宋_GB2312" w:hAnsi="仿宋_GB2312" w:eastAsia="仿宋_GB2312" w:cs="仿宋_GB2312"/>
          <w:color w:val="000000"/>
          <w:sz w:val="32"/>
          <w:szCs w:val="32"/>
          <w:lang w:val="en-US" w:eastAsia="zh-CN" w:bidi="en-US"/>
        </w:rPr>
        <w:t>、NOx，废气经袋式除尘器+双碱法脱硫处理后排放；解聚分级废气、保温料筛分废气主要污染物为颗粒物，经各自袋式除尘器处理后排放。该项目对各环节产生的废气采取了技术可行、经济合理及可操作性较强的治理方案。该项目碳化、石墨化等废气中颗粒物排放执行《工业炉窑大气污染物排放标准》（GB9078-1996）表2染物排放浓度限值，其他废气排放执行《大气污染物综合排放标准》（GB16297-1996）表2新污染源大气污染物排放限值二级标准及无组织监控浓度限值。</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rPr>
          <w:rFonts w:hint="eastAsia" w:ascii="仿宋_GB2312" w:hAnsi="仿宋_GB2312" w:eastAsia="仿宋_GB2312" w:cs="仿宋_GB2312"/>
          <w:color w:val="000000"/>
          <w:sz w:val="32"/>
          <w:szCs w:val="32"/>
          <w:lang w:val="en-US" w:eastAsia="zh-CN" w:bidi="en-US"/>
        </w:rPr>
      </w:pPr>
      <w:r>
        <w:rPr>
          <w:rFonts w:hint="eastAsia" w:ascii="楷体" w:hAnsi="楷体" w:eastAsia="楷体" w:cs="楷体"/>
          <w:color w:val="000000"/>
          <w:sz w:val="32"/>
          <w:szCs w:val="32"/>
          <w:lang w:val="en-US" w:eastAsia="zh-CN" w:bidi="en-US"/>
        </w:rPr>
        <w:t>（二）严格落实固体废物污染防治措施。</w:t>
      </w:r>
      <w:r>
        <w:rPr>
          <w:rFonts w:hint="eastAsia" w:ascii="仿宋_GB2312" w:hAnsi="仿宋_GB2312" w:eastAsia="仿宋_GB2312" w:cs="仿宋_GB2312"/>
          <w:color w:val="000000"/>
          <w:sz w:val="32"/>
          <w:szCs w:val="32"/>
          <w:lang w:val="en-US" w:eastAsia="zh-CN" w:bidi="en-US"/>
        </w:rPr>
        <w:t>该项目设有1座建筑面积300m</w:t>
      </w:r>
      <w:r>
        <w:rPr>
          <w:rFonts w:hint="eastAsia" w:ascii="仿宋_GB2312" w:hAnsi="仿宋_GB2312" w:eastAsia="仿宋_GB2312" w:cs="仿宋_GB2312"/>
          <w:color w:val="000000"/>
          <w:sz w:val="32"/>
          <w:szCs w:val="32"/>
          <w:vertAlign w:val="superscript"/>
          <w:lang w:val="en-US" w:eastAsia="zh-CN" w:bidi="en-US"/>
        </w:rPr>
        <w:t>2</w:t>
      </w:r>
      <w:r>
        <w:rPr>
          <w:rFonts w:hint="eastAsia" w:ascii="仿宋_GB2312" w:hAnsi="仿宋_GB2312" w:eastAsia="仿宋_GB2312" w:cs="仿宋_GB2312"/>
          <w:color w:val="000000"/>
          <w:sz w:val="32"/>
          <w:szCs w:val="32"/>
          <w:lang w:val="en-US" w:eastAsia="zh-CN" w:bidi="en-US"/>
        </w:rPr>
        <w:t>一般固废暂存库、1座建筑面积150m</w:t>
      </w:r>
      <w:r>
        <w:rPr>
          <w:rFonts w:hint="eastAsia" w:ascii="仿宋_GB2312" w:hAnsi="仿宋_GB2312" w:eastAsia="仿宋_GB2312" w:cs="仿宋_GB2312"/>
          <w:color w:val="000000"/>
          <w:sz w:val="32"/>
          <w:szCs w:val="32"/>
          <w:vertAlign w:val="superscript"/>
          <w:lang w:val="en-US" w:eastAsia="zh-CN" w:bidi="en-US"/>
        </w:rPr>
        <w:t>2</w:t>
      </w:r>
      <w:r>
        <w:rPr>
          <w:rFonts w:hint="eastAsia" w:ascii="仿宋_GB2312" w:hAnsi="仿宋_GB2312" w:eastAsia="仿宋_GB2312" w:cs="仿宋_GB2312"/>
          <w:color w:val="000000"/>
          <w:sz w:val="32"/>
          <w:szCs w:val="32"/>
          <w:lang w:val="en-US" w:eastAsia="zh-CN" w:bidi="en-US"/>
        </w:rPr>
        <w:t>危废暂存库。除尘灰、脱硫石膏、废树脂、废耐火材料等的暂存于一般固废暂存库，除尘灰回用于生产，不外排；脱硫石膏外售处置；废树脂、废耐火材料由厂家回收再生；废焦油、废矿物油等的暂存于危废暂存库，委托有资质单位处理；生活垃圾由垃圾收集箱收集，委托园区环卫部门处理。项目须在厂区内配套建设足够容量的一般固废临时贮存库和危险废物临时贮存库，严格按照《一般工业固体废物贮存、处置场污染控制标准》（GB18599-2020）和《危险废物贮存污染控制标准》（GB18597-2023）要求进行管理。</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rPr>
          <w:rFonts w:hint="eastAsia" w:ascii="仿宋_GB2312" w:hAnsi="仿宋_GB2312" w:eastAsia="仿宋_GB2312" w:cs="仿宋_GB2312"/>
          <w:color w:val="000000"/>
          <w:sz w:val="32"/>
          <w:szCs w:val="32"/>
          <w:lang w:val="en-US" w:eastAsia="zh-CN" w:bidi="en-US"/>
        </w:rPr>
      </w:pPr>
      <w:r>
        <w:rPr>
          <w:rFonts w:hint="eastAsia" w:ascii="楷体" w:hAnsi="楷体" w:eastAsia="楷体" w:cs="楷体"/>
          <w:color w:val="000000"/>
          <w:sz w:val="32"/>
          <w:szCs w:val="32"/>
          <w:lang w:val="en-US" w:eastAsia="zh-CN" w:bidi="en-US"/>
        </w:rPr>
        <w:t>（三）严格落实各项水污染防治措施。</w:t>
      </w:r>
      <w:r>
        <w:rPr>
          <w:rFonts w:hint="eastAsia" w:ascii="仿宋_GB2312" w:hAnsi="仿宋_GB2312" w:eastAsia="仿宋_GB2312" w:cs="仿宋_GB2312"/>
          <w:color w:val="000000"/>
          <w:sz w:val="32"/>
          <w:szCs w:val="32"/>
          <w:lang w:val="en-US" w:eastAsia="zh-CN" w:bidi="en-US"/>
        </w:rPr>
        <w:t>该项目软水系统排污水、循环冷却水系统排污水作为脱硫系统补充水使用，不外排；脱硫系统排污水作为石墨化阶段保温料筛分工段袋式除尘器除尘下灰拌湿用水使用，不外排；生活污水经厂区化粪池预处理后拉运至二连浩特市城市污水处理厂处理。</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rPr>
          <w:rFonts w:hint="eastAsia" w:ascii="仿宋_GB2312" w:hAnsi="仿宋_GB2312" w:eastAsia="仿宋_GB2312" w:cs="仿宋_GB2312"/>
          <w:color w:val="000000"/>
          <w:sz w:val="32"/>
          <w:szCs w:val="32"/>
          <w:lang w:val="en-US" w:eastAsia="zh-CN" w:bidi="en-US"/>
        </w:rPr>
      </w:pPr>
      <w:r>
        <w:rPr>
          <w:rFonts w:hint="eastAsia" w:ascii="楷体" w:hAnsi="楷体" w:eastAsia="楷体" w:cs="楷体"/>
          <w:color w:val="000000"/>
          <w:sz w:val="32"/>
          <w:szCs w:val="32"/>
          <w:lang w:val="en-US" w:eastAsia="zh-CN" w:bidi="en-US"/>
        </w:rPr>
        <w:t>（四）严格落实噪声防治措施。</w:t>
      </w:r>
      <w:r>
        <w:rPr>
          <w:rFonts w:hint="eastAsia" w:ascii="仿宋_GB2312" w:hAnsi="仿宋_GB2312" w:eastAsia="仿宋_GB2312" w:cs="仿宋_GB2312"/>
          <w:color w:val="000000"/>
          <w:sz w:val="32"/>
          <w:szCs w:val="32"/>
          <w:lang w:val="en-US" w:eastAsia="zh-CN" w:bidi="en-US"/>
        </w:rPr>
        <w:t>选用低噪声设备，按要求采取减震、消音、隔音措施，合理布局以及加强厂区绿化等措施。通过采取这些措施后，能将项目生产对周围声环境的影响降到最低程度，确保厂界噪声满足《工业企业厂界环境噪声排放标准》（GB12348-2008）标准要求。</w:t>
      </w:r>
    </w:p>
    <w:p>
      <w:pPr>
        <w:keepNext w:val="0"/>
        <w:keepLines w:val="0"/>
        <w:pageBreakBefore w:val="0"/>
        <w:widowControl/>
        <w:kinsoku/>
        <w:wordWrap/>
        <w:overflowPunct/>
        <w:topLinePunct w:val="0"/>
        <w:bidi w:val="0"/>
        <w:spacing w:line="560" w:lineRule="exact"/>
        <w:ind w:firstLine="640" w:firstLineChars="200"/>
        <w:textAlignment w:val="auto"/>
        <w:rPr>
          <w:rFonts w:ascii="仿宋_GB2312" w:hAnsi="仿宋_GB2312" w:eastAsia="仿宋_GB2312" w:cs="仿宋_GB2312"/>
          <w:color w:val="000000"/>
          <w:sz w:val="32"/>
          <w:szCs w:val="32"/>
        </w:rPr>
      </w:pPr>
      <w:r>
        <w:rPr>
          <w:rFonts w:hint="eastAsia" w:ascii="楷体" w:hAnsi="楷体" w:eastAsia="楷体" w:cs="楷体"/>
          <w:color w:val="000000"/>
          <w:sz w:val="32"/>
          <w:szCs w:val="32"/>
          <w:lang w:bidi="en-US"/>
        </w:rPr>
        <w:t>（</w:t>
      </w:r>
      <w:r>
        <w:rPr>
          <w:rFonts w:hint="eastAsia" w:ascii="楷体" w:hAnsi="楷体" w:eastAsia="楷体" w:cs="楷体"/>
          <w:color w:val="000000"/>
          <w:sz w:val="32"/>
          <w:szCs w:val="32"/>
          <w:lang w:val="en-US" w:eastAsia="zh-CN" w:bidi="en-US"/>
        </w:rPr>
        <w:t>五</w:t>
      </w:r>
      <w:r>
        <w:rPr>
          <w:rFonts w:hint="eastAsia" w:ascii="楷体" w:hAnsi="楷体" w:eastAsia="楷体" w:cs="楷体"/>
          <w:color w:val="000000"/>
          <w:sz w:val="32"/>
          <w:szCs w:val="32"/>
          <w:lang w:bidi="en-US"/>
        </w:rPr>
        <w:t>）严格落实环境风险防治措施。</w:t>
      </w:r>
      <w:r>
        <w:rPr>
          <w:rFonts w:hint="eastAsia" w:ascii="仿宋_GB2312" w:hAnsi="仿宋_GB2312" w:eastAsia="仿宋_GB2312" w:cs="仿宋_GB2312"/>
          <w:color w:val="000000"/>
          <w:sz w:val="32"/>
          <w:szCs w:val="32"/>
          <w:lang w:val="en-US" w:eastAsia="zh-CN" w:bidi="en-US"/>
        </w:rPr>
        <w:t>严格按照</w:t>
      </w:r>
      <w:r>
        <w:rPr>
          <w:rFonts w:hint="eastAsia" w:ascii="仿宋_GB2312" w:hAnsi="仿宋_GB2312" w:eastAsia="仿宋_GB2312" w:cs="仿宋_GB2312"/>
          <w:color w:val="000000"/>
          <w:sz w:val="32"/>
          <w:szCs w:val="32"/>
          <w:lang w:eastAsia="zh-CN" w:bidi="en-US"/>
        </w:rPr>
        <w:t>《危险废物贮存污染控制标准》（GB18597-2023）</w:t>
      </w:r>
      <w:r>
        <w:rPr>
          <w:rFonts w:hint="eastAsia" w:ascii="仿宋_GB2312" w:hAnsi="仿宋_GB2312" w:eastAsia="仿宋_GB2312" w:cs="仿宋_GB2312"/>
          <w:color w:val="000000"/>
          <w:sz w:val="32"/>
          <w:szCs w:val="32"/>
          <w:lang w:val="en-US" w:eastAsia="zh-CN" w:bidi="en-US"/>
        </w:rPr>
        <w:t>建设</w:t>
      </w:r>
      <w:r>
        <w:rPr>
          <w:rFonts w:hint="eastAsia" w:ascii="仿宋_GB2312" w:hAnsi="仿宋_GB2312" w:eastAsia="仿宋_GB2312" w:cs="仿宋_GB2312"/>
          <w:color w:val="000000"/>
          <w:sz w:val="32"/>
          <w:szCs w:val="32"/>
          <w:lang w:eastAsia="zh-CN" w:bidi="en-US"/>
        </w:rPr>
        <w:t>专用的危险废物贮存设施；加强生产过程设备的管理与维修，防止跑、冒、滴、漏现象的发生；在有可能泄漏可燃气体的部位设置可燃气探测器和通风除臭系统，一旦发生泄漏及时报警，全厂区安装视频监控设施；建立完善的环境监督制度和事故应急措施，制定切实可行的环境风险应急预案，加强对</w:t>
      </w:r>
      <w:r>
        <w:rPr>
          <w:rFonts w:hint="eastAsia" w:ascii="仿宋_GB2312" w:hAnsi="仿宋_GB2312" w:eastAsia="仿宋_GB2312" w:cs="仿宋_GB2312"/>
          <w:color w:val="000000"/>
          <w:sz w:val="32"/>
          <w:szCs w:val="32"/>
          <w:lang w:val="en-US" w:eastAsia="zh-CN" w:bidi="en-US"/>
        </w:rPr>
        <w:t>固体废物和危险废物</w:t>
      </w:r>
      <w:r>
        <w:rPr>
          <w:rFonts w:hint="eastAsia" w:ascii="仿宋_GB2312" w:hAnsi="仿宋_GB2312" w:eastAsia="仿宋_GB2312" w:cs="仿宋_GB2312"/>
          <w:color w:val="000000"/>
          <w:sz w:val="32"/>
          <w:szCs w:val="32"/>
          <w:lang w:eastAsia="zh-CN" w:bidi="en-US"/>
        </w:rPr>
        <w:t>的收集、运输、贮存过程和对处置工程主体装置、环保设施的运行管理；严格落实风险防范措施和应急预案，切实杜绝环境风险事故。</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ascii="仿宋_GB2312" w:hAnsi="仿宋_GB2312" w:eastAsia="仿宋_GB2312" w:cs="仿宋_GB2312"/>
          <w:color w:val="000000"/>
          <w:sz w:val="32"/>
          <w:szCs w:val="32"/>
        </w:rPr>
      </w:pPr>
      <w:r>
        <w:rPr>
          <w:rFonts w:hint="eastAsia" w:ascii="楷体" w:hAnsi="楷体" w:eastAsia="楷体" w:cs="楷体"/>
          <w:color w:val="000000"/>
          <w:sz w:val="32"/>
          <w:szCs w:val="32"/>
          <w:lang w:bidi="en-US"/>
        </w:rPr>
        <w:t>（</w:t>
      </w:r>
      <w:r>
        <w:rPr>
          <w:rFonts w:hint="eastAsia" w:ascii="楷体" w:hAnsi="楷体" w:eastAsia="楷体" w:cs="楷体"/>
          <w:color w:val="000000"/>
          <w:sz w:val="32"/>
          <w:szCs w:val="32"/>
          <w:lang w:val="en-US" w:eastAsia="zh-CN" w:bidi="en-US"/>
        </w:rPr>
        <w:t>六</w:t>
      </w:r>
      <w:r>
        <w:rPr>
          <w:rFonts w:hint="eastAsia" w:ascii="楷体" w:hAnsi="楷体" w:eastAsia="楷体" w:cs="楷体"/>
          <w:color w:val="000000"/>
          <w:sz w:val="32"/>
          <w:szCs w:val="32"/>
          <w:lang w:bidi="en-US"/>
        </w:rPr>
        <w:t>）严格落实运营期污染源监测计划。</w:t>
      </w:r>
      <w:r>
        <w:rPr>
          <w:rFonts w:ascii="仿宋_GB2312" w:hAnsi="仿宋_GB2312" w:eastAsia="仿宋_GB2312" w:cs="仿宋_GB2312"/>
          <w:color w:val="000000"/>
          <w:sz w:val="32"/>
          <w:szCs w:val="32"/>
        </w:rPr>
        <w:t>按照</w:t>
      </w:r>
      <w:r>
        <w:rPr>
          <w:rFonts w:hint="eastAsia" w:ascii="仿宋_GB2312" w:hAnsi="仿宋_GB2312" w:eastAsia="仿宋_GB2312" w:cs="仿宋_GB2312"/>
          <w:color w:val="000000"/>
          <w:sz w:val="32"/>
          <w:szCs w:val="32"/>
        </w:rPr>
        <w:t>国家和地方有关规定设置规范的污染物排放口，并设立标志牌。按照相关标准、规范等要求，落实《报告书》提出的环境管理及监测计划，安装自动连续监测等感知端系统，并与生态环境部门联网。强化污染源与无组织排放源管理，制定自行监测方案，落实环境管理与监测计划，按规定开展自行监测和信息公开。各排气筒应按照规范要求预留永久性监测口和采样监测平台。如出现污染物超标情况，应立即查明原因并采取进一步污染物减排措施。</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bidi="en-US"/>
        </w:rPr>
      </w:pPr>
      <w:r>
        <w:rPr>
          <w:rFonts w:hint="eastAsia" w:ascii="楷体" w:hAnsi="楷体" w:eastAsia="楷体" w:cs="楷体"/>
          <w:color w:val="000000"/>
          <w:sz w:val="32"/>
          <w:szCs w:val="32"/>
          <w:lang w:bidi="en-US"/>
        </w:rPr>
        <w:t>（</w:t>
      </w:r>
      <w:r>
        <w:rPr>
          <w:rFonts w:hint="eastAsia" w:ascii="楷体" w:hAnsi="楷体" w:eastAsia="楷体" w:cs="楷体"/>
          <w:color w:val="000000"/>
          <w:sz w:val="32"/>
          <w:szCs w:val="32"/>
          <w:lang w:val="en-US" w:eastAsia="zh-CN" w:bidi="en-US"/>
        </w:rPr>
        <w:t>七</w:t>
      </w:r>
      <w:r>
        <w:rPr>
          <w:rFonts w:hint="eastAsia" w:ascii="楷体" w:hAnsi="楷体" w:eastAsia="楷体" w:cs="楷体"/>
          <w:color w:val="000000"/>
          <w:sz w:val="32"/>
          <w:szCs w:val="32"/>
          <w:lang w:bidi="en-US"/>
        </w:rPr>
        <w:t>）建立畅通的公众参与平台。</w:t>
      </w:r>
      <w:r>
        <w:rPr>
          <w:rFonts w:hint="eastAsia" w:ascii="仿宋_GB2312" w:hAnsi="仿宋_GB2312" w:eastAsia="仿宋_GB2312" w:cs="仿宋_GB2312"/>
          <w:color w:val="000000"/>
          <w:sz w:val="32"/>
          <w:szCs w:val="32"/>
        </w:rPr>
        <w:t>加强宣传和沟通工作，关注周边居民意见，及时解决公众担忧的环境问题，满足公众合理的环境诉求。</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rPr>
          <w:rFonts w:hint="eastAsia" w:ascii="仿宋_GB2312" w:hAnsi="仿宋_GB2312" w:eastAsia="仿宋_GB2312" w:cs="仿宋_GB2312"/>
          <w:color w:val="000000"/>
          <w:sz w:val="32"/>
          <w:szCs w:val="32"/>
          <w:highlight w:val="none"/>
          <w:lang w:val="en-US" w:eastAsia="zh-CN" w:bidi="en-US"/>
        </w:rPr>
      </w:pPr>
      <w:r>
        <w:rPr>
          <w:rFonts w:hint="eastAsia" w:ascii="仿宋_GB2312" w:hAnsi="仿宋_GB2312" w:eastAsia="仿宋_GB2312" w:cs="仿宋_GB2312"/>
          <w:color w:val="000000"/>
          <w:sz w:val="32"/>
          <w:szCs w:val="32"/>
          <w:lang w:val="en-US" w:eastAsia="zh-CN" w:bidi="en-US"/>
        </w:rPr>
        <w:t>三、项目建设必须严格执行配套的环境保护设施与主体工程同时设计、同时施工、同时投产使用的环境保护“三同时”制度。严格落实污染防治措施设计要求。应将优化和细化后的各项污染防治措施及概算纳入设计以及施工等招标文件及合同，并明确责任。按规定程序实施竣工环境</w:t>
      </w:r>
      <w:r>
        <w:rPr>
          <w:rFonts w:hint="eastAsia" w:ascii="仿宋_GB2312" w:hAnsi="仿宋_GB2312" w:eastAsia="仿宋_GB2312" w:cs="仿宋_GB2312"/>
          <w:color w:val="000000"/>
          <w:sz w:val="32"/>
          <w:szCs w:val="32"/>
          <w:highlight w:val="none"/>
          <w:lang w:val="en-US" w:eastAsia="zh-CN" w:bidi="en-US"/>
        </w:rPr>
        <w:t>保护验收。</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rPr>
          <w:rFonts w:hint="eastAsia" w:ascii="仿宋_GB2312" w:hAnsi="仿宋_GB2312" w:eastAsia="仿宋_GB2312" w:cs="仿宋_GB2312"/>
          <w:color w:val="000000"/>
          <w:sz w:val="32"/>
          <w:szCs w:val="32"/>
          <w:highlight w:val="none"/>
          <w:lang w:val="en-US" w:eastAsia="zh-CN" w:bidi="en-US"/>
        </w:rPr>
      </w:pPr>
      <w:r>
        <w:rPr>
          <w:rFonts w:hint="eastAsia" w:ascii="仿宋_GB2312" w:hAnsi="仿宋_GB2312" w:eastAsia="仿宋_GB2312" w:cs="仿宋_GB2312"/>
          <w:color w:val="000000"/>
          <w:sz w:val="32"/>
          <w:szCs w:val="32"/>
          <w:highlight w:val="none"/>
          <w:lang w:val="en-US" w:eastAsia="zh-CN" w:bidi="en-US"/>
        </w:rPr>
        <w:t>四、我公司委托锡林郭勒盟生态环境局二连浩特分局对该项目各项污染防治措施落实情况进行监督检查和管理。</w:t>
      </w:r>
    </w:p>
    <w:p>
      <w:pPr>
        <w:keepNext w:val="0"/>
        <w:keepLines w:val="0"/>
        <w:pageBreakBefore w:val="0"/>
        <w:widowControl w:val="0"/>
        <w:kinsoku/>
        <w:wordWrap/>
        <w:overflowPunct/>
        <w:topLinePunct w:val="0"/>
        <w:bidi w:val="0"/>
        <w:adjustRightInd w:val="0"/>
        <w:snapToGrid w:val="0"/>
        <w:spacing w:line="560" w:lineRule="exact"/>
        <w:ind w:left="0" w:leftChars="0"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val="0"/>
        <w:snapToGrid w:val="0"/>
        <w:spacing w:line="560" w:lineRule="exact"/>
        <w:ind w:left="0" w:leftChars="0"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4480" w:firstLineChars="1400"/>
        <w:rPr>
          <w:rFonts w:hint="eastAsia" w:ascii="仿宋_GB2312" w:hAnsi="仿宋_GB2312" w:eastAsia="仿宋_GB2312" w:cs="仿宋_GB2312"/>
          <w:color w:val="000000"/>
          <w:sz w:val="32"/>
          <w:szCs w:val="32"/>
          <w:highlight w:val="none"/>
          <w:lang w:bidi="en-US"/>
        </w:rPr>
      </w:pPr>
      <w:r>
        <w:rPr>
          <w:rFonts w:hint="eastAsia" w:ascii="仿宋_GB2312" w:hAnsi="仿宋_GB2312" w:eastAsia="仿宋_GB2312" w:cs="仿宋_GB2312"/>
          <w:color w:val="000000"/>
          <w:sz w:val="32"/>
          <w:szCs w:val="32"/>
          <w:lang w:bidi="en-US"/>
        </w:rPr>
        <w:t>锡林郭勒盟生</w:t>
      </w:r>
      <w:r>
        <w:rPr>
          <w:rFonts w:hint="eastAsia" w:ascii="仿宋_GB2312" w:hAnsi="仿宋_GB2312" w:eastAsia="仿宋_GB2312" w:cs="仿宋_GB2312"/>
          <w:color w:val="000000"/>
          <w:sz w:val="32"/>
          <w:szCs w:val="32"/>
          <w:highlight w:val="none"/>
          <w:lang w:bidi="en-US"/>
        </w:rPr>
        <w:t>态环境局</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120" w:firstLineChars="1600"/>
        <w:rPr>
          <w:rFonts w:hint="eastAsia" w:ascii="仿宋_GB2312" w:hAnsi="仿宋_GB2312" w:eastAsia="仿宋_GB2312" w:cs="仿宋_GB2312"/>
          <w:color w:val="000000"/>
          <w:sz w:val="32"/>
          <w:szCs w:val="32"/>
          <w:highlight w:val="none"/>
          <w:lang w:bidi="en-US"/>
        </w:rPr>
      </w:pPr>
      <w:r>
        <w:rPr>
          <w:rFonts w:hint="eastAsia" w:ascii="仿宋_GB2312" w:hAnsi="仿宋_GB2312" w:eastAsia="仿宋_GB2312" w:cs="仿宋_GB2312"/>
          <w:color w:val="000000"/>
          <w:sz w:val="32"/>
          <w:szCs w:val="32"/>
          <w:highlight w:val="none"/>
          <w:lang w:bidi="en-US"/>
        </w:rPr>
        <w:t>202</w:t>
      </w:r>
      <w:r>
        <w:rPr>
          <w:rFonts w:hint="eastAsia" w:ascii="仿宋_GB2312" w:hAnsi="仿宋_GB2312" w:eastAsia="仿宋_GB2312" w:cs="仿宋_GB2312"/>
          <w:color w:val="000000"/>
          <w:sz w:val="32"/>
          <w:szCs w:val="32"/>
          <w:highlight w:val="none"/>
          <w:lang w:val="en-US" w:eastAsia="zh-CN" w:bidi="en-US"/>
        </w:rPr>
        <w:t>4</w:t>
      </w:r>
      <w:r>
        <w:rPr>
          <w:rFonts w:hint="eastAsia" w:ascii="仿宋_GB2312" w:hAnsi="仿宋_GB2312" w:eastAsia="仿宋_GB2312" w:cs="仿宋_GB2312"/>
          <w:color w:val="000000"/>
          <w:sz w:val="32"/>
          <w:szCs w:val="32"/>
          <w:highlight w:val="none"/>
          <w:lang w:bidi="en-US"/>
        </w:rPr>
        <w:t>年</w:t>
      </w:r>
      <w:r>
        <w:rPr>
          <w:rFonts w:hint="eastAsia" w:ascii="仿宋_GB2312" w:hAnsi="仿宋_GB2312" w:eastAsia="仿宋_GB2312" w:cs="仿宋_GB2312"/>
          <w:color w:val="000000"/>
          <w:sz w:val="32"/>
          <w:szCs w:val="32"/>
          <w:highlight w:val="none"/>
          <w:lang w:val="en-US" w:eastAsia="zh-CN" w:bidi="en-US"/>
        </w:rPr>
        <w:t>3</w:t>
      </w:r>
      <w:r>
        <w:rPr>
          <w:rFonts w:hint="eastAsia" w:ascii="仿宋_GB2312" w:hAnsi="仿宋_GB2312" w:eastAsia="仿宋_GB2312" w:cs="仿宋_GB2312"/>
          <w:color w:val="000000"/>
          <w:sz w:val="32"/>
          <w:szCs w:val="32"/>
          <w:highlight w:val="none"/>
          <w:lang w:bidi="en-US"/>
        </w:rPr>
        <w:t>月</w:t>
      </w:r>
      <w:r>
        <w:rPr>
          <w:rFonts w:hint="eastAsia" w:ascii="仿宋_GB2312" w:hAnsi="仿宋_GB2312" w:eastAsia="仿宋_GB2312" w:cs="仿宋_GB2312"/>
          <w:color w:val="000000"/>
          <w:sz w:val="32"/>
          <w:szCs w:val="32"/>
          <w:highlight w:val="none"/>
          <w:lang w:val="en-US" w:eastAsia="zh-CN" w:bidi="en-US"/>
        </w:rPr>
        <w:t>29</w:t>
      </w:r>
      <w:r>
        <w:rPr>
          <w:rFonts w:hint="eastAsia" w:ascii="仿宋_GB2312" w:hAnsi="仿宋_GB2312" w:eastAsia="仿宋_GB2312" w:cs="仿宋_GB2312"/>
          <w:color w:val="000000"/>
          <w:sz w:val="32"/>
          <w:szCs w:val="32"/>
          <w:highlight w:val="none"/>
          <w:lang w:bidi="en-US"/>
        </w:rPr>
        <w:t>日</w:t>
      </w:r>
    </w:p>
    <w:p>
      <w:pPr>
        <w:pStyle w:val="3"/>
        <w:keepNext w:val="0"/>
        <w:keepLines w:val="0"/>
        <w:pageBreakBefore w:val="0"/>
        <w:widowControl w:val="0"/>
        <w:kinsoku/>
        <w:wordWrap/>
        <w:overflowPunct/>
        <w:topLinePunct w:val="0"/>
        <w:bidi w:val="0"/>
        <w:adjustRightInd w:val="0"/>
        <w:spacing w:after="0" w:line="560" w:lineRule="exact"/>
        <w:ind w:left="0" w:leftChars="0" w:firstLine="360"/>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bidi w:val="0"/>
        <w:spacing w:line="560" w:lineRule="exact"/>
        <w:ind w:left="0" w:leftChars="0"/>
        <w:rPr>
          <w:rFonts w:hint="eastAsia" w:ascii="仿宋_GB2312" w:hAnsi="仿宋_GB2312" w:eastAsia="仿宋_GB2312" w:cs="仿宋_GB2312"/>
          <w:sz w:val="32"/>
          <w:szCs w:val="32"/>
          <w:highlight w:val="none"/>
        </w:rPr>
      </w:pPr>
    </w:p>
    <w:p>
      <w:pPr>
        <w:pStyle w:val="10"/>
        <w:keepNext w:val="0"/>
        <w:keepLines w:val="0"/>
        <w:pageBreakBefore w:val="0"/>
        <w:widowControl w:val="0"/>
        <w:kinsoku/>
        <w:wordWrap/>
        <w:overflowPunct/>
        <w:topLinePunct w:val="0"/>
        <w:bidi w:val="0"/>
        <w:spacing w:line="560" w:lineRule="exact"/>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bidi w:val="0"/>
        <w:spacing w:line="560" w:lineRule="exact"/>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bidi w:val="0"/>
        <w:spacing w:line="560" w:lineRule="exact"/>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bidi w:val="0"/>
        <w:spacing w:line="560" w:lineRule="exact"/>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bidi w:val="0"/>
        <w:spacing w:line="560" w:lineRule="exact"/>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bidi w:val="0"/>
        <w:spacing w:line="560" w:lineRule="exact"/>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bidi w:val="0"/>
        <w:spacing w:line="560" w:lineRule="exact"/>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bidi w:val="0"/>
        <w:spacing w:line="560" w:lineRule="exact"/>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bidi w:val="0"/>
        <w:spacing w:line="560" w:lineRule="exact"/>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bidi w:val="0"/>
        <w:spacing w:line="560" w:lineRule="exact"/>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bidi w:val="0"/>
        <w:spacing w:line="560" w:lineRule="exact"/>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bidi w:val="0"/>
        <w:spacing w:line="560" w:lineRule="exact"/>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bidi w:val="0"/>
        <w:spacing w:line="560" w:lineRule="exact"/>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bidi w:val="0"/>
        <w:spacing w:line="560" w:lineRule="exact"/>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bidi w:val="0"/>
        <w:spacing w:line="560" w:lineRule="exact"/>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bidi w:val="0"/>
        <w:spacing w:line="560" w:lineRule="exact"/>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bidi w:val="0"/>
        <w:spacing w:line="560" w:lineRule="exact"/>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bidi w:val="0"/>
        <w:spacing w:line="560" w:lineRule="exact"/>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bidi w:val="0"/>
        <w:spacing w:line="560" w:lineRule="exact"/>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bidi w:val="0"/>
        <w:spacing w:line="560" w:lineRule="exact"/>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bidi w:val="0"/>
        <w:spacing w:line="560" w:lineRule="exact"/>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bidi w:val="0"/>
        <w:spacing w:line="560" w:lineRule="exact"/>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bidi w:val="0"/>
        <w:spacing w:line="560" w:lineRule="exact"/>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bidi w:val="0"/>
        <w:spacing w:line="560" w:lineRule="exact"/>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bidi w:val="0"/>
        <w:spacing w:line="560" w:lineRule="exact"/>
        <w:rPr>
          <w:rFonts w:hint="eastAsia" w:ascii="仿宋_GB2312" w:hAnsi="仿宋_GB2312" w:eastAsia="仿宋_GB2312" w:cs="仿宋_GB2312"/>
          <w:sz w:val="32"/>
          <w:szCs w:val="32"/>
          <w:highlight w:val="none"/>
        </w:rPr>
      </w:pPr>
      <w:bookmarkStart w:id="1" w:name="_GoBack"/>
      <w:bookmarkEnd w:id="1"/>
    </w:p>
    <w:p>
      <w:pPr>
        <w:keepNext w:val="0"/>
        <w:keepLines w:val="0"/>
        <w:pageBreakBefore w:val="0"/>
        <w:widowControl w:val="0"/>
        <w:kinsoku/>
        <w:wordWrap/>
        <w:overflowPunct/>
        <w:topLinePunct w:val="0"/>
        <w:bidi w:val="0"/>
        <w:spacing w:line="560" w:lineRule="exact"/>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bidi w:val="0"/>
        <w:spacing w:line="560" w:lineRule="exact"/>
        <w:rPr>
          <w:rFonts w:hint="eastAsia" w:ascii="仿宋_GB2312" w:hAnsi="仿宋_GB2312" w:eastAsia="仿宋_GB2312" w:cs="仿宋_GB2312"/>
          <w:sz w:val="32"/>
          <w:szCs w:val="32"/>
          <w:highlight w:val="none"/>
        </w:rPr>
      </w:pPr>
    </w:p>
    <w:p>
      <w:pPr>
        <w:pStyle w:val="10"/>
        <w:keepNext w:val="0"/>
        <w:keepLines w:val="0"/>
        <w:pageBreakBefore w:val="0"/>
        <w:widowControl w:val="0"/>
        <w:kinsoku/>
        <w:wordWrap/>
        <w:overflowPunct/>
        <w:topLinePunct w:val="0"/>
        <w:bidi w:val="0"/>
        <w:spacing w:line="560" w:lineRule="exact"/>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bidi w:val="0"/>
        <w:spacing w:line="520" w:lineRule="exact"/>
        <w:rPr>
          <w:rFonts w:hint="eastAsia"/>
          <w:highlight w:val="none"/>
        </w:rPr>
      </w:pPr>
    </w:p>
    <w:p>
      <w:pPr>
        <w:pStyle w:val="10"/>
        <w:rPr>
          <w:rFonts w:hint="eastAsia"/>
          <w:highlight w:val="none"/>
        </w:rPr>
      </w:pPr>
    </w:p>
    <w:p>
      <w:pPr>
        <w:pStyle w:val="16"/>
        <w:spacing w:line="540" w:lineRule="exact"/>
        <w:jc w:val="both"/>
        <w:rPr>
          <w:rFonts w:hint="eastAsia" w:ascii="仿宋_GB2312" w:hAnsi="仿宋_GB2312" w:eastAsia="仿宋_GB2312" w:cs="仿宋_GB2312"/>
          <w:color w:val="auto"/>
          <w:kern w:val="2"/>
          <w:sz w:val="28"/>
          <w:szCs w:val="28"/>
          <w:highlight w:val="none"/>
          <w:lang w:bidi="en-US"/>
        </w:rPr>
      </w:pPr>
      <w:r>
        <w:rPr>
          <w:rFonts w:hint="eastAsia" w:ascii="仿宋_GB2312" w:hAnsi="仿宋_GB2312" w:eastAsia="仿宋_GB2312" w:cs="仿宋_GB2312"/>
          <w:color w:val="auto"/>
          <w:kern w:val="2"/>
          <w:sz w:val="28"/>
          <w:szCs w:val="28"/>
          <w:highlight w:val="none"/>
          <w:lang w:bidi="en-US"/>
        </w:rPr>
        <w:t>抄送：盟生态环境综合行政执法支队，盟生态环境局</w:t>
      </w:r>
      <w:r>
        <w:rPr>
          <w:rFonts w:hint="eastAsia" w:ascii="仿宋_GB2312" w:hAnsi="仿宋_GB2312" w:eastAsia="仿宋_GB2312" w:cs="仿宋_GB2312"/>
          <w:color w:val="auto"/>
          <w:kern w:val="2"/>
          <w:sz w:val="28"/>
          <w:szCs w:val="28"/>
          <w:highlight w:val="none"/>
          <w:lang w:val="en-US" w:eastAsia="zh-CN" w:bidi="en-US"/>
        </w:rPr>
        <w:t>二连浩特市</w:t>
      </w:r>
      <w:r>
        <w:rPr>
          <w:rFonts w:hint="eastAsia" w:ascii="仿宋_GB2312" w:hAnsi="仿宋_GB2312" w:eastAsia="仿宋_GB2312" w:cs="仿宋_GB2312"/>
          <w:color w:val="auto"/>
          <w:kern w:val="2"/>
          <w:sz w:val="28"/>
          <w:szCs w:val="28"/>
          <w:highlight w:val="none"/>
          <w:lang w:bidi="en-US"/>
        </w:rPr>
        <w:t>分局</w:t>
      </w:r>
    </w:p>
    <w:p>
      <w:pPr>
        <w:pBdr>
          <w:top w:val="single" w:color="auto" w:sz="4" w:space="1"/>
          <w:left w:val="none" w:color="auto" w:sz="0" w:space="4"/>
          <w:bottom w:val="single" w:color="auto" w:sz="4" w:space="1"/>
          <w:right w:val="none" w:color="auto" w:sz="0" w:space="4"/>
        </w:pBdr>
        <w:spacing w:line="540" w:lineRule="exact"/>
        <w:ind w:firstLine="0" w:firstLineChars="0"/>
        <w:rPr>
          <w:rFonts w:hint="eastAsia" w:ascii="仿宋_GB2312" w:hAnsi="仿宋_GB2312" w:eastAsia="仿宋_GB2312" w:cs="仿宋_GB2312"/>
          <w:color w:val="000000"/>
          <w:sz w:val="28"/>
          <w:szCs w:val="28"/>
          <w:highlight w:val="yellow"/>
        </w:rPr>
      </w:pPr>
      <w:r>
        <w:rPr>
          <w:rFonts w:hint="eastAsia" w:ascii="仿宋_GB2312" w:hAnsi="仿宋_GB2312" w:eastAsia="仿宋_GB2312" w:cs="仿宋_GB2312"/>
          <w:color w:val="auto"/>
          <w:sz w:val="28"/>
          <w:szCs w:val="28"/>
          <w:highlight w:val="none"/>
        </w:rPr>
        <w:t>锡林郭勒盟生态环境局办公室              202</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29</w:t>
      </w:r>
      <w:r>
        <w:rPr>
          <w:rFonts w:hint="eastAsia" w:ascii="仿宋_GB2312" w:hAnsi="仿宋_GB2312" w:eastAsia="仿宋_GB2312" w:cs="仿宋_GB2312"/>
          <w:color w:val="auto"/>
          <w:sz w:val="28"/>
          <w:szCs w:val="28"/>
          <w:highlight w:val="none"/>
        </w:rPr>
        <w:t>日印</w:t>
      </w:r>
      <w:r>
        <w:rPr>
          <w:rFonts w:hint="eastAsia" w:ascii="仿宋_GB2312" w:hAnsi="仿宋_GB2312" w:eastAsia="仿宋_GB2312" w:cs="仿宋_GB2312"/>
          <w:color w:val="auto"/>
          <w:sz w:val="28"/>
          <w:szCs w:val="28"/>
        </w:rPr>
        <w:t>发</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F29733"/>
    <w:multiLevelType w:val="singleLevel"/>
    <w:tmpl w:val="32F2973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jZjliNThiMThmZTZiMTZlZjM4YWI1NWNjNGNiZjYifQ=="/>
  </w:docVars>
  <w:rsids>
    <w:rsidRoot w:val="00BE15C5"/>
    <w:rsid w:val="0023504A"/>
    <w:rsid w:val="0029260D"/>
    <w:rsid w:val="00314696"/>
    <w:rsid w:val="00351DD5"/>
    <w:rsid w:val="00565FD0"/>
    <w:rsid w:val="0078439C"/>
    <w:rsid w:val="00BE15C5"/>
    <w:rsid w:val="00CA00EE"/>
    <w:rsid w:val="05611324"/>
    <w:rsid w:val="05EE467B"/>
    <w:rsid w:val="129168E6"/>
    <w:rsid w:val="17081314"/>
    <w:rsid w:val="180544F0"/>
    <w:rsid w:val="26702759"/>
    <w:rsid w:val="267559E8"/>
    <w:rsid w:val="2BBE1B4A"/>
    <w:rsid w:val="326E5816"/>
    <w:rsid w:val="36B8671A"/>
    <w:rsid w:val="3F85515D"/>
    <w:rsid w:val="47640FEA"/>
    <w:rsid w:val="503E4E84"/>
    <w:rsid w:val="51826FF2"/>
    <w:rsid w:val="54A40CFF"/>
    <w:rsid w:val="56892F39"/>
    <w:rsid w:val="5B2C4599"/>
    <w:rsid w:val="62F92E79"/>
    <w:rsid w:val="6C9F2CF6"/>
    <w:rsid w:val="6D3E42BD"/>
    <w:rsid w:val="6E1A4AAF"/>
    <w:rsid w:val="6E743F0B"/>
    <w:rsid w:val="705F4C76"/>
    <w:rsid w:val="724C2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eastAsia="宋体"/>
    </w:rPr>
  </w:style>
  <w:style w:type="paragraph" w:styleId="3">
    <w:name w:val="Body Text First Indent 2"/>
    <w:basedOn w:val="4"/>
    <w:next w:val="5"/>
    <w:autoRedefine/>
    <w:qFormat/>
    <w:uiPriority w:val="0"/>
    <w:pPr>
      <w:autoSpaceDE/>
      <w:autoSpaceDN/>
      <w:adjustRightInd w:val="0"/>
      <w:ind w:firstLine="420"/>
      <w:jc w:val="both"/>
      <w:textAlignment w:val="baseline"/>
    </w:pPr>
    <w:rPr>
      <w:rFonts w:ascii="宋体" w:hAnsi="宋体" w:eastAsia="宋体" w:cs="Times New Roman"/>
      <w:sz w:val="18"/>
      <w:szCs w:val="18"/>
      <w:lang w:eastAsia="zh-CN"/>
    </w:rPr>
  </w:style>
  <w:style w:type="paragraph" w:styleId="4">
    <w:name w:val="Body Text Indent"/>
    <w:basedOn w:val="1"/>
    <w:next w:val="1"/>
    <w:autoRedefine/>
    <w:qFormat/>
    <w:uiPriority w:val="0"/>
    <w:pPr>
      <w:spacing w:after="120"/>
      <w:ind w:left="420" w:leftChars="200"/>
    </w:pPr>
    <w:rPr>
      <w:rFonts w:ascii="Times New Roman" w:hAnsi="Times New Roman" w:eastAsia="宋体" w:cs="Times New Roman"/>
      <w:color w:val="auto"/>
      <w:sz w:val="21"/>
      <w:szCs w:val="20"/>
      <w:lang w:bidi="ar-SA"/>
    </w:rPr>
  </w:style>
  <w:style w:type="paragraph" w:styleId="5">
    <w:name w:val="Body Text First Indent"/>
    <w:basedOn w:val="6"/>
    <w:next w:val="1"/>
    <w:qFormat/>
    <w:uiPriority w:val="0"/>
    <w:pPr>
      <w:spacing w:before="120" w:after="240"/>
      <w:ind w:firstLine="420" w:firstLineChars="100"/>
    </w:pPr>
    <w:rPr>
      <w:rFonts w:ascii="宋体" w:hAnsi="宋体"/>
      <w:szCs w:val="28"/>
      <w:lang w:eastAsia="en-US"/>
    </w:rPr>
  </w:style>
  <w:style w:type="paragraph" w:styleId="6">
    <w:name w:val="Body Text"/>
    <w:basedOn w:val="1"/>
    <w:next w:val="7"/>
    <w:qFormat/>
    <w:uiPriority w:val="0"/>
    <w:pPr>
      <w:spacing w:after="120"/>
    </w:pPr>
  </w:style>
  <w:style w:type="paragraph" w:customStyle="1" w:styleId="7">
    <w:name w:val="Date1"/>
    <w:basedOn w:val="1"/>
    <w:next w:val="1"/>
    <w:autoRedefine/>
    <w:semiHidden/>
    <w:qFormat/>
    <w:locked/>
    <w:uiPriority w:val="0"/>
    <w:pPr>
      <w:adjustRightInd w:val="0"/>
      <w:spacing w:line="312" w:lineRule="atLeast"/>
      <w:jc w:val="right"/>
      <w:textAlignment w:val="baseline"/>
    </w:pPr>
    <w:rPr>
      <w:rFonts w:ascii="隶书" w:eastAsia="隶书"/>
      <w:kern w:val="0"/>
      <w:sz w:val="32"/>
      <w:szCs w:val="20"/>
    </w:rPr>
  </w:style>
  <w:style w:type="paragraph" w:styleId="8">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rPr>
  </w:style>
  <w:style w:type="paragraph" w:styleId="9">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autoRedefine/>
    <w:qFormat/>
    <w:uiPriority w:val="39"/>
    <w:pPr>
      <w:tabs>
        <w:tab w:val="left" w:pos="284"/>
        <w:tab w:val="right" w:leader="dot" w:pos="8296"/>
      </w:tabs>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unhideWhenUsed/>
    <w:qFormat/>
    <w:uiPriority w:val="99"/>
    <w:rPr>
      <w:color w:val="0563C1" w:themeColor="hyperlink"/>
      <w:u w:val="single"/>
      <w14:textFill>
        <w14:solidFill>
          <w14:schemeClr w14:val="hlink"/>
        </w14:solidFill>
      </w14:textFill>
    </w:rPr>
  </w:style>
  <w:style w:type="character" w:customStyle="1" w:styleId="15">
    <w:name w:val="Unresolved Mention"/>
    <w:basedOn w:val="13"/>
    <w:autoRedefine/>
    <w:semiHidden/>
    <w:unhideWhenUsed/>
    <w:qFormat/>
    <w:uiPriority w:val="99"/>
    <w:rPr>
      <w:color w:val="605E5C"/>
      <w:shd w:val="clear" w:color="auto" w:fill="E1DFDD"/>
    </w:rPr>
  </w:style>
  <w:style w:type="paragraph" w:customStyle="1" w:styleId="1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表文"/>
    <w:basedOn w:val="1"/>
    <w:autoRedefine/>
    <w:qFormat/>
    <w:uiPriority w:val="0"/>
    <w:pPr>
      <w:overflowPunct w:val="0"/>
      <w:spacing w:line="440" w:lineRule="exact"/>
      <w:jc w:val="center"/>
      <w:textAlignment w:val="baseline"/>
    </w:pPr>
    <w:rPr>
      <w:rFonts w:ascii="Arial" w:hAnsi="Arial" w:eastAsia="宋体" w:cs="Times New Roman"/>
      <w:sz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1400</Words>
  <Characters>1506</Characters>
  <Lines>12</Lines>
  <Paragraphs>3</Paragraphs>
  <TotalTime>1</TotalTime>
  <ScaleCrop>false</ScaleCrop>
  <LinksUpToDate>false</LinksUpToDate>
  <CharactersWithSpaces>1520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2023-01-15T23:44:00Z</dcterms:created>
  <dc:creator>hui hui</dc:creator>
  <cp:lastModifiedBy>zilchs</cp:lastModifiedBy>
  <dcterms:modified xsi:type="dcterms:W3CDTF">2024-04-08T01:16:17Z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F9E26C9719ED4B95BD01376A0B7A175D_13</vt:lpwstr>
  </property>
</Properties>
</file>