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bidi="en-US"/>
        </w:rPr>
      </w:pPr>
    </w:p>
    <w:p>
      <w:pPr>
        <w:widowControl w:val="0"/>
        <w:kinsoku/>
        <w:snapToGrid w:val="0"/>
        <w:spacing w:line="560" w:lineRule="exact"/>
        <w:ind w:firstLine="0" w:firstLineChars="0"/>
        <w:jc w:val="center"/>
        <w:textAlignment w:val="auto"/>
        <w:rPr>
          <w:rFonts w:hint="eastAsia" w:ascii="仿宋_GB2312" w:hAnsi="仿宋_GB2312" w:eastAsia="仿宋_GB2312" w:cs="仿宋_GB2312"/>
          <w:snapToGrid/>
          <w:color w:val="auto"/>
          <w:kern w:val="2"/>
          <w:sz w:val="32"/>
          <w:szCs w:val="32"/>
          <w:highlight w:val="none"/>
          <w:lang w:bidi="en-US"/>
        </w:rPr>
      </w:pPr>
      <w:r>
        <w:rPr>
          <w:rFonts w:hint="eastAsia" w:ascii="仿宋_GB2312" w:hAnsi="仿宋_GB2312" w:eastAsia="仿宋_GB2312" w:cs="仿宋_GB2312"/>
          <w:snapToGrid/>
          <w:color w:val="auto"/>
          <w:kern w:val="2"/>
          <w:sz w:val="32"/>
          <w:szCs w:val="32"/>
          <w:highlight w:val="none"/>
          <w:lang w:bidi="en-US"/>
        </w:rPr>
        <w:t>锡署环审书〔2024〕</w:t>
      </w:r>
      <w:r>
        <w:rPr>
          <w:rFonts w:hint="eastAsia" w:ascii="仿宋_GB2312" w:hAnsi="仿宋_GB2312" w:eastAsia="仿宋_GB2312" w:cs="仿宋_GB2312"/>
          <w:snapToGrid/>
          <w:color w:val="auto"/>
          <w:kern w:val="2"/>
          <w:sz w:val="32"/>
          <w:szCs w:val="32"/>
          <w:highlight w:val="none"/>
          <w:lang w:val="en-US" w:eastAsia="zh-CN" w:bidi="en-US"/>
        </w:rPr>
        <w:t>16</w:t>
      </w:r>
      <w:r>
        <w:rPr>
          <w:rFonts w:hint="eastAsia" w:ascii="仿宋_GB2312" w:hAnsi="仿宋_GB2312" w:eastAsia="仿宋_GB2312" w:cs="仿宋_GB2312"/>
          <w:snapToGrid/>
          <w:color w:val="auto"/>
          <w:kern w:val="2"/>
          <w:sz w:val="32"/>
          <w:szCs w:val="32"/>
          <w:highlight w:val="none"/>
          <w:lang w:bidi="en-US"/>
        </w:rPr>
        <w:t>号</w:t>
      </w:r>
    </w:p>
    <w:p>
      <w:pPr>
        <w:widowControl w:val="0"/>
        <w:kinsoku/>
        <w:snapToGrid w:val="0"/>
        <w:spacing w:line="560" w:lineRule="exact"/>
        <w:ind w:firstLine="0" w:firstLineChars="0"/>
        <w:jc w:val="both"/>
        <w:textAlignment w:val="auto"/>
        <w:rPr>
          <w:rFonts w:ascii="Times New Roman" w:hAnsi="Times New Roman" w:eastAsia="仿宋_GB2312" w:cs="Times New Roman"/>
          <w:snapToGrid/>
          <w:color w:val="FF0000"/>
          <w:kern w:val="2"/>
          <w:sz w:val="32"/>
          <w:szCs w:val="32"/>
          <w:highlight w:val="yellow"/>
          <w:lang w:eastAsia="zh-CN" w:bidi="en-US"/>
        </w:rPr>
      </w:pPr>
    </w:p>
    <w:p>
      <w:pPr>
        <w:widowControl w:val="0"/>
        <w:kinsoku/>
        <w:autoSpaceDE/>
        <w:autoSpaceDN/>
        <w:adjustRightInd/>
        <w:snapToGrid/>
        <w:spacing w:line="600" w:lineRule="exact"/>
        <w:jc w:val="center"/>
        <w:textAlignment w:val="auto"/>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锡林郭勒盟生态环境局</w:t>
      </w:r>
    </w:p>
    <w:p>
      <w:pPr>
        <w:widowControl w:val="0"/>
        <w:kinsoku/>
        <w:autoSpaceDE/>
        <w:autoSpaceDN/>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关于中核镶黄旗</w:t>
      </w:r>
      <w:r>
        <w:rPr>
          <w:rFonts w:ascii="方正小标宋简体" w:hAnsi="方正小标宋简体" w:eastAsia="方正小标宋简体" w:cs="方正小标宋简体"/>
          <w:snapToGrid/>
          <w:kern w:val="2"/>
          <w:sz w:val="44"/>
          <w:szCs w:val="44"/>
        </w:rPr>
        <w:t>40</w:t>
      </w:r>
      <w:r>
        <w:rPr>
          <w:rFonts w:hint="eastAsia" w:ascii="方正小标宋简体" w:hAnsi="方正小标宋简体" w:eastAsia="方正小标宋简体" w:cs="方正小标宋简体"/>
          <w:snapToGrid/>
          <w:kern w:val="2"/>
          <w:sz w:val="44"/>
          <w:szCs w:val="44"/>
        </w:rPr>
        <w:t>万千瓦风光储一体化基地项目</w:t>
      </w:r>
      <w:r>
        <w:rPr>
          <w:rFonts w:ascii="方正小标宋简体" w:hAnsi="方正小标宋简体" w:eastAsia="方正小标宋简体" w:cs="方正小标宋简体"/>
          <w:snapToGrid/>
          <w:kern w:val="2"/>
          <w:sz w:val="44"/>
          <w:szCs w:val="44"/>
        </w:rPr>
        <w:t>32</w:t>
      </w:r>
      <w:r>
        <w:rPr>
          <w:rFonts w:hint="eastAsia" w:ascii="方正小标宋简体" w:hAnsi="方正小标宋简体" w:eastAsia="方正小标宋简体" w:cs="方正小标宋简体"/>
          <w:snapToGrid/>
          <w:kern w:val="2"/>
          <w:sz w:val="44"/>
          <w:szCs w:val="44"/>
        </w:rPr>
        <w:t>万千瓦风电项目环境影响</w:t>
      </w:r>
    </w:p>
    <w:p>
      <w:pPr>
        <w:widowControl w:val="0"/>
        <w:kinsoku/>
        <w:autoSpaceDE/>
        <w:autoSpaceDN/>
        <w:adjustRightInd/>
        <w:snapToGrid/>
        <w:spacing w:line="600" w:lineRule="exact"/>
        <w:jc w:val="center"/>
        <w:textAlignment w:val="auto"/>
        <w:rPr>
          <w:rFonts w:ascii="仿宋_GB2312" w:hAnsi="仿宋_GB2312" w:eastAsia="仿宋_GB2312" w:cs="仿宋_GB2312"/>
          <w:snapToGrid/>
          <w:kern w:val="2"/>
          <w:sz w:val="32"/>
          <w:szCs w:val="32"/>
        </w:rPr>
      </w:pPr>
      <w:r>
        <w:rPr>
          <w:rFonts w:hint="eastAsia" w:ascii="方正小标宋简体" w:hAnsi="方正小标宋简体" w:eastAsia="方正小标宋简体" w:cs="方正小标宋简体"/>
          <w:snapToGrid/>
          <w:kern w:val="2"/>
          <w:sz w:val="44"/>
          <w:szCs w:val="44"/>
        </w:rPr>
        <w:t>报告书的批复</w:t>
      </w:r>
    </w:p>
    <w:p>
      <w:pPr>
        <w:widowControl w:val="0"/>
        <w:kinsoku/>
        <w:autoSpaceDE/>
        <w:autoSpaceDN/>
        <w:adjustRightInd/>
        <w:snapToGrid/>
        <w:spacing w:line="360" w:lineRule="auto"/>
        <w:jc w:val="both"/>
        <w:textAlignment w:val="auto"/>
        <w:rPr>
          <w:rFonts w:ascii="仿宋_GB2312" w:hAnsi="仿宋_GB2312" w:eastAsia="仿宋_GB2312" w:cs="仿宋_GB2312"/>
          <w:snapToGrid/>
          <w:kern w:val="2"/>
          <w:sz w:val="32"/>
          <w:szCs w:val="32"/>
        </w:rPr>
      </w:pPr>
    </w:p>
    <w:p>
      <w:pPr>
        <w:widowControl w:val="0"/>
        <w:kinsoku/>
        <w:autoSpaceDE/>
        <w:autoSpaceDN/>
        <w:adjustRightInd/>
        <w:snapToGrid/>
        <w:spacing w:line="560" w:lineRule="exact"/>
        <w:jc w:val="both"/>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镶黄旗汇能新能源有限公司：</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kern w:val="2"/>
          <w:sz w:val="32"/>
          <w:szCs w:val="32"/>
        </w:rPr>
      </w:pPr>
      <w:r>
        <w:rPr>
          <w:rFonts w:ascii="仿宋_GB2312" w:hAnsi="仿宋_GB2312" w:eastAsia="仿宋_GB2312" w:cs="仿宋_GB2312"/>
          <w:snapToGrid/>
          <w:kern w:val="2"/>
          <w:sz w:val="32"/>
          <w:szCs w:val="32"/>
        </w:rPr>
        <w:t>你</w:t>
      </w:r>
      <w:r>
        <w:rPr>
          <w:rFonts w:hint="eastAsia" w:ascii="仿宋_GB2312" w:hAnsi="仿宋_GB2312" w:eastAsia="仿宋_GB2312" w:cs="仿宋_GB2312"/>
          <w:snapToGrid/>
          <w:kern w:val="2"/>
          <w:sz w:val="32"/>
          <w:szCs w:val="32"/>
        </w:rPr>
        <w:t>公司</w:t>
      </w:r>
      <w:r>
        <w:rPr>
          <w:rFonts w:ascii="仿宋_GB2312" w:hAnsi="仿宋_GB2312" w:eastAsia="仿宋_GB2312" w:cs="仿宋_GB2312"/>
          <w:snapToGrid/>
          <w:kern w:val="2"/>
          <w:sz w:val="32"/>
          <w:szCs w:val="32"/>
        </w:rPr>
        <w:t>由</w:t>
      </w:r>
      <w:r>
        <w:rPr>
          <w:rFonts w:hint="eastAsia" w:ascii="仿宋_GB2312" w:hAnsi="仿宋_GB2312" w:eastAsia="仿宋_GB2312" w:cs="仿宋_GB2312"/>
          <w:snapToGrid/>
          <w:kern w:val="2"/>
          <w:sz w:val="32"/>
          <w:szCs w:val="32"/>
        </w:rPr>
        <w:t>内蒙古智联明泰工程咨询有限责任公司</w:t>
      </w:r>
      <w:r>
        <w:rPr>
          <w:rFonts w:ascii="仿宋_GB2312" w:hAnsi="仿宋_GB2312" w:eastAsia="仿宋_GB2312" w:cs="仿宋_GB2312"/>
          <w:snapToGrid/>
          <w:kern w:val="2"/>
          <w:sz w:val="32"/>
          <w:szCs w:val="32"/>
        </w:rPr>
        <w:t>编制的《</w:t>
      </w:r>
      <w:r>
        <w:rPr>
          <w:rFonts w:hint="eastAsia" w:ascii="仿宋_GB2312" w:hAnsi="仿宋_GB2312" w:eastAsia="仿宋_GB2312" w:cs="仿宋_GB2312"/>
          <w:snapToGrid/>
          <w:kern w:val="2"/>
          <w:sz w:val="32"/>
          <w:szCs w:val="32"/>
        </w:rPr>
        <w:t>中核镶黄旗</w:t>
      </w:r>
      <w:r>
        <w:rPr>
          <w:rFonts w:ascii="仿宋_GB2312" w:hAnsi="仿宋_GB2312" w:eastAsia="仿宋_GB2312" w:cs="仿宋_GB2312"/>
          <w:snapToGrid/>
          <w:kern w:val="2"/>
          <w:sz w:val="32"/>
          <w:szCs w:val="32"/>
        </w:rPr>
        <w:t>40</w:t>
      </w:r>
      <w:r>
        <w:rPr>
          <w:rFonts w:hint="eastAsia" w:ascii="仿宋_GB2312" w:hAnsi="仿宋_GB2312" w:eastAsia="仿宋_GB2312" w:cs="仿宋_GB2312"/>
          <w:snapToGrid/>
          <w:kern w:val="2"/>
          <w:sz w:val="32"/>
          <w:szCs w:val="32"/>
        </w:rPr>
        <w:t>万千瓦风光储一体化基地项目</w:t>
      </w:r>
      <w:r>
        <w:rPr>
          <w:rFonts w:ascii="仿宋_GB2312" w:hAnsi="仿宋_GB2312" w:eastAsia="仿宋_GB2312" w:cs="仿宋_GB2312"/>
          <w:snapToGrid/>
          <w:kern w:val="2"/>
          <w:sz w:val="32"/>
          <w:szCs w:val="32"/>
        </w:rPr>
        <w:t>32</w:t>
      </w:r>
      <w:r>
        <w:rPr>
          <w:rFonts w:hint="eastAsia" w:ascii="仿宋_GB2312" w:hAnsi="仿宋_GB2312" w:eastAsia="仿宋_GB2312" w:cs="仿宋_GB2312"/>
          <w:snapToGrid/>
          <w:kern w:val="2"/>
          <w:sz w:val="32"/>
          <w:szCs w:val="32"/>
        </w:rPr>
        <w:t>万千瓦风电项目环境影响报告书》（以下简称《报告书》）已收悉。经研究，批复如下：</w:t>
      </w:r>
      <w:r>
        <w:rPr>
          <w:rFonts w:cs="Times New Roman"/>
          <w:color w:val="000000"/>
          <w:szCs w:val="24"/>
        </w:rPr>
        <w:t xml:space="preserve"> </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一、项目概况</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中核镶黄旗</w:t>
      </w:r>
      <w:r>
        <w:rPr>
          <w:rFonts w:ascii="仿宋_GB2312" w:hAnsi="仿宋_GB2312" w:eastAsia="仿宋_GB2312" w:cs="仿宋_GB2312"/>
          <w:snapToGrid/>
          <w:kern w:val="2"/>
          <w:sz w:val="32"/>
          <w:szCs w:val="32"/>
        </w:rPr>
        <w:t>40</w:t>
      </w:r>
      <w:r>
        <w:rPr>
          <w:rFonts w:hint="eastAsia" w:ascii="仿宋_GB2312" w:hAnsi="仿宋_GB2312" w:eastAsia="仿宋_GB2312" w:cs="仿宋_GB2312"/>
          <w:snapToGrid/>
          <w:kern w:val="2"/>
          <w:sz w:val="32"/>
          <w:szCs w:val="32"/>
        </w:rPr>
        <w:t>万千瓦风光储一体化基地项目</w:t>
      </w:r>
      <w:r>
        <w:rPr>
          <w:rFonts w:ascii="仿宋_GB2312" w:hAnsi="仿宋_GB2312" w:eastAsia="仿宋_GB2312" w:cs="仿宋_GB2312"/>
          <w:snapToGrid/>
          <w:kern w:val="2"/>
          <w:sz w:val="32"/>
          <w:szCs w:val="32"/>
        </w:rPr>
        <w:t>32</w:t>
      </w:r>
      <w:r>
        <w:rPr>
          <w:rFonts w:hint="eastAsia" w:ascii="仿宋_GB2312" w:hAnsi="仿宋_GB2312" w:eastAsia="仿宋_GB2312" w:cs="仿宋_GB2312"/>
          <w:snapToGrid/>
          <w:kern w:val="2"/>
          <w:sz w:val="32"/>
          <w:szCs w:val="32"/>
        </w:rPr>
        <w:t>万千瓦风电项目位于内蒙古自治区锡林郭勒盟镶黄旗巴音塔</w:t>
      </w:r>
      <w:bookmarkStart w:id="0" w:name="_GoBack"/>
      <w:bookmarkEnd w:id="0"/>
      <w:r>
        <w:rPr>
          <w:rFonts w:hint="eastAsia" w:ascii="仿宋_GB2312" w:hAnsi="仿宋_GB2312" w:eastAsia="仿宋_GB2312" w:cs="仿宋_GB2312"/>
          <w:snapToGrid/>
          <w:kern w:val="2"/>
          <w:sz w:val="32"/>
          <w:szCs w:val="32"/>
        </w:rPr>
        <w:t>拉镇境内</w:t>
      </w:r>
      <w:r>
        <w:rPr>
          <w:rFonts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rPr>
        <w:t>场址中心坐标东经</w:t>
      </w:r>
      <w:r>
        <w:rPr>
          <w:rFonts w:ascii="仿宋_GB2312" w:hAnsi="仿宋_GB2312" w:eastAsia="仿宋_GB2312" w:cs="仿宋_GB2312"/>
          <w:snapToGrid/>
          <w:kern w:val="2"/>
          <w:sz w:val="32"/>
          <w:szCs w:val="32"/>
        </w:rPr>
        <w:t>114°32</w:t>
      </w:r>
      <w:r>
        <w:rPr>
          <w:rFonts w:hint="eastAsia" w:ascii="仿宋_GB2312" w:hAnsi="仿宋_GB2312" w:eastAsia="仿宋_GB2312" w:cs="仿宋_GB2312"/>
          <w:snapToGrid/>
          <w:kern w:val="2"/>
          <w:sz w:val="32"/>
          <w:szCs w:val="32"/>
        </w:rPr>
        <w:t>′</w:t>
      </w:r>
      <w:r>
        <w:rPr>
          <w:rFonts w:ascii="仿宋_GB2312" w:hAnsi="仿宋_GB2312" w:eastAsia="仿宋_GB2312" w:cs="仿宋_GB2312"/>
          <w:snapToGrid/>
          <w:kern w:val="2"/>
          <w:sz w:val="32"/>
          <w:szCs w:val="32"/>
        </w:rPr>
        <w:t>47.130</w:t>
      </w:r>
      <w:r>
        <w:rPr>
          <w:rFonts w:hint="eastAsia" w:ascii="仿宋_GB2312" w:hAnsi="仿宋_GB2312" w:eastAsia="仿宋_GB2312" w:cs="仿宋_GB2312"/>
          <w:snapToGrid/>
          <w:kern w:val="2"/>
          <w:sz w:val="32"/>
          <w:szCs w:val="32"/>
        </w:rPr>
        <w:t>″，北纬</w:t>
      </w:r>
      <w:r>
        <w:rPr>
          <w:rFonts w:ascii="仿宋_GB2312" w:hAnsi="仿宋_GB2312" w:eastAsia="仿宋_GB2312" w:cs="仿宋_GB2312"/>
          <w:snapToGrid/>
          <w:kern w:val="2"/>
          <w:sz w:val="32"/>
          <w:szCs w:val="32"/>
        </w:rPr>
        <w:t>42°19</w:t>
      </w:r>
      <w:r>
        <w:rPr>
          <w:rFonts w:hint="eastAsia" w:ascii="仿宋_GB2312" w:hAnsi="仿宋_GB2312" w:eastAsia="仿宋_GB2312" w:cs="仿宋_GB2312"/>
          <w:snapToGrid/>
          <w:kern w:val="2"/>
          <w:sz w:val="32"/>
          <w:szCs w:val="32"/>
        </w:rPr>
        <w:t>′</w:t>
      </w:r>
      <w:r>
        <w:rPr>
          <w:rFonts w:ascii="仿宋_GB2312" w:hAnsi="仿宋_GB2312" w:eastAsia="仿宋_GB2312" w:cs="仿宋_GB2312"/>
          <w:snapToGrid/>
          <w:kern w:val="2"/>
          <w:sz w:val="32"/>
          <w:szCs w:val="32"/>
        </w:rPr>
        <w:t>7.575</w:t>
      </w:r>
      <w:r>
        <w:rPr>
          <w:rFonts w:hint="eastAsia" w:ascii="仿宋_GB2312" w:hAnsi="仿宋_GB2312" w:eastAsia="仿宋_GB2312" w:cs="仿宋_GB2312"/>
          <w:snapToGrid/>
          <w:kern w:val="2"/>
          <w:sz w:val="32"/>
          <w:szCs w:val="32"/>
        </w:rPr>
        <w:t>″。项目规划建设容量为</w:t>
      </w:r>
      <w:r>
        <w:rPr>
          <w:rFonts w:ascii="仿宋_GB2312" w:hAnsi="仿宋_GB2312" w:eastAsia="仿宋_GB2312" w:cs="仿宋_GB2312"/>
          <w:snapToGrid/>
          <w:kern w:val="2"/>
          <w:sz w:val="32"/>
          <w:szCs w:val="32"/>
        </w:rPr>
        <w:t>320MW</w:t>
      </w:r>
      <w:r>
        <w:rPr>
          <w:rFonts w:hint="eastAsia" w:ascii="仿宋_GB2312" w:hAnsi="仿宋_GB2312" w:eastAsia="仿宋_GB2312" w:cs="仿宋_GB2312"/>
          <w:snapToGrid/>
          <w:kern w:val="2"/>
          <w:sz w:val="32"/>
          <w:szCs w:val="32"/>
        </w:rPr>
        <w:t>风电项目，拟安装单机容量</w:t>
      </w:r>
      <w:r>
        <w:rPr>
          <w:rFonts w:ascii="仿宋_GB2312" w:hAnsi="仿宋_GB2312" w:eastAsia="仿宋_GB2312" w:cs="仿宋_GB2312"/>
          <w:snapToGrid/>
          <w:kern w:val="2"/>
          <w:sz w:val="32"/>
          <w:szCs w:val="32"/>
        </w:rPr>
        <w:t>7.5MW</w:t>
      </w:r>
      <w:r>
        <w:rPr>
          <w:rFonts w:hint="eastAsia" w:ascii="仿宋_GB2312" w:hAnsi="仿宋_GB2312" w:eastAsia="仿宋_GB2312" w:cs="仿宋_GB2312"/>
          <w:snapToGrid/>
          <w:kern w:val="2"/>
          <w:sz w:val="32"/>
          <w:szCs w:val="32"/>
        </w:rPr>
        <w:t>的风力发电机组</w:t>
      </w:r>
      <w:r>
        <w:rPr>
          <w:rFonts w:ascii="仿宋_GB2312" w:hAnsi="仿宋_GB2312" w:eastAsia="仿宋_GB2312" w:cs="仿宋_GB2312"/>
          <w:snapToGrid/>
          <w:kern w:val="2"/>
          <w:sz w:val="32"/>
          <w:szCs w:val="32"/>
        </w:rPr>
        <w:t>43</w:t>
      </w:r>
      <w:r>
        <w:rPr>
          <w:rFonts w:hint="eastAsia" w:ascii="仿宋_GB2312" w:hAnsi="仿宋_GB2312" w:eastAsia="仿宋_GB2312" w:cs="仿宋_GB2312"/>
          <w:snapToGrid/>
          <w:kern w:val="2"/>
          <w:sz w:val="32"/>
          <w:szCs w:val="32"/>
        </w:rPr>
        <w:t>台及相应数量箱变；新建</w:t>
      </w:r>
      <w:r>
        <w:rPr>
          <w:rFonts w:ascii="仿宋_GB2312" w:hAnsi="仿宋_GB2312" w:eastAsia="仿宋_GB2312" w:cs="仿宋_GB2312"/>
          <w:snapToGrid/>
          <w:kern w:val="2"/>
          <w:sz w:val="32"/>
          <w:szCs w:val="32"/>
        </w:rPr>
        <w:t>220kV</w:t>
      </w:r>
      <w:r>
        <w:rPr>
          <w:rFonts w:hint="eastAsia" w:ascii="仿宋_GB2312" w:hAnsi="仿宋_GB2312" w:eastAsia="仿宋_GB2312" w:cs="仿宋_GB2312"/>
          <w:snapToGrid/>
          <w:kern w:val="2"/>
          <w:sz w:val="32"/>
          <w:szCs w:val="32"/>
        </w:rPr>
        <w:t>升压站一座，安装</w:t>
      </w:r>
      <w:r>
        <w:rPr>
          <w:rFonts w:ascii="仿宋_GB2312" w:hAnsi="仿宋_GB2312" w:eastAsia="仿宋_GB2312" w:cs="仿宋_GB2312"/>
          <w:snapToGrid/>
          <w:kern w:val="2"/>
          <w:sz w:val="32"/>
          <w:szCs w:val="32"/>
        </w:rPr>
        <w:t>2</w:t>
      </w:r>
      <w:r>
        <w:rPr>
          <w:rFonts w:hint="eastAsia" w:ascii="仿宋_GB2312" w:hAnsi="仿宋_GB2312" w:eastAsia="仿宋_GB2312" w:cs="仿宋_GB2312"/>
          <w:snapToGrid/>
          <w:kern w:val="2"/>
          <w:sz w:val="32"/>
          <w:szCs w:val="32"/>
        </w:rPr>
        <w:t>台</w:t>
      </w:r>
      <w:r>
        <w:rPr>
          <w:rFonts w:ascii="仿宋_GB2312" w:hAnsi="仿宋_GB2312" w:eastAsia="仿宋_GB2312" w:cs="仿宋_GB2312"/>
          <w:snapToGrid/>
          <w:kern w:val="2"/>
          <w:sz w:val="32"/>
          <w:szCs w:val="32"/>
        </w:rPr>
        <w:t>230MVA</w:t>
      </w:r>
      <w:r>
        <w:rPr>
          <w:rFonts w:hint="eastAsia" w:ascii="仿宋_GB2312" w:hAnsi="仿宋_GB2312" w:eastAsia="仿宋_GB2312" w:cs="仿宋_GB2312"/>
          <w:snapToGrid/>
          <w:kern w:val="2"/>
          <w:sz w:val="32"/>
          <w:szCs w:val="32"/>
        </w:rPr>
        <w:t>的主变压器，配套建设</w:t>
      </w:r>
      <w:r>
        <w:rPr>
          <w:rFonts w:ascii="仿宋_GB2312" w:hAnsi="仿宋_GB2312" w:eastAsia="仿宋_GB2312" w:cs="仿宋_GB2312"/>
          <w:snapToGrid/>
          <w:kern w:val="2"/>
          <w:sz w:val="32"/>
          <w:szCs w:val="32"/>
        </w:rPr>
        <w:t>48MW/96MWh</w:t>
      </w:r>
      <w:r>
        <w:rPr>
          <w:rFonts w:hint="eastAsia" w:ascii="仿宋_GB2312" w:hAnsi="仿宋_GB2312" w:eastAsia="仿宋_GB2312" w:cs="仿宋_GB2312"/>
          <w:snapToGrid/>
          <w:kern w:val="2"/>
          <w:sz w:val="32"/>
          <w:szCs w:val="32"/>
        </w:rPr>
        <w:t>储能系统。该项目总投资</w:t>
      </w:r>
      <w:r>
        <w:rPr>
          <w:rFonts w:ascii="仿宋_GB2312" w:hAnsi="仿宋_GB2312" w:eastAsia="仿宋_GB2312" w:cs="仿宋_GB2312"/>
          <w:snapToGrid/>
          <w:kern w:val="2"/>
          <w:sz w:val="32"/>
          <w:szCs w:val="32"/>
        </w:rPr>
        <w:t>191401.75</w:t>
      </w:r>
      <w:r>
        <w:rPr>
          <w:rFonts w:hint="eastAsia" w:ascii="仿宋_GB2312" w:hAnsi="仿宋_GB2312" w:eastAsia="仿宋_GB2312" w:cs="仿宋_GB2312"/>
          <w:snapToGrid/>
          <w:kern w:val="2"/>
          <w:sz w:val="32"/>
          <w:szCs w:val="32"/>
        </w:rPr>
        <w:t>万元，环保投资</w:t>
      </w:r>
      <w:r>
        <w:rPr>
          <w:rFonts w:ascii="仿宋_GB2312" w:hAnsi="仿宋_GB2312" w:eastAsia="仿宋_GB2312" w:cs="仿宋_GB2312"/>
          <w:snapToGrid/>
          <w:kern w:val="2"/>
          <w:sz w:val="32"/>
          <w:szCs w:val="32"/>
        </w:rPr>
        <w:t>292</w:t>
      </w:r>
      <w:r>
        <w:rPr>
          <w:rFonts w:hint="eastAsia" w:ascii="仿宋_GB2312" w:hAnsi="仿宋_GB2312" w:eastAsia="仿宋_GB2312" w:cs="仿宋_GB2312"/>
          <w:snapToGrid/>
          <w:kern w:val="2"/>
          <w:sz w:val="32"/>
          <w:szCs w:val="32"/>
        </w:rPr>
        <w:t>万元，占总投资的</w:t>
      </w:r>
      <w:r>
        <w:rPr>
          <w:rFonts w:ascii="仿宋_GB2312" w:hAnsi="仿宋_GB2312" w:eastAsia="仿宋_GB2312" w:cs="仿宋_GB2312"/>
          <w:snapToGrid/>
          <w:kern w:val="2"/>
          <w:sz w:val="32"/>
          <w:szCs w:val="32"/>
        </w:rPr>
        <w:t>0.15%</w:t>
      </w:r>
      <w:r>
        <w:rPr>
          <w:rFonts w:hint="eastAsia" w:ascii="仿宋_GB2312" w:hAnsi="仿宋_GB2312" w:eastAsia="仿宋_GB2312" w:cs="仿宋_GB2312"/>
          <w:snapToGrid/>
          <w:kern w:val="2"/>
          <w:sz w:val="32"/>
          <w:szCs w:val="32"/>
        </w:rPr>
        <w:t>，劳动定员</w:t>
      </w:r>
      <w:r>
        <w:rPr>
          <w:rFonts w:ascii="仿宋_GB2312" w:hAnsi="仿宋_GB2312" w:eastAsia="仿宋_GB2312" w:cs="仿宋_GB2312"/>
          <w:snapToGrid/>
          <w:kern w:val="2"/>
          <w:sz w:val="32"/>
          <w:szCs w:val="32"/>
        </w:rPr>
        <w:t>40</w:t>
      </w:r>
      <w:r>
        <w:rPr>
          <w:rFonts w:hint="eastAsia" w:ascii="仿宋_GB2312" w:hAnsi="仿宋_GB2312" w:eastAsia="仿宋_GB2312" w:cs="仿宋_GB2312"/>
          <w:snapToGrid/>
          <w:kern w:val="2"/>
          <w:sz w:val="32"/>
          <w:szCs w:val="32"/>
        </w:rPr>
        <w:t>人，年工作</w:t>
      </w:r>
      <w:r>
        <w:rPr>
          <w:rFonts w:ascii="仿宋_GB2312" w:hAnsi="仿宋_GB2312" w:eastAsia="仿宋_GB2312" w:cs="仿宋_GB2312"/>
          <w:snapToGrid/>
          <w:kern w:val="2"/>
          <w:sz w:val="32"/>
          <w:szCs w:val="32"/>
        </w:rPr>
        <w:t>365</w:t>
      </w:r>
      <w:r>
        <w:rPr>
          <w:rFonts w:hint="eastAsia" w:ascii="仿宋_GB2312" w:hAnsi="仿宋_GB2312" w:eastAsia="仿宋_GB2312" w:cs="仿宋_GB2312"/>
          <w:snapToGrid/>
          <w:kern w:val="2"/>
          <w:sz w:val="32"/>
          <w:szCs w:val="32"/>
        </w:rPr>
        <w:t>天，建设性质为新建。项目涉及的电磁辐射另行评价。</w:t>
      </w:r>
    </w:p>
    <w:p>
      <w:pPr>
        <w:pStyle w:val="5"/>
        <w:spacing w:line="560" w:lineRule="exact"/>
        <w:ind w:firstLine="640"/>
        <w:rPr>
          <w:rFonts w:ascii="仿宋_GB2312" w:hAnsi="仿宋_GB2312" w:eastAsia="仿宋_GB2312" w:cs="仿宋_GB2312"/>
          <w:snapToGrid/>
          <w:sz w:val="32"/>
          <w:szCs w:val="32"/>
        </w:rPr>
      </w:pPr>
      <w:r>
        <w:rPr>
          <w:rFonts w:ascii="仿宋_GB2312" w:hAnsi="仿宋_GB2312" w:eastAsia="仿宋_GB2312" w:cs="仿宋_GB2312"/>
          <w:snapToGrid/>
          <w:sz w:val="32"/>
          <w:szCs w:val="32"/>
        </w:rPr>
        <w:t>根据</w:t>
      </w:r>
      <w:r>
        <w:rPr>
          <w:rFonts w:hint="eastAsia" w:ascii="仿宋_GB2312" w:hAnsi="仿宋_GB2312" w:eastAsia="仿宋_GB2312" w:cs="仿宋_GB2312"/>
          <w:snapToGrid/>
          <w:sz w:val="32"/>
          <w:szCs w:val="32"/>
        </w:rPr>
        <w:t>国家发展和改革委员会颁布的</w:t>
      </w:r>
      <w:r>
        <w:rPr>
          <w:rFonts w:ascii="仿宋_GB2312" w:hAnsi="仿宋_GB2312" w:eastAsia="仿宋_GB2312" w:cs="仿宋_GB2312"/>
          <w:snapToGrid/>
          <w:sz w:val="32"/>
          <w:szCs w:val="32"/>
        </w:rPr>
        <w:t>《产业结构调整指导目录》（2024年本）</w:t>
      </w:r>
      <w:r>
        <w:rPr>
          <w:rFonts w:hint="eastAsia" w:ascii="仿宋_GB2312" w:hAnsi="仿宋_GB2312" w:eastAsia="仿宋_GB2312" w:cs="仿宋_GB2312"/>
          <w:snapToGrid/>
          <w:sz w:val="32"/>
          <w:szCs w:val="32"/>
        </w:rPr>
        <w:t>，项目属于鼓励类，并取得</w:t>
      </w:r>
      <w:r>
        <w:rPr>
          <w:rFonts w:ascii="仿宋_GB2312" w:hAnsi="仿宋_GB2312" w:eastAsia="仿宋_GB2312" w:cs="仿宋_GB2312"/>
          <w:snapToGrid/>
          <w:sz w:val="32"/>
          <w:szCs w:val="32"/>
        </w:rPr>
        <w:t>锡林郭勒盟能源局</w:t>
      </w:r>
      <w:r>
        <w:rPr>
          <w:rFonts w:hint="eastAsia" w:ascii="仿宋_GB2312" w:hAnsi="仿宋_GB2312" w:eastAsia="仿宋_GB2312" w:cs="仿宋_GB2312"/>
          <w:snapToGrid/>
          <w:sz w:val="32"/>
          <w:szCs w:val="32"/>
        </w:rPr>
        <w:t>《关于中核镶黄旗</w:t>
      </w:r>
      <w:r>
        <w:rPr>
          <w:rFonts w:ascii="仿宋_GB2312" w:hAnsi="仿宋_GB2312" w:eastAsia="仿宋_GB2312" w:cs="仿宋_GB2312"/>
          <w:snapToGrid/>
          <w:sz w:val="32"/>
          <w:szCs w:val="32"/>
        </w:rPr>
        <w:t>40</w:t>
      </w:r>
      <w:r>
        <w:rPr>
          <w:rFonts w:hint="eastAsia" w:ascii="仿宋_GB2312" w:hAnsi="仿宋_GB2312" w:eastAsia="仿宋_GB2312" w:cs="仿宋_GB2312"/>
          <w:snapToGrid/>
          <w:sz w:val="32"/>
          <w:szCs w:val="32"/>
        </w:rPr>
        <w:t>万千瓦风光储一体化基地项目</w:t>
      </w:r>
      <w:r>
        <w:rPr>
          <w:rFonts w:ascii="仿宋_GB2312" w:hAnsi="仿宋_GB2312" w:eastAsia="仿宋_GB2312" w:cs="仿宋_GB2312"/>
          <w:snapToGrid/>
          <w:sz w:val="32"/>
          <w:szCs w:val="32"/>
        </w:rPr>
        <w:t>32</w:t>
      </w:r>
      <w:r>
        <w:rPr>
          <w:rFonts w:hint="eastAsia" w:ascii="仿宋_GB2312" w:hAnsi="仿宋_GB2312" w:eastAsia="仿宋_GB2312" w:cs="仿宋_GB2312"/>
          <w:snapToGrid/>
          <w:sz w:val="32"/>
          <w:szCs w:val="32"/>
        </w:rPr>
        <w:t>万千瓦风电项目核准的批复》（锡能源新字〔</w:t>
      </w:r>
      <w:r>
        <w:rPr>
          <w:rFonts w:ascii="仿宋_GB2312" w:hAnsi="仿宋_GB2312" w:eastAsia="仿宋_GB2312" w:cs="仿宋_GB2312"/>
          <w:snapToGrid/>
          <w:sz w:val="32"/>
          <w:szCs w:val="32"/>
        </w:rPr>
        <w:t>2024〕11</w:t>
      </w:r>
      <w:r>
        <w:rPr>
          <w:rFonts w:hint="eastAsia" w:ascii="仿宋_GB2312" w:hAnsi="仿宋_GB2312" w:eastAsia="仿宋_GB2312" w:cs="仿宋_GB2312"/>
          <w:snapToGrid/>
          <w:sz w:val="32"/>
          <w:szCs w:val="32"/>
        </w:rPr>
        <w:t>号）</w:t>
      </w:r>
      <w:r>
        <w:rPr>
          <w:rFonts w:ascii="仿宋_GB2312" w:hAnsi="仿宋_GB2312" w:eastAsia="仿宋_GB2312" w:cs="仿宋_GB2312"/>
          <w:snapToGrid/>
          <w:sz w:val="32"/>
          <w:szCs w:val="32"/>
        </w:rPr>
        <w:t>，</w:t>
      </w:r>
      <w:r>
        <w:rPr>
          <w:rFonts w:hint="eastAsia" w:ascii="仿宋_GB2312" w:hAnsi="仿宋_GB2312" w:eastAsia="仿宋_GB2312" w:cs="仿宋_GB2312"/>
          <w:snapToGrid/>
          <w:sz w:val="32"/>
          <w:szCs w:val="32"/>
        </w:rPr>
        <w:t>项目</w:t>
      </w:r>
      <w:r>
        <w:rPr>
          <w:rFonts w:ascii="仿宋_GB2312" w:hAnsi="仿宋_GB2312" w:eastAsia="仿宋_GB2312" w:cs="仿宋_GB2312"/>
          <w:snapToGrid/>
          <w:sz w:val="32"/>
          <w:szCs w:val="32"/>
        </w:rPr>
        <w:t>符合国家</w:t>
      </w:r>
      <w:r>
        <w:rPr>
          <w:rFonts w:hint="eastAsia" w:ascii="仿宋_GB2312" w:hAnsi="仿宋_GB2312" w:eastAsia="仿宋_GB2312" w:cs="仿宋_GB2312"/>
          <w:snapToGrid/>
          <w:sz w:val="32"/>
          <w:szCs w:val="32"/>
        </w:rPr>
        <w:t>和地方</w:t>
      </w:r>
      <w:r>
        <w:rPr>
          <w:rFonts w:ascii="仿宋_GB2312" w:hAnsi="仿宋_GB2312" w:eastAsia="仿宋_GB2312" w:cs="仿宋_GB2312"/>
          <w:snapToGrid/>
          <w:sz w:val="32"/>
          <w:szCs w:val="32"/>
        </w:rPr>
        <w:t>产业政策。</w:t>
      </w:r>
      <w:r>
        <w:rPr>
          <w:rFonts w:hint="eastAsia" w:ascii="仿宋_GB2312" w:hAnsi="仿宋_GB2312" w:eastAsia="仿宋_GB2312" w:cs="仿宋_GB2312"/>
          <w:snapToGrid/>
          <w:sz w:val="32"/>
          <w:szCs w:val="32"/>
        </w:rPr>
        <w:t>项目取得锡林郭勒盟自然资源局《关于中核镶黄旗</w:t>
      </w:r>
      <w:r>
        <w:rPr>
          <w:rFonts w:ascii="仿宋_GB2312" w:hAnsi="仿宋_GB2312" w:eastAsia="仿宋_GB2312" w:cs="仿宋_GB2312"/>
          <w:snapToGrid/>
          <w:sz w:val="32"/>
          <w:szCs w:val="32"/>
        </w:rPr>
        <w:t>40</w:t>
      </w:r>
      <w:r>
        <w:rPr>
          <w:rFonts w:hint="eastAsia" w:ascii="仿宋_GB2312" w:hAnsi="仿宋_GB2312" w:eastAsia="仿宋_GB2312" w:cs="仿宋_GB2312"/>
          <w:snapToGrid/>
          <w:sz w:val="32"/>
          <w:szCs w:val="32"/>
        </w:rPr>
        <w:t>万千瓦风光储一体化基地项目</w:t>
      </w:r>
      <w:r>
        <w:rPr>
          <w:rFonts w:ascii="仿宋_GB2312" w:hAnsi="仿宋_GB2312" w:eastAsia="仿宋_GB2312" w:cs="仿宋_GB2312"/>
          <w:snapToGrid/>
          <w:sz w:val="32"/>
          <w:szCs w:val="32"/>
        </w:rPr>
        <w:t>32</w:t>
      </w:r>
      <w:r>
        <w:rPr>
          <w:rFonts w:hint="eastAsia" w:ascii="仿宋_GB2312" w:hAnsi="仿宋_GB2312" w:eastAsia="仿宋_GB2312" w:cs="仿宋_GB2312"/>
          <w:snapToGrid/>
          <w:sz w:val="32"/>
          <w:szCs w:val="32"/>
        </w:rPr>
        <w:t>万千瓦风电项目用地预审与选址意见书的批复》（锡自然预审字〔2023〕71号），符合国土空间总体规划管控规则，不涉及各级自然保护区，不涉及生态红线，不涉及占用永久基本农田。项目的建设符合锡林郭勒盟“三线一单”相关管控要求，符合相关法律规范和行业规范要求。在全面落实环境影响报告书提出的各项生态保护措施和污染防治措施，该项目对环境的不利影响可得到缓解和控制。我局原则同意本项目环境影响报告书总体评价结论和拟采取的生态环境保护措施。</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二、工程设计、建设和运行过程中应做好以下工作：</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（一）全面落实《报告书》提出的各项生态环境保护措施。严格执行国家和地方产业政策、生态环境准入清单、污染防治和生态保护的相关要求，有新调整或细化规定的，按照新规定执行。</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二）加强施工期间的环境管理工作，开挖时对作业面和土堆喷水，避免在大风天气下进行装卸作业，运输采用封闭式车辆，对运输道路定期洒水抑尘；合理安排施工时间、合理布局施工现场、选用低噪声的作业机具、采取个人防护、严格管理施工过程；施工期生产废水经隔油池、沉淀池处理后回用，生活污水由防渗旱厕收集；弃土完工后进行土地整治利用；建筑垃圾应在指定的堆放点存放，并送达当地环卫部门指定倾倒点处置；生活垃圾及时收集到场内指定的垃圾箱，并定期清运到当地环卫部门指定地点集中处置；施工结束后对临时占地区域进行覆土和植被恢复。</w:t>
      </w:r>
    </w:p>
    <w:p>
      <w:pPr>
        <w:pStyle w:val="5"/>
        <w:spacing w:line="560" w:lineRule="exact"/>
        <w:ind w:firstLine="640"/>
        <w:rPr>
          <w:rFonts w:hint="eastAsia"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三）严格落实大气污染防治措施。检修车辆减速慢行，对检修道路定期洒水抑尘以降低扬尘对环境产生的影响；食堂油烟采用油烟净化装置处理后经屋顶排气筒排放，排放浓度满足《饮食业油烟排放标准（试行）》（</w:t>
      </w:r>
      <w:r>
        <w:rPr>
          <w:rFonts w:ascii="仿宋_GB2312" w:hAnsi="仿宋_GB2312" w:eastAsia="仿宋_GB2312" w:cs="仿宋_GB2312"/>
          <w:snapToGrid/>
          <w:sz w:val="32"/>
          <w:szCs w:val="32"/>
        </w:rPr>
        <w:t>GB18483-2001</w:t>
      </w:r>
      <w:r>
        <w:rPr>
          <w:rFonts w:hint="eastAsia" w:ascii="仿宋_GB2312" w:hAnsi="仿宋_GB2312" w:eastAsia="仿宋_GB2312" w:cs="仿宋_GB2312"/>
          <w:snapToGrid/>
          <w:sz w:val="32"/>
          <w:szCs w:val="32"/>
        </w:rPr>
        <w:t>）限值。</w:t>
      </w:r>
    </w:p>
    <w:p>
      <w:pPr>
        <w:pStyle w:val="5"/>
        <w:spacing w:line="560" w:lineRule="exact"/>
        <w:ind w:firstLine="640"/>
        <w:rPr>
          <w:rFonts w:hint="eastAsia"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（四）加强水污染防治。运营期生活污水经化粪池、隔油池预处理后进入一体化污水处理设施，采用“格栅</w:t>
      </w:r>
      <w:r>
        <w:rPr>
          <w:rFonts w:ascii="仿宋_GB2312" w:hAnsi="仿宋_GB2312" w:eastAsia="仿宋_GB2312" w:cs="仿宋_GB2312"/>
          <w:snapToGrid/>
          <w:sz w:val="32"/>
          <w:szCs w:val="32"/>
        </w:rPr>
        <w:t>+</w:t>
      </w:r>
      <w:r>
        <w:rPr>
          <w:rFonts w:hint="eastAsia" w:ascii="仿宋_GB2312" w:hAnsi="仿宋_GB2312" w:eastAsia="仿宋_GB2312" w:cs="仿宋_GB2312"/>
          <w:snapToGrid/>
          <w:sz w:val="32"/>
          <w:szCs w:val="32"/>
        </w:rPr>
        <w:t>调节池</w:t>
      </w:r>
      <w:r>
        <w:rPr>
          <w:rFonts w:ascii="仿宋_GB2312" w:hAnsi="仿宋_GB2312" w:eastAsia="仿宋_GB2312" w:cs="仿宋_GB2312"/>
          <w:snapToGrid/>
          <w:sz w:val="32"/>
          <w:szCs w:val="32"/>
        </w:rPr>
        <w:t>+</w:t>
      </w:r>
      <w:r>
        <w:rPr>
          <w:rFonts w:hint="eastAsia" w:ascii="仿宋_GB2312" w:hAnsi="仿宋_GB2312" w:eastAsia="仿宋_GB2312" w:cs="仿宋_GB2312"/>
          <w:snapToGrid/>
          <w:sz w:val="32"/>
          <w:szCs w:val="32"/>
        </w:rPr>
        <w:t>接触氧化池</w:t>
      </w:r>
      <w:r>
        <w:rPr>
          <w:rFonts w:ascii="仿宋_GB2312" w:hAnsi="仿宋_GB2312" w:eastAsia="仿宋_GB2312" w:cs="仿宋_GB2312"/>
          <w:snapToGrid/>
          <w:sz w:val="32"/>
          <w:szCs w:val="32"/>
        </w:rPr>
        <w:t>+</w:t>
      </w:r>
      <w:r>
        <w:rPr>
          <w:rFonts w:hint="eastAsia" w:ascii="仿宋_GB2312" w:hAnsi="仿宋_GB2312" w:eastAsia="仿宋_GB2312" w:cs="仿宋_GB2312"/>
          <w:snapToGrid/>
          <w:sz w:val="32"/>
          <w:szCs w:val="32"/>
        </w:rPr>
        <w:t>沉淀池</w:t>
      </w:r>
      <w:r>
        <w:rPr>
          <w:rFonts w:ascii="仿宋_GB2312" w:hAnsi="仿宋_GB2312" w:eastAsia="仿宋_GB2312" w:cs="仿宋_GB2312"/>
          <w:snapToGrid/>
          <w:sz w:val="32"/>
          <w:szCs w:val="32"/>
        </w:rPr>
        <w:t>+</w:t>
      </w:r>
      <w:r>
        <w:rPr>
          <w:rFonts w:hint="eastAsia" w:ascii="仿宋_GB2312" w:hAnsi="仿宋_GB2312" w:eastAsia="仿宋_GB2312" w:cs="仿宋_GB2312"/>
          <w:snapToGrid/>
          <w:sz w:val="32"/>
          <w:szCs w:val="32"/>
        </w:rPr>
        <w:t>消毒”处理工艺，处理后水质达到《城市污水再生利用城市杂用水水质标准》（</w:t>
      </w:r>
      <w:r>
        <w:rPr>
          <w:rFonts w:ascii="仿宋_GB2312" w:hAnsi="仿宋_GB2312" w:eastAsia="仿宋_GB2312" w:cs="仿宋_GB2312"/>
          <w:snapToGrid/>
          <w:sz w:val="32"/>
          <w:szCs w:val="32"/>
        </w:rPr>
        <w:t>GB/T18920-2020</w:t>
      </w:r>
      <w:r>
        <w:rPr>
          <w:rFonts w:hint="eastAsia" w:ascii="仿宋_GB2312" w:hAnsi="仿宋_GB2312" w:eastAsia="仿宋_GB2312" w:cs="仿宋_GB2312"/>
          <w:snapToGrid/>
          <w:sz w:val="32"/>
          <w:szCs w:val="32"/>
        </w:rPr>
        <w:t>）用于周边绿化及抑尘。</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（五）严格落实噪声防治计划。合理调整机位，远离声环境保护目标。选用低噪声机械设备和电力设备，按要求采取减震、消音、隔音措施，加强厂区与敏感度之间绿化等减噪措施。</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六）严格规范固废管理。固体废物应做到资源化、无害化、减量化。生活垃圾、污泥暂存于垃圾桶，委托环卫部门处置；废油脂暂存于废油脂桶，委托有资质的餐厨垃圾回收公司回收处置；废磷酸锂铁电池更换后由厂家直接回收，不在厂区暂存；废铅蓄电池、设备检修废油由专门容器收集后暂存于危废暂存间，委托有资质单位处置；主变压器、箱式变压器事故状态产生的事故油暂存于事故油池，委托有资质单位处置。</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三、工程建设必须严格执行配套的环境保护设施与主体工程同时设计、同时施工、同时投产使用的环境保护“三同时”制度。要将环境投资纳入初步设计概算与施工合同，并落实环保设施投资，保证环境保护设施建设进度和资金；项目竣工后须按规定程序施工竣工环境保护验收，验收合格后方可正式投运。</w:t>
      </w:r>
    </w:p>
    <w:p>
      <w:pPr>
        <w:pStyle w:val="5"/>
        <w:spacing w:line="560" w:lineRule="exact"/>
        <w:ind w:firstLine="640"/>
        <w:rPr>
          <w:rFonts w:ascii="仿宋_GB2312" w:hAnsi="仿宋_GB2312" w:eastAsia="仿宋_GB2312" w:cs="仿宋_GB2312"/>
          <w:snapToGrid/>
          <w:sz w:val="32"/>
          <w:szCs w:val="32"/>
        </w:rPr>
      </w:pPr>
      <w:r>
        <w:rPr>
          <w:rFonts w:hint="eastAsia" w:ascii="仿宋_GB2312" w:hAnsi="仿宋_GB2312" w:eastAsia="仿宋_GB2312" w:cs="仿宋_GB2312"/>
          <w:snapToGrid/>
          <w:sz w:val="32"/>
          <w:szCs w:val="32"/>
        </w:rPr>
        <w:t>四、我局委托盟生态环境局镶黄旗分局，对该项目各项生态环境保护措施落实情况进行监督检查和管理。</w:t>
      </w:r>
    </w:p>
    <w:p>
      <w:pPr>
        <w:spacing w:line="560" w:lineRule="exact"/>
        <w:jc w:val="right"/>
        <w:rPr>
          <w:rFonts w:ascii="仿宋_GB2312" w:hAnsi="仿宋_GB2312" w:eastAsia="仿宋_GB2312" w:cs="仿宋_GB2312"/>
          <w:spacing w:val="36"/>
          <w:w w:val="102"/>
          <w:sz w:val="32"/>
          <w:szCs w:val="32"/>
        </w:rPr>
      </w:pPr>
    </w:p>
    <w:p>
      <w:pPr>
        <w:spacing w:line="560" w:lineRule="exact"/>
        <w:jc w:val="right"/>
        <w:rPr>
          <w:rFonts w:ascii="仿宋_GB2312" w:hAnsi="仿宋_GB2312" w:eastAsia="仿宋_GB2312" w:cs="仿宋_GB2312"/>
          <w:spacing w:val="36"/>
          <w:w w:val="102"/>
          <w:sz w:val="32"/>
          <w:szCs w:val="32"/>
        </w:rPr>
      </w:pPr>
    </w:p>
    <w:p>
      <w:pPr>
        <w:wordWrap w:val="0"/>
        <w:spacing w:line="560" w:lineRule="exact"/>
        <w:jc w:val="right"/>
        <w:rPr>
          <w:rFonts w:ascii="仿宋_GB2312" w:hAnsi="仿宋_GB2312" w:eastAsia="仿宋_GB2312" w:cs="仿宋_GB2312"/>
          <w:spacing w:val="3"/>
          <w:sz w:val="32"/>
          <w:szCs w:val="32"/>
        </w:rPr>
      </w:pPr>
      <w:r>
        <w:rPr>
          <w:rFonts w:hint="eastAsia" w:ascii="仿宋_GB2312" w:hAnsi="仿宋_GB2312" w:eastAsia="仿宋_GB2312" w:cs="仿宋_GB2312"/>
          <w:spacing w:val="36"/>
          <w:w w:val="102"/>
          <w:sz w:val="32"/>
          <w:szCs w:val="32"/>
        </w:rPr>
        <w:t xml:space="preserve">锡林郭勒盟生态环境局      </w:t>
      </w:r>
    </w:p>
    <w:p>
      <w:pPr>
        <w:wordWrap w:val="0"/>
        <w:spacing w:line="560" w:lineRule="exact"/>
        <w:jc w:val="right"/>
        <w:rPr>
          <w:rFonts w:ascii="Times New Roman" w:hAnsi="Times New Roman" w:eastAsia="仿宋" w:cs="Times New Roman"/>
          <w:spacing w:val="18"/>
          <w:w w:val="104"/>
          <w:sz w:val="33"/>
          <w:szCs w:val="33"/>
        </w:rPr>
      </w:pPr>
      <w:r>
        <w:rPr>
          <w:rFonts w:hint="eastAsia" w:ascii="仿宋_GB2312" w:hAnsi="仿宋_GB2312" w:eastAsia="仿宋_GB2312" w:cs="仿宋_GB2312"/>
          <w:spacing w:val="18"/>
          <w:w w:val="104"/>
          <w:sz w:val="32"/>
          <w:szCs w:val="32"/>
        </w:rPr>
        <w:t>2024年4月1</w:t>
      </w:r>
      <w:r>
        <w:rPr>
          <w:rFonts w:hint="eastAsia" w:ascii="仿宋_GB2312" w:hAnsi="仿宋_GB2312" w:eastAsia="仿宋_GB2312" w:cs="仿宋_GB2312"/>
          <w:spacing w:val="18"/>
          <w:w w:val="104"/>
          <w:sz w:val="32"/>
          <w:szCs w:val="32"/>
          <w:lang w:val="en-US" w:eastAsia="zh-CN"/>
        </w:rPr>
        <w:t>5</w:t>
      </w:r>
      <w:r>
        <w:rPr>
          <w:rFonts w:hint="eastAsia" w:ascii="仿宋_GB2312" w:hAnsi="仿宋_GB2312" w:eastAsia="仿宋_GB2312" w:cs="仿宋_GB2312"/>
          <w:spacing w:val="18"/>
          <w:w w:val="104"/>
          <w:sz w:val="32"/>
          <w:szCs w:val="32"/>
        </w:rPr>
        <w:t xml:space="preserve">日         </w:t>
      </w:r>
    </w:p>
    <w:p>
      <w:pPr>
        <w:rPr>
          <w:rFonts w:eastAsia="宋体"/>
        </w:rPr>
      </w:pPr>
    </w:p>
    <w:p>
      <w:pPr>
        <w:rPr>
          <w:rFonts w:eastAsia="宋体"/>
        </w:rPr>
      </w:pPr>
    </w:p>
    <w:p>
      <w:pPr>
        <w:rPr>
          <w:rFonts w:eastAsia="宋体"/>
        </w:rPr>
      </w:pPr>
    </w:p>
    <w:p>
      <w:pPr>
        <w:pStyle w:val="2"/>
      </w:pPr>
    </w:p>
    <w:p>
      <w:pPr>
        <w:pStyle w:val="2"/>
        <w:spacing w:after="0" w:line="400" w:lineRule="exact"/>
        <w:ind w:left="0" w:leftChars="0" w:firstLine="0" w:firstLineChars="0"/>
        <w:rPr>
          <w:rFonts w:ascii="Times New Roman" w:hAnsi="Times New Roman" w:eastAsia="仿宋" w:cs="Times New Roman"/>
          <w:spacing w:val="18"/>
          <w:w w:val="104"/>
          <w:sz w:val="33"/>
          <w:szCs w:val="33"/>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0" distR="0" simplePos="0" relativeHeight="251659264" behindDoc="0" locked="0" layoutInCell="1" allowOverlap="1">
                <wp:simplePos x="0" y="0"/>
                <wp:positionH relativeFrom="column">
                  <wp:posOffset>-14605</wp:posOffset>
                </wp:positionH>
                <wp:positionV relativeFrom="paragraph">
                  <wp:posOffset>292100</wp:posOffset>
                </wp:positionV>
                <wp:extent cx="5351780" cy="5715"/>
                <wp:effectExtent l="0" t="0" r="0" b="0"/>
                <wp:wrapNone/>
                <wp:docPr id="1027" name="直接连接符 12"/>
                <wp:cNvGraphicFramePr/>
                <a:graphic xmlns:a="http://schemas.openxmlformats.org/drawingml/2006/main">
                  <a:graphicData uri="http://schemas.microsoft.com/office/word/2010/wordprocessingShape">
                    <wps:wsp>
                      <wps:cNvCnPr/>
                      <wps:spPr>
                        <a:xfrm flipV="1">
                          <a:off x="0" y="0"/>
                          <a:ext cx="5351780" cy="571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1.15pt;margin-top:23pt;height:0.45pt;width:421.4pt;z-index:251659264;mso-width-relative:page;mso-height-relative:page;" filled="f" stroked="t" coordsize="21600,21600" o:gfxdata="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aK1+9YAAAAIAQAADwAAAAAAAAABACAAAAAiAAAAZHJzL2Rvd25yZXYu&#10;eG1sUEsBAhQAFAAAAAgAh07iQKZAijb9AQAA8wMAAA4AAAAAAAAAAQAgAAAAJQEAAGRycy9lMm9E&#10;b2MueG1sUEsFBgAAAAAGAAYAWQEAAJQ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rPr>
        <w:t>盟生态环境综合行政执法支队</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盟生态环境局镶黄旗分局</w:t>
      </w:r>
    </w:p>
    <w:p>
      <w:pPr>
        <w:spacing w:line="360" w:lineRule="auto"/>
        <w:rPr>
          <w:rFonts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299085</wp:posOffset>
                </wp:positionV>
                <wp:extent cx="5351780" cy="5715"/>
                <wp:effectExtent l="0" t="0" r="0" b="0"/>
                <wp:wrapNone/>
                <wp:docPr id="1" name="直接连接符 12"/>
                <wp:cNvGraphicFramePr/>
                <a:graphic xmlns:a="http://schemas.openxmlformats.org/drawingml/2006/main">
                  <a:graphicData uri="http://schemas.microsoft.com/office/word/2010/wordprocessingShape">
                    <wps:wsp>
                      <wps:cNvCnPr/>
                      <wps:spPr>
                        <a:xfrm flipV="1">
                          <a:off x="0" y="0"/>
                          <a:ext cx="5351780" cy="571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flip:y;margin-left:-0.05pt;margin-top:23.55pt;height:0.45pt;width:421.4pt;z-index:251659264;mso-width-relative:page;mso-height-relative:page;" filled="f" stroked="t" coordsize="21600,21600" o:gfxdata="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Hr5I1QAAAAcBAAAPAAAAAAAAAAEAIAAAACIAAABkcnMvZG93bnJldi54bWxQ&#10;SwECFAAUAAAACACHTuJAKDriZ/oBAADwAwAADgAAAAAAAAABACAAAAAk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2024年4月1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日印发</w:t>
      </w:r>
    </w:p>
    <w:sectPr>
      <w:footerReference r:id="rId3" w:type="default"/>
      <w:pgSz w:w="12050" w:h="16920"/>
      <w:pgMar w:top="1440" w:right="1800" w:bottom="1440" w:left="1800" w:header="0" w:footer="862"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Malgun Gothic Semilight"/>
    <w:panose1 w:val="020B06040200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UWHQvVAAAACAEAAA8AAAAAAAAAAQAgAAAAIgAAAGRycy9kb3du&#10;cmV2LnhtbFBLAQIUABQAAAAIAIdO4kACWJ6zyQEAAJIDAAAOAAAAAAAAAAEAIAAAACQBAABkcnMv&#10;ZTJvRG9jLnhtbFBLBQYAAAAABgAGAFkBAABfBQAAAAA=&#10;">
              <v:fill on="f" focussize="0,0"/>
              <v:stroke on="f"/>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QyNDlkZDkyY2ExMmFiMzkxMDQ0MjYzN2E2ZDFlMjIifQ=="/>
  </w:docVars>
  <w:rsids>
    <w:rsidRoot w:val="00000000"/>
    <w:rsid w:val="04403603"/>
    <w:rsid w:val="2D0101D9"/>
    <w:rsid w:val="6115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99"/>
    <w:pPr>
      <w:keepNext/>
      <w:overflowPunct w:val="0"/>
      <w:spacing w:before="120" w:after="160" w:line="259" w:lineRule="auto"/>
      <w:ind w:left="432" w:hanging="432"/>
      <w:outlineLvl w:val="0"/>
    </w:pPr>
    <w:rPr>
      <w:rFonts w:eastAsia="黑体"/>
      <w:b/>
      <w:bCs/>
      <w:kern w:val="44"/>
      <w:sz w:val="30"/>
      <w:szCs w:val="30"/>
    </w:rPr>
  </w:style>
  <w:style w:type="character" w:default="1" w:styleId="12">
    <w:name w:val="Default Paragraph Font"/>
    <w:uiPriority w:val="1"/>
  </w:style>
  <w:style w:type="table" w:default="1" w:styleId="11">
    <w:name w:val="Normal Table"/>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1"/>
    <w:autoRedefine/>
    <w:qFormat/>
    <w:uiPriority w:val="0"/>
    <w:pPr>
      <w:spacing w:after="120"/>
      <w:ind w:left="420" w:leftChars="200"/>
    </w:pPr>
  </w:style>
  <w:style w:type="paragraph" w:styleId="5">
    <w:name w:val="Normal Indent"/>
    <w:basedOn w:val="1"/>
    <w:next w:val="2"/>
    <w:qFormat/>
    <w:uiPriority w:val="0"/>
    <w:pPr>
      <w:widowControl w:val="0"/>
      <w:ind w:firstLine="420" w:firstLineChars="200"/>
      <w:jc w:val="both"/>
    </w:pPr>
    <w:rPr>
      <w:rFonts w:ascii="Times New Roman" w:hAnsi="Times New Roman" w:eastAsia="宋体" w:cs="Times New Roman"/>
      <w:kern w:val="2"/>
      <w:szCs w:val="24"/>
    </w:rPr>
  </w:style>
  <w:style w:type="paragraph" w:styleId="6">
    <w:name w:val="Body Text"/>
    <w:basedOn w:val="1"/>
    <w:next w:val="1"/>
    <w:autoRedefine/>
    <w:qFormat/>
    <w:uiPriority w:val="0"/>
    <w:pPr>
      <w:spacing w:before="60" w:after="160" w:line="259" w:lineRule="auto"/>
      <w:ind w:right="113"/>
    </w:pPr>
    <w:rPr>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pBdr>
        <w:bottom w:val="single" w:color="auto" w:sz="4" w:space="0"/>
        <w:right w:val="single" w:color="auto" w:sz="4" w:space="0"/>
      </w:pBdr>
      <w:spacing w:before="100" w:beforeAutospacing="1" w:after="100" w:afterAutospacing="1"/>
      <w:jc w:val="center"/>
    </w:pPr>
    <w:rPr>
      <w:rFonts w:eastAsia="Arial Unicode MS"/>
    </w:rPr>
  </w:style>
  <w:style w:type="table" w:customStyle="1" w:styleId="14">
    <w:name w:val="Table Normal"/>
    <w:autoRedefine/>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spacing w:before="100" w:after="100"/>
    </w:pPr>
    <w:rPr>
      <w:rFonts w:ascii="宋体" w:hAnsi="宋体" w:eastAsia="宋体" w:cs="宋体"/>
      <w:sz w:val="24"/>
      <w:szCs w:val="24"/>
    </w:rPr>
  </w:style>
  <w:style w:type="paragraph" w:customStyle="1" w:styleId="17">
    <w:name w:val="报告书正文"/>
    <w:basedOn w:val="1"/>
    <w:autoRedefine/>
    <w:qFormat/>
    <w:uiPriority w:val="0"/>
    <w:pPr>
      <w:snapToGrid w:val="0"/>
      <w:spacing w:line="360" w:lineRule="auto"/>
      <w:ind w:firstLine="425"/>
      <w:textAlignment w:val="baseline"/>
    </w:pPr>
    <w:rPr>
      <w:rFonts w:ascii="Arial" w:hAnsi="Arial"/>
      <w:kern w:val="0"/>
      <w:sz w:val="24"/>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1800</Words>
  <Characters>1911</Characters>
  <Paragraphs>42</Paragraphs>
  <TotalTime>1</TotalTime>
  <ScaleCrop>false</ScaleCrop>
  <LinksUpToDate>false</LinksUpToDate>
  <CharactersWithSpaces>1957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zilchs</cp:lastModifiedBy>
  <cp:lastPrinted>2024-04-11T07:32:00Z</cp:lastPrinted>
  <dcterms:modified xsi:type="dcterms:W3CDTF">2024-04-16T07:12:33Z</dcterms:modified>
  <dc:subject>pdfbuilder</dc:subject>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2052-12.1.0.16729</vt:lpwstr>
  </property>
  <property fmtid="{D5CDD505-2E9C-101B-9397-08002B2CF9AE}" pid="5" name="ICV">
    <vt:lpwstr>9bedd1ccba2c4c8889b920b38d73051a_23</vt:lpwstr>
  </property>
</Properties>
</file>