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spacing w:line="560" w:lineRule="exact"/>
        <w:jc w:val="both"/>
        <w:textAlignment w:val="auto"/>
        <w:rPr>
          <w:rFonts w:ascii="Times New Roman" w:hAnsi="Times New Roman" w:eastAsia="仿宋_GB2312" w:cs="Times New Roman"/>
          <w:snapToGrid/>
          <w:color w:val="FF0000"/>
          <w:kern w:val="2"/>
          <w:sz w:val="32"/>
          <w:szCs w:val="32"/>
          <w:highlight w:val="yellow"/>
          <w:lang w:bidi="en-US"/>
        </w:rPr>
      </w:pPr>
    </w:p>
    <w:p>
      <w:pPr>
        <w:widowControl w:val="0"/>
        <w:kinsoku/>
        <w:spacing w:line="560" w:lineRule="exact"/>
        <w:jc w:val="both"/>
        <w:textAlignment w:val="auto"/>
        <w:rPr>
          <w:rFonts w:ascii="Times New Roman" w:hAnsi="Times New Roman" w:eastAsia="仿宋_GB2312" w:cs="Times New Roman"/>
          <w:snapToGrid/>
          <w:color w:val="FF0000"/>
          <w:kern w:val="2"/>
          <w:sz w:val="32"/>
          <w:szCs w:val="32"/>
          <w:highlight w:val="yellow"/>
          <w:lang w:bidi="en-US"/>
        </w:rPr>
      </w:pPr>
    </w:p>
    <w:p>
      <w:pPr>
        <w:widowControl w:val="0"/>
        <w:kinsoku/>
        <w:spacing w:line="560" w:lineRule="exact"/>
        <w:jc w:val="both"/>
        <w:textAlignment w:val="auto"/>
        <w:rPr>
          <w:rFonts w:ascii="Times New Roman" w:hAnsi="Times New Roman" w:eastAsia="仿宋_GB2312" w:cs="Times New Roman"/>
          <w:snapToGrid/>
          <w:color w:val="FF0000"/>
          <w:kern w:val="2"/>
          <w:sz w:val="32"/>
          <w:szCs w:val="32"/>
          <w:highlight w:val="yellow"/>
          <w:lang w:bidi="en-US"/>
        </w:rPr>
      </w:pPr>
    </w:p>
    <w:p>
      <w:pPr>
        <w:widowControl w:val="0"/>
        <w:kinsoku/>
        <w:spacing w:line="560" w:lineRule="exact"/>
        <w:jc w:val="both"/>
        <w:textAlignment w:val="auto"/>
        <w:rPr>
          <w:rFonts w:ascii="Times New Roman" w:hAnsi="Times New Roman" w:eastAsia="仿宋_GB2312" w:cs="Times New Roman"/>
          <w:snapToGrid/>
          <w:color w:val="FF0000"/>
          <w:kern w:val="2"/>
          <w:sz w:val="32"/>
          <w:szCs w:val="32"/>
          <w:highlight w:val="yellow"/>
          <w:lang w:bidi="en-US"/>
        </w:rPr>
      </w:pPr>
    </w:p>
    <w:p>
      <w:pPr>
        <w:widowControl w:val="0"/>
        <w:kinsoku/>
        <w:spacing w:line="560" w:lineRule="exact"/>
        <w:jc w:val="both"/>
        <w:textAlignment w:val="auto"/>
        <w:rPr>
          <w:rFonts w:ascii="Times New Roman" w:hAnsi="Times New Roman" w:eastAsia="仿宋_GB2312" w:cs="Times New Roman"/>
          <w:snapToGrid/>
          <w:color w:val="FF0000"/>
          <w:kern w:val="2"/>
          <w:sz w:val="32"/>
          <w:szCs w:val="32"/>
          <w:highlight w:val="yellow"/>
          <w:lang w:bidi="en-US"/>
        </w:rPr>
      </w:pPr>
    </w:p>
    <w:p>
      <w:pPr>
        <w:widowControl w:val="0"/>
        <w:kinsoku/>
        <w:spacing w:line="560" w:lineRule="exact"/>
        <w:jc w:val="both"/>
        <w:textAlignment w:val="auto"/>
        <w:rPr>
          <w:rFonts w:ascii="Times New Roman" w:hAnsi="Times New Roman" w:eastAsia="仿宋_GB2312" w:cs="Times New Roman"/>
          <w:snapToGrid/>
          <w:color w:val="FF0000"/>
          <w:kern w:val="2"/>
          <w:sz w:val="32"/>
          <w:szCs w:val="32"/>
          <w:highlight w:val="yellow"/>
          <w:lang w:bidi="en-US"/>
        </w:rPr>
      </w:pPr>
    </w:p>
    <w:p>
      <w:pPr>
        <w:widowControl w:val="0"/>
        <w:kinsoku/>
        <w:spacing w:line="560" w:lineRule="exact"/>
        <w:jc w:val="both"/>
        <w:textAlignment w:val="auto"/>
        <w:rPr>
          <w:rFonts w:ascii="Times New Roman" w:hAnsi="Times New Roman" w:eastAsia="仿宋_GB2312" w:cs="Times New Roman"/>
          <w:snapToGrid/>
          <w:color w:val="FF0000"/>
          <w:kern w:val="2"/>
          <w:sz w:val="32"/>
          <w:szCs w:val="32"/>
          <w:highlight w:val="yellow"/>
          <w:lang w:bidi="en-US"/>
        </w:rPr>
      </w:pPr>
    </w:p>
    <w:p>
      <w:pPr>
        <w:widowControl w:val="0"/>
        <w:kinsoku/>
        <w:spacing w:line="560" w:lineRule="exact"/>
        <w:jc w:val="both"/>
        <w:textAlignment w:val="auto"/>
        <w:rPr>
          <w:rFonts w:ascii="Times New Roman" w:hAnsi="Times New Roman" w:eastAsia="仿宋_GB2312" w:cs="Times New Roman"/>
          <w:snapToGrid/>
          <w:color w:val="FF0000"/>
          <w:kern w:val="2"/>
          <w:sz w:val="32"/>
          <w:szCs w:val="32"/>
          <w:highlight w:val="yellow"/>
          <w:lang w:bidi="en-US"/>
        </w:rPr>
      </w:pPr>
    </w:p>
    <w:p>
      <w:pPr>
        <w:widowControl w:val="0"/>
        <w:kinsoku/>
        <w:spacing w:line="560" w:lineRule="exact"/>
        <w:jc w:val="both"/>
        <w:textAlignment w:val="auto"/>
        <w:rPr>
          <w:rFonts w:ascii="Times New Roman" w:hAnsi="Times New Roman" w:eastAsia="仿宋_GB2312" w:cs="Times New Roman"/>
          <w:snapToGrid/>
          <w:color w:val="FF0000"/>
          <w:kern w:val="2"/>
          <w:sz w:val="32"/>
          <w:szCs w:val="32"/>
          <w:highlight w:val="yellow"/>
          <w:lang w:bidi="en-US"/>
        </w:rPr>
      </w:pPr>
    </w:p>
    <w:p>
      <w:pPr>
        <w:widowControl w:val="0"/>
        <w:kinsoku/>
        <w:spacing w:line="560" w:lineRule="exact"/>
        <w:jc w:val="center"/>
        <w:textAlignment w:val="auto"/>
        <w:rPr>
          <w:rFonts w:ascii="仿宋_GB2312" w:hAnsi="仿宋_GB2312" w:eastAsia="仿宋_GB2312" w:cs="仿宋_GB2312"/>
          <w:snapToGrid/>
          <w:color w:val="auto"/>
          <w:kern w:val="2"/>
          <w:sz w:val="32"/>
          <w:szCs w:val="32"/>
          <w:lang w:bidi="en-US"/>
        </w:rPr>
      </w:pPr>
      <w:r>
        <w:rPr>
          <w:rFonts w:hint="eastAsia" w:ascii="仿宋_GB2312" w:hAnsi="仿宋_GB2312" w:eastAsia="仿宋_GB2312" w:cs="仿宋_GB2312"/>
          <w:snapToGrid/>
          <w:color w:val="auto"/>
          <w:kern w:val="2"/>
          <w:sz w:val="32"/>
          <w:szCs w:val="32"/>
          <w:lang w:bidi="en-US"/>
        </w:rPr>
        <w:t>锡署环审书〔2024〕1</w:t>
      </w:r>
      <w:r>
        <w:rPr>
          <w:rFonts w:hint="eastAsia" w:ascii="仿宋_GB2312" w:hAnsi="仿宋_GB2312" w:eastAsia="仿宋_GB2312" w:cs="仿宋_GB2312"/>
          <w:snapToGrid/>
          <w:color w:val="auto"/>
          <w:kern w:val="2"/>
          <w:sz w:val="32"/>
          <w:szCs w:val="32"/>
          <w:lang w:val="en-US" w:eastAsia="zh-CN" w:bidi="en-US"/>
        </w:rPr>
        <w:t>8</w:t>
      </w:r>
      <w:r>
        <w:rPr>
          <w:rFonts w:hint="eastAsia" w:ascii="仿宋_GB2312" w:hAnsi="仿宋_GB2312" w:eastAsia="仿宋_GB2312" w:cs="仿宋_GB2312"/>
          <w:snapToGrid/>
          <w:color w:val="auto"/>
          <w:kern w:val="2"/>
          <w:sz w:val="32"/>
          <w:szCs w:val="32"/>
          <w:lang w:bidi="en-US"/>
        </w:rPr>
        <w:t>号</w:t>
      </w:r>
    </w:p>
    <w:p>
      <w:pPr>
        <w:widowControl w:val="0"/>
        <w:kinsoku/>
        <w:spacing w:line="560" w:lineRule="exact"/>
        <w:jc w:val="both"/>
        <w:textAlignment w:val="auto"/>
        <w:rPr>
          <w:rFonts w:ascii="Times New Roman" w:hAnsi="Times New Roman" w:eastAsia="仿宋_GB2312" w:cs="Times New Roman"/>
          <w:snapToGrid/>
          <w:color w:val="FF0000"/>
          <w:kern w:val="2"/>
          <w:sz w:val="32"/>
          <w:szCs w:val="32"/>
          <w:highlight w:val="yellow"/>
          <w:lang w:bidi="en-US"/>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napToGrid/>
          <w:kern w:val="2"/>
          <w:sz w:val="44"/>
          <w:szCs w:val="44"/>
        </w:rPr>
      </w:pPr>
      <w:r>
        <w:rPr>
          <w:rFonts w:hint="eastAsia" w:ascii="方正小标宋简体" w:hAnsi="方正小标宋简体" w:eastAsia="方正小标宋简体" w:cs="方正小标宋简体"/>
          <w:b w:val="0"/>
          <w:bCs w:val="0"/>
          <w:snapToGrid/>
          <w:kern w:val="2"/>
          <w:sz w:val="44"/>
          <w:szCs w:val="44"/>
        </w:rPr>
        <w:t>锡林郭勒盟生态环境局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napToGrid/>
          <w:kern w:val="2"/>
          <w:sz w:val="44"/>
          <w:szCs w:val="44"/>
        </w:rPr>
      </w:pPr>
      <w:r>
        <w:rPr>
          <w:rFonts w:hint="eastAsia" w:ascii="方正小标宋简体" w:hAnsi="方正小标宋简体" w:eastAsia="方正小标宋简体" w:cs="方正小标宋简体"/>
          <w:b w:val="0"/>
          <w:bCs w:val="0"/>
          <w:snapToGrid/>
          <w:kern w:val="2"/>
          <w:sz w:val="44"/>
          <w:szCs w:val="44"/>
        </w:rPr>
        <w:t>关于锡林浩特市泰富能源400MW风电项目环境影响报告书的批复</w:t>
      </w:r>
    </w:p>
    <w:p>
      <w:pPr>
        <w:widowControl w:val="0"/>
        <w:kinsoku/>
        <w:autoSpaceDE/>
        <w:autoSpaceDN/>
        <w:adjustRightInd/>
        <w:snapToGrid/>
        <w:spacing w:line="360" w:lineRule="auto"/>
        <w:jc w:val="both"/>
        <w:textAlignment w:val="auto"/>
        <w:rPr>
          <w:rFonts w:ascii="仿宋_GB2312" w:hAnsi="仿宋_GB2312" w:eastAsia="仿宋_GB2312" w:cs="仿宋_GB2312"/>
          <w:snapToGrid/>
          <w:kern w:val="2"/>
          <w:sz w:val="32"/>
          <w:szCs w:val="32"/>
        </w:rPr>
      </w:pPr>
      <w:bookmarkStart w:id="0" w:name="_GoBack"/>
      <w:bookmarkEnd w:id="0"/>
    </w:p>
    <w:p>
      <w:pPr>
        <w:widowControl w:val="0"/>
        <w:kinsoku/>
        <w:autoSpaceDE/>
        <w:autoSpaceDN/>
        <w:adjustRightInd/>
        <w:snapToGrid/>
        <w:spacing w:line="560" w:lineRule="exact"/>
        <w:jc w:val="both"/>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锡林浩特市泰富晟源新能源有限公司：</w:t>
      </w:r>
    </w:p>
    <w:p>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32"/>
        </w:rPr>
      </w:pPr>
      <w:r>
        <w:rPr>
          <w:rFonts w:ascii="仿宋_GB2312" w:hAnsi="仿宋_GB2312" w:eastAsia="仿宋_GB2312" w:cs="仿宋_GB2312"/>
          <w:snapToGrid/>
          <w:kern w:val="2"/>
          <w:sz w:val="32"/>
          <w:szCs w:val="32"/>
        </w:rPr>
        <w:t>你</w:t>
      </w:r>
      <w:r>
        <w:rPr>
          <w:rFonts w:hint="eastAsia" w:ascii="仿宋_GB2312" w:hAnsi="仿宋_GB2312" w:eastAsia="仿宋_GB2312" w:cs="仿宋_GB2312"/>
          <w:snapToGrid/>
          <w:kern w:val="2"/>
          <w:sz w:val="32"/>
          <w:szCs w:val="32"/>
        </w:rPr>
        <w:t>公司</w:t>
      </w:r>
      <w:r>
        <w:rPr>
          <w:rFonts w:ascii="仿宋_GB2312" w:hAnsi="仿宋_GB2312" w:eastAsia="仿宋_GB2312" w:cs="仿宋_GB2312"/>
          <w:snapToGrid/>
          <w:kern w:val="2"/>
          <w:sz w:val="32"/>
          <w:szCs w:val="32"/>
        </w:rPr>
        <w:t>由</w:t>
      </w:r>
      <w:r>
        <w:rPr>
          <w:rFonts w:hint="eastAsia" w:ascii="仿宋_GB2312" w:hAnsi="仿宋_GB2312" w:eastAsia="仿宋_GB2312" w:cs="仿宋_GB2312"/>
          <w:snapToGrid/>
          <w:kern w:val="2"/>
          <w:sz w:val="32"/>
          <w:szCs w:val="32"/>
        </w:rPr>
        <w:t>内蒙古华诚鸿瑞科技有限公司</w:t>
      </w:r>
      <w:r>
        <w:rPr>
          <w:rFonts w:ascii="仿宋_GB2312" w:hAnsi="仿宋_GB2312" w:eastAsia="仿宋_GB2312" w:cs="仿宋_GB2312"/>
          <w:snapToGrid/>
          <w:kern w:val="2"/>
          <w:sz w:val="32"/>
          <w:szCs w:val="32"/>
        </w:rPr>
        <w:t>编制的《</w:t>
      </w:r>
      <w:r>
        <w:rPr>
          <w:rFonts w:hint="eastAsia" w:ascii="仿宋_GB2312" w:hAnsi="仿宋_GB2312" w:eastAsia="仿宋_GB2312" w:cs="仿宋_GB2312"/>
          <w:snapToGrid/>
          <w:kern w:val="2"/>
          <w:sz w:val="32"/>
          <w:szCs w:val="32"/>
        </w:rPr>
        <w:t>锡林浩特市泰富能源400MW风电项目环境影响报告书》（以下简称《报告书》）已收悉。经研究，批复如下：</w:t>
      </w:r>
      <w:r>
        <w:rPr>
          <w:rFonts w:cs="Times New Roman"/>
          <w:szCs w:val="24"/>
        </w:rPr>
        <w:t xml:space="preserve"> </w:t>
      </w:r>
    </w:p>
    <w:p>
      <w:pPr>
        <w:widowControl w:val="0"/>
        <w:kinsoku/>
        <w:autoSpaceDE/>
        <w:autoSpaceDN/>
        <w:adjustRightInd/>
        <w:snapToGrid/>
        <w:spacing w:line="56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一、项目概况</w:t>
      </w:r>
    </w:p>
    <w:p>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锡林浩特市泰富能源400MW风电项目位于内蒙古自治区锡林郭勒盟锡林浩特市北部宝力根苏木境内</w:t>
      </w:r>
      <w:r>
        <w:rPr>
          <w:rFonts w:ascii="仿宋_GB2312" w:hAnsi="仿宋_GB2312" w:eastAsia="仿宋_GB2312" w:cs="仿宋_GB2312"/>
          <w:snapToGrid/>
          <w:kern w:val="2"/>
          <w:sz w:val="32"/>
          <w:szCs w:val="32"/>
        </w:rPr>
        <w:t>，</w:t>
      </w:r>
      <w:r>
        <w:rPr>
          <w:rFonts w:hint="eastAsia" w:ascii="仿宋_GB2312" w:hAnsi="仿宋_GB2312" w:eastAsia="仿宋_GB2312" w:cs="仿宋_GB2312"/>
          <w:snapToGrid/>
          <w:kern w:val="2"/>
          <w:sz w:val="32"/>
          <w:szCs w:val="32"/>
        </w:rPr>
        <w:t>场址中心坐标东经115°44′42.312″，北纬44°6′42.289″。项目规划建设容量为400</w:t>
      </w:r>
      <w:r>
        <w:rPr>
          <w:rFonts w:ascii="仿宋_GB2312" w:hAnsi="仿宋_GB2312" w:eastAsia="仿宋_GB2312" w:cs="仿宋_GB2312"/>
          <w:snapToGrid/>
          <w:kern w:val="2"/>
          <w:sz w:val="32"/>
          <w:szCs w:val="32"/>
        </w:rPr>
        <w:t>MW</w:t>
      </w:r>
      <w:r>
        <w:rPr>
          <w:rFonts w:hint="eastAsia" w:ascii="仿宋_GB2312" w:hAnsi="仿宋_GB2312" w:eastAsia="仿宋_GB2312" w:cs="仿宋_GB2312"/>
          <w:snapToGrid/>
          <w:kern w:val="2"/>
          <w:sz w:val="32"/>
          <w:szCs w:val="32"/>
        </w:rPr>
        <w:t>风电项目，拟安装单机容量6.25</w:t>
      </w:r>
      <w:r>
        <w:rPr>
          <w:rFonts w:ascii="仿宋_GB2312" w:hAnsi="仿宋_GB2312" w:eastAsia="仿宋_GB2312" w:cs="仿宋_GB2312"/>
          <w:snapToGrid/>
          <w:kern w:val="2"/>
          <w:sz w:val="32"/>
          <w:szCs w:val="32"/>
        </w:rPr>
        <w:t>MW</w:t>
      </w:r>
      <w:r>
        <w:rPr>
          <w:rFonts w:hint="eastAsia" w:ascii="仿宋_GB2312" w:hAnsi="仿宋_GB2312" w:eastAsia="仿宋_GB2312" w:cs="仿宋_GB2312"/>
          <w:snapToGrid/>
          <w:kern w:val="2"/>
          <w:sz w:val="32"/>
          <w:szCs w:val="32"/>
        </w:rPr>
        <w:t>的风力发电机组64台及相应数量箱变；新建</w:t>
      </w:r>
      <w:r>
        <w:rPr>
          <w:rFonts w:ascii="仿宋_GB2312" w:hAnsi="仿宋_GB2312" w:eastAsia="仿宋_GB2312" w:cs="仿宋_GB2312"/>
          <w:snapToGrid/>
          <w:kern w:val="2"/>
          <w:sz w:val="32"/>
          <w:szCs w:val="32"/>
        </w:rPr>
        <w:t>220kV</w:t>
      </w:r>
      <w:r>
        <w:rPr>
          <w:rFonts w:hint="eastAsia" w:ascii="仿宋_GB2312" w:hAnsi="仿宋_GB2312" w:eastAsia="仿宋_GB2312" w:cs="仿宋_GB2312"/>
          <w:snapToGrid/>
          <w:kern w:val="2"/>
          <w:sz w:val="32"/>
          <w:szCs w:val="32"/>
        </w:rPr>
        <w:t>升压站一座，安装</w:t>
      </w:r>
      <w:r>
        <w:rPr>
          <w:rFonts w:ascii="仿宋_GB2312" w:hAnsi="仿宋_GB2312" w:eastAsia="仿宋_GB2312" w:cs="仿宋_GB2312"/>
          <w:snapToGrid/>
          <w:kern w:val="2"/>
          <w:sz w:val="32"/>
          <w:szCs w:val="32"/>
        </w:rPr>
        <w:t>2</w:t>
      </w:r>
      <w:r>
        <w:rPr>
          <w:rFonts w:hint="eastAsia" w:ascii="仿宋_GB2312" w:hAnsi="仿宋_GB2312" w:eastAsia="仿宋_GB2312" w:cs="仿宋_GB2312"/>
          <w:snapToGrid/>
          <w:kern w:val="2"/>
          <w:sz w:val="32"/>
          <w:szCs w:val="32"/>
        </w:rPr>
        <w:t>台</w:t>
      </w:r>
      <w:r>
        <w:rPr>
          <w:rFonts w:ascii="仿宋_GB2312" w:hAnsi="仿宋_GB2312" w:eastAsia="仿宋_GB2312" w:cs="仿宋_GB2312"/>
          <w:snapToGrid/>
          <w:kern w:val="2"/>
          <w:sz w:val="32"/>
          <w:szCs w:val="32"/>
        </w:rPr>
        <w:t>2</w:t>
      </w:r>
      <w:r>
        <w:rPr>
          <w:rFonts w:hint="eastAsia" w:ascii="仿宋_GB2312" w:hAnsi="仿宋_GB2312" w:eastAsia="仿宋_GB2312" w:cs="仿宋_GB2312"/>
          <w:snapToGrid/>
          <w:kern w:val="2"/>
          <w:sz w:val="32"/>
          <w:szCs w:val="32"/>
        </w:rPr>
        <w:t>0</w:t>
      </w:r>
      <w:r>
        <w:rPr>
          <w:rFonts w:ascii="仿宋_GB2312" w:hAnsi="仿宋_GB2312" w:eastAsia="仿宋_GB2312" w:cs="仿宋_GB2312"/>
          <w:snapToGrid/>
          <w:kern w:val="2"/>
          <w:sz w:val="32"/>
          <w:szCs w:val="32"/>
        </w:rPr>
        <w:t>0MVA</w:t>
      </w:r>
      <w:r>
        <w:rPr>
          <w:rFonts w:hint="eastAsia" w:ascii="仿宋_GB2312" w:hAnsi="仿宋_GB2312" w:eastAsia="仿宋_GB2312" w:cs="仿宋_GB2312"/>
          <w:snapToGrid/>
          <w:kern w:val="2"/>
          <w:sz w:val="32"/>
          <w:szCs w:val="32"/>
        </w:rPr>
        <w:t>的主变压器，配套建设60MW/120.24MWh储能系统。该项目总投资254823.13万元，环保投资730.5万元，占总投资的</w:t>
      </w:r>
      <w:r>
        <w:rPr>
          <w:rFonts w:ascii="仿宋_GB2312" w:hAnsi="仿宋_GB2312" w:eastAsia="仿宋_GB2312" w:cs="仿宋_GB2312"/>
          <w:snapToGrid/>
          <w:kern w:val="2"/>
          <w:sz w:val="32"/>
          <w:szCs w:val="32"/>
        </w:rPr>
        <w:t>0.</w:t>
      </w:r>
      <w:r>
        <w:rPr>
          <w:rFonts w:hint="eastAsia" w:ascii="仿宋_GB2312" w:hAnsi="仿宋_GB2312" w:eastAsia="仿宋_GB2312" w:cs="仿宋_GB2312"/>
          <w:snapToGrid/>
          <w:kern w:val="2"/>
          <w:sz w:val="32"/>
          <w:szCs w:val="32"/>
        </w:rPr>
        <w:t>29</w:t>
      </w:r>
      <w:r>
        <w:rPr>
          <w:rFonts w:ascii="仿宋_GB2312" w:hAnsi="仿宋_GB2312" w:eastAsia="仿宋_GB2312" w:cs="仿宋_GB2312"/>
          <w:snapToGrid/>
          <w:kern w:val="2"/>
          <w:sz w:val="32"/>
          <w:szCs w:val="32"/>
        </w:rPr>
        <w:t>%</w:t>
      </w:r>
      <w:r>
        <w:rPr>
          <w:rFonts w:hint="eastAsia" w:ascii="仿宋_GB2312" w:hAnsi="仿宋_GB2312" w:eastAsia="仿宋_GB2312" w:cs="仿宋_GB2312"/>
          <w:snapToGrid/>
          <w:kern w:val="2"/>
          <w:sz w:val="32"/>
          <w:szCs w:val="32"/>
        </w:rPr>
        <w:t>，劳动定员20人，年工作</w:t>
      </w:r>
      <w:r>
        <w:rPr>
          <w:rFonts w:ascii="仿宋_GB2312" w:hAnsi="仿宋_GB2312" w:eastAsia="仿宋_GB2312" w:cs="仿宋_GB2312"/>
          <w:snapToGrid/>
          <w:kern w:val="2"/>
          <w:sz w:val="32"/>
          <w:szCs w:val="32"/>
        </w:rPr>
        <w:t>365</w:t>
      </w:r>
      <w:r>
        <w:rPr>
          <w:rFonts w:hint="eastAsia" w:ascii="仿宋_GB2312" w:hAnsi="仿宋_GB2312" w:eastAsia="仿宋_GB2312" w:cs="仿宋_GB2312"/>
          <w:snapToGrid/>
          <w:kern w:val="2"/>
          <w:sz w:val="32"/>
          <w:szCs w:val="32"/>
        </w:rPr>
        <w:t>天，建设性质为新建。项目涉及的电磁辐射另行评价。</w:t>
      </w:r>
    </w:p>
    <w:p>
      <w:pPr>
        <w:pStyle w:val="5"/>
        <w:spacing w:line="560" w:lineRule="exact"/>
        <w:ind w:firstLine="640"/>
        <w:rPr>
          <w:rFonts w:ascii="仿宋_GB2312" w:hAnsi="仿宋_GB2312" w:eastAsia="仿宋_GB2312" w:cs="仿宋_GB2312"/>
          <w:snapToGrid/>
          <w:sz w:val="32"/>
          <w:szCs w:val="32"/>
        </w:rPr>
      </w:pPr>
      <w:r>
        <w:rPr>
          <w:rFonts w:ascii="仿宋_GB2312" w:hAnsi="仿宋_GB2312" w:eastAsia="仿宋_GB2312" w:cs="仿宋_GB2312"/>
          <w:snapToGrid/>
          <w:sz w:val="32"/>
          <w:szCs w:val="32"/>
        </w:rPr>
        <w:t>根据</w:t>
      </w:r>
      <w:r>
        <w:rPr>
          <w:rFonts w:hint="eastAsia" w:ascii="仿宋_GB2312" w:hAnsi="仿宋_GB2312" w:eastAsia="仿宋_GB2312" w:cs="仿宋_GB2312"/>
          <w:snapToGrid/>
          <w:sz w:val="32"/>
          <w:szCs w:val="32"/>
        </w:rPr>
        <w:t>国家发展和改革委员会颁布的</w:t>
      </w:r>
      <w:r>
        <w:rPr>
          <w:rFonts w:ascii="仿宋_GB2312" w:hAnsi="仿宋_GB2312" w:eastAsia="仿宋_GB2312" w:cs="仿宋_GB2312"/>
          <w:snapToGrid/>
          <w:sz w:val="32"/>
          <w:szCs w:val="32"/>
        </w:rPr>
        <w:t>《产业结构调整指导目录》（2024年本）</w:t>
      </w:r>
      <w:r>
        <w:rPr>
          <w:rFonts w:hint="eastAsia" w:ascii="仿宋_GB2312" w:hAnsi="仿宋_GB2312" w:eastAsia="仿宋_GB2312" w:cs="仿宋_GB2312"/>
          <w:snapToGrid/>
          <w:sz w:val="32"/>
          <w:szCs w:val="32"/>
        </w:rPr>
        <w:t>，项目属于允许类，并取得</w:t>
      </w:r>
      <w:r>
        <w:rPr>
          <w:rFonts w:ascii="仿宋_GB2312" w:hAnsi="仿宋_GB2312" w:eastAsia="仿宋_GB2312" w:cs="仿宋_GB2312"/>
          <w:snapToGrid/>
          <w:sz w:val="32"/>
          <w:szCs w:val="32"/>
        </w:rPr>
        <w:t>锡林郭勒盟能源局</w:t>
      </w:r>
      <w:r>
        <w:rPr>
          <w:rFonts w:hint="eastAsia" w:ascii="仿宋_GB2312" w:hAnsi="仿宋_GB2312" w:eastAsia="仿宋_GB2312" w:cs="仿宋_GB2312"/>
          <w:snapToGrid/>
          <w:sz w:val="32"/>
          <w:szCs w:val="32"/>
        </w:rPr>
        <w:t>《关于锡林浩特市泰富能源400MW风电项目核准的批复》（锡能源新字〔</w:t>
      </w:r>
      <w:r>
        <w:rPr>
          <w:rFonts w:ascii="仿宋_GB2312" w:hAnsi="仿宋_GB2312" w:eastAsia="仿宋_GB2312" w:cs="仿宋_GB2312"/>
          <w:snapToGrid/>
          <w:sz w:val="32"/>
          <w:szCs w:val="32"/>
        </w:rPr>
        <w:t>2024〕</w:t>
      </w:r>
      <w:r>
        <w:rPr>
          <w:rFonts w:hint="eastAsia" w:ascii="仿宋_GB2312" w:hAnsi="仿宋_GB2312" w:eastAsia="仿宋_GB2312" w:cs="仿宋_GB2312"/>
          <w:snapToGrid/>
          <w:sz w:val="32"/>
          <w:szCs w:val="32"/>
        </w:rPr>
        <w:t>4号）</w:t>
      </w:r>
      <w:r>
        <w:rPr>
          <w:rFonts w:ascii="仿宋_GB2312" w:hAnsi="仿宋_GB2312" w:eastAsia="仿宋_GB2312" w:cs="仿宋_GB2312"/>
          <w:snapToGrid/>
          <w:sz w:val="32"/>
          <w:szCs w:val="32"/>
        </w:rPr>
        <w:t>，</w:t>
      </w:r>
      <w:r>
        <w:rPr>
          <w:rFonts w:hint="eastAsia" w:ascii="仿宋_GB2312" w:hAnsi="仿宋_GB2312" w:eastAsia="仿宋_GB2312" w:cs="仿宋_GB2312"/>
          <w:snapToGrid/>
          <w:sz w:val="32"/>
          <w:szCs w:val="32"/>
        </w:rPr>
        <w:t>项目</w:t>
      </w:r>
      <w:r>
        <w:rPr>
          <w:rFonts w:ascii="仿宋_GB2312" w:hAnsi="仿宋_GB2312" w:eastAsia="仿宋_GB2312" w:cs="仿宋_GB2312"/>
          <w:snapToGrid/>
          <w:sz w:val="32"/>
          <w:szCs w:val="32"/>
        </w:rPr>
        <w:t>符合国家</w:t>
      </w:r>
      <w:r>
        <w:rPr>
          <w:rFonts w:hint="eastAsia" w:ascii="仿宋_GB2312" w:hAnsi="仿宋_GB2312" w:eastAsia="仿宋_GB2312" w:cs="仿宋_GB2312"/>
          <w:snapToGrid/>
          <w:sz w:val="32"/>
          <w:szCs w:val="32"/>
        </w:rPr>
        <w:t>和地方</w:t>
      </w:r>
      <w:r>
        <w:rPr>
          <w:rFonts w:ascii="仿宋_GB2312" w:hAnsi="仿宋_GB2312" w:eastAsia="仿宋_GB2312" w:cs="仿宋_GB2312"/>
          <w:snapToGrid/>
          <w:sz w:val="32"/>
          <w:szCs w:val="32"/>
        </w:rPr>
        <w:t>产业政策。</w:t>
      </w:r>
      <w:r>
        <w:rPr>
          <w:rFonts w:hint="eastAsia" w:ascii="仿宋_GB2312" w:hAnsi="仿宋_GB2312" w:eastAsia="仿宋_GB2312" w:cs="仿宋_GB2312"/>
          <w:snapToGrid/>
          <w:sz w:val="32"/>
          <w:szCs w:val="32"/>
        </w:rPr>
        <w:t>项目取得锡林郭勒盟自然资源局《关于核实锡林浩特市泰富能源400MW风电项目是否涉及生态保护红线的复函》（锡自然函字〔2023〕1779号），不涉及生态红线。项目的建设符合锡林郭勒盟“三线一单”相关管控要求，符合相关法律规范和行业规范要求。在全面落实环境影响报告书提出的各项生态保护措施和污染防治措施，该项目对环境的不利影响可得到缓解和控制。我局原则同意本项目环境影响报告书总体评价结论和拟采取的生态环境保护措施。</w:t>
      </w:r>
    </w:p>
    <w:p>
      <w:pPr>
        <w:pStyle w:val="5"/>
        <w:spacing w:line="560" w:lineRule="exact"/>
        <w:ind w:firstLine="640"/>
        <w:rPr>
          <w:rFonts w:ascii="仿宋_GB2312" w:hAnsi="仿宋_GB2312" w:eastAsia="仿宋_GB2312" w:cs="仿宋_GB2312"/>
          <w:snapToGrid/>
          <w:sz w:val="32"/>
          <w:szCs w:val="32"/>
        </w:rPr>
      </w:pPr>
      <w:r>
        <w:rPr>
          <w:rFonts w:hint="eastAsia" w:ascii="仿宋_GB2312" w:hAnsi="仿宋_GB2312" w:eastAsia="仿宋_GB2312" w:cs="仿宋_GB2312"/>
          <w:snapToGrid/>
          <w:sz w:val="32"/>
          <w:szCs w:val="32"/>
        </w:rPr>
        <w:t>二、工程设计、建设和运行过程中应做好以下工作：</w:t>
      </w:r>
    </w:p>
    <w:p>
      <w:pPr>
        <w:pStyle w:val="5"/>
        <w:spacing w:line="560" w:lineRule="exact"/>
        <w:ind w:firstLine="640"/>
        <w:rPr>
          <w:rFonts w:ascii="仿宋_GB2312" w:hAnsi="仿宋_GB2312" w:eastAsia="仿宋_GB2312" w:cs="仿宋_GB2312"/>
          <w:snapToGrid/>
          <w:sz w:val="32"/>
          <w:szCs w:val="32"/>
        </w:rPr>
      </w:pPr>
      <w:r>
        <w:rPr>
          <w:rFonts w:hint="eastAsia" w:ascii="仿宋_GB2312" w:hAnsi="仿宋_GB2312" w:eastAsia="仿宋_GB2312" w:cs="仿宋_GB2312"/>
          <w:snapToGrid/>
          <w:sz w:val="32"/>
          <w:szCs w:val="32"/>
        </w:rPr>
        <w:t>（一）全面落实《报告书》提出的各项生态环境保护措施。严格执行国家和地方产业政策、生态环境准入清单、污染防治和生态保护的相关要求，有新调整或细化规定的，按照新规定执行。</w:t>
      </w:r>
    </w:p>
    <w:p>
      <w:pPr>
        <w:pStyle w:val="5"/>
        <w:spacing w:line="560" w:lineRule="exact"/>
        <w:ind w:firstLine="640"/>
        <w:rPr>
          <w:rFonts w:ascii="仿宋_GB2312" w:hAnsi="仿宋_GB2312" w:eastAsia="仿宋_GB2312" w:cs="仿宋_GB2312"/>
          <w:snapToGrid/>
          <w:sz w:val="32"/>
          <w:szCs w:val="32"/>
        </w:rPr>
      </w:pPr>
      <w:r>
        <w:rPr>
          <w:rFonts w:hint="eastAsia" w:ascii="仿宋_GB2312" w:hAnsi="仿宋_GB2312" w:eastAsia="仿宋_GB2312" w:cs="仿宋_GB2312"/>
          <w:snapToGrid/>
          <w:sz w:val="32"/>
          <w:szCs w:val="32"/>
        </w:rPr>
        <w:t>（二）加强施工期间的环境管理工作，开挖时对作业面和土堆喷水，避免在大风天气下进行装卸作业，运输采用封闭式车辆，对运输道路定期洒水抑尘；合理安排施工时间、合理布局施工现场、选用低噪声的作业机具、采取个人防护、严格管理施工过程；施工期生产废水经沉淀池处理后回用，生活污水由临时化粪池收集；弃土完工后进行土地整治利用；建筑垃圾应在指定的堆放点存放，并送达当地环卫部门指定倾倒点处置；生活垃圾及时收集到场内指定的垃圾箱，并定期清运到当地环卫部门指定地点集中处置；施工结束后对临时占地区域进行覆土和植被恢复。</w:t>
      </w:r>
    </w:p>
    <w:p>
      <w:pPr>
        <w:pStyle w:val="5"/>
        <w:spacing w:line="560" w:lineRule="exact"/>
        <w:ind w:firstLine="640"/>
        <w:rPr>
          <w:rFonts w:ascii="仿宋_GB2312" w:hAnsi="仿宋_GB2312" w:eastAsia="仿宋_GB2312" w:cs="仿宋_GB2312"/>
          <w:snapToGrid/>
          <w:sz w:val="32"/>
          <w:szCs w:val="32"/>
        </w:rPr>
      </w:pPr>
      <w:r>
        <w:rPr>
          <w:rFonts w:hint="eastAsia" w:ascii="仿宋_GB2312" w:hAnsi="仿宋_GB2312" w:eastAsia="仿宋_GB2312" w:cs="仿宋_GB2312"/>
          <w:snapToGrid/>
          <w:sz w:val="32"/>
          <w:szCs w:val="32"/>
        </w:rPr>
        <w:t>（三）严格落实大气污染防治措施。检修车辆减速慢行，对检修道路定期洒水抑尘以降低扬尘对环境产生的影响；食堂油烟采用油烟净化装置处理后经屋顶排气筒排放，排放浓度满足《饮食业油烟排放标准（试行）》（</w:t>
      </w:r>
      <w:r>
        <w:rPr>
          <w:rFonts w:ascii="仿宋_GB2312" w:hAnsi="仿宋_GB2312" w:eastAsia="仿宋_GB2312" w:cs="仿宋_GB2312"/>
          <w:snapToGrid/>
          <w:sz w:val="32"/>
          <w:szCs w:val="32"/>
        </w:rPr>
        <w:t>GB18483-2001</w:t>
      </w:r>
      <w:r>
        <w:rPr>
          <w:rFonts w:hint="eastAsia" w:ascii="仿宋_GB2312" w:hAnsi="仿宋_GB2312" w:eastAsia="仿宋_GB2312" w:cs="仿宋_GB2312"/>
          <w:snapToGrid/>
          <w:sz w:val="32"/>
          <w:szCs w:val="32"/>
        </w:rPr>
        <w:t>）限值。</w:t>
      </w:r>
    </w:p>
    <w:p>
      <w:pPr>
        <w:pStyle w:val="5"/>
        <w:spacing w:line="560" w:lineRule="exact"/>
        <w:ind w:firstLine="640"/>
        <w:rPr>
          <w:rFonts w:ascii="仿宋_GB2312" w:hAnsi="仿宋_GB2312" w:eastAsia="仿宋_GB2312" w:cs="仿宋_GB2312"/>
          <w:snapToGrid/>
          <w:sz w:val="32"/>
          <w:szCs w:val="32"/>
        </w:rPr>
      </w:pPr>
      <w:r>
        <w:rPr>
          <w:rFonts w:hint="eastAsia" w:ascii="仿宋_GB2312" w:hAnsi="仿宋_GB2312" w:eastAsia="仿宋_GB2312" w:cs="仿宋_GB2312"/>
          <w:snapToGrid/>
          <w:sz w:val="32"/>
          <w:szCs w:val="32"/>
        </w:rPr>
        <w:t>（四）加强水污染防治。运营期生活污水经地埋式一体化污水处理设施处理后水质达到《城市污水再生利用城市杂用水水质标准》（</w:t>
      </w:r>
      <w:r>
        <w:rPr>
          <w:rFonts w:ascii="仿宋_GB2312" w:hAnsi="仿宋_GB2312" w:eastAsia="仿宋_GB2312" w:cs="仿宋_GB2312"/>
          <w:snapToGrid/>
          <w:sz w:val="32"/>
          <w:szCs w:val="32"/>
        </w:rPr>
        <w:t>GB/T18920-2020</w:t>
      </w:r>
      <w:r>
        <w:rPr>
          <w:rFonts w:hint="eastAsia" w:ascii="仿宋_GB2312" w:hAnsi="仿宋_GB2312" w:eastAsia="仿宋_GB2312" w:cs="仿宋_GB2312"/>
          <w:snapToGrid/>
          <w:sz w:val="32"/>
          <w:szCs w:val="32"/>
        </w:rPr>
        <w:t>）用于周边绿化及抑尘。</w:t>
      </w:r>
    </w:p>
    <w:p>
      <w:pPr>
        <w:pStyle w:val="5"/>
        <w:spacing w:line="560" w:lineRule="exact"/>
        <w:ind w:firstLine="640"/>
        <w:rPr>
          <w:rFonts w:ascii="仿宋_GB2312" w:hAnsi="仿宋_GB2312" w:eastAsia="仿宋_GB2312" w:cs="仿宋_GB2312"/>
          <w:snapToGrid/>
          <w:sz w:val="32"/>
          <w:szCs w:val="32"/>
        </w:rPr>
      </w:pPr>
      <w:r>
        <w:rPr>
          <w:rFonts w:hint="eastAsia" w:ascii="仿宋_GB2312" w:hAnsi="仿宋_GB2312" w:eastAsia="仿宋_GB2312" w:cs="仿宋_GB2312"/>
          <w:snapToGrid/>
          <w:sz w:val="32"/>
          <w:szCs w:val="32"/>
        </w:rPr>
        <w:t>（五）严格落实噪声防治计划。合理调整机位，远离声环境保护目标。选用低噪声机械设备和电力设备，按要求采取减震、消音、隔音措施，加强厂区与敏感度之间绿化等减噪措施。</w:t>
      </w:r>
    </w:p>
    <w:p>
      <w:pPr>
        <w:pStyle w:val="5"/>
        <w:spacing w:line="560" w:lineRule="exact"/>
        <w:ind w:firstLine="640"/>
        <w:rPr>
          <w:rFonts w:ascii="仿宋_GB2312" w:hAnsi="仿宋_GB2312" w:eastAsia="仿宋_GB2312" w:cs="仿宋_GB2312"/>
          <w:snapToGrid/>
          <w:sz w:val="32"/>
          <w:szCs w:val="32"/>
        </w:rPr>
      </w:pPr>
      <w:r>
        <w:rPr>
          <w:rFonts w:hint="eastAsia" w:ascii="仿宋_GB2312" w:hAnsi="仿宋_GB2312" w:eastAsia="仿宋_GB2312" w:cs="仿宋_GB2312"/>
          <w:snapToGrid/>
          <w:sz w:val="32"/>
          <w:szCs w:val="32"/>
        </w:rPr>
        <w:t>（六）严格规范固废管理。固体废物应做到资源化、无害化、减量化。生活垃圾、污泥暂存于垃圾桶，委托环卫部门处置；废磷酸锂铁电池更换后由厂家直接回收，不在厂区暂存；废铅蓄电池、设备检修废油由专门容器收集后暂存于危废暂存间，委托有资质单位处置；主变压器、箱式变压器事故状态产生的事故油暂存于事故油池，委托有资质单位处置。</w:t>
      </w:r>
    </w:p>
    <w:p>
      <w:pPr>
        <w:pStyle w:val="5"/>
        <w:spacing w:line="560" w:lineRule="exact"/>
        <w:ind w:firstLine="640"/>
        <w:rPr>
          <w:rFonts w:ascii="仿宋_GB2312" w:hAnsi="仿宋_GB2312" w:eastAsia="仿宋_GB2312" w:cs="仿宋_GB2312"/>
          <w:snapToGrid/>
          <w:sz w:val="32"/>
          <w:szCs w:val="32"/>
        </w:rPr>
      </w:pPr>
      <w:r>
        <w:rPr>
          <w:rFonts w:hint="eastAsia" w:ascii="仿宋_GB2312" w:hAnsi="仿宋_GB2312" w:eastAsia="仿宋_GB2312" w:cs="仿宋_GB2312"/>
          <w:snapToGrid/>
          <w:sz w:val="32"/>
          <w:szCs w:val="32"/>
        </w:rPr>
        <w:t>三、工程建设必须严格执行配套的环境保护设施与主体工程同时设计、同时施工、同时投产使用的环境保护“三同时”制度。要将环境投资纳入初步设计概算与施工合同，并落实环保设施投资，保证环境保护设施建设进度和资金；项目竣工后须按规定程序施工竣工环境保护验收，验收合格后方可正式投运。</w:t>
      </w:r>
    </w:p>
    <w:p>
      <w:pPr>
        <w:pStyle w:val="5"/>
        <w:spacing w:line="560" w:lineRule="exact"/>
        <w:ind w:firstLine="640"/>
        <w:rPr>
          <w:rFonts w:ascii="仿宋_GB2312" w:hAnsi="仿宋_GB2312" w:eastAsia="仿宋_GB2312" w:cs="仿宋_GB2312"/>
          <w:snapToGrid/>
          <w:sz w:val="32"/>
          <w:szCs w:val="32"/>
        </w:rPr>
      </w:pPr>
      <w:r>
        <w:rPr>
          <w:rFonts w:hint="eastAsia" w:ascii="仿宋_GB2312" w:hAnsi="仿宋_GB2312" w:eastAsia="仿宋_GB2312" w:cs="仿宋_GB2312"/>
          <w:snapToGrid/>
          <w:sz w:val="32"/>
          <w:szCs w:val="32"/>
        </w:rPr>
        <w:t>四、我局委托盟生态环境局锡林浩特市分局对该项目各项生态环境保护措施落实情况进行监督检查和管理。</w:t>
      </w:r>
    </w:p>
    <w:p>
      <w:pPr>
        <w:spacing w:line="560" w:lineRule="exact"/>
        <w:jc w:val="right"/>
        <w:rPr>
          <w:rFonts w:ascii="仿宋_GB2312" w:hAnsi="仿宋_GB2312" w:eastAsia="仿宋_GB2312" w:cs="仿宋_GB2312"/>
          <w:spacing w:val="36"/>
          <w:w w:val="102"/>
          <w:sz w:val="32"/>
          <w:szCs w:val="32"/>
        </w:rPr>
      </w:pPr>
    </w:p>
    <w:p>
      <w:pPr>
        <w:spacing w:line="560" w:lineRule="exact"/>
        <w:jc w:val="right"/>
        <w:rPr>
          <w:rFonts w:ascii="仿宋_GB2312" w:hAnsi="仿宋_GB2312" w:eastAsia="仿宋_GB2312" w:cs="仿宋_GB2312"/>
          <w:spacing w:val="36"/>
          <w:w w:val="102"/>
          <w:sz w:val="32"/>
          <w:szCs w:val="32"/>
        </w:rPr>
      </w:pPr>
    </w:p>
    <w:p>
      <w:pPr>
        <w:wordWrap w:val="0"/>
        <w:spacing w:line="560" w:lineRule="exact"/>
        <w:jc w:val="right"/>
        <w:rPr>
          <w:rFonts w:ascii="仿宋_GB2312" w:hAnsi="仿宋_GB2312" w:eastAsia="仿宋_GB2312" w:cs="仿宋_GB2312"/>
          <w:spacing w:val="3"/>
          <w:sz w:val="32"/>
          <w:szCs w:val="32"/>
        </w:rPr>
      </w:pPr>
      <w:r>
        <w:rPr>
          <w:rFonts w:hint="eastAsia" w:ascii="仿宋_GB2312" w:hAnsi="仿宋_GB2312" w:eastAsia="仿宋_GB2312" w:cs="仿宋_GB2312"/>
          <w:spacing w:val="36"/>
          <w:w w:val="102"/>
          <w:sz w:val="32"/>
          <w:szCs w:val="32"/>
        </w:rPr>
        <w:t xml:space="preserve">锡林郭勒盟生态环境局      </w:t>
      </w:r>
    </w:p>
    <w:p>
      <w:pPr>
        <w:wordWrap w:val="0"/>
        <w:spacing w:line="560" w:lineRule="exact"/>
        <w:jc w:val="right"/>
        <w:rPr>
          <w:rFonts w:ascii="Times New Roman" w:hAnsi="Times New Roman" w:eastAsia="仿宋" w:cs="Times New Roman"/>
          <w:spacing w:val="18"/>
          <w:w w:val="104"/>
          <w:sz w:val="33"/>
          <w:szCs w:val="33"/>
        </w:rPr>
      </w:pPr>
      <w:r>
        <w:rPr>
          <w:rFonts w:hint="eastAsia" w:ascii="仿宋_GB2312" w:hAnsi="仿宋_GB2312" w:eastAsia="仿宋_GB2312" w:cs="仿宋_GB2312"/>
          <w:spacing w:val="18"/>
          <w:w w:val="104"/>
          <w:sz w:val="32"/>
          <w:szCs w:val="32"/>
        </w:rPr>
        <w:t xml:space="preserve">2024年4月15日         </w:t>
      </w:r>
    </w:p>
    <w:p>
      <w:pPr>
        <w:rPr>
          <w:rFonts w:eastAsia="宋体"/>
        </w:rPr>
      </w:pPr>
    </w:p>
    <w:p>
      <w:pPr>
        <w:pStyle w:val="2"/>
        <w:rPr>
          <w:rFonts w:eastAsia="宋体"/>
        </w:rPr>
      </w:pPr>
    </w:p>
    <w:p>
      <w:pPr>
        <w:rPr>
          <w:rFonts w:eastAsia="宋体"/>
        </w:rPr>
      </w:pPr>
    </w:p>
    <w:p>
      <w:pPr>
        <w:pStyle w:val="2"/>
        <w:rPr>
          <w:rFonts w:eastAsia="宋体"/>
        </w:rPr>
      </w:pPr>
    </w:p>
    <w:p>
      <w:pPr>
        <w:rPr>
          <w:rFonts w:eastAsia="宋体"/>
        </w:rPr>
      </w:pPr>
    </w:p>
    <w:p>
      <w:pPr>
        <w:pStyle w:val="2"/>
        <w:rPr>
          <w:rFonts w:eastAsia="宋体"/>
        </w:rPr>
      </w:pPr>
    </w:p>
    <w:p>
      <w:pPr>
        <w:rPr>
          <w:rFonts w:eastAsia="宋体"/>
        </w:rPr>
      </w:pPr>
    </w:p>
    <w:p>
      <w:pPr>
        <w:pStyle w:val="2"/>
        <w:rPr>
          <w:rFonts w:eastAsia="宋体"/>
        </w:rPr>
      </w:pPr>
    </w:p>
    <w:p>
      <w:pPr>
        <w:rPr>
          <w:rFonts w:eastAsia="宋体"/>
        </w:rPr>
      </w:pPr>
    </w:p>
    <w:p>
      <w:pPr>
        <w:pStyle w:val="2"/>
        <w:rPr>
          <w:rFonts w:eastAsia="宋体"/>
        </w:rPr>
      </w:pPr>
    </w:p>
    <w:p>
      <w:pPr>
        <w:pStyle w:val="2"/>
        <w:ind w:left="0" w:leftChars="0" w:firstLine="0" w:firstLineChars="0"/>
      </w:pPr>
    </w:p>
    <w:p>
      <w:pPr>
        <w:rPr>
          <w:rFonts w:eastAsia="宋体"/>
        </w:rPr>
      </w:pPr>
    </w:p>
    <w:p>
      <w:pPr>
        <w:rPr>
          <w:rFonts w:eastAsia="宋体"/>
        </w:rPr>
      </w:pPr>
    </w:p>
    <w:p>
      <w:pPr>
        <w:pStyle w:val="2"/>
      </w:pPr>
    </w:p>
    <w:p>
      <w:pPr>
        <w:pStyle w:val="2"/>
        <w:spacing w:after="0" w:line="400" w:lineRule="exact"/>
        <w:ind w:left="0" w:leftChars="0" w:firstLine="0" w:firstLineChars="0"/>
        <w:rPr>
          <w:rFonts w:ascii="Times New Roman" w:hAnsi="Times New Roman" w:eastAsia="仿宋" w:cs="Times New Roman"/>
          <w:spacing w:val="18"/>
          <w:w w:val="104"/>
          <w:sz w:val="33"/>
          <w:szCs w:val="33"/>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0" distR="0" simplePos="0" relativeHeight="251660288" behindDoc="0" locked="0" layoutInCell="1" allowOverlap="1">
                <wp:simplePos x="0" y="0"/>
                <wp:positionH relativeFrom="column">
                  <wp:posOffset>-14605</wp:posOffset>
                </wp:positionH>
                <wp:positionV relativeFrom="paragraph">
                  <wp:posOffset>292100</wp:posOffset>
                </wp:positionV>
                <wp:extent cx="5351780" cy="5715"/>
                <wp:effectExtent l="0" t="0" r="0" b="0"/>
                <wp:wrapNone/>
                <wp:docPr id="1027" name="直接连接符 12"/>
                <wp:cNvGraphicFramePr/>
                <a:graphic xmlns:a="http://schemas.openxmlformats.org/drawingml/2006/main">
                  <a:graphicData uri="http://schemas.microsoft.com/office/word/2010/wordprocessingShape">
                    <wps:wsp>
                      <wps:cNvCnPr/>
                      <wps:spPr>
                        <a:xfrm flipV="1">
                          <a:off x="0" y="0"/>
                          <a:ext cx="5351780" cy="571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2" o:spid="_x0000_s1026" o:spt="20" style="position:absolute;left:0pt;flip:y;margin-left:-1.15pt;margin-top:23pt;height:0.45pt;width:421.4pt;z-index:251660288;mso-width-relative:page;mso-height-relative:page;" filled="f" stroked="t" coordsize="21600,21600" o:gfxdata="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aK1+9YAAAAIAQAADwAAAAAAAAABACAAAAAiAAAAZHJzL2Rvd25yZXYu&#10;eG1sUEsBAhQAFAAAAAgAh07iQKZAijb9AQAA8wMAAA4AAAAAAAAAAQAgAAAAJQEAAGRycy9lMm9E&#10;b2MueG1sUEsFBgAAAAAGAAYAWQEAAJQ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抄送：</w:t>
      </w:r>
      <w:r>
        <w:rPr>
          <w:rFonts w:hint="eastAsia" w:ascii="仿宋_GB2312" w:hAnsi="仿宋_GB2312" w:eastAsia="仿宋_GB2312" w:cs="仿宋_GB2312"/>
          <w:kern w:val="2"/>
          <w:sz w:val="28"/>
          <w:szCs w:val="28"/>
        </w:rPr>
        <w:t>盟生态环境综合行政执法支队</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盟生态环境局锡林浩特市分局</w:t>
      </w:r>
    </w:p>
    <w:p>
      <w:pPr>
        <w:spacing w:line="360" w:lineRule="auto"/>
        <w:rPr>
          <w:rFonts w:ascii="仿宋_GB2312" w:hAnsi="仿宋_GB2312" w:eastAsia="仿宋_GB2312" w:cs="仿宋_GB2312"/>
          <w:spacing w:val="36"/>
          <w:w w:val="102"/>
          <w:sz w:val="28"/>
          <w:szCs w:val="28"/>
        </w:rPr>
      </w:pPr>
      <w:r>
        <w:rPr>
          <w:rFonts w:hint="eastAsia" w:ascii="仿宋_GB2312" w:hAnsi="仿宋_GB2312" w:eastAsia="仿宋_GB2312" w:cs="仿宋_GB2312"/>
          <w:sz w:val="28"/>
          <w:szCs w:val="28"/>
        </w:rPr>
        <mc:AlternateContent>
          <mc:Choice Requires="wps">
            <w:drawing>
              <wp:anchor distT="0" distB="0" distL="0" distR="0" simplePos="0" relativeHeight="251659264" behindDoc="0" locked="0" layoutInCell="1" allowOverlap="1">
                <wp:simplePos x="0" y="0"/>
                <wp:positionH relativeFrom="column">
                  <wp:posOffset>-635</wp:posOffset>
                </wp:positionH>
                <wp:positionV relativeFrom="paragraph">
                  <wp:posOffset>299085</wp:posOffset>
                </wp:positionV>
                <wp:extent cx="5351780" cy="5715"/>
                <wp:effectExtent l="0" t="0" r="0" b="0"/>
                <wp:wrapNone/>
                <wp:docPr id="1" name="直接连接符 12"/>
                <wp:cNvGraphicFramePr/>
                <a:graphic xmlns:a="http://schemas.openxmlformats.org/drawingml/2006/main">
                  <a:graphicData uri="http://schemas.microsoft.com/office/word/2010/wordprocessingShape">
                    <wps:wsp>
                      <wps:cNvCnPr/>
                      <wps:spPr>
                        <a:xfrm flipV="1">
                          <a:off x="0" y="0"/>
                          <a:ext cx="5351780" cy="571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2" o:spid="_x0000_s1026" o:spt="20" style="position:absolute;left:0pt;flip:y;margin-left:-0.05pt;margin-top:23.55pt;height:0.45pt;width:421.4pt;z-index:251659264;mso-width-relative:page;mso-height-relative:page;" filled="f" stroked="t" coordsize="21600,21600" o:gfxdata="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Hr5I1QAAAAcBAAAPAAAAAAAAAAEAIAAAACIAAABkcnMvZG93bnJldi54bWxQ&#10;SwECFAAUAAAACACHTuJAKDriZ/oBAADwAwAADgAAAAAAAAABACAAAAAkAQAAZHJzL2Uyb0RvYy54&#10;bWxQSwUGAAAAAAYABgBZAQAAkAU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锡林郭勒盟生态环境局办公室               2024年4月15日印发</w:t>
      </w:r>
    </w:p>
    <w:sectPr>
      <w:footerReference r:id="rId3" w:type="default"/>
      <w:pgSz w:w="12050" w:h="16920"/>
      <w:pgMar w:top="1440" w:right="1800" w:bottom="1440" w:left="1800" w:header="0" w:footer="862" w:gutter="0"/>
      <w:pgNumType w:fmt="numberInDash"/>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仿宋"/>
    <w:panose1 w:val="020B0604020202020204"/>
    <w:charset w:val="86"/>
    <w:family w:val="swiss"/>
    <w:pitch w:val="default"/>
    <w:sig w:usb0="00000000" w:usb1="00000000" w:usb2="0000003F" w:usb3="00000000" w:csb0="003F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8" w:lineRule="exact"/>
      <w:ind w:firstLine="4330"/>
      <w:rPr>
        <w:rFonts w:ascii="仿宋" w:hAnsi="仿宋" w:eastAsia="仿宋" w:cs="仿宋"/>
        <w:sz w:val="10"/>
        <w:szCs w:val="10"/>
      </w:rPr>
    </w:pPr>
    <w:r>
      <w:rPr>
        <w:sz w:val="10"/>
      </w:rPr>
      <mc:AlternateContent>
        <mc:Choice Requires="wps">
          <w:drawing>
            <wp:anchor distT="0" distB="0" distL="0" distR="0" simplePos="0" relativeHeight="251661312" behindDoc="0" locked="0" layoutInCell="1" allowOverlap="1">
              <wp:simplePos x="0" y="0"/>
              <wp:positionH relativeFrom="margin">
                <wp:align>outside</wp:align>
              </wp:positionH>
              <wp:positionV relativeFrom="paragraph">
                <wp:posOffset>-542925</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42.75pt;height:144pt;width:144pt;mso-position-horizontal:outside;mso-position-horizontal-relative:margin;mso-wrap-style:none;z-index:251661312;mso-width-relative:page;mso-height-relative:page;" filled="f" stroked="f" coordsize="21600,21600" o:gfxdata="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UWHQvVAAAACAEAAA8AAAAAAAAAAQAgAAAAIgAAAGRycy9kb3du&#10;cmV2LnhtbFBLAQIUABQAAAAIAIdO4kACWJ6zyQEAAJIDAAAOAAAAAAAAAAEAIAAAACQBAABkcnMv&#10;ZTJvRG9jLnhtbFBLBQYAAAAABgAGAFkBAABfBQAAAAA=&#10;">
              <v:fill on="f" focussize="0,0"/>
              <v:stroke on="f"/>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QyNDlkZDkyY2ExMmFiMzkxMDQ0MjYzN2E2ZDFlMjIifQ=="/>
    <w:docVar w:name="KSO_WPS_MARK_KEY" w:val="3acf5b71-c689-4e49-b2ea-71deaba6141c"/>
  </w:docVars>
  <w:rsids>
    <w:rsidRoot w:val="007B7C48"/>
    <w:rsid w:val="00034A17"/>
    <w:rsid w:val="005720BD"/>
    <w:rsid w:val="007B7C48"/>
    <w:rsid w:val="095F0752"/>
    <w:rsid w:val="09FA77FA"/>
    <w:rsid w:val="0D0C3B2F"/>
    <w:rsid w:val="19BB5122"/>
    <w:rsid w:val="2D0101D9"/>
    <w:rsid w:val="61156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autoRedefine/>
    <w:qFormat/>
    <w:uiPriority w:val="99"/>
    <w:pPr>
      <w:keepNext/>
      <w:overflowPunct w:val="0"/>
      <w:spacing w:before="120" w:after="160" w:line="259" w:lineRule="auto"/>
      <w:ind w:left="432" w:hanging="432"/>
      <w:outlineLvl w:val="0"/>
    </w:pPr>
    <w:rPr>
      <w:rFonts w:eastAsia="黑体"/>
      <w:b/>
      <w:bCs/>
      <w:kern w:val="44"/>
      <w:sz w:val="30"/>
      <w:szCs w:val="30"/>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autoRedefine/>
    <w:qFormat/>
    <w:uiPriority w:val="0"/>
    <w:pPr>
      <w:spacing w:after="120"/>
      <w:ind w:left="420" w:leftChars="200"/>
    </w:pPr>
  </w:style>
  <w:style w:type="paragraph" w:styleId="5">
    <w:name w:val="Normal Indent"/>
    <w:basedOn w:val="1"/>
    <w:next w:val="2"/>
    <w:autoRedefine/>
    <w:qFormat/>
    <w:uiPriority w:val="0"/>
    <w:pPr>
      <w:widowControl w:val="0"/>
      <w:ind w:firstLine="420" w:firstLineChars="200"/>
      <w:jc w:val="both"/>
    </w:pPr>
    <w:rPr>
      <w:rFonts w:ascii="Times New Roman" w:hAnsi="Times New Roman" w:eastAsia="宋体" w:cs="Times New Roman"/>
      <w:kern w:val="2"/>
      <w:szCs w:val="24"/>
    </w:rPr>
  </w:style>
  <w:style w:type="paragraph" w:styleId="6">
    <w:name w:val="Body Text"/>
    <w:basedOn w:val="1"/>
    <w:next w:val="1"/>
    <w:qFormat/>
    <w:uiPriority w:val="0"/>
    <w:pPr>
      <w:spacing w:before="60" w:after="160" w:line="259" w:lineRule="auto"/>
      <w:ind w:right="113"/>
    </w:pPr>
    <w:rPr>
      <w:sz w:val="18"/>
      <w:szCs w:val="20"/>
    </w:rPr>
  </w:style>
  <w:style w:type="paragraph" w:styleId="7">
    <w:name w:val="Body Text Indent 2"/>
    <w:basedOn w:val="1"/>
    <w:qFormat/>
    <w:uiPriority w:val="99"/>
    <w:pPr>
      <w:spacing w:after="120" w:line="480" w:lineRule="auto"/>
      <w:ind w:left="420" w:leftChars="200"/>
    </w:pPr>
  </w:style>
  <w:style w:type="paragraph" w:styleId="8">
    <w:name w:val="footer"/>
    <w:basedOn w:val="1"/>
    <w:next w:val="1"/>
    <w:autoRedefine/>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Body Text First Indent"/>
    <w:basedOn w:val="6"/>
    <w:next w:val="1"/>
    <w:qFormat/>
    <w:uiPriority w:val="0"/>
    <w:pPr>
      <w:widowControl w:val="0"/>
      <w:snapToGrid/>
      <w:spacing w:before="0" w:after="120" w:line="240" w:lineRule="auto"/>
      <w:ind w:right="0" w:firstLine="420" w:firstLineChars="100"/>
    </w:pPr>
    <w:rPr>
      <w:kern w:val="2"/>
      <w:sz w:val="21"/>
    </w:rPr>
  </w:style>
  <w:style w:type="paragraph" w:customStyle="1" w:styleId="13">
    <w:name w:val="xl27"/>
    <w:basedOn w:val="1"/>
    <w:autoRedefine/>
    <w:qFormat/>
    <w:uiPriority w:val="0"/>
    <w:pPr>
      <w:pBdr>
        <w:bottom w:val="single" w:color="auto" w:sz="4" w:space="0"/>
        <w:right w:val="single" w:color="auto" w:sz="4" w:space="0"/>
      </w:pBdr>
      <w:spacing w:before="100" w:beforeAutospacing="1" w:after="100" w:afterAutospacing="1"/>
      <w:jc w:val="center"/>
    </w:pPr>
    <w:rPr>
      <w:rFonts w:eastAsia="Arial Unicode MS"/>
    </w:rPr>
  </w:style>
  <w:style w:type="table" w:customStyle="1" w:styleId="14">
    <w:name w:val="Table Normal"/>
    <w:autoRedefine/>
    <w:qFormat/>
    <w:uiPriority w:val="0"/>
    <w:tblPr>
      <w:tblCellMar>
        <w:top w:w="0" w:type="dxa"/>
        <w:left w:w="0" w:type="dxa"/>
        <w:bottom w:w="0" w:type="dxa"/>
        <w:right w:w="0" w:type="dxa"/>
      </w:tblCellMar>
    </w:tblPr>
  </w:style>
  <w:style w:type="paragraph" w:customStyle="1" w:styleId="1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p15"/>
    <w:basedOn w:val="1"/>
    <w:autoRedefine/>
    <w:qFormat/>
    <w:uiPriority w:val="0"/>
    <w:pPr>
      <w:spacing w:before="100" w:after="100"/>
    </w:pPr>
    <w:rPr>
      <w:rFonts w:ascii="宋体" w:hAnsi="宋体" w:eastAsia="宋体" w:cs="宋体"/>
      <w:sz w:val="24"/>
      <w:szCs w:val="24"/>
    </w:rPr>
  </w:style>
  <w:style w:type="paragraph" w:customStyle="1" w:styleId="17">
    <w:name w:val="报告书正文"/>
    <w:basedOn w:val="1"/>
    <w:qFormat/>
    <w:uiPriority w:val="0"/>
    <w:pPr>
      <w:spacing w:line="360" w:lineRule="auto"/>
      <w:ind w:firstLine="425"/>
    </w:pPr>
    <w:rPr>
      <w:sz w:val="24"/>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277</Words>
  <Characters>1581</Characters>
  <Lines>13</Lines>
  <Paragraphs>3</Paragraphs>
  <TotalTime>12</TotalTime>
  <ScaleCrop>false</ScaleCrop>
  <LinksUpToDate>false</LinksUpToDate>
  <CharactersWithSpaces>1855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zilchs</cp:lastModifiedBy>
  <cp:lastPrinted>2024-04-11T07:32:00Z</cp:lastPrinted>
  <dcterms:modified xsi:type="dcterms:W3CDTF">2024-04-16T07:52:57Z</dcterms:modified>
  <dc:subject>pdfbuilder</dc:subject>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2052-12.1.0.16729</vt:lpwstr>
  </property>
  <property fmtid="{D5CDD505-2E9C-101B-9397-08002B2CF9AE}" pid="5" name="ICV">
    <vt:lpwstr>F29896E5B32F41A798AA9D61739AE930_13</vt:lpwstr>
  </property>
</Properties>
</file>