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rPr>
          <w:rFonts w:hint="default" w:ascii="Times New Roman" w:hAnsi="Times New Roman" w:cs="Times New Roman"/>
          <w:color w:val="auto"/>
          <w:highlight w:val="yellow"/>
        </w:rPr>
      </w:pPr>
    </w:p>
    <w:p>
      <w:pPr>
        <w:pStyle w:val="11"/>
        <w:snapToGrid w:val="0"/>
        <w:spacing w:line="560" w:lineRule="exact"/>
        <w:ind w:firstLine="640"/>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yellow"/>
        </w:rPr>
      </w:pPr>
    </w:p>
    <w:p>
      <w:pPr>
        <w:snapToGrid w:val="0"/>
        <w:spacing w:line="560" w:lineRule="exact"/>
        <w:ind w:firstLine="0" w:firstLineChars="0"/>
        <w:rPr>
          <w:rFonts w:hint="default" w:ascii="Times New Roman" w:hAnsi="Times New Roman" w:cs="Times New Roman"/>
          <w:color w:val="auto"/>
          <w:highlight w:val="yellow"/>
        </w:rPr>
      </w:pPr>
    </w:p>
    <w:p>
      <w:pPr>
        <w:pStyle w:val="12"/>
        <w:ind w:firstLine="480"/>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none"/>
        </w:rPr>
      </w:pPr>
    </w:p>
    <w:p>
      <w:pPr>
        <w:snapToGrid w:val="0"/>
        <w:spacing w:line="560" w:lineRule="exact"/>
        <w:rPr>
          <w:rFonts w:hint="default" w:ascii="Times New Roman" w:hAnsi="Times New Roman" w:cs="Times New Roman"/>
          <w:color w:val="auto"/>
          <w:highlight w:val="none"/>
        </w:rPr>
      </w:pPr>
    </w:p>
    <w:p>
      <w:pPr>
        <w:snapToGrid w:val="0"/>
        <w:spacing w:line="56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锡署环审书〔202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号</w:t>
      </w:r>
    </w:p>
    <w:p>
      <w:pPr>
        <w:pStyle w:val="12"/>
        <w:ind w:firstLine="480"/>
        <w:rPr>
          <w:rFonts w:hint="default" w:ascii="Times New Roman" w:hAnsi="Times New Roman" w:cs="Times New Roman"/>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w:t>
      </w:r>
      <w:r>
        <w:rPr>
          <w:rFonts w:hint="eastAsia" w:ascii="方正小标宋简体" w:hAnsi="方正小标宋简体" w:eastAsia="方正小标宋简体" w:cs="方正小标宋简体"/>
          <w:b w:val="0"/>
          <w:bCs w:val="0"/>
          <w:sz w:val="44"/>
          <w:szCs w:val="44"/>
          <w:lang w:val="en-US" w:eastAsia="zh-CN"/>
        </w:rPr>
        <w:t>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关于正镶白旗诺金炭素科技有限公司</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5万吨/年直径600mm以上超高功率</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sz w:val="44"/>
          <w:szCs w:val="44"/>
          <w:lang w:val="en-US" w:eastAsia="zh-CN"/>
        </w:rPr>
        <w:t>石墨电极扩建项目</w:t>
      </w:r>
      <w:r>
        <w:rPr>
          <w:rFonts w:hint="eastAsia" w:ascii="方正小标宋简体" w:hAnsi="方正小标宋简体" w:eastAsia="方正小标宋简体" w:cs="方正小标宋简体"/>
          <w:b w:val="0"/>
          <w:bCs w:val="0"/>
          <w:color w:val="auto"/>
          <w:sz w:val="44"/>
          <w:szCs w:val="44"/>
          <w:highlight w:val="none"/>
          <w:lang w:eastAsia="zh-CN"/>
        </w:rPr>
        <w:t>环境影响报告书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的批复</w:t>
      </w:r>
    </w:p>
    <w:p>
      <w:pPr>
        <w:rPr>
          <w:rFonts w:hint="eastAsia" w:ascii="仿宋_GB2312" w:hAnsi="仿宋_GB2312" w:eastAsia="仿宋_GB2312" w:cs="仿宋_GB2312"/>
          <w:color w:val="auto"/>
          <w:sz w:val="32"/>
          <w:szCs w:val="32"/>
          <w:highlight w:val="none"/>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bidi="en-US"/>
        </w:rPr>
        <w:t>正镶白旗诺金炭素科技有限公司</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你单位委托</w:t>
      </w:r>
      <w:r>
        <w:rPr>
          <w:rFonts w:hint="eastAsia" w:ascii="仿宋_GB2312" w:hAnsi="仿宋_GB2312" w:eastAsia="仿宋_GB2312" w:cs="仿宋_GB2312"/>
          <w:color w:val="auto"/>
          <w:sz w:val="32"/>
          <w:szCs w:val="32"/>
        </w:rPr>
        <w:t>内蒙古</w:t>
      </w:r>
      <w:r>
        <w:rPr>
          <w:rFonts w:hint="eastAsia" w:ascii="仿宋_GB2312" w:hAnsi="仿宋_GB2312" w:eastAsia="仿宋_GB2312" w:cs="仿宋_GB2312"/>
          <w:color w:val="auto"/>
          <w:sz w:val="32"/>
          <w:szCs w:val="32"/>
          <w:lang w:val="en-US" w:eastAsia="zh-CN"/>
        </w:rPr>
        <w:t>福木源生态环境技术有限公司</w:t>
      </w:r>
      <w:r>
        <w:rPr>
          <w:rFonts w:hint="eastAsia" w:ascii="仿宋_GB2312" w:hAnsi="仿宋_GB2312" w:eastAsia="仿宋_GB2312" w:cs="仿宋_GB2312"/>
          <w:b w:val="0"/>
          <w:bCs w:val="0"/>
          <w:color w:val="auto"/>
          <w:sz w:val="32"/>
          <w:szCs w:val="32"/>
          <w:lang w:eastAsia="zh-CN"/>
        </w:rPr>
        <w:t>编制的《</w:t>
      </w:r>
      <w:r>
        <w:rPr>
          <w:rFonts w:hint="eastAsia" w:ascii="仿宋_GB2312" w:hAnsi="仿宋_GB2312" w:eastAsia="仿宋_GB2312" w:cs="仿宋_GB2312"/>
          <w:color w:val="auto"/>
          <w:sz w:val="32"/>
          <w:szCs w:val="32"/>
          <w:lang w:bidi="en-US"/>
        </w:rPr>
        <w:t>正镶白旗诺金炭素科技有限公司5万吨</w:t>
      </w:r>
      <w:r>
        <w:rPr>
          <w:rFonts w:hint="eastAsia" w:ascii="仿宋_GB2312" w:hAnsi="仿宋_GB2312" w:eastAsia="仿宋_GB2312" w:cs="仿宋_GB2312"/>
          <w:color w:val="auto"/>
          <w:sz w:val="32"/>
          <w:szCs w:val="32"/>
          <w:lang w:val="en-US" w:eastAsia="zh-CN" w:bidi="en-US"/>
        </w:rPr>
        <w:t>/</w:t>
      </w:r>
      <w:r>
        <w:rPr>
          <w:rFonts w:hint="eastAsia" w:ascii="仿宋_GB2312" w:hAnsi="仿宋_GB2312" w:eastAsia="仿宋_GB2312" w:cs="仿宋_GB2312"/>
          <w:color w:val="auto"/>
          <w:sz w:val="32"/>
          <w:szCs w:val="32"/>
          <w:lang w:bidi="en-US"/>
        </w:rPr>
        <w:t>年直径600mm以上超高功率石墨电极扩建项目</w:t>
      </w:r>
      <w:r>
        <w:rPr>
          <w:rFonts w:hint="eastAsia" w:ascii="仿宋_GB2312" w:hAnsi="仿宋_GB2312" w:eastAsia="仿宋_GB2312" w:cs="仿宋_GB2312"/>
          <w:b w:val="0"/>
          <w:bCs w:val="0"/>
          <w:color w:val="auto"/>
          <w:sz w:val="32"/>
          <w:szCs w:val="32"/>
          <w:highlight w:val="none"/>
          <w:lang w:eastAsia="zh-CN"/>
        </w:rPr>
        <w:t>环境影响报告书</w:t>
      </w:r>
      <w:r>
        <w:rPr>
          <w:rFonts w:hint="eastAsia" w:ascii="仿宋_GB2312" w:hAnsi="仿宋_GB2312" w:eastAsia="仿宋_GB2312" w:cs="仿宋_GB2312"/>
          <w:b w:val="0"/>
          <w:bCs w:val="0"/>
          <w:color w:val="auto"/>
          <w:sz w:val="32"/>
          <w:szCs w:val="32"/>
          <w:lang w:eastAsia="zh-CN"/>
        </w:rPr>
        <w:t>》（以下简称《报告书》）收悉。经研究，批复如下：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eastAsia="zh-CN"/>
        </w:rPr>
        <w:t>项目位于</w:t>
      </w:r>
      <w:r>
        <w:rPr>
          <w:rFonts w:hint="eastAsia" w:ascii="仿宋_GB2312" w:hAnsi="仿宋_GB2312" w:eastAsia="仿宋_GB2312" w:cs="仿宋_GB2312"/>
          <w:color w:val="auto"/>
          <w:sz w:val="32"/>
          <w:szCs w:val="32"/>
        </w:rPr>
        <w:t>内蒙古正镶白旗明安图工业园区</w:t>
      </w:r>
      <w:r>
        <w:rPr>
          <w:rFonts w:hint="eastAsia" w:ascii="仿宋_GB2312" w:hAnsi="仿宋_GB2312" w:eastAsia="仿宋_GB2312" w:cs="仿宋_GB2312"/>
          <w:color w:val="auto"/>
          <w:sz w:val="32"/>
          <w:szCs w:val="32"/>
          <w:lang w:bidi="en-US"/>
        </w:rPr>
        <w:t>正镶白旗诺金炭素科技有限公司</w:t>
      </w:r>
      <w:r>
        <w:rPr>
          <w:rFonts w:hint="eastAsia" w:ascii="仿宋_GB2312" w:hAnsi="仿宋_GB2312" w:eastAsia="仿宋_GB2312" w:cs="仿宋_GB2312"/>
          <w:b w:val="0"/>
          <w:bCs w:val="0"/>
          <w:color w:val="auto"/>
          <w:sz w:val="32"/>
          <w:szCs w:val="32"/>
          <w:highlight w:val="none"/>
          <w:lang w:val="en-US" w:eastAsia="zh-CN"/>
        </w:rPr>
        <w:t>院</w:t>
      </w:r>
      <w:r>
        <w:rPr>
          <w:rFonts w:hint="eastAsia" w:ascii="仿宋_GB2312" w:hAnsi="仿宋_GB2312" w:eastAsia="仿宋_GB2312" w:cs="仿宋_GB2312"/>
          <w:b w:val="0"/>
          <w:bCs w:val="0"/>
          <w:color w:val="auto"/>
          <w:sz w:val="32"/>
          <w:szCs w:val="32"/>
          <w:lang w:eastAsia="zh-CN"/>
        </w:rPr>
        <w:t>内，本期工程占地面积216328.21m</w:t>
      </w:r>
      <w:r>
        <w:rPr>
          <w:rFonts w:hint="eastAsia" w:ascii="仿宋_GB2312" w:hAnsi="仿宋_GB2312" w:eastAsia="仿宋_GB2312" w:cs="仿宋_GB2312"/>
          <w:b w:val="0"/>
          <w:bCs w:val="0"/>
          <w:color w:val="auto"/>
          <w:sz w:val="32"/>
          <w:szCs w:val="32"/>
          <w:vertAlign w:val="superscript"/>
          <w:lang w:eastAsia="zh-CN"/>
        </w:rPr>
        <w:t>2</w:t>
      </w:r>
      <w:r>
        <w:rPr>
          <w:rFonts w:hint="eastAsia" w:ascii="仿宋_GB2312" w:hAnsi="仿宋_GB2312" w:eastAsia="仿宋_GB2312" w:cs="仿宋_GB2312"/>
          <w:b w:val="0"/>
          <w:bCs w:val="0"/>
          <w:color w:val="auto"/>
          <w:sz w:val="32"/>
          <w:szCs w:val="32"/>
          <w:lang w:eastAsia="zh-CN"/>
        </w:rPr>
        <w:t>，不新增占地。项目建设性质为</w:t>
      </w:r>
      <w:r>
        <w:rPr>
          <w:rFonts w:hint="eastAsia" w:ascii="仿宋_GB2312" w:hAnsi="仿宋_GB2312" w:eastAsia="仿宋_GB2312" w:cs="仿宋_GB2312"/>
          <w:b w:val="0"/>
          <w:bCs w:val="0"/>
          <w:color w:val="auto"/>
          <w:sz w:val="32"/>
          <w:szCs w:val="32"/>
          <w:lang w:val="en-US" w:eastAsia="zh-CN"/>
        </w:rPr>
        <w:t>改扩建</w:t>
      </w:r>
      <w:r>
        <w:rPr>
          <w:rFonts w:hint="eastAsia" w:ascii="仿宋_GB2312" w:hAnsi="仿宋_GB2312" w:eastAsia="仿宋_GB2312" w:cs="仿宋_GB2312"/>
          <w:b w:val="0"/>
          <w:bCs w:val="0"/>
          <w:color w:val="auto"/>
          <w:sz w:val="32"/>
          <w:szCs w:val="32"/>
          <w:lang w:eastAsia="zh-CN"/>
        </w:rPr>
        <w:t>，工程主要建设除石墨化工序外的煅烧、压型、一次焙烧、高压浸渍、二次焙烧、机加工序，同时建设相应配套的办公、生活等公辅设施；建成后可年产5万t/a直径600mm以上超高功率石墨电极。项目劳动定员为</w:t>
      </w:r>
      <w:r>
        <w:rPr>
          <w:rFonts w:hint="eastAsia" w:ascii="仿宋_GB2312" w:hAnsi="仿宋_GB2312" w:eastAsia="仿宋_GB2312" w:cs="仿宋_GB2312"/>
          <w:b w:val="0"/>
          <w:bCs w:val="0"/>
          <w:color w:val="auto"/>
          <w:sz w:val="32"/>
          <w:szCs w:val="32"/>
          <w:highlight w:val="none"/>
          <w:lang w:val="en-US" w:eastAsia="zh-CN"/>
        </w:rPr>
        <w:t>497</w:t>
      </w:r>
      <w:r>
        <w:rPr>
          <w:rFonts w:hint="eastAsia" w:ascii="仿宋_GB2312" w:hAnsi="仿宋_GB2312" w:eastAsia="仿宋_GB2312" w:cs="仿宋_GB2312"/>
          <w:b w:val="0"/>
          <w:bCs w:val="0"/>
          <w:color w:val="auto"/>
          <w:sz w:val="32"/>
          <w:szCs w:val="32"/>
          <w:highlight w:val="none"/>
        </w:rPr>
        <w:t>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年工作</w:t>
      </w:r>
      <w:r>
        <w:rPr>
          <w:rFonts w:hint="eastAsia" w:ascii="仿宋_GB2312" w:hAnsi="仿宋_GB2312" w:eastAsia="仿宋_GB2312" w:cs="仿宋_GB2312"/>
          <w:b w:val="0"/>
          <w:bCs w:val="0"/>
          <w:color w:val="auto"/>
          <w:sz w:val="32"/>
          <w:szCs w:val="32"/>
          <w:highlight w:val="none"/>
          <w:lang w:val="en-US" w:eastAsia="zh-CN"/>
        </w:rPr>
        <w:t>365</w:t>
      </w:r>
      <w:r>
        <w:rPr>
          <w:rFonts w:hint="eastAsia" w:ascii="仿宋_GB2312" w:hAnsi="仿宋_GB2312" w:eastAsia="仿宋_GB2312" w:cs="仿宋_GB2312"/>
          <w:b w:val="0"/>
          <w:bCs w:val="0"/>
          <w:color w:val="auto"/>
          <w:sz w:val="32"/>
          <w:szCs w:val="32"/>
          <w:highlight w:val="none"/>
        </w:rPr>
        <w:t>天，每天</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班，每班</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小时</w:t>
      </w:r>
      <w:r>
        <w:rPr>
          <w:rFonts w:hint="eastAsia" w:ascii="仿宋_GB2312" w:hAnsi="仿宋_GB2312" w:eastAsia="仿宋_GB2312" w:cs="仿宋_GB2312"/>
          <w:b w:val="0"/>
          <w:bCs w:val="0"/>
          <w:color w:val="auto"/>
          <w:sz w:val="32"/>
          <w:szCs w:val="32"/>
          <w:highlight w:val="none"/>
          <w:lang w:eastAsia="zh-CN"/>
        </w:rPr>
        <w:t>。项目</w:t>
      </w:r>
      <w:r>
        <w:rPr>
          <w:rFonts w:hint="eastAsia" w:ascii="仿宋_GB2312" w:hAnsi="仿宋_GB2312" w:eastAsia="仿宋_GB2312" w:cs="仿宋_GB2312"/>
          <w:b w:val="0"/>
          <w:bCs w:val="0"/>
          <w:color w:val="auto"/>
          <w:sz w:val="32"/>
          <w:szCs w:val="32"/>
          <w:highlight w:val="none"/>
        </w:rPr>
        <w:t>总投资</w:t>
      </w:r>
      <w:r>
        <w:rPr>
          <w:rFonts w:hint="eastAsia" w:ascii="仿宋_GB2312" w:hAnsi="仿宋_GB2312" w:eastAsia="仿宋_GB2312" w:cs="仿宋_GB2312"/>
          <w:b w:val="0"/>
          <w:bCs w:val="0"/>
          <w:color w:val="auto"/>
          <w:sz w:val="32"/>
          <w:szCs w:val="32"/>
          <w:highlight w:val="none"/>
          <w:lang w:val="en-US" w:eastAsia="zh-CN"/>
        </w:rPr>
        <w:t>60000</w:t>
      </w:r>
      <w:r>
        <w:rPr>
          <w:rFonts w:hint="eastAsia" w:ascii="仿宋_GB2312" w:hAnsi="仿宋_GB2312" w:eastAsia="仿宋_GB2312" w:cs="仿宋_GB2312"/>
          <w:b w:val="0"/>
          <w:bCs w:val="0"/>
          <w:color w:val="auto"/>
          <w:sz w:val="32"/>
          <w:szCs w:val="32"/>
          <w:highlight w:val="none"/>
        </w:rPr>
        <w:t>万元，其中环保投资为</w:t>
      </w:r>
      <w:r>
        <w:rPr>
          <w:rFonts w:hint="eastAsia" w:ascii="仿宋_GB2312" w:hAnsi="仿宋_GB2312" w:eastAsia="仿宋_GB2312" w:cs="仿宋_GB2312"/>
          <w:b w:val="0"/>
          <w:bCs w:val="0"/>
          <w:color w:val="auto"/>
          <w:sz w:val="32"/>
          <w:szCs w:val="32"/>
          <w:highlight w:val="none"/>
          <w:lang w:val="en-US" w:eastAsia="zh-CN"/>
        </w:rPr>
        <w:t>840</w:t>
      </w:r>
      <w:r>
        <w:rPr>
          <w:rFonts w:hint="eastAsia" w:ascii="仿宋_GB2312" w:hAnsi="仿宋_GB2312" w:eastAsia="仿宋_GB2312" w:cs="仿宋_GB2312"/>
          <w:b w:val="0"/>
          <w:bCs w:val="0"/>
          <w:color w:val="auto"/>
          <w:sz w:val="32"/>
          <w:szCs w:val="32"/>
          <w:highlight w:val="none"/>
        </w:rPr>
        <w:t>万元，环保投资比例为</w:t>
      </w: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报告书》认为，在全面落实各项生态保护和污染防治措施的前提下，项目建设对环境的不利影响能够得到一定的缓解和控制。因此，我局原则同意本项目按照《报告书》所列的建设项目性质、规模、地点和拟采取的污染防治措施及下述要求进行建设。</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项目在设计、建设和运营过程中还应做好以下工作。</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严格落实各项大气污染防治措施。</w:t>
      </w:r>
      <w:r>
        <w:rPr>
          <w:rFonts w:hint="eastAsia" w:ascii="仿宋_GB2312" w:hAnsi="仿宋_GB2312" w:eastAsia="仿宋_GB2312" w:cs="仿宋_GB2312"/>
          <w:color w:val="auto"/>
          <w:kern w:val="2"/>
          <w:sz w:val="32"/>
          <w:szCs w:val="32"/>
          <w:lang w:bidi="en-US"/>
        </w:rPr>
        <w:t>针状焦、石油焦、粘结剂沥青贮存、</w:t>
      </w:r>
      <w:r>
        <w:rPr>
          <w:rFonts w:hint="eastAsia" w:ascii="仿宋_GB2312" w:hAnsi="仿宋_GB2312" w:eastAsia="仿宋_GB2312" w:cs="仿宋_GB2312"/>
          <w:color w:val="auto"/>
          <w:kern w:val="2"/>
          <w:sz w:val="32"/>
          <w:szCs w:val="32"/>
          <w:lang w:val="en-US" w:eastAsia="zh-CN" w:bidi="en-US"/>
        </w:rPr>
        <w:t>浸渍剂</w:t>
      </w:r>
      <w:r>
        <w:rPr>
          <w:rFonts w:hint="eastAsia" w:ascii="仿宋_GB2312" w:hAnsi="仿宋_GB2312" w:eastAsia="仿宋_GB2312" w:cs="仿宋_GB2312"/>
          <w:color w:val="auto"/>
          <w:kern w:val="2"/>
          <w:sz w:val="32"/>
          <w:szCs w:val="32"/>
          <w:lang w:bidi="en-US"/>
        </w:rPr>
        <w:t>沥青贮存</w:t>
      </w:r>
      <w:r>
        <w:rPr>
          <w:rFonts w:hint="eastAsia" w:ascii="仿宋_GB2312" w:hAnsi="仿宋_GB2312" w:eastAsia="仿宋_GB2312" w:cs="仿宋_GB2312"/>
          <w:color w:val="auto"/>
          <w:kern w:val="2"/>
          <w:sz w:val="32"/>
          <w:szCs w:val="32"/>
          <w:lang w:eastAsia="zh-CN" w:bidi="en-US"/>
        </w:rPr>
        <w:t>、</w:t>
      </w:r>
      <w:r>
        <w:rPr>
          <w:rFonts w:hint="eastAsia" w:ascii="仿宋_GB2312" w:hAnsi="仿宋_GB2312" w:eastAsia="仿宋_GB2312" w:cs="仿宋_GB2312"/>
          <w:color w:val="auto"/>
          <w:kern w:val="2"/>
          <w:sz w:val="32"/>
          <w:szCs w:val="32"/>
          <w:lang w:bidi="en-US"/>
        </w:rPr>
        <w:t>运输</w:t>
      </w:r>
      <w:r>
        <w:rPr>
          <w:rFonts w:hint="eastAsia" w:ascii="仿宋_GB2312" w:hAnsi="仿宋_GB2312" w:eastAsia="仿宋_GB2312" w:cs="仿宋_GB2312"/>
          <w:color w:val="auto"/>
          <w:kern w:val="2"/>
          <w:sz w:val="32"/>
          <w:szCs w:val="32"/>
          <w:lang w:val="en-US" w:eastAsia="zh-CN" w:bidi="en-US"/>
        </w:rPr>
        <w:t>及</w:t>
      </w:r>
      <w:r>
        <w:rPr>
          <w:rFonts w:hint="eastAsia" w:ascii="仿宋_GB2312" w:hAnsi="仿宋_GB2312" w:eastAsia="仿宋_GB2312" w:cs="仿宋_GB2312"/>
          <w:color w:val="auto"/>
          <w:kern w:val="2"/>
          <w:sz w:val="32"/>
          <w:szCs w:val="32"/>
          <w:lang w:bidi="en-US"/>
        </w:rPr>
        <w:t>预处理</w:t>
      </w:r>
      <w:r>
        <w:rPr>
          <w:rFonts w:hint="eastAsia" w:ascii="仿宋_GB2312" w:hAnsi="仿宋_GB2312" w:eastAsia="仿宋_GB2312" w:cs="仿宋_GB2312"/>
          <w:color w:val="auto"/>
          <w:kern w:val="2"/>
          <w:sz w:val="32"/>
          <w:szCs w:val="32"/>
          <w:lang w:eastAsia="zh-CN" w:bidi="en-US"/>
        </w:rPr>
        <w:t>、</w:t>
      </w:r>
      <w:r>
        <w:rPr>
          <w:rFonts w:hint="eastAsia" w:ascii="仿宋_GB2312" w:hAnsi="仿宋_GB2312" w:eastAsia="仿宋_GB2312" w:cs="仿宋_GB2312"/>
          <w:color w:val="auto"/>
          <w:kern w:val="2"/>
          <w:sz w:val="32"/>
          <w:szCs w:val="32"/>
          <w:lang w:val="en-US" w:eastAsia="zh-CN" w:bidi="en-US"/>
        </w:rPr>
        <w:t>中碎、磨粉、配料、机加工工序各</w:t>
      </w:r>
      <w:r>
        <w:rPr>
          <w:rFonts w:hint="eastAsia" w:ascii="仿宋_GB2312" w:hAnsi="仿宋_GB2312" w:eastAsia="仿宋_GB2312" w:cs="仿宋_GB2312"/>
          <w:color w:val="auto"/>
          <w:kern w:val="2"/>
          <w:sz w:val="32"/>
          <w:szCs w:val="32"/>
          <w:lang w:bidi="en-US"/>
        </w:rPr>
        <w:t>产尘点粉尘经密闭集尘系统收集后送至布袋除尘器处理</w:t>
      </w:r>
      <w:r>
        <w:rPr>
          <w:rFonts w:hint="eastAsia" w:ascii="仿宋_GB2312" w:hAnsi="仿宋_GB2312" w:eastAsia="仿宋_GB2312" w:cs="仿宋_GB2312"/>
          <w:color w:val="auto"/>
          <w:kern w:val="2"/>
          <w:sz w:val="32"/>
          <w:szCs w:val="32"/>
          <w:lang w:val="en-US" w:eastAsia="zh-CN" w:bidi="en-US"/>
        </w:rPr>
        <w:t>后经各自排气筒排放。无组织逸散粉尘采用使用密闭车间并洒水抑尘。冶金焦料仓、循环流化床煤气化炉灰仓废气经自带滤筒除尘器处理后排放。煅烧炉烟气经“SCR 脱硝+布袋除尘器+石灰石-石膏法脱硫装置”设施处理排放。沥青熔化装置、高压浸渍装置烟气分别经配建的电捕焦油器处理后排放。混捏成型工序各产尘点粉尘经密闭集气罩集尘系统收集后经“炭粉黑法吸附净化+布袋除尘器”处理后排放。一次焙烧废气经全蒸发喷雾冷却塔+电捕焦油器+石灰石-石膏湿法脱硫净化系统处理后排放。二次焙烧废气经焚烧法+布袋除尘器除尘+石灰石-石膏湿法脱硫处理后排放。沥青烟、粉尘、NO</w:t>
      </w:r>
      <w:r>
        <w:rPr>
          <w:rFonts w:hint="eastAsia" w:ascii="仿宋_GB2312" w:hAnsi="仿宋_GB2312" w:eastAsia="仿宋_GB2312" w:cs="仿宋_GB2312"/>
          <w:color w:val="auto"/>
          <w:kern w:val="2"/>
          <w:sz w:val="32"/>
          <w:szCs w:val="32"/>
          <w:vertAlign w:val="subscript"/>
          <w:lang w:val="en-US" w:eastAsia="zh-CN" w:bidi="en-US"/>
        </w:rPr>
        <w:t>X</w:t>
      </w:r>
      <w:r>
        <w:rPr>
          <w:rFonts w:hint="eastAsia" w:ascii="仿宋_GB2312" w:hAnsi="仿宋_GB2312" w:eastAsia="仿宋_GB2312" w:cs="仿宋_GB2312"/>
          <w:color w:val="auto"/>
          <w:kern w:val="2"/>
          <w:sz w:val="32"/>
          <w:szCs w:val="32"/>
          <w:lang w:val="en-US" w:eastAsia="zh-CN" w:bidi="en-US"/>
        </w:rPr>
        <w:t>和SO</w:t>
      </w:r>
      <w:r>
        <w:rPr>
          <w:rFonts w:hint="eastAsia" w:ascii="仿宋_GB2312" w:hAnsi="仿宋_GB2312" w:eastAsia="仿宋_GB2312" w:cs="仿宋_GB2312"/>
          <w:color w:val="auto"/>
          <w:kern w:val="2"/>
          <w:sz w:val="32"/>
          <w:szCs w:val="32"/>
          <w:vertAlign w:val="subscript"/>
          <w:lang w:val="en-US" w:eastAsia="zh-CN" w:bidi="en-US"/>
        </w:rPr>
        <w:t>2</w:t>
      </w:r>
      <w:r>
        <w:rPr>
          <w:rFonts w:hint="eastAsia" w:ascii="仿宋_GB2312" w:hAnsi="仿宋_GB2312" w:eastAsia="仿宋_GB2312" w:cs="仿宋_GB2312"/>
          <w:color w:val="auto"/>
          <w:kern w:val="2"/>
          <w:sz w:val="32"/>
          <w:szCs w:val="32"/>
          <w:lang w:val="en-US" w:eastAsia="zh-CN" w:bidi="en-US"/>
        </w:rPr>
        <w:t>满足《铝工业污染物排放标准》（GB25465-2010）修改单中特别排放限值标准铝用碳素厂排放浓度限值；苯并[a]芘排放浓度和速率满足《大气污染物综合排放标准》（GB16297-1996）新污染源二级标准。导热油炉配套国际先进低氮燃烧器导热油炉配套国际先进低氮燃烧器，废气经各自排气筒排放，满足《锅炉大气污染物排放标准》（GB13271-2014）新建锅炉大气污染物排放浓度限值要求。循环流化床煤气化炉无组织逸散满足《恶臭污染物排放标准》（GB14554-93）表1新改扩建二级标准。</w:t>
      </w:r>
    </w:p>
    <w:p>
      <w:pPr>
        <w:pStyle w:val="6"/>
        <w:keepNext w:val="0"/>
        <w:keepLines w:val="0"/>
        <w:pageBreakBefore w:val="0"/>
        <w:kinsoku/>
        <w:wordWrap/>
        <w:overflowPunct/>
        <w:topLinePunct w:val="0"/>
        <w:autoSpaceDE/>
        <w:autoSpaceDN/>
        <w:bidi w:val="0"/>
        <w:adjustRightInd w:val="0"/>
        <w:snapToGrid w:val="0"/>
        <w:spacing w:before="0" w:beforeAutospacing="0" w:afterAutospacing="0"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kern w:val="2"/>
          <w:sz w:val="32"/>
          <w:szCs w:val="32"/>
          <w:lang w:val="en-US" w:eastAsia="zh-CN" w:bidi="ar-SA"/>
        </w:rPr>
        <w:t>（二）</w:t>
      </w:r>
      <w:r>
        <w:rPr>
          <w:rFonts w:hint="eastAsia" w:ascii="楷体" w:hAnsi="楷体" w:eastAsia="楷体" w:cs="楷体"/>
          <w:b w:val="0"/>
          <w:bCs w:val="0"/>
          <w:color w:val="auto"/>
          <w:sz w:val="32"/>
          <w:szCs w:val="32"/>
          <w:highlight w:val="none"/>
          <w:lang w:val="en-US" w:eastAsia="zh-CN"/>
        </w:rPr>
        <w:t>严格落实固体废物污染防治措施。</w:t>
      </w:r>
      <w:r>
        <w:rPr>
          <w:rFonts w:hint="eastAsia" w:ascii="仿宋_GB2312" w:hAnsi="仿宋_GB2312" w:eastAsia="仿宋_GB2312" w:cs="仿宋_GB2312"/>
          <w:color w:val="auto"/>
          <w:kern w:val="2"/>
          <w:sz w:val="32"/>
          <w:szCs w:val="32"/>
          <w:lang w:val="en-US" w:eastAsia="zh-CN" w:bidi="en-US"/>
        </w:rPr>
        <w:t>针状焦、石油焦、粘结剂沥青贮运、预处理工序除尘灰、浸渍剂沥青贮存、运输及预处理工序除尘灰、中碎、磨粉、配料工序除尘灰、混捏成型工序除尘灰、机加工工序除尘灰全部作为原料回用于生产，不外排；煅烧工序除尘灰、一次焙烧除尘灰、二次焙烧除尘灰、循环流化床煤气化炉除尘灰运至政府指定渣场处置。大修的废耐火材料外售耐火材料厂家回收利用。脱硫石膏作为建材外售综合利用。原辅料在预处理过程中产生的含铁杂质外售综合利用。生产过程中产生的不合格废品部分外售，剩余部分回用配料工序。沥青熔化工序沉淀渣，作为建材外售综合利用。离子交换树脂由软水设备厂家更换后直接运走，不在厂内暂存。循环流化床煤气化炉炉渣作为建材外售综合利用。煤气经脱硫后产生的硫暂存于一般固废暂存间，作为副产品出售。废焦油、废机油、脱硫催化剂集中收集至桶中，在厂区内危险废物暂存间暂存，定期委托有资质的单位处理。浊循环沉淀渣由有资单位处置。生活垃圾集中收集，由环卫部门定期清运处理。依托</w:t>
      </w:r>
      <w:r>
        <w:rPr>
          <w:rFonts w:hint="eastAsia" w:ascii="仿宋_GB2312" w:hAnsi="仿宋_GB2312" w:eastAsia="仿宋_GB2312" w:cs="仿宋_GB2312"/>
          <w:b w:val="0"/>
          <w:bCs w:val="0"/>
          <w:color w:val="auto"/>
          <w:sz w:val="32"/>
          <w:szCs w:val="32"/>
          <w:highlight w:val="none"/>
          <w:lang w:val="en-US" w:eastAsia="zh-CN"/>
        </w:rPr>
        <w:t>危废暂存间的建设及设计要满足《中华人民共和国固体废物污染环境防治法》和《危险废物贮存污染控制标准》（GB18597-2023）要求。</w:t>
      </w:r>
    </w:p>
    <w:p>
      <w:pPr>
        <w:pStyle w:val="6"/>
        <w:keepNext w:val="0"/>
        <w:keepLines w:val="0"/>
        <w:pageBreakBefore w:val="0"/>
        <w:kinsoku/>
        <w:wordWrap/>
        <w:overflowPunct/>
        <w:topLinePunct w:val="0"/>
        <w:autoSpaceDE/>
        <w:autoSpaceDN/>
        <w:bidi w:val="0"/>
        <w:adjustRightInd w:val="0"/>
        <w:snapToGrid w:val="0"/>
        <w:spacing w:before="0" w:beforeAutospacing="0" w:afterAutospacing="0"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kern w:val="2"/>
          <w:sz w:val="32"/>
          <w:szCs w:val="32"/>
          <w:lang w:val="en-US" w:eastAsia="zh-CN" w:bidi="ar-SA"/>
        </w:rPr>
        <w:t>（三）</w:t>
      </w:r>
      <w:r>
        <w:rPr>
          <w:rFonts w:hint="eastAsia" w:ascii="楷体" w:hAnsi="楷体" w:eastAsia="楷体" w:cs="楷体"/>
          <w:b w:val="0"/>
          <w:bCs w:val="0"/>
          <w:color w:val="auto"/>
          <w:sz w:val="32"/>
          <w:szCs w:val="32"/>
          <w:highlight w:val="none"/>
          <w:lang w:val="en-US" w:eastAsia="zh-CN"/>
        </w:rPr>
        <w:t>严格落实各项水污染防治措施。</w:t>
      </w:r>
      <w:r>
        <w:rPr>
          <w:rFonts w:hint="eastAsia" w:ascii="仿宋_GB2312" w:hAnsi="仿宋_GB2312" w:eastAsia="仿宋_GB2312" w:cs="仿宋_GB2312"/>
          <w:b w:val="0"/>
          <w:bCs w:val="0"/>
          <w:color w:val="auto"/>
          <w:sz w:val="32"/>
          <w:szCs w:val="32"/>
          <w:highlight w:val="none"/>
          <w:lang w:val="en-US" w:eastAsia="zh-CN"/>
        </w:rPr>
        <w:t>运营期</w:t>
      </w:r>
      <w:r>
        <w:rPr>
          <w:rFonts w:hint="eastAsia" w:ascii="仿宋_GB2312" w:hAnsi="仿宋_GB2312" w:eastAsia="仿宋_GB2312" w:cs="仿宋_GB2312"/>
          <w:color w:val="auto"/>
          <w:kern w:val="2"/>
          <w:sz w:val="32"/>
          <w:szCs w:val="32"/>
          <w:lang w:val="en-US" w:eastAsia="zh-CN" w:bidi="en-US"/>
        </w:rPr>
        <w:t>锅炉排水回用做抑尘用水。软化水排水回用于焙烧烟气除尘和脱硫用水。净循环系统排水回用于煅烧烟气脱硫用水。浊循环系统排水经沉淀处理后回用作浊循环水补充水。脱硫废水循环利用。煤气冷凝液返回气化炉燃烧。生活污水经化粪池处理后由罐车拉走运至明安图镇污水处理厂统一处理，待园区污水管网接通后，排入园区污水管网，</w:t>
      </w:r>
      <w:r>
        <w:rPr>
          <w:rFonts w:hint="eastAsia" w:ascii="仿宋_GB2312" w:hAnsi="仿宋_GB2312" w:eastAsia="仿宋_GB2312" w:cs="仿宋_GB2312"/>
          <w:b w:val="0"/>
          <w:bCs w:val="0"/>
          <w:color w:val="auto"/>
          <w:sz w:val="32"/>
          <w:szCs w:val="32"/>
          <w:highlight w:val="none"/>
          <w:lang w:val="en-US" w:eastAsia="zh-CN"/>
        </w:rPr>
        <w:t>并满足《污水综合排放标准》（GB8978-1996）表4三级标准。</w:t>
      </w:r>
    </w:p>
    <w:p>
      <w:pPr>
        <w:pStyle w:val="6"/>
        <w:keepNext w:val="0"/>
        <w:keepLines w:val="0"/>
        <w:pageBreakBefore w:val="0"/>
        <w:kinsoku/>
        <w:wordWrap/>
        <w:overflowPunct/>
        <w:topLinePunct w:val="0"/>
        <w:autoSpaceDE/>
        <w:autoSpaceDN/>
        <w:bidi w:val="0"/>
        <w:adjustRightInd w:val="0"/>
        <w:snapToGrid w:val="0"/>
        <w:spacing w:before="0" w:beforeAutospacing="0" w:afterAutospacing="0" w:line="5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kern w:val="2"/>
          <w:sz w:val="32"/>
          <w:szCs w:val="32"/>
          <w:lang w:val="en-US" w:eastAsia="zh-CN" w:bidi="ar-SA"/>
        </w:rPr>
        <w:t>（四）</w:t>
      </w:r>
      <w:r>
        <w:rPr>
          <w:rFonts w:hint="eastAsia" w:ascii="楷体" w:hAnsi="楷体" w:eastAsia="楷体" w:cs="楷体"/>
          <w:b w:val="0"/>
          <w:bCs w:val="0"/>
          <w:color w:val="auto"/>
          <w:sz w:val="32"/>
          <w:szCs w:val="32"/>
          <w:highlight w:val="none"/>
          <w:lang w:val="en-US" w:eastAsia="zh-CN"/>
        </w:rPr>
        <w:t>严格落实噪声防治措施。</w:t>
      </w:r>
      <w:r>
        <w:rPr>
          <w:rFonts w:hint="eastAsia" w:ascii="仿宋_GB2312" w:hAnsi="仿宋_GB2312" w:eastAsia="仿宋_GB2312" w:cs="仿宋_GB2312"/>
          <w:color w:val="auto"/>
          <w:kern w:val="2"/>
          <w:sz w:val="32"/>
          <w:szCs w:val="32"/>
          <w:lang w:bidi="en-US"/>
        </w:rPr>
        <w:t>在满足生产要求的前提下，选用低噪声设备。提高零部件的装配精度，加强运转部件的润滑，降低</w:t>
      </w:r>
      <w:r>
        <w:rPr>
          <w:rFonts w:hint="eastAsia" w:ascii="仿宋_GB2312" w:hAnsi="仿宋_GB2312" w:eastAsia="仿宋_GB2312" w:cs="仿宋_GB2312"/>
          <w:color w:val="auto"/>
          <w:kern w:val="2"/>
          <w:sz w:val="32"/>
          <w:szCs w:val="32"/>
          <w:lang w:eastAsia="zh-CN" w:bidi="en-US"/>
        </w:rPr>
        <w:t>摩擦力</w:t>
      </w:r>
      <w:r>
        <w:rPr>
          <w:rFonts w:hint="eastAsia" w:ascii="仿宋_GB2312" w:hAnsi="仿宋_GB2312" w:eastAsia="仿宋_GB2312" w:cs="仿宋_GB2312"/>
          <w:color w:val="auto"/>
          <w:kern w:val="2"/>
          <w:sz w:val="32"/>
          <w:szCs w:val="32"/>
          <w:lang w:bidi="en-US"/>
        </w:rPr>
        <w:t>，对各连接部位安装弹性钢垫或橡胶衬垫，以减少传动装置间的振动。对各类产生机械撞击性噪声的设备采用性能好的隔声门窗将噪声封隔起来，房屋内壁采用吸音材料，以减少噪声的传播。对各风机发出的空气动力性噪声采用隔音罩和加装消</w:t>
      </w:r>
      <w:r>
        <w:rPr>
          <w:rFonts w:hint="eastAsia" w:ascii="仿宋_GB2312" w:hAnsi="仿宋_GB2312" w:eastAsia="仿宋_GB2312" w:cs="仿宋_GB2312"/>
          <w:color w:val="auto"/>
          <w:kern w:val="2"/>
          <w:sz w:val="32"/>
          <w:szCs w:val="32"/>
          <w:lang w:eastAsia="zh-CN" w:bidi="en-US"/>
        </w:rPr>
        <w:t>声</w:t>
      </w:r>
      <w:r>
        <w:rPr>
          <w:rFonts w:hint="eastAsia" w:ascii="仿宋_GB2312" w:hAnsi="仿宋_GB2312" w:eastAsia="仿宋_GB2312" w:cs="仿宋_GB2312"/>
          <w:color w:val="auto"/>
          <w:kern w:val="2"/>
          <w:sz w:val="32"/>
          <w:szCs w:val="32"/>
          <w:lang w:bidi="en-US"/>
        </w:rPr>
        <w:t>器方法来处理。加强车间周围、厂区周围、道路两旁的绿化，减</w:t>
      </w:r>
      <w:r>
        <w:rPr>
          <w:rFonts w:hint="eastAsia" w:ascii="仿宋_GB2312" w:hAnsi="仿宋_GB2312" w:eastAsia="仿宋_GB2312" w:cs="仿宋_GB2312"/>
          <w:color w:val="auto"/>
          <w:kern w:val="2"/>
          <w:sz w:val="32"/>
          <w:szCs w:val="32"/>
          <w:lang w:eastAsia="zh-CN" w:bidi="en-US"/>
        </w:rPr>
        <w:t>少</w:t>
      </w:r>
      <w:r>
        <w:rPr>
          <w:rFonts w:hint="eastAsia" w:ascii="仿宋_GB2312" w:hAnsi="仿宋_GB2312" w:eastAsia="仿宋_GB2312" w:cs="仿宋_GB2312"/>
          <w:color w:val="auto"/>
          <w:kern w:val="2"/>
          <w:sz w:val="32"/>
          <w:szCs w:val="32"/>
          <w:lang w:bidi="en-US"/>
        </w:rPr>
        <w:t>噪声传播。本设计中接收者防护的主要措施是：接触噪声人员戴防噪声耳罩和防噪声耳塞。例如：破碎、筛分岗位。</w:t>
      </w:r>
      <w:r>
        <w:rPr>
          <w:rFonts w:hint="eastAsia" w:ascii="仿宋_GB2312" w:hAnsi="仿宋_GB2312" w:eastAsia="仿宋_GB2312" w:cs="仿宋_GB2312"/>
          <w:b w:val="0"/>
          <w:bCs w:val="0"/>
          <w:color w:val="auto"/>
          <w:sz w:val="32"/>
          <w:szCs w:val="32"/>
          <w:highlight w:val="none"/>
          <w:lang w:val="en-US" w:eastAsia="zh-CN"/>
        </w:rPr>
        <w:t>确保厂界噪声满足《工业企业厂界环境噪声排放标准》（GB12348-2008）中3类标准。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kern w:val="2"/>
          <w:sz w:val="32"/>
          <w:szCs w:val="32"/>
          <w:lang w:val="en-US" w:eastAsia="zh-CN" w:bidi="ar-SA"/>
        </w:rPr>
        <w:t>（五）</w:t>
      </w:r>
      <w:r>
        <w:rPr>
          <w:rFonts w:hint="eastAsia" w:ascii="楷体" w:hAnsi="楷体" w:eastAsia="楷体" w:cs="楷体"/>
          <w:b w:val="0"/>
          <w:bCs w:val="0"/>
          <w:color w:val="auto"/>
          <w:sz w:val="32"/>
          <w:szCs w:val="32"/>
          <w:highlight w:val="none"/>
          <w:lang w:val="en-US" w:eastAsia="zh-CN"/>
        </w:rPr>
        <w:t>严格落实土壤和地下水污染防治措施。</w:t>
      </w:r>
      <w:r>
        <w:rPr>
          <w:rFonts w:hint="eastAsia" w:ascii="仿宋_GB2312" w:hAnsi="仿宋_GB2312" w:eastAsia="仿宋_GB2312" w:cs="仿宋_GB2312"/>
          <w:b w:val="0"/>
          <w:bCs w:val="0"/>
          <w:color w:val="auto"/>
          <w:sz w:val="32"/>
          <w:szCs w:val="32"/>
          <w:highlight w:val="none"/>
          <w:lang w:val="en-US" w:eastAsia="zh-CN"/>
        </w:rPr>
        <w:t>严格执行“源头控制、分区防控、污染监控、应急响应”相结合的原则。沥青储罐区与熔化站、煤气化炉、浊循环沉淀池、初期雨水池、消防废水池、危废暂存间</w:t>
      </w:r>
      <w:r>
        <w:rPr>
          <w:rFonts w:hint="eastAsia" w:ascii="仿宋_GB2312" w:hAnsi="仿宋_GB2312" w:eastAsia="仿宋_GB2312" w:cs="仿宋_GB2312"/>
          <w:b w:val="0"/>
          <w:bCs w:val="0"/>
          <w:color w:val="auto"/>
          <w:sz w:val="32"/>
          <w:szCs w:val="32"/>
          <w:lang w:val="en-US" w:eastAsia="zh-CN"/>
        </w:rPr>
        <w:t>为重点防渗区，其中危废暂存间的防渗设计原则上执行《危险废物贮存污染控制标准》（GB18597-2023）。</w:t>
      </w:r>
      <w:r>
        <w:rPr>
          <w:rFonts w:hint="eastAsia" w:ascii="仿宋_GB2312" w:hAnsi="仿宋_GB2312" w:eastAsia="仿宋_GB2312" w:cs="仿宋_GB2312"/>
          <w:b w:val="0"/>
          <w:bCs w:val="0"/>
          <w:color w:val="auto"/>
          <w:sz w:val="32"/>
          <w:szCs w:val="32"/>
          <w:lang w:eastAsia="zh-CN"/>
        </w:rPr>
        <w:t>需要达到《环境影响评价技术导则</w:t>
      </w:r>
      <w:r>
        <w:rPr>
          <w:rFonts w:hint="eastAsia" w:ascii="仿宋_GB2312" w:hAnsi="仿宋_GB2312" w:eastAsia="仿宋_GB2312" w:cs="仿宋_GB2312"/>
          <w:b w:val="0"/>
          <w:bCs w:val="0"/>
          <w:color w:val="auto"/>
          <w:sz w:val="32"/>
          <w:szCs w:val="32"/>
          <w:lang w:val="en-US" w:eastAsia="zh-CN"/>
        </w:rPr>
        <w:t xml:space="preserve"> 地下水环境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HJ610-2016</w:t>
      </w:r>
      <w:r>
        <w:rPr>
          <w:rFonts w:hint="eastAsia" w:ascii="仿宋_GB2312" w:hAnsi="仿宋_GB2312" w:eastAsia="仿宋_GB2312" w:cs="仿宋_GB2312"/>
          <w:b w:val="0"/>
          <w:bCs w:val="0"/>
          <w:color w:val="auto"/>
          <w:sz w:val="32"/>
          <w:szCs w:val="32"/>
          <w:lang w:eastAsia="zh-CN"/>
        </w:rPr>
        <w:t>）中分区防控中重点防渗区技术要求</w:t>
      </w:r>
      <w:r>
        <w:rPr>
          <w:rFonts w:hint="eastAsia" w:ascii="仿宋_GB2312" w:hAnsi="仿宋_GB2312" w:eastAsia="仿宋_GB2312" w:cs="仿宋_GB2312"/>
          <w:b w:val="0"/>
          <w:bCs w:val="0"/>
          <w:color w:val="auto"/>
          <w:sz w:val="32"/>
          <w:szCs w:val="32"/>
          <w:lang w:val="en-US" w:eastAsia="zh-CN"/>
        </w:rPr>
        <w:t>；石墨化车间、石墨化烟气净化站、一般固废暂存间、综合循环水站、雨水收集池</w:t>
      </w:r>
      <w:r>
        <w:rPr>
          <w:rFonts w:hint="eastAsia" w:ascii="仿宋_GB2312" w:hAnsi="仿宋_GB2312" w:eastAsia="仿宋_GB2312" w:cs="仿宋_GB2312"/>
          <w:b w:val="0"/>
          <w:bCs w:val="0"/>
          <w:snapToGrid w:val="0"/>
          <w:color w:val="auto"/>
          <w:kern w:val="0"/>
          <w:sz w:val="32"/>
          <w:szCs w:val="32"/>
          <w:lang w:val="en-US" w:eastAsia="zh-CN" w:bidi="ar"/>
        </w:rPr>
        <w:t>为</w:t>
      </w:r>
      <w:r>
        <w:rPr>
          <w:rFonts w:hint="eastAsia" w:ascii="仿宋_GB2312" w:hAnsi="仿宋_GB2312" w:eastAsia="仿宋_GB2312" w:cs="仿宋_GB2312"/>
          <w:b w:val="0"/>
          <w:bCs w:val="0"/>
          <w:color w:val="auto"/>
          <w:sz w:val="32"/>
          <w:szCs w:val="32"/>
        </w:rPr>
        <w:t>一般防渗区</w:t>
      </w:r>
      <w:r>
        <w:rPr>
          <w:rFonts w:hint="eastAsia" w:ascii="仿宋_GB2312" w:hAnsi="仿宋_GB2312" w:eastAsia="仿宋_GB2312" w:cs="仿宋_GB2312"/>
          <w:b w:val="0"/>
          <w:bCs w:val="0"/>
          <w:color w:val="auto"/>
          <w:sz w:val="32"/>
          <w:szCs w:val="32"/>
          <w:lang w:eastAsia="zh-CN"/>
        </w:rPr>
        <w:t>，需要达到《环境影响评价技术导则</w:t>
      </w:r>
      <w:r>
        <w:rPr>
          <w:rFonts w:hint="eastAsia" w:ascii="仿宋_GB2312" w:hAnsi="仿宋_GB2312" w:eastAsia="仿宋_GB2312" w:cs="仿宋_GB2312"/>
          <w:b w:val="0"/>
          <w:bCs w:val="0"/>
          <w:color w:val="auto"/>
          <w:sz w:val="32"/>
          <w:szCs w:val="32"/>
          <w:lang w:val="en-US" w:eastAsia="zh-CN"/>
        </w:rPr>
        <w:t xml:space="preserve"> 地下水环境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HJ610-2016</w:t>
      </w:r>
      <w:r>
        <w:rPr>
          <w:rFonts w:hint="eastAsia" w:ascii="仿宋_GB2312" w:hAnsi="仿宋_GB2312" w:eastAsia="仿宋_GB2312" w:cs="仿宋_GB2312"/>
          <w:b w:val="0"/>
          <w:bCs w:val="0"/>
          <w:color w:val="auto"/>
          <w:sz w:val="32"/>
          <w:szCs w:val="32"/>
          <w:lang w:eastAsia="zh-CN"/>
        </w:rPr>
        <w:t>）中分区防控中一般防渗区技术要求</w:t>
      </w:r>
      <w:r>
        <w:rPr>
          <w:rFonts w:hint="eastAsia" w:ascii="仿宋_GB2312" w:hAnsi="仿宋_GB2312" w:eastAsia="仿宋_GB2312" w:cs="仿宋_GB2312"/>
          <w:b w:val="0"/>
          <w:bCs w:val="0"/>
          <w:color w:val="auto"/>
          <w:sz w:val="32"/>
          <w:szCs w:val="32"/>
          <w:lang w:val="en-US" w:eastAsia="zh-CN"/>
        </w:rPr>
        <w:t>；办公室等其他区域</w:t>
      </w:r>
      <w:r>
        <w:rPr>
          <w:rFonts w:hint="eastAsia" w:ascii="仿宋_GB2312" w:hAnsi="仿宋_GB2312" w:eastAsia="仿宋_GB2312" w:cs="仿宋_GB2312"/>
          <w:b w:val="0"/>
          <w:bCs w:val="0"/>
          <w:color w:val="auto"/>
          <w:kern w:val="2"/>
          <w:sz w:val="32"/>
          <w:szCs w:val="32"/>
          <w:lang w:val="en-US" w:eastAsia="zh-CN"/>
        </w:rPr>
        <w:t>为简单防渗区</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kern w:val="2"/>
          <w:sz w:val="32"/>
          <w:szCs w:val="32"/>
          <w:lang w:val="en-US" w:eastAsia="zh-CN" w:bidi="ar-SA"/>
        </w:rPr>
        <w:t>（六）</w:t>
      </w:r>
      <w:r>
        <w:rPr>
          <w:rFonts w:hint="eastAsia" w:ascii="楷体" w:hAnsi="楷体" w:eastAsia="楷体" w:cs="楷体"/>
          <w:b w:val="0"/>
          <w:bCs w:val="0"/>
          <w:color w:val="auto"/>
          <w:sz w:val="32"/>
          <w:szCs w:val="32"/>
          <w:highlight w:val="none"/>
          <w:lang w:val="en-US" w:eastAsia="zh-CN"/>
        </w:rPr>
        <w:t>严格落实环境风险防治措施。</w:t>
      </w:r>
      <w:r>
        <w:rPr>
          <w:rFonts w:hint="eastAsia" w:ascii="仿宋_GB2312" w:hAnsi="仿宋_GB2312" w:eastAsia="仿宋_GB2312" w:cs="仿宋_GB2312"/>
          <w:b w:val="0"/>
          <w:bCs w:val="0"/>
          <w:color w:val="auto"/>
          <w:sz w:val="32"/>
          <w:szCs w:val="32"/>
          <w:highlight w:val="none"/>
          <w:lang w:val="en-US" w:eastAsia="zh-CN"/>
        </w:rPr>
        <w:t>按照规范要求存放风险物质；加强生产过程设备的管理与维修，防止跑、冒、滴、漏现象的发生；建立完善的环境监督制度和事故应急措施，制定切实可行的环境风险应急预案，加强对风险物质运输、贮存过程和对生产工程主体装置、环保设施的运行管理；严格落实风险防范措施和应急预案，切实杜绝环境风险事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kern w:val="2"/>
          <w:sz w:val="32"/>
          <w:szCs w:val="32"/>
          <w:lang w:val="en-US" w:eastAsia="zh-CN" w:bidi="ar-SA"/>
        </w:rPr>
        <w:t>（七）</w:t>
      </w:r>
      <w:r>
        <w:rPr>
          <w:rFonts w:hint="eastAsia" w:ascii="楷体" w:hAnsi="楷体" w:eastAsia="楷体" w:cs="楷体"/>
          <w:b w:val="0"/>
          <w:bCs w:val="0"/>
          <w:color w:val="auto"/>
          <w:sz w:val="32"/>
          <w:szCs w:val="32"/>
          <w:highlight w:val="none"/>
          <w:lang w:val="en-US" w:eastAsia="zh-CN"/>
        </w:rPr>
        <w:t>严格落实运营期污染源监测计划。</w:t>
      </w:r>
      <w:r>
        <w:rPr>
          <w:rFonts w:hint="eastAsia" w:ascii="仿宋_GB2312" w:hAnsi="仿宋_GB2312" w:eastAsia="仿宋_GB2312" w:cs="仿宋_GB2312"/>
          <w:b w:val="0"/>
          <w:bCs w:val="0"/>
          <w:color w:val="auto"/>
          <w:sz w:val="32"/>
          <w:szCs w:val="32"/>
          <w:highlight w:val="none"/>
          <w:lang w:val="en-US" w:eastAsia="zh-CN"/>
        </w:rPr>
        <w:t>按照国家和地方有关规定设置规范的污染物排放口，并设立标志牌。按照相关标准、规范等要求，落实《报告书》提出的环境管理及监测计划。强化污染源与无组织排放源管理，制定自行监测方案，落实环境管理与监测计划，按规定开展自行监测和信息公开。各排气筒应按照规范要求预留永久性监测口和采样监测平台。如出现污染物超标情况，应立即查明原因并采取进一步污染物减排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kern w:val="2"/>
          <w:sz w:val="32"/>
          <w:szCs w:val="32"/>
          <w:lang w:val="en-US" w:eastAsia="zh-CN" w:bidi="ar-SA"/>
        </w:rPr>
        <w:t>（八）</w:t>
      </w:r>
      <w:r>
        <w:rPr>
          <w:rFonts w:hint="eastAsia" w:ascii="楷体" w:hAnsi="楷体" w:eastAsia="楷体" w:cs="楷体"/>
          <w:b w:val="0"/>
          <w:bCs w:val="0"/>
          <w:color w:val="auto"/>
          <w:sz w:val="32"/>
          <w:szCs w:val="32"/>
          <w:highlight w:val="none"/>
          <w:lang w:val="en-US" w:eastAsia="zh-CN"/>
        </w:rPr>
        <w:t>建立畅通的公众参与平台。</w:t>
      </w:r>
      <w:r>
        <w:rPr>
          <w:rFonts w:hint="eastAsia" w:ascii="仿宋_GB2312" w:hAnsi="仿宋_GB2312" w:eastAsia="仿宋_GB2312" w:cs="仿宋_GB2312"/>
          <w:b w:val="0"/>
          <w:bCs w:val="0"/>
          <w:color w:val="auto"/>
          <w:sz w:val="32"/>
          <w:szCs w:val="32"/>
          <w:highlight w:val="none"/>
          <w:lang w:val="en-US" w:eastAsia="zh-CN"/>
        </w:rPr>
        <w:t>加强宣传和沟通工作，关注周边居民意见，及时解决公众担忧的环境问题，满足公众合理的环境诉求。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建设必须严格执行配套的环境保护措施与主体工程同时设计、同时施工、同时投产使用的环境保护“三同时”制度。严格落实污染防治措施设计要求。应将优化和细化后的各项污染物防治措施及概算纳入设计以及施工等招标文件及合同，并明确责任。按规定程序实施竣工环境保护验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我局委托锡林郭勒盟生态环境局正镶白旗分局对该项目各项污染防治措施落实情况进行监督检查和管理。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color w:val="auto"/>
          <w:sz w:val="32"/>
          <w:szCs w:val="32"/>
          <w:lang w:val="en-US" w:eastAsia="zh-CN"/>
        </w:rPr>
      </w:pPr>
    </w:p>
    <w:p>
      <w:pPr>
        <w:pStyle w:val="10"/>
        <w:rPr>
          <w:rFonts w:hint="eastAsia"/>
          <w:color w:val="auto"/>
          <w:lang w:val="en-US" w:eastAsia="zh-CN"/>
        </w:rPr>
      </w:pPr>
    </w:p>
    <w:p>
      <w:pPr>
        <w:pStyle w:val="10"/>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锡林郭勒盟生态环境局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2024年4月19日</w:t>
      </w:r>
    </w:p>
    <w:p>
      <w:pPr>
        <w:pStyle w:val="7"/>
        <w:rPr>
          <w:rFonts w:hint="eastAsia" w:ascii="仿宋_GB2312" w:hAnsi="仿宋_GB2312" w:eastAsia="仿宋_GB2312" w:cs="仿宋_GB2312"/>
          <w:color w:val="auto"/>
          <w:sz w:val="32"/>
          <w:szCs w:val="32"/>
          <w:highlight w:val="none"/>
          <w:lang w:bidi="en-US"/>
        </w:rPr>
      </w:pPr>
    </w:p>
    <w:p>
      <w:pPr>
        <w:pStyle w:val="7"/>
        <w:rPr>
          <w:color w:val="auto"/>
        </w:rPr>
      </w:pPr>
    </w:p>
    <w:p>
      <w:pPr>
        <w:pStyle w:val="7"/>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3"/>
        <w:spacing w:line="500" w:lineRule="exact"/>
        <w:rPr>
          <w:rFonts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抄送：盟生态环境综合行政执法支队，盟生态环境局</w:t>
      </w:r>
      <w:r>
        <w:rPr>
          <w:rFonts w:hint="eastAsia" w:ascii="仿宋" w:hAnsi="仿宋" w:eastAsia="仿宋" w:cs="仿宋"/>
          <w:color w:val="auto"/>
          <w:sz w:val="28"/>
          <w:szCs w:val="28"/>
          <w:highlight w:val="none"/>
          <w:lang w:val="en-US" w:eastAsia="zh-CN" w:bidi="en-US"/>
        </w:rPr>
        <w:t>正镶白旗</w:t>
      </w:r>
      <w:r>
        <w:rPr>
          <w:rFonts w:hint="eastAsia" w:ascii="仿宋" w:hAnsi="仿宋" w:eastAsia="仿宋" w:cs="仿宋"/>
          <w:color w:val="auto"/>
          <w:sz w:val="28"/>
          <w:szCs w:val="28"/>
          <w:highlight w:val="none"/>
          <w:lang w:bidi="en-US"/>
        </w:rPr>
        <w:t>分局</w:t>
      </w:r>
    </w:p>
    <w:p>
      <w:pPr>
        <w:pBdr>
          <w:top w:val="single" w:color="auto" w:sz="4" w:space="1"/>
          <w:left w:val="none" w:color="auto" w:sz="0" w:space="4"/>
          <w:bottom w:val="single" w:color="auto" w:sz="4" w:space="1"/>
          <w:right w:val="none" w:color="auto" w:sz="0" w:space="4"/>
        </w:pBdr>
        <w:spacing w:line="500" w:lineRule="exact"/>
        <w:rPr>
          <w:rFonts w:hint="eastAsia"/>
          <w:lang w:val="en-US" w:eastAsia="zh-CN"/>
        </w:rPr>
      </w:pPr>
      <w:r>
        <w:rPr>
          <w:rFonts w:hint="eastAsia" w:ascii="仿宋" w:hAnsi="仿宋" w:eastAsia="仿宋" w:cs="仿宋"/>
          <w:color w:val="auto"/>
          <w:sz w:val="28"/>
          <w:szCs w:val="28"/>
          <w:highlight w:val="none"/>
        </w:rPr>
        <w:t>锡林郭勒盟生态环境局办公室              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sz w:val="28"/>
          <w:szCs w:val="28"/>
          <w:highlight w:val="none"/>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76748"/>
    <w:multiLevelType w:val="singleLevel"/>
    <w:tmpl w:val="9E976748"/>
    <w:lvl w:ilvl="0" w:tentative="0">
      <w:start w:val="1"/>
      <w:numFmt w:val="chineseCounting"/>
      <w:suff w:val="nothing"/>
      <w:lvlText w:val="%1、"/>
      <w:lvlJc w:val="left"/>
      <w:rPr>
        <w:rFonts w:hint="eastAsia"/>
      </w:rPr>
    </w:lvl>
  </w:abstractNum>
  <w:abstractNum w:abstractNumId="1">
    <w:nsid w:val="ACF03B32"/>
    <w:multiLevelType w:val="singleLevel"/>
    <w:tmpl w:val="ACF03B3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ZjliNThiMThmZTZiMTZlZjM4YWI1NWNjNGNiZjYifQ=="/>
  </w:docVars>
  <w:rsids>
    <w:rsidRoot w:val="00000000"/>
    <w:rsid w:val="0813279D"/>
    <w:rsid w:val="0AD96E71"/>
    <w:rsid w:val="1240072B"/>
    <w:rsid w:val="21154365"/>
    <w:rsid w:val="225C215E"/>
    <w:rsid w:val="2C817D0F"/>
    <w:rsid w:val="34731E7B"/>
    <w:rsid w:val="35FE1047"/>
    <w:rsid w:val="3A684DD4"/>
    <w:rsid w:val="3B3B2CBA"/>
    <w:rsid w:val="428A1554"/>
    <w:rsid w:val="433C51C6"/>
    <w:rsid w:val="4BE14FA4"/>
    <w:rsid w:val="4E9F64A5"/>
    <w:rsid w:val="4FE2728E"/>
    <w:rsid w:val="510C3EED"/>
    <w:rsid w:val="55F11ACB"/>
    <w:rsid w:val="5746432B"/>
    <w:rsid w:val="57656611"/>
    <w:rsid w:val="577E4D9F"/>
    <w:rsid w:val="658434D9"/>
    <w:rsid w:val="6AAA1270"/>
    <w:rsid w:val="7ECC2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autoRedefine/>
    <w:semiHidden/>
    <w:unhideWhenUsed/>
    <w:qFormat/>
    <w:uiPriority w:val="0"/>
    <w:pPr>
      <w:keepNext/>
      <w:keepLines/>
      <w:spacing w:beforeLines="0" w:beforeAutospacing="0" w:afterLines="0" w:afterAutospacing="0" w:line="360" w:lineRule="auto"/>
      <w:outlineLvl w:val="4"/>
    </w:pPr>
    <w:rPr>
      <w:rFonts w:ascii="Arial" w:hAnsi="Arial" w:eastAsia="宋体" w:cs="Arial"/>
      <w:snapToGrid w:val="0"/>
      <w:color w:val="000000"/>
      <w:kern w:val="0"/>
      <w:sz w:val="24"/>
      <w:szCs w:val="21"/>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qFormat/>
    <w:uiPriority w:val="0"/>
    <w:pPr>
      <w:spacing w:after="120"/>
      <w:ind w:left="420" w:leftChars="200"/>
    </w:pPr>
    <w:rPr>
      <w:rFonts w:ascii="Times New Roman" w:hAnsi="Times New Roman" w:eastAsia="宋体" w:cs="Times New Roman"/>
      <w:szCs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99"/>
    <w:pPr>
      <w:widowControl/>
      <w:adjustRightInd w:val="0"/>
      <w:snapToGrid w:val="0"/>
      <w:spacing w:line="560" w:lineRule="exact"/>
      <w:ind w:firstLine="640" w:firstLineChars="200"/>
    </w:pPr>
    <w:rPr>
      <w:rFonts w:ascii="仿宋" w:hAnsi="仿宋" w:eastAsia="仿宋" w:cs="仿宋_GB2312"/>
      <w:sz w:val="32"/>
      <w:szCs w:val="32"/>
      <w:lang w:bidi="en-US"/>
    </w:rPr>
  </w:style>
  <w:style w:type="paragraph" w:styleId="7">
    <w:name w:val="Body Text First Indent 2"/>
    <w:basedOn w:val="3"/>
    <w:next w:val="1"/>
    <w:autoRedefine/>
    <w:qFormat/>
    <w:uiPriority w:val="0"/>
    <w:pPr>
      <w:adjustRightInd w:val="0"/>
      <w:ind w:firstLine="420"/>
      <w:textAlignment w:val="baseline"/>
    </w:pPr>
    <w:rPr>
      <w:rFonts w:ascii="宋体" w:hAnsi="宋体"/>
      <w:sz w:val="18"/>
      <w:szCs w:val="18"/>
    </w:rPr>
  </w:style>
  <w:style w:type="paragraph" w:customStyle="1" w:styleId="10">
    <w:name w:val="Default1"/>
    <w:autoRedefine/>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paragraph" w:customStyle="1" w:styleId="11">
    <w:name w:val="[1]正文"/>
    <w:basedOn w:val="1"/>
    <w:autoRedefine/>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2">
    <w:name w:val="报告书正文"/>
    <w:basedOn w:val="1"/>
    <w:autoRedefine/>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13">
    <w:name w:val="Default"/>
    <w:basedOn w:val="14"/>
    <w:next w:val="1"/>
    <w:autoRedefine/>
    <w:qFormat/>
    <w:uiPriority w:val="0"/>
    <w:pPr>
      <w:autoSpaceDE w:val="0"/>
      <w:autoSpaceDN w:val="0"/>
      <w:adjustRightInd w:val="0"/>
    </w:pPr>
    <w:rPr>
      <w:rFonts w:hAnsi="Times New Roman" w:eastAsia="宋体" w:cs="宋体"/>
      <w:color w:val="000000"/>
      <w:sz w:val="24"/>
      <w:szCs w:val="24"/>
    </w:rPr>
  </w:style>
  <w:style w:type="paragraph" w:customStyle="1" w:styleId="14">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2023-10-25T01:09:00Z</dcterms:created>
  <dc:creator>Administrator</dc:creator>
  <cp:lastModifiedBy>zilchs</cp:lastModifiedBy>
  <dcterms:modified xsi:type="dcterms:W3CDTF">2024-04-23T01:07:36Z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610B29D4B1C64728A2EA497EC3D13A51_13</vt:lpwstr>
  </property>
</Properties>
</file>