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31186">
      <w:pPr>
        <w:autoSpaceDE w:val="0"/>
        <w:autoSpaceDN w:val="0"/>
        <w:adjustRightInd w:val="0"/>
        <w:snapToGrid w:val="0"/>
        <w:spacing w:line="560" w:lineRule="exact"/>
        <w:jc w:val="center"/>
        <w:rPr>
          <w:rFonts w:hint="eastAsia" w:ascii="仿宋_GB2312" w:hAnsi="Times New Roman" w:eastAsia="仿宋_GB2312" w:cs="Arial"/>
          <w:color w:val="auto"/>
          <w:sz w:val="32"/>
          <w:szCs w:val="32"/>
          <w:highlight w:val="none"/>
          <w:lang w:bidi="en-US"/>
        </w:rPr>
      </w:pPr>
      <w:bookmarkStart w:id="0" w:name="_Hlk124747957"/>
    </w:p>
    <w:p w14:paraId="3B13EF56">
      <w:pPr>
        <w:autoSpaceDE w:val="0"/>
        <w:autoSpaceDN w:val="0"/>
        <w:adjustRightInd w:val="0"/>
        <w:snapToGrid w:val="0"/>
        <w:spacing w:line="560" w:lineRule="exact"/>
        <w:jc w:val="center"/>
        <w:rPr>
          <w:rFonts w:hint="eastAsia" w:ascii="仿宋_GB2312" w:hAnsi="Times New Roman" w:eastAsia="仿宋_GB2312" w:cs="Arial"/>
          <w:color w:val="auto"/>
          <w:sz w:val="32"/>
          <w:szCs w:val="32"/>
          <w:highlight w:val="none"/>
          <w:lang w:bidi="en-US"/>
        </w:rPr>
      </w:pPr>
    </w:p>
    <w:p w14:paraId="4DFF327F">
      <w:pPr>
        <w:autoSpaceDE w:val="0"/>
        <w:autoSpaceDN w:val="0"/>
        <w:adjustRightInd w:val="0"/>
        <w:snapToGrid w:val="0"/>
        <w:spacing w:line="560" w:lineRule="exact"/>
        <w:jc w:val="center"/>
        <w:rPr>
          <w:rFonts w:hint="eastAsia" w:ascii="仿宋_GB2312" w:hAnsi="Times New Roman" w:eastAsia="仿宋_GB2312" w:cs="Arial"/>
          <w:color w:val="auto"/>
          <w:sz w:val="32"/>
          <w:szCs w:val="32"/>
          <w:highlight w:val="none"/>
          <w:lang w:bidi="en-US"/>
        </w:rPr>
      </w:pPr>
    </w:p>
    <w:p w14:paraId="20C26D42">
      <w:pPr>
        <w:autoSpaceDE w:val="0"/>
        <w:autoSpaceDN w:val="0"/>
        <w:adjustRightInd w:val="0"/>
        <w:snapToGrid w:val="0"/>
        <w:spacing w:line="560" w:lineRule="exact"/>
        <w:jc w:val="center"/>
        <w:rPr>
          <w:rFonts w:hint="eastAsia" w:ascii="仿宋_GB2312" w:hAnsi="Times New Roman" w:eastAsia="仿宋_GB2312" w:cs="Arial"/>
          <w:color w:val="auto"/>
          <w:sz w:val="32"/>
          <w:szCs w:val="32"/>
          <w:highlight w:val="none"/>
          <w:lang w:bidi="en-US"/>
        </w:rPr>
      </w:pPr>
    </w:p>
    <w:p w14:paraId="2450F1DE">
      <w:pPr>
        <w:autoSpaceDE w:val="0"/>
        <w:autoSpaceDN w:val="0"/>
        <w:adjustRightInd w:val="0"/>
        <w:snapToGrid w:val="0"/>
        <w:spacing w:line="560" w:lineRule="exact"/>
        <w:jc w:val="center"/>
        <w:rPr>
          <w:rFonts w:hint="eastAsia" w:ascii="仿宋_GB2312" w:hAnsi="Times New Roman" w:eastAsia="仿宋_GB2312" w:cs="Arial"/>
          <w:color w:val="auto"/>
          <w:sz w:val="32"/>
          <w:szCs w:val="32"/>
          <w:highlight w:val="none"/>
          <w:lang w:bidi="en-US"/>
        </w:rPr>
      </w:pPr>
    </w:p>
    <w:p w14:paraId="102E9A2B">
      <w:pPr>
        <w:autoSpaceDE w:val="0"/>
        <w:autoSpaceDN w:val="0"/>
        <w:adjustRightInd w:val="0"/>
        <w:snapToGrid w:val="0"/>
        <w:spacing w:line="560" w:lineRule="exact"/>
        <w:jc w:val="center"/>
        <w:rPr>
          <w:rFonts w:hint="eastAsia" w:ascii="仿宋_GB2312" w:hAnsi="Times New Roman" w:eastAsia="仿宋_GB2312" w:cs="Arial"/>
          <w:color w:val="auto"/>
          <w:sz w:val="32"/>
          <w:szCs w:val="32"/>
          <w:highlight w:val="none"/>
          <w:lang w:bidi="en-US"/>
        </w:rPr>
      </w:pPr>
    </w:p>
    <w:p w14:paraId="317E53CA">
      <w:pPr>
        <w:autoSpaceDE w:val="0"/>
        <w:autoSpaceDN w:val="0"/>
        <w:adjustRightInd w:val="0"/>
        <w:snapToGrid w:val="0"/>
        <w:spacing w:line="560" w:lineRule="exact"/>
        <w:jc w:val="both"/>
        <w:rPr>
          <w:rFonts w:hint="eastAsia" w:ascii="仿宋_GB2312" w:hAnsi="Times New Roman" w:eastAsia="仿宋_GB2312" w:cs="Arial"/>
          <w:color w:val="auto"/>
          <w:sz w:val="32"/>
          <w:szCs w:val="32"/>
          <w:highlight w:val="none"/>
          <w:lang w:bidi="en-US"/>
        </w:rPr>
      </w:pPr>
    </w:p>
    <w:p w14:paraId="0259A579">
      <w:pPr>
        <w:autoSpaceDE w:val="0"/>
        <w:autoSpaceDN w:val="0"/>
        <w:adjustRightInd w:val="0"/>
        <w:snapToGrid w:val="0"/>
        <w:spacing w:line="560" w:lineRule="exact"/>
        <w:jc w:val="center"/>
        <w:rPr>
          <w:rFonts w:hint="eastAsia" w:ascii="仿宋_GB2312" w:hAnsi="Times New Roman" w:eastAsia="仿宋_GB2312" w:cs="Arial"/>
          <w:color w:val="auto"/>
          <w:sz w:val="32"/>
          <w:szCs w:val="32"/>
          <w:highlight w:val="none"/>
          <w:lang w:bidi="en-US"/>
        </w:rPr>
      </w:pPr>
    </w:p>
    <w:p w14:paraId="1659845D">
      <w:pPr>
        <w:autoSpaceDE w:val="0"/>
        <w:autoSpaceDN w:val="0"/>
        <w:adjustRightInd w:val="0"/>
        <w:snapToGrid w:val="0"/>
        <w:spacing w:line="560" w:lineRule="exact"/>
        <w:jc w:val="center"/>
        <w:rPr>
          <w:rFonts w:hint="eastAsia" w:ascii="仿宋_GB2312" w:hAnsi="Times New Roman" w:eastAsia="仿宋_GB2312" w:cs="Arial"/>
          <w:color w:val="auto"/>
          <w:sz w:val="32"/>
          <w:szCs w:val="32"/>
          <w:highlight w:val="none"/>
          <w:lang w:bidi="en-US"/>
        </w:rPr>
      </w:pPr>
    </w:p>
    <w:p w14:paraId="371606FF">
      <w:pPr>
        <w:keepNext w:val="0"/>
        <w:keepLines w:val="0"/>
        <w:pageBreakBefore w:val="0"/>
        <w:kinsoku/>
        <w:wordWrap/>
        <w:overflowPunct/>
        <w:topLinePunct w:val="0"/>
        <w:bidi w:val="0"/>
        <w:snapToGrid w:val="0"/>
        <w:spacing w:line="560" w:lineRule="exact"/>
        <w:ind w:left="0" w:leftChars="0" w:firstLine="0" w:firstLineChars="0"/>
        <w:jc w:val="center"/>
        <w:rPr>
          <w:rFonts w:hint="default"/>
          <w:color w:val="auto"/>
          <w:sz w:val="32"/>
          <w:szCs w:val="32"/>
          <w:lang w:val="en-US"/>
        </w:rPr>
      </w:pPr>
      <w:r>
        <w:rPr>
          <w:rFonts w:hint="eastAsia" w:ascii="仿宋_GB2312" w:hAnsi="Times New Roman" w:eastAsia="仿宋_GB2312" w:cs="Arial"/>
          <w:color w:val="auto"/>
          <w:sz w:val="32"/>
          <w:szCs w:val="32"/>
          <w:highlight w:val="none"/>
          <w:lang w:bidi="en-US"/>
        </w:rPr>
        <w:t>锡署环审书〔202</w:t>
      </w:r>
      <w:r>
        <w:rPr>
          <w:rFonts w:hint="eastAsia" w:ascii="仿宋_GB2312" w:hAnsi="Times New Roman" w:eastAsia="仿宋_GB2312" w:cs="Arial"/>
          <w:color w:val="auto"/>
          <w:sz w:val="32"/>
          <w:szCs w:val="32"/>
          <w:highlight w:val="none"/>
          <w:lang w:val="en-US" w:eastAsia="zh-CN" w:bidi="en-US"/>
        </w:rPr>
        <w:t>4</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51</w:t>
      </w:r>
      <w:r>
        <w:rPr>
          <w:rFonts w:hint="eastAsia" w:ascii="仿宋_GB2312" w:hAnsi="Times New Roman" w:eastAsia="仿宋_GB2312" w:cs="Arial"/>
          <w:color w:val="auto"/>
          <w:sz w:val="32"/>
          <w:szCs w:val="32"/>
          <w:highlight w:val="none"/>
          <w:lang w:bidi="en-US"/>
        </w:rPr>
        <w:t>号</w:t>
      </w:r>
    </w:p>
    <w:p w14:paraId="67ADCFE5">
      <w:pPr>
        <w:pStyle w:val="23"/>
        <w:keepNext w:val="0"/>
        <w:keepLines w:val="0"/>
        <w:pageBreakBefore w:val="0"/>
        <w:kinsoku/>
        <w:wordWrap/>
        <w:overflowPunct/>
        <w:topLinePunct w:val="0"/>
        <w:bidi w:val="0"/>
        <w:spacing w:line="660" w:lineRule="exact"/>
        <w:ind w:firstLine="480"/>
        <w:rPr>
          <w:rFonts w:hint="eastAsia"/>
          <w:sz w:val="32"/>
          <w:szCs w:val="32"/>
          <w:highlight w:val="yellow"/>
          <w:lang w:eastAsia="zh-CN"/>
        </w:rPr>
      </w:pPr>
    </w:p>
    <w:p w14:paraId="5B27FE4D">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bidi="ar-SA"/>
        </w:rPr>
        <w:t>锡林郭勒盟生态环境局</w:t>
      </w:r>
    </w:p>
    <w:bookmarkEnd w:id="0"/>
    <w:p w14:paraId="5E6D2FE2">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关于乌拉盖管理区聚晟鑫粉煤灰综合利用建设项目环境影响报告书的批复</w:t>
      </w:r>
    </w:p>
    <w:p w14:paraId="41C5BEA4">
      <w:pPr>
        <w:autoSpaceDE w:val="0"/>
        <w:autoSpaceDN w:val="0"/>
        <w:adjustRightInd w:val="0"/>
        <w:snapToGrid w:val="0"/>
        <w:spacing w:line="520" w:lineRule="exact"/>
        <w:rPr>
          <w:rFonts w:ascii="仿宋_GB2312" w:hAnsi="仿宋_GB2312" w:eastAsia="仿宋_GB2312" w:cs="仿宋_GB2312"/>
          <w:color w:val="FF0000"/>
          <w:sz w:val="32"/>
          <w:szCs w:val="32"/>
          <w:lang w:bidi="en-US"/>
        </w:rPr>
      </w:pPr>
    </w:p>
    <w:p w14:paraId="2F8D38FB">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ascii="仿宋_GB2312" w:hAnsi="仿宋_GB2312" w:eastAsia="仿宋_GB2312" w:cs="仿宋_GB2312"/>
          <w:color w:val="auto"/>
          <w:sz w:val="30"/>
          <w:szCs w:val="30"/>
          <w:lang w:bidi="en-US"/>
        </w:rPr>
      </w:pPr>
      <w:r>
        <w:rPr>
          <w:rFonts w:hint="eastAsia" w:ascii="仿宋_GB2312" w:hAnsi="仿宋_GB2312" w:eastAsia="仿宋_GB2312" w:cs="仿宋_GB2312"/>
          <w:color w:val="auto"/>
          <w:sz w:val="30"/>
          <w:szCs w:val="30"/>
          <w:lang w:bidi="en-US"/>
        </w:rPr>
        <w:t>锡林郭勒盟乌拉盖管理区聚晟鑫园林绿化工程施工有限公司：</w:t>
      </w:r>
    </w:p>
    <w:p w14:paraId="6ABC2AB4">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kern w:val="2"/>
          <w:sz w:val="32"/>
          <w:szCs w:val="32"/>
          <w:highlight w:val="none"/>
          <w:lang w:val="en-US" w:eastAsia="zh-CN" w:bidi="en-US"/>
        </w:rPr>
        <w:t>你单位报送的《乌拉盖管理区聚晟鑫粉煤灰综合利用建设项目环境影响报告书》</w:t>
      </w:r>
      <w:r>
        <w:rPr>
          <w:rFonts w:hint="default" w:ascii="仿宋_GB2312" w:hAnsi="仿宋_GB2312" w:eastAsia="仿宋_GB2312" w:cs="仿宋_GB2312"/>
          <w:color w:val="auto"/>
          <w:kern w:val="2"/>
          <w:sz w:val="32"/>
          <w:szCs w:val="32"/>
          <w:highlight w:val="none"/>
          <w:lang w:val="en-US" w:eastAsia="zh-CN" w:bidi="en-US"/>
        </w:rPr>
        <w:t>（</w:t>
      </w:r>
      <w:r>
        <w:rPr>
          <w:rFonts w:hint="eastAsia" w:ascii="仿宋_GB2312" w:hAnsi="仿宋_GB2312" w:eastAsia="仿宋_GB2312" w:cs="仿宋_GB2312"/>
          <w:color w:val="auto"/>
          <w:kern w:val="2"/>
          <w:sz w:val="32"/>
          <w:szCs w:val="32"/>
          <w:highlight w:val="none"/>
          <w:lang w:val="en-US" w:eastAsia="zh-Hans" w:bidi="en-US"/>
        </w:rPr>
        <w:t>以下简称</w:t>
      </w:r>
      <w:r>
        <w:rPr>
          <w:rFonts w:hint="default" w:ascii="仿宋_GB2312" w:hAnsi="仿宋_GB2312" w:eastAsia="仿宋_GB2312" w:cs="仿宋_GB2312"/>
          <w:color w:val="auto"/>
          <w:kern w:val="2"/>
          <w:sz w:val="32"/>
          <w:szCs w:val="32"/>
          <w:highlight w:val="none"/>
          <w:lang w:val="en-US" w:eastAsia="zh-Hans" w:bidi="en-US"/>
        </w:rPr>
        <w:t>《</w:t>
      </w:r>
      <w:r>
        <w:rPr>
          <w:rFonts w:hint="eastAsia" w:ascii="仿宋_GB2312" w:hAnsi="仿宋_GB2312" w:eastAsia="仿宋_GB2312" w:cs="仿宋_GB2312"/>
          <w:color w:val="auto"/>
          <w:kern w:val="2"/>
          <w:sz w:val="32"/>
          <w:szCs w:val="32"/>
          <w:highlight w:val="none"/>
          <w:lang w:val="en-US" w:eastAsia="zh-Hans" w:bidi="en-US"/>
        </w:rPr>
        <w:t>报告书</w:t>
      </w:r>
      <w:r>
        <w:rPr>
          <w:rFonts w:hint="default" w:ascii="仿宋_GB2312" w:hAnsi="仿宋_GB2312" w:eastAsia="仿宋_GB2312" w:cs="仿宋_GB2312"/>
          <w:color w:val="auto"/>
          <w:kern w:val="2"/>
          <w:sz w:val="32"/>
          <w:szCs w:val="32"/>
          <w:highlight w:val="none"/>
          <w:lang w:val="en-US" w:eastAsia="zh-Hans" w:bidi="en-US"/>
        </w:rPr>
        <w:t>》</w:t>
      </w:r>
      <w:r>
        <w:rPr>
          <w:rFonts w:hint="default" w:ascii="仿宋_GB2312" w:hAnsi="仿宋_GB2312" w:eastAsia="仿宋_GB2312" w:cs="仿宋_GB2312"/>
          <w:color w:val="auto"/>
          <w:kern w:val="2"/>
          <w:sz w:val="32"/>
          <w:szCs w:val="32"/>
          <w:highlight w:val="none"/>
          <w:lang w:val="en-US" w:eastAsia="zh-CN" w:bidi="en-US"/>
        </w:rPr>
        <w:t>）</w:t>
      </w:r>
      <w:r>
        <w:rPr>
          <w:rFonts w:hint="eastAsia" w:ascii="仿宋_GB2312" w:hAnsi="仿宋_GB2312" w:eastAsia="仿宋_GB2312" w:cs="仿宋_GB2312"/>
          <w:color w:val="auto"/>
          <w:kern w:val="2"/>
          <w:sz w:val="32"/>
          <w:szCs w:val="32"/>
          <w:highlight w:val="none"/>
          <w:lang w:val="en-US" w:eastAsia="zh-CN" w:bidi="en-US"/>
        </w:rPr>
        <w:t>收悉。经研究，批复如下</w:t>
      </w:r>
      <w:r>
        <w:rPr>
          <w:rFonts w:hint="default" w:ascii="仿宋_GB2312" w:hAnsi="仿宋_GB2312" w:eastAsia="仿宋_GB2312" w:cs="仿宋_GB2312"/>
          <w:color w:val="auto"/>
          <w:kern w:val="2"/>
          <w:sz w:val="32"/>
          <w:szCs w:val="32"/>
          <w:highlight w:val="none"/>
          <w:lang w:val="en-US" w:eastAsia="zh-CN" w:bidi="en-US"/>
        </w:rPr>
        <w:t>：</w:t>
      </w:r>
    </w:p>
    <w:p w14:paraId="243F8A6B">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auto"/>
          <w:sz w:val="32"/>
          <w:szCs w:val="32"/>
          <w:lang w:bidi="en-US"/>
        </w:rPr>
        <w:t>一、</w:t>
      </w:r>
      <w:r>
        <w:rPr>
          <w:rFonts w:hint="eastAsia" w:ascii="仿宋_GB2312" w:hAnsi="仿宋_GB2312" w:eastAsia="仿宋_GB2312" w:cs="仿宋_GB2312"/>
          <w:color w:val="auto"/>
          <w:kern w:val="2"/>
          <w:sz w:val="32"/>
          <w:szCs w:val="32"/>
          <w:highlight w:val="none"/>
          <w:lang w:val="en-US" w:eastAsia="zh-CN" w:bidi="en-US"/>
        </w:rPr>
        <w:t>项目位于内蒙古自治区锡林郭勒盟乌拉盖管理区巴彦胡硕镇东北30km。治理区地块一中心坐标E119°3′10.704″,N45°55′26.493″；治理区地块二中心坐标E119°4′57.692″,N45°57′10.082″。项目拟对两处废弃矿山采坑进行回填、生态治理。治理区总面32.7795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h㎡，其中地块一面积为20.4232h㎡，地块二面积为12.3563h㎡，利用苏能（锡林郭勒）发电有限公司火力发电厂产生的灰渣及脱硫石膏回填、治理，回填区有效容积460万m³，年回填灰渣量约 86.19万t（压实密度约1.1t/m³，约78.35万m³/a）， 回填脱硫石膏10万t/a（压实密度2.3t/m³ ，约4.35万m³/a），总计82.7万m³/a，回填期5.6年，回填结束后封场进行植被恢复，管护期2年。</w:t>
      </w:r>
    </w:p>
    <w:p w14:paraId="4AD9426D">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报告书》认为，在全面落实各项生态保护和污染防治措施的前提下，项目建设对环境的不利影响能够得到一定的缓解和控制。因此，我局原则同意本项目按照《报告书》所列的建设项目性质、规模、地点和拟采取的污染防治措施及下述要求进行建设。</w:t>
      </w:r>
    </w:p>
    <w:p w14:paraId="62E59070">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textAlignment w:val="auto"/>
        <w:rPr>
          <w:rFonts w:hint="eastAsia" w:ascii="黑体" w:hAnsi="黑体" w:eastAsia="黑体" w:cs="黑体"/>
          <w:color w:val="auto"/>
          <w:sz w:val="32"/>
          <w:szCs w:val="32"/>
          <w:lang w:bidi="en-US"/>
        </w:rPr>
      </w:pPr>
      <w:r>
        <w:rPr>
          <w:rFonts w:hint="eastAsia" w:ascii="黑体" w:hAnsi="黑体" w:eastAsia="黑体" w:cs="黑体"/>
          <w:color w:val="auto"/>
          <w:sz w:val="32"/>
          <w:szCs w:val="32"/>
          <w:lang w:bidi="en-US"/>
        </w:rPr>
        <w:t>二、项目在设计、建设和运营过程中还应做好以下工作。</w:t>
      </w:r>
    </w:p>
    <w:p w14:paraId="0D99E8C4">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highlight w:val="none"/>
          <w:lang w:val="en-US" w:eastAsia="zh-CN" w:bidi="en-US"/>
        </w:rPr>
        <w:t>（一）严格落实各项大气污染防治措施。</w:t>
      </w:r>
      <w:r>
        <w:rPr>
          <w:rFonts w:hint="eastAsia" w:ascii="仿宋_GB2312" w:hAnsi="仿宋_GB2312" w:eastAsia="仿宋_GB2312" w:cs="仿宋_GB2312"/>
          <w:b w:val="0"/>
          <w:bCs w:val="0"/>
          <w:color w:val="auto"/>
          <w:kern w:val="2"/>
          <w:sz w:val="32"/>
          <w:szCs w:val="32"/>
          <w:highlight w:val="none"/>
          <w:lang w:val="en-US" w:eastAsia="zh-CN" w:bidi="en-US"/>
        </w:rPr>
        <w:t>装卸时降低倾倒高度、及时洒水抑尘，表土存放区苫布加以苫盖，治理区西北侧建设防风抑尘网；粉煤灰出厂前拌湿并用苫布苫盖，在灰渣表面喷洒固化剂进行灰渣表面固化，防止运输过程起尘，运输过程不得超速、超高、超载，在治理区车辆出口设置水池清洗车辆。治理区扬尘执行</w:t>
      </w:r>
      <w:r>
        <w:rPr>
          <w:rFonts w:ascii="仿宋_GB2312" w:hAnsi="仿宋_GB2312" w:eastAsia="仿宋_GB2312" w:cs="仿宋_GB2312"/>
          <w:color w:val="auto"/>
          <w:sz w:val="32"/>
          <w:szCs w:val="32"/>
          <w:lang w:bidi="en-US"/>
        </w:rPr>
        <w:t>《大气污染物综合排放标准》</w:t>
      </w:r>
      <w:r>
        <w:rPr>
          <w:rFonts w:hint="eastAsia" w:ascii="仿宋_GB2312" w:hAnsi="仿宋_GB2312" w:eastAsia="仿宋_GB2312" w:cs="仿宋_GB2312"/>
          <w:color w:val="auto"/>
          <w:sz w:val="32"/>
          <w:szCs w:val="32"/>
          <w:lang w:eastAsia="zh-CN" w:bidi="en-US"/>
        </w:rPr>
        <w:t>（</w:t>
      </w:r>
      <w:r>
        <w:rPr>
          <w:rFonts w:ascii="仿宋_GB2312" w:hAnsi="仿宋_GB2312" w:eastAsia="仿宋_GB2312" w:cs="仿宋_GB2312"/>
          <w:color w:val="auto"/>
          <w:sz w:val="32"/>
          <w:szCs w:val="32"/>
          <w:lang w:bidi="en-US"/>
        </w:rPr>
        <w:t>GB16297-1996</w:t>
      </w:r>
      <w:r>
        <w:rPr>
          <w:rFonts w:hint="eastAsia" w:ascii="仿宋_GB2312" w:hAnsi="仿宋_GB2312" w:eastAsia="仿宋_GB2312" w:cs="仿宋_GB2312"/>
          <w:color w:val="auto"/>
          <w:sz w:val="32"/>
          <w:szCs w:val="32"/>
          <w:lang w:eastAsia="zh-CN" w:bidi="en-US"/>
        </w:rPr>
        <w:t>）</w:t>
      </w:r>
      <w:r>
        <w:rPr>
          <w:rFonts w:ascii="仿宋_GB2312" w:hAnsi="仿宋_GB2312" w:eastAsia="仿宋_GB2312" w:cs="仿宋_GB2312"/>
          <w:color w:val="auto"/>
          <w:sz w:val="32"/>
          <w:szCs w:val="32"/>
          <w:lang w:bidi="en-US"/>
        </w:rPr>
        <w:t>要求。</w:t>
      </w:r>
    </w:p>
    <w:p w14:paraId="36501262">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（二）严格落实各项水污染防治措施。</w:t>
      </w:r>
      <w:r>
        <w:rPr>
          <w:rFonts w:hint="eastAsia" w:ascii="仿宋_GB2312" w:hAnsi="仿宋_GB2312" w:eastAsia="仿宋_GB2312" w:cs="仿宋_GB2312"/>
          <w:b w:val="0"/>
          <w:bCs w:val="0"/>
          <w:color w:val="auto"/>
          <w:kern w:val="2"/>
          <w:sz w:val="32"/>
          <w:szCs w:val="32"/>
          <w:highlight w:val="none"/>
          <w:lang w:val="en-US" w:eastAsia="zh-CN" w:bidi="en-US"/>
        </w:rPr>
        <w:t>项目产生的生活污水排入防渗旱厕，定期清掏作农肥；渗滤液经导排系统收集后，全部用于回填区洒水抑尘，不外排。</w:t>
      </w:r>
    </w:p>
    <w:p w14:paraId="5EFFE261">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textAlignment w:val="auto"/>
        <w:rPr>
          <w:rFonts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highlight w:val="none"/>
          <w:lang w:val="en-US" w:eastAsia="zh-CN" w:bidi="en-US"/>
        </w:rPr>
        <w:t>（三）切实落实土壤和地下水污染防治措施。</w:t>
      </w:r>
      <w:r>
        <w:rPr>
          <w:rFonts w:ascii="仿宋_GB2312" w:hAnsi="仿宋_GB2312" w:eastAsia="仿宋_GB2312" w:cs="仿宋_GB2312"/>
          <w:color w:val="auto"/>
          <w:sz w:val="32"/>
          <w:szCs w:val="32"/>
          <w:lang w:bidi="en-US"/>
        </w:rPr>
        <w:t>严格按照《一般工业固体废物贮存和填埋污染控制标准》（GB18559-2020）要求，</w:t>
      </w:r>
      <w:r>
        <w:rPr>
          <w:rFonts w:hint="eastAsia" w:ascii="仿宋_GB2312" w:hAnsi="仿宋_GB2312" w:eastAsia="仿宋_GB2312" w:cs="仿宋_GB2312"/>
          <w:color w:val="auto"/>
          <w:sz w:val="32"/>
          <w:szCs w:val="32"/>
          <w:lang w:bidi="en-US"/>
        </w:rPr>
        <w:t>对回填区底部及边坡采取</w:t>
      </w:r>
      <w:r>
        <w:rPr>
          <w:rFonts w:ascii="仿宋_GB2312" w:hAnsi="仿宋_GB2312" w:eastAsia="仿宋_GB2312" w:cs="仿宋_GB2312"/>
          <w:color w:val="auto"/>
          <w:sz w:val="32"/>
          <w:szCs w:val="32"/>
          <w:lang w:bidi="en-US"/>
        </w:rPr>
        <w:t>防渗</w:t>
      </w:r>
      <w:r>
        <w:rPr>
          <w:rFonts w:hint="eastAsia" w:ascii="仿宋_GB2312" w:hAnsi="仿宋_GB2312" w:eastAsia="仿宋_GB2312" w:cs="仿宋_GB2312"/>
          <w:color w:val="auto"/>
          <w:sz w:val="32"/>
          <w:szCs w:val="32"/>
          <w:lang w:bidi="en-US"/>
        </w:rPr>
        <w:t>措施，并设置渗滤液收集和导排系统</w:t>
      </w:r>
      <w:r>
        <w:rPr>
          <w:rFonts w:ascii="仿宋_GB2312" w:hAnsi="仿宋_GB2312" w:eastAsia="仿宋_GB2312" w:cs="仿宋_GB2312"/>
          <w:color w:val="auto"/>
          <w:sz w:val="32"/>
          <w:szCs w:val="32"/>
          <w:lang w:bidi="en-US"/>
        </w:rPr>
        <w:t>。建立完善的土壤和地下水监测制度，合理设置土壤和地下水监测点</w:t>
      </w:r>
      <w:r>
        <w:rPr>
          <w:rFonts w:hint="eastAsia" w:ascii="仿宋_GB2312" w:hAnsi="仿宋_GB2312" w:eastAsia="仿宋_GB2312" w:cs="仿宋_GB2312"/>
          <w:color w:val="auto"/>
          <w:sz w:val="32"/>
          <w:szCs w:val="32"/>
          <w:lang w:bidi="en-US"/>
        </w:rPr>
        <w:t>，</w:t>
      </w:r>
      <w:r>
        <w:rPr>
          <w:rFonts w:ascii="仿宋_GB2312" w:hAnsi="仿宋_GB2312" w:eastAsia="仿宋_GB2312" w:cs="仿宋_GB2312"/>
          <w:color w:val="auto"/>
          <w:sz w:val="32"/>
          <w:szCs w:val="32"/>
          <w:lang w:bidi="en-US"/>
        </w:rPr>
        <w:t>一旦出现土壤或地下水污染，立即启动应急预案和应急措施，减少对土壤和地下水的不利环境影响。</w:t>
      </w:r>
    </w:p>
    <w:p w14:paraId="4D6F6F6C">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highlight w:val="none"/>
          <w:lang w:val="en-US" w:eastAsia="zh-CN" w:bidi="en-US"/>
        </w:rPr>
        <w:t>（四）严格落实固体废物污染防治措施。</w:t>
      </w:r>
      <w:r>
        <w:rPr>
          <w:rFonts w:hint="eastAsia" w:ascii="仿宋_GB2312" w:hAnsi="仿宋_GB2312" w:eastAsia="仿宋_GB2312" w:cs="仿宋_GB2312"/>
          <w:color w:val="auto"/>
          <w:sz w:val="32"/>
          <w:szCs w:val="32"/>
          <w:lang w:val="en-US" w:eastAsia="zh-CN" w:bidi="en-US"/>
        </w:rPr>
        <w:t>渗滤液调节池污泥定期清理送至项目回填区进行填埋；回填区场内设置生活垃圾收集桶，生活垃圾收集后由环卫部门统一处理。固体废物回填执行《一般工业固体废物贮存和填埋污染控制标准》（GB 18599-2020）相关规定。</w:t>
      </w:r>
      <w:r>
        <w:rPr>
          <w:rFonts w:hint="eastAsia" w:ascii="仿宋_GB2312" w:hAnsi="仿宋_GB2312" w:eastAsia="仿宋_GB2312" w:cs="仿宋_GB2312"/>
          <w:color w:val="auto"/>
          <w:sz w:val="32"/>
          <w:szCs w:val="32"/>
          <w:lang w:bidi="en-US"/>
        </w:rPr>
        <w:t>回填</w:t>
      </w:r>
      <w:r>
        <w:rPr>
          <w:rFonts w:ascii="仿宋_GB2312" w:hAnsi="仿宋_GB2312" w:eastAsia="仿宋_GB2312" w:cs="仿宋_GB2312"/>
          <w:color w:val="auto"/>
          <w:sz w:val="32"/>
          <w:szCs w:val="32"/>
          <w:lang w:bidi="en-US"/>
        </w:rPr>
        <w:t>过程</w:t>
      </w:r>
      <w:r>
        <w:rPr>
          <w:rFonts w:hint="eastAsia" w:ascii="仿宋_GB2312" w:hAnsi="仿宋_GB2312" w:eastAsia="仿宋_GB2312" w:cs="仿宋_GB2312"/>
          <w:color w:val="auto"/>
          <w:sz w:val="32"/>
          <w:szCs w:val="32"/>
          <w:lang w:bidi="en-US"/>
        </w:rPr>
        <w:t>不得混入其他工业固体废物，严禁混入危险废物、生活垃圾。</w:t>
      </w:r>
    </w:p>
    <w:p w14:paraId="22B1E965">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highlight w:val="none"/>
          <w:lang w:val="en-US" w:eastAsia="zh-CN" w:bidi="en-US"/>
        </w:rPr>
        <w:t>（五）严格落实噪声防治措施。</w:t>
      </w:r>
      <w:r>
        <w:rPr>
          <w:rFonts w:hint="eastAsia" w:ascii="仿宋_GB2312" w:hAnsi="仿宋_GB2312" w:eastAsia="仿宋_GB2312" w:cs="仿宋_GB2312"/>
          <w:color w:val="auto"/>
          <w:sz w:val="32"/>
          <w:szCs w:val="32"/>
          <w:lang w:bidi="en-US"/>
        </w:rPr>
        <w:t>优先选用低噪声设备，定期对实施治理作业机械、车辆进行维护，确保厂（场）界噪声满足《工业企业厂界环境噪声排放标准》</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GB12348-2008</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bidi="en-US"/>
        </w:rPr>
        <w:t>中</w:t>
      </w:r>
      <w:r>
        <w:rPr>
          <w:rFonts w:ascii="仿宋_GB2312" w:hAnsi="仿宋_GB2312" w:eastAsia="仿宋_GB2312" w:cs="仿宋_GB2312"/>
          <w:color w:val="auto"/>
          <w:sz w:val="32"/>
          <w:szCs w:val="32"/>
          <w:lang w:bidi="en-US"/>
        </w:rPr>
        <w:t>2</w:t>
      </w:r>
      <w:r>
        <w:rPr>
          <w:rFonts w:hint="eastAsia" w:ascii="仿宋_GB2312" w:hAnsi="仿宋_GB2312" w:eastAsia="仿宋_GB2312" w:cs="仿宋_GB2312"/>
          <w:color w:val="auto"/>
          <w:sz w:val="32"/>
          <w:szCs w:val="32"/>
          <w:lang w:bidi="en-US"/>
        </w:rPr>
        <w:t>类标准。</w:t>
      </w:r>
    </w:p>
    <w:p w14:paraId="414721C1">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color w:val="auto"/>
          <w:sz w:val="32"/>
          <w:szCs w:val="32"/>
          <w:lang w:bidi="en-US"/>
        </w:rPr>
      </w:pPr>
      <w:r>
        <w:rPr>
          <w:rFonts w:hint="eastAsia" w:ascii="楷体" w:hAnsi="楷体" w:eastAsia="楷体" w:cs="楷体"/>
          <w:color w:val="auto"/>
          <w:kern w:val="2"/>
          <w:sz w:val="32"/>
          <w:szCs w:val="32"/>
          <w:highlight w:val="none"/>
          <w:lang w:val="en-US" w:eastAsia="zh-CN" w:bidi="en-US"/>
        </w:rPr>
        <w:t>（六）严格落实生态恢复工作。</w:t>
      </w:r>
      <w:r>
        <w:rPr>
          <w:rFonts w:hint="eastAsia" w:ascii="仿宋_GB2312" w:hAnsi="仿宋_GB2312" w:eastAsia="仿宋_GB2312" w:cs="仿宋_GB2312"/>
          <w:color w:val="auto"/>
          <w:sz w:val="32"/>
          <w:szCs w:val="32"/>
          <w:lang w:bidi="en-US"/>
        </w:rPr>
        <w:t>回填至设计标高后，及时进行封场、覆土、植被恢复。进行植被恢复时应优先选用乡土物种，避免外来有害物种入侵；项目实施后，</w:t>
      </w:r>
      <w:r>
        <w:rPr>
          <w:rFonts w:ascii="仿宋_GB2312" w:hAnsi="仿宋_GB2312" w:eastAsia="仿宋_GB2312" w:cs="仿宋_GB2312"/>
          <w:color w:val="auto"/>
          <w:sz w:val="32"/>
          <w:szCs w:val="32"/>
          <w:lang w:bidi="en-US"/>
        </w:rPr>
        <w:t>植被恢复应与周边</w:t>
      </w:r>
      <w:r>
        <w:rPr>
          <w:rFonts w:hint="eastAsia" w:ascii="仿宋_GB2312" w:hAnsi="仿宋_GB2312" w:eastAsia="仿宋_GB2312" w:cs="仿宋_GB2312"/>
          <w:color w:val="auto"/>
          <w:sz w:val="32"/>
          <w:szCs w:val="32"/>
          <w:lang w:bidi="en-US"/>
        </w:rPr>
        <w:t>自然</w:t>
      </w:r>
      <w:r>
        <w:rPr>
          <w:rFonts w:ascii="仿宋_GB2312" w:hAnsi="仿宋_GB2312" w:eastAsia="仿宋_GB2312" w:cs="仿宋_GB2312"/>
          <w:color w:val="auto"/>
          <w:sz w:val="32"/>
          <w:szCs w:val="32"/>
          <w:lang w:bidi="en-US"/>
        </w:rPr>
        <w:t>景观相协调，</w:t>
      </w:r>
      <w:r>
        <w:rPr>
          <w:rFonts w:hint="eastAsia" w:ascii="仿宋_GB2312" w:hAnsi="仿宋_GB2312" w:eastAsia="仿宋_GB2312" w:cs="仿宋_GB2312"/>
          <w:color w:val="auto"/>
          <w:sz w:val="32"/>
          <w:szCs w:val="32"/>
          <w:lang w:bidi="en-US"/>
        </w:rPr>
        <w:t>治理区植被覆盖率</w:t>
      </w:r>
      <w:r>
        <w:rPr>
          <w:rFonts w:ascii="仿宋_GB2312" w:hAnsi="仿宋_GB2312" w:eastAsia="仿宋_GB2312" w:cs="仿宋_GB2312"/>
          <w:color w:val="auto"/>
          <w:sz w:val="32"/>
          <w:szCs w:val="32"/>
          <w:lang w:bidi="en-US"/>
        </w:rPr>
        <w:t>不低于周边植被覆盖率。植被恢复后要加强植被养护管理，</w:t>
      </w:r>
      <w:r>
        <w:rPr>
          <w:rFonts w:hint="eastAsia" w:ascii="仿宋_GB2312" w:hAnsi="仿宋_GB2312" w:eastAsia="仿宋_GB2312" w:cs="仿宋_GB2312"/>
          <w:color w:val="auto"/>
          <w:sz w:val="32"/>
          <w:szCs w:val="32"/>
          <w:lang w:bidi="en-US"/>
        </w:rPr>
        <w:t>最终形成可自然维持的生态系统。</w:t>
      </w:r>
    </w:p>
    <w:p w14:paraId="702FA4C9">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color w:val="auto"/>
          <w:sz w:val="32"/>
          <w:szCs w:val="32"/>
          <w:lang w:bidi="en-US"/>
        </w:rPr>
      </w:pPr>
      <w:r>
        <w:rPr>
          <w:rFonts w:hint="eastAsia" w:ascii="楷体" w:hAnsi="楷体" w:eastAsia="楷体" w:cs="楷体"/>
          <w:color w:val="auto"/>
          <w:kern w:val="2"/>
          <w:sz w:val="32"/>
          <w:szCs w:val="32"/>
          <w:highlight w:val="none"/>
          <w:lang w:val="en-US" w:eastAsia="zh-CN" w:bidi="en-US"/>
        </w:rPr>
        <w:t>（七）严格落实污染源监测计划。</w:t>
      </w:r>
      <w:r>
        <w:rPr>
          <w:rFonts w:hint="eastAsia" w:ascii="仿宋_GB2312" w:hAnsi="仿宋_GB2312" w:eastAsia="仿宋_GB2312" w:cs="仿宋_GB2312"/>
          <w:color w:val="auto"/>
          <w:sz w:val="32"/>
          <w:szCs w:val="32"/>
          <w:lang w:bidi="en-US"/>
        </w:rPr>
        <w:t>按照相关标准、规范等要求，落实《报告书》提出的环境管理及监测计划。如出现污染物超标排放情况，应立即查明原因并采取进一步污染防治措施。</w:t>
      </w:r>
    </w:p>
    <w:p w14:paraId="56A20283">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color w:val="auto"/>
          <w:sz w:val="32"/>
          <w:szCs w:val="32"/>
          <w:lang w:bidi="en-US"/>
        </w:rPr>
      </w:pPr>
      <w:r>
        <w:rPr>
          <w:rFonts w:hint="eastAsia" w:ascii="黑体" w:hAnsi="黑体" w:eastAsia="黑体" w:cs="黑体"/>
          <w:color w:val="auto"/>
          <w:sz w:val="32"/>
          <w:szCs w:val="32"/>
          <w:lang w:bidi="en-US"/>
        </w:rPr>
        <w:t>三、</w:t>
      </w:r>
      <w:r>
        <w:rPr>
          <w:rFonts w:hint="eastAsia" w:ascii="仿宋_GB2312" w:hAnsi="仿宋_GB2312" w:eastAsia="仿宋_GB2312" w:cs="仿宋_GB2312"/>
          <w:color w:val="auto"/>
          <w:sz w:val="32"/>
          <w:szCs w:val="32"/>
          <w:lang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070A9D9A">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jc w:val="both"/>
        <w:textAlignment w:val="auto"/>
        <w:rPr>
          <w:rFonts w:ascii="仿宋_GB2312" w:hAnsi="仿宋_GB2312" w:eastAsia="仿宋_GB2312" w:cs="仿宋_GB2312"/>
          <w:color w:val="auto"/>
          <w:sz w:val="32"/>
          <w:szCs w:val="32"/>
          <w:highlight w:val="none"/>
          <w:lang w:bidi="en-US"/>
        </w:rPr>
      </w:pPr>
      <w:r>
        <w:rPr>
          <w:rFonts w:hint="eastAsia" w:ascii="黑体" w:hAnsi="黑体" w:eastAsia="黑体" w:cs="黑体"/>
          <w:color w:val="auto"/>
          <w:sz w:val="32"/>
          <w:szCs w:val="32"/>
          <w:lang w:bidi="en-US"/>
        </w:rPr>
        <w:t>四、</w:t>
      </w:r>
      <w:r>
        <w:rPr>
          <w:rFonts w:hint="eastAsia" w:ascii="仿宋_GB2312" w:hAnsi="仿宋_GB2312" w:eastAsia="仿宋_GB2312" w:cs="仿宋_GB2312"/>
          <w:color w:val="auto"/>
          <w:sz w:val="32"/>
          <w:szCs w:val="32"/>
          <w:lang w:bidi="en-US"/>
        </w:rPr>
        <w:t>我局委托锡林郭勒盟生态环境局</w:t>
      </w:r>
      <w:r>
        <w:rPr>
          <w:rFonts w:hint="eastAsia" w:ascii="仿宋_GB2312" w:hAnsi="仿宋_GB2312" w:eastAsia="仿宋_GB2312" w:cs="仿宋_GB2312"/>
          <w:color w:val="auto"/>
          <w:sz w:val="32"/>
          <w:szCs w:val="32"/>
          <w:lang w:eastAsia="zh-CN" w:bidi="en-US"/>
        </w:rPr>
        <w:t>乌拉盖管理区</w:t>
      </w:r>
      <w:bookmarkStart w:id="1" w:name="_GoBack"/>
      <w:bookmarkEnd w:id="1"/>
      <w:r>
        <w:rPr>
          <w:rFonts w:hint="eastAsia" w:ascii="仿宋_GB2312" w:hAnsi="仿宋_GB2312" w:eastAsia="仿宋_GB2312" w:cs="仿宋_GB2312"/>
          <w:color w:val="auto"/>
          <w:sz w:val="32"/>
          <w:szCs w:val="32"/>
          <w:lang w:bidi="en-US"/>
        </w:rPr>
        <w:t>分局对该项目各项污染防治措施落实情况进行监</w:t>
      </w:r>
      <w:r>
        <w:rPr>
          <w:rFonts w:hint="eastAsia" w:ascii="仿宋_GB2312" w:hAnsi="仿宋_GB2312" w:eastAsia="仿宋_GB2312" w:cs="仿宋_GB2312"/>
          <w:color w:val="auto"/>
          <w:sz w:val="32"/>
          <w:szCs w:val="32"/>
          <w:highlight w:val="none"/>
          <w:lang w:bidi="en-US"/>
        </w:rPr>
        <w:t>督检查和管理。</w:t>
      </w:r>
    </w:p>
    <w:p w14:paraId="5E50961E">
      <w:pPr>
        <w:pStyle w:val="8"/>
        <w:keepNext w:val="0"/>
        <w:keepLines w:val="0"/>
        <w:pageBreakBefore w:val="0"/>
        <w:widowControl w:val="0"/>
        <w:kinsoku/>
        <w:wordWrap/>
        <w:overflowPunct/>
        <w:topLinePunct w:val="0"/>
        <w:bidi w:val="0"/>
        <w:spacing w:line="560" w:lineRule="exact"/>
        <w:textAlignment w:val="auto"/>
        <w:rPr>
          <w:color w:val="FF0000"/>
          <w:sz w:val="32"/>
          <w:szCs w:val="32"/>
          <w:highlight w:val="none"/>
          <w:lang w:bidi="en-US"/>
        </w:rPr>
      </w:pPr>
    </w:p>
    <w:p w14:paraId="0999CF2D">
      <w:pPr>
        <w:keepNext w:val="0"/>
        <w:keepLines w:val="0"/>
        <w:pageBreakBefore w:val="0"/>
        <w:widowControl w:val="0"/>
        <w:kinsoku/>
        <w:wordWrap/>
        <w:overflowPunct/>
        <w:topLinePunct w:val="0"/>
        <w:bidi w:val="0"/>
        <w:spacing w:line="560" w:lineRule="exact"/>
        <w:textAlignment w:val="auto"/>
        <w:rPr>
          <w:rFonts w:hint="eastAsia"/>
          <w:color w:val="FF0000"/>
          <w:sz w:val="32"/>
          <w:szCs w:val="32"/>
          <w:highlight w:val="none"/>
          <w:lang w:bidi="en-US"/>
        </w:rPr>
      </w:pPr>
    </w:p>
    <w:p w14:paraId="1A9D6840">
      <w:pPr>
        <w:keepNext w:val="0"/>
        <w:keepLines w:val="0"/>
        <w:pageBreakBefore w:val="0"/>
        <w:widowControl w:val="0"/>
        <w:kinsoku/>
        <w:wordWrap/>
        <w:overflowPunct/>
        <w:topLinePunct w:val="0"/>
        <w:autoSpaceDE w:val="0"/>
        <w:autoSpaceDN w:val="0"/>
        <w:bidi w:val="0"/>
        <w:adjustRightInd w:val="0"/>
        <w:snapToGrid w:val="0"/>
        <w:spacing w:line="560" w:lineRule="exact"/>
        <w:ind w:firstLine="3840" w:firstLineChars="1200"/>
        <w:jc w:val="both"/>
        <w:textAlignment w:val="auto"/>
        <w:rPr>
          <w:rFonts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锡林郭勒盟生态环境局</w:t>
      </w:r>
    </w:p>
    <w:p w14:paraId="52FEE9F4">
      <w:pPr>
        <w:keepNext w:val="0"/>
        <w:keepLines w:val="0"/>
        <w:pageBreakBefore w:val="0"/>
        <w:widowControl w:val="0"/>
        <w:kinsoku/>
        <w:wordWrap/>
        <w:overflowPunct/>
        <w:topLinePunct w:val="0"/>
        <w:autoSpaceDE w:val="0"/>
        <w:autoSpaceDN w:val="0"/>
        <w:bidi w:val="0"/>
        <w:adjustRightInd w:val="0"/>
        <w:snapToGrid w:val="0"/>
        <w:spacing w:line="560" w:lineRule="exact"/>
        <w:ind w:firstLine="4480" w:firstLineChars="1400"/>
        <w:jc w:val="both"/>
        <w:textAlignment w:val="auto"/>
        <w:rPr>
          <w:rFonts w:hint="eastAsia"/>
          <w:color w:val="FF0000"/>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4</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12</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30</w:t>
      </w:r>
      <w:r>
        <w:rPr>
          <w:rFonts w:hint="eastAsia" w:ascii="仿宋_GB2312" w:hAnsi="仿宋_GB2312" w:eastAsia="仿宋_GB2312" w:cs="仿宋_GB2312"/>
          <w:color w:val="auto"/>
          <w:sz w:val="32"/>
          <w:szCs w:val="32"/>
          <w:highlight w:val="none"/>
          <w:lang w:bidi="en-US"/>
        </w:rPr>
        <w:t>日</w:t>
      </w:r>
    </w:p>
    <w:p w14:paraId="78DD721E">
      <w:pPr>
        <w:rPr>
          <w:rFonts w:hint="eastAsia"/>
          <w:color w:val="FF0000"/>
        </w:rPr>
      </w:pPr>
    </w:p>
    <w:p w14:paraId="59ECED2B">
      <w:pPr>
        <w:pStyle w:val="8"/>
        <w:rPr>
          <w:rFonts w:hint="eastAsia"/>
          <w:color w:val="FF0000"/>
        </w:rPr>
      </w:pPr>
    </w:p>
    <w:p w14:paraId="1EEBA243">
      <w:pPr>
        <w:rPr>
          <w:rFonts w:hint="eastAsia"/>
          <w:color w:val="FF0000"/>
        </w:rPr>
      </w:pPr>
    </w:p>
    <w:p w14:paraId="5503D01B">
      <w:pPr>
        <w:pStyle w:val="2"/>
        <w:rPr>
          <w:rFonts w:hint="eastAsia"/>
          <w:color w:val="FF0000"/>
        </w:rPr>
      </w:pPr>
    </w:p>
    <w:p w14:paraId="15D40260">
      <w:pPr>
        <w:rPr>
          <w:rFonts w:hint="eastAsia"/>
          <w:color w:val="FF0000"/>
        </w:rPr>
      </w:pPr>
    </w:p>
    <w:p w14:paraId="73C98424">
      <w:pPr>
        <w:pStyle w:val="2"/>
        <w:rPr>
          <w:rFonts w:hint="eastAsia"/>
          <w:color w:val="FF0000"/>
        </w:rPr>
      </w:pPr>
    </w:p>
    <w:p w14:paraId="10FB059E">
      <w:pPr>
        <w:rPr>
          <w:rFonts w:hint="eastAsia"/>
          <w:color w:val="FF0000"/>
        </w:rPr>
      </w:pPr>
    </w:p>
    <w:p w14:paraId="4AAC2F76">
      <w:pPr>
        <w:pStyle w:val="2"/>
        <w:rPr>
          <w:rFonts w:hint="eastAsia"/>
          <w:color w:val="FF0000"/>
        </w:rPr>
      </w:pPr>
    </w:p>
    <w:p w14:paraId="4AF5A080">
      <w:pPr>
        <w:rPr>
          <w:rFonts w:hint="eastAsia"/>
          <w:color w:val="FF0000"/>
        </w:rPr>
      </w:pPr>
    </w:p>
    <w:p w14:paraId="2B7D65D4">
      <w:pPr>
        <w:pStyle w:val="2"/>
        <w:rPr>
          <w:rFonts w:hint="eastAsia"/>
          <w:color w:val="FF0000"/>
        </w:rPr>
      </w:pPr>
    </w:p>
    <w:p w14:paraId="68F99CFF">
      <w:pPr>
        <w:rPr>
          <w:rFonts w:hint="eastAsia"/>
          <w:color w:val="FF0000"/>
        </w:rPr>
      </w:pPr>
    </w:p>
    <w:p w14:paraId="486EDF5B">
      <w:pPr>
        <w:pStyle w:val="2"/>
        <w:rPr>
          <w:rFonts w:hint="eastAsia"/>
          <w:color w:val="FF0000"/>
        </w:rPr>
      </w:pPr>
    </w:p>
    <w:p w14:paraId="03F2563E">
      <w:pPr>
        <w:rPr>
          <w:rFonts w:hint="eastAsia"/>
          <w:color w:val="FF0000"/>
        </w:rPr>
      </w:pPr>
    </w:p>
    <w:p w14:paraId="7962A88B">
      <w:pPr>
        <w:pStyle w:val="2"/>
        <w:rPr>
          <w:rFonts w:hint="eastAsia"/>
          <w:color w:val="FF0000"/>
        </w:rPr>
      </w:pPr>
    </w:p>
    <w:p w14:paraId="4AFD80EB">
      <w:pPr>
        <w:rPr>
          <w:rFonts w:hint="eastAsia"/>
          <w:color w:val="FF0000"/>
        </w:rPr>
      </w:pPr>
    </w:p>
    <w:p w14:paraId="31576B41">
      <w:pPr>
        <w:pStyle w:val="2"/>
        <w:rPr>
          <w:rFonts w:hint="eastAsia"/>
        </w:rPr>
      </w:pPr>
    </w:p>
    <w:p w14:paraId="36DE7C2F">
      <w:pPr>
        <w:pStyle w:val="8"/>
        <w:rPr>
          <w:rFonts w:hint="eastAsia"/>
        </w:rPr>
      </w:pPr>
    </w:p>
    <w:p w14:paraId="073421C7">
      <w:pPr>
        <w:pStyle w:val="16"/>
        <w:spacing w:line="540" w:lineRule="exact"/>
        <w:jc w:val="both"/>
        <w:rPr>
          <w:rFonts w:ascii="仿宋" w:hAnsi="仿宋" w:eastAsia="仿宋" w:cs="仿宋"/>
          <w:color w:val="auto"/>
          <w:kern w:val="2"/>
          <w:sz w:val="24"/>
          <w:szCs w:val="24"/>
          <w:highlight w:val="none"/>
          <w:lang w:bidi="en-US"/>
        </w:rPr>
      </w:pPr>
      <w:r>
        <w:rPr>
          <w:rFonts w:hint="eastAsia" w:ascii="仿宋" w:hAnsi="仿宋" w:eastAsia="仿宋" w:cs="仿宋"/>
          <w:color w:val="auto"/>
          <w:kern w:val="2"/>
          <w:sz w:val="28"/>
          <w:szCs w:val="28"/>
          <w:highlight w:val="none"/>
          <w:lang w:bidi="en-US"/>
        </w:rPr>
        <w:t>抄送：</w:t>
      </w:r>
      <w:r>
        <w:rPr>
          <w:rFonts w:hint="eastAsia" w:ascii="仿宋" w:hAnsi="仿宋" w:eastAsia="仿宋" w:cs="仿宋"/>
          <w:color w:val="auto"/>
          <w:kern w:val="2"/>
          <w:sz w:val="24"/>
          <w:szCs w:val="24"/>
          <w:highlight w:val="none"/>
          <w:lang w:bidi="en-US"/>
        </w:rPr>
        <w:t>盟生态环境综合行政执法支队，盟生态环境局</w:t>
      </w:r>
      <w:r>
        <w:rPr>
          <w:rFonts w:hint="eastAsia" w:ascii="仿宋" w:hAnsi="仿宋" w:eastAsia="仿宋" w:cs="仿宋"/>
          <w:color w:val="auto"/>
          <w:kern w:val="2"/>
          <w:sz w:val="24"/>
          <w:szCs w:val="24"/>
          <w:highlight w:val="none"/>
          <w:lang w:eastAsia="zh-CN" w:bidi="en-US"/>
        </w:rPr>
        <w:t>乌拉盖管理区</w:t>
      </w:r>
      <w:r>
        <w:rPr>
          <w:rFonts w:hint="eastAsia" w:ascii="仿宋" w:hAnsi="仿宋" w:eastAsia="仿宋" w:cs="仿宋"/>
          <w:color w:val="auto"/>
          <w:kern w:val="2"/>
          <w:sz w:val="24"/>
          <w:szCs w:val="24"/>
          <w:highlight w:val="none"/>
          <w:lang w:bidi="en-US"/>
        </w:rPr>
        <w:t>分局</w:t>
      </w:r>
    </w:p>
    <w:p w14:paraId="6999FF3D">
      <w:pPr>
        <w:pBdr>
          <w:top w:val="single" w:color="auto" w:sz="4" w:space="1"/>
          <w:left w:val="none" w:color="auto" w:sz="0" w:space="4"/>
          <w:bottom w:val="single" w:color="auto" w:sz="4" w:space="1"/>
          <w:right w:val="none" w:color="auto" w:sz="0" w:space="4"/>
        </w:pBdr>
        <w:spacing w:line="5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FE"/>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4A02D">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25341">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B025341">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0E23C8"/>
    <w:rsid w:val="001577BB"/>
    <w:rsid w:val="00157C95"/>
    <w:rsid w:val="001A08E0"/>
    <w:rsid w:val="001B5E4D"/>
    <w:rsid w:val="001E304A"/>
    <w:rsid w:val="0023504A"/>
    <w:rsid w:val="00275F15"/>
    <w:rsid w:val="0029260D"/>
    <w:rsid w:val="002A48ED"/>
    <w:rsid w:val="0030521F"/>
    <w:rsid w:val="00314696"/>
    <w:rsid w:val="0032194E"/>
    <w:rsid w:val="00333BAE"/>
    <w:rsid w:val="00351DD5"/>
    <w:rsid w:val="0036799A"/>
    <w:rsid w:val="00374DDD"/>
    <w:rsid w:val="003F6E8C"/>
    <w:rsid w:val="00565FD0"/>
    <w:rsid w:val="00610259"/>
    <w:rsid w:val="006D4DD8"/>
    <w:rsid w:val="006D5A5C"/>
    <w:rsid w:val="0078439C"/>
    <w:rsid w:val="008169E9"/>
    <w:rsid w:val="008B4F82"/>
    <w:rsid w:val="008C5ED5"/>
    <w:rsid w:val="00977DFE"/>
    <w:rsid w:val="00981820"/>
    <w:rsid w:val="0099762A"/>
    <w:rsid w:val="00A15A64"/>
    <w:rsid w:val="00A74547"/>
    <w:rsid w:val="00B3474C"/>
    <w:rsid w:val="00B55E12"/>
    <w:rsid w:val="00BB3EEE"/>
    <w:rsid w:val="00BE15C5"/>
    <w:rsid w:val="00C054DA"/>
    <w:rsid w:val="00C23C2B"/>
    <w:rsid w:val="00C769C0"/>
    <w:rsid w:val="00CA00EE"/>
    <w:rsid w:val="00D14C38"/>
    <w:rsid w:val="00D25472"/>
    <w:rsid w:val="00D37553"/>
    <w:rsid w:val="00DA6EE3"/>
    <w:rsid w:val="00E76C09"/>
    <w:rsid w:val="00F13EA9"/>
    <w:rsid w:val="00F96E63"/>
    <w:rsid w:val="00FC19C3"/>
    <w:rsid w:val="00FC3732"/>
    <w:rsid w:val="00FF17CD"/>
    <w:rsid w:val="02371954"/>
    <w:rsid w:val="199B021E"/>
    <w:rsid w:val="22D05363"/>
    <w:rsid w:val="355B7AC9"/>
    <w:rsid w:val="41765A39"/>
    <w:rsid w:val="45ED0B62"/>
    <w:rsid w:val="4A3B72B4"/>
    <w:rsid w:val="4C743469"/>
    <w:rsid w:val="6DEF050B"/>
    <w:rsid w:val="6E1A4AAF"/>
    <w:rsid w:val="6FE3796C"/>
    <w:rsid w:val="727608D5"/>
    <w:rsid w:val="754706D3"/>
    <w:rsid w:val="7A494AA9"/>
    <w:rsid w:val="7F0A2251"/>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1"/>
    <w:semiHidden/>
    <w:unhideWhenUsed/>
    <w:qFormat/>
    <w:uiPriority w:val="99"/>
    <w:pPr>
      <w:jc w:val="left"/>
    </w:pPr>
  </w:style>
  <w:style w:type="paragraph" w:styleId="5">
    <w:name w:val="Body Text"/>
    <w:basedOn w:val="1"/>
    <w:qFormat/>
    <w:uiPriority w:val="0"/>
    <w:pPr>
      <w:spacing w:after="120"/>
    </w:pPr>
    <w:rPr>
      <w:szCs w:val="24"/>
    </w:rPr>
  </w:style>
  <w:style w:type="paragraph" w:styleId="6">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284"/>
        <w:tab w:val="right" w:leader="dot" w:pos="8296"/>
      </w:tabs>
    </w:pPr>
  </w:style>
  <w:style w:type="paragraph" w:styleId="9">
    <w:name w:val="annotation subject"/>
    <w:basedOn w:val="4"/>
    <w:next w:val="4"/>
    <w:link w:val="22"/>
    <w:semiHidden/>
    <w:unhideWhenUsed/>
    <w:qFormat/>
    <w:uiPriority w:val="99"/>
    <w:rPr>
      <w:b/>
      <w:bCs/>
    </w:rPr>
  </w:style>
  <w:style w:type="paragraph" w:styleId="10">
    <w:name w:val="Body Text First Indent 2"/>
    <w:basedOn w:val="6"/>
    <w:next w:val="1"/>
    <w:qFormat/>
    <w:uiPriority w:val="0"/>
    <w:pPr>
      <w:adjustRightInd w:val="0"/>
      <w:ind w:firstLine="420"/>
      <w:textAlignment w:val="baseline"/>
    </w:pPr>
    <w:rPr>
      <w:rFonts w:ascii="宋体" w:hAnsi="宋体"/>
      <w:sz w:val="18"/>
      <w:szCs w:val="18"/>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未处理的提及1"/>
    <w:basedOn w:val="12"/>
    <w:semiHidden/>
    <w:unhideWhenUsed/>
    <w:qFormat/>
    <w:uiPriority w:val="99"/>
    <w:rPr>
      <w:color w:val="605E5C"/>
      <w:shd w:val="clear" w:color="auto" w:fill="E1DFDD"/>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页眉 字符"/>
    <w:basedOn w:val="12"/>
    <w:link w:val="7"/>
    <w:qFormat/>
    <w:uiPriority w:val="99"/>
    <w:rPr>
      <w:kern w:val="2"/>
      <w:sz w:val="18"/>
      <w:szCs w:val="18"/>
    </w:rPr>
  </w:style>
  <w:style w:type="paragraph" w:customStyle="1" w:styleId="18">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19">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0">
    <w:name w:val="List Paragraph"/>
    <w:basedOn w:val="1"/>
    <w:qFormat/>
    <w:uiPriority w:val="99"/>
    <w:pPr>
      <w:ind w:firstLine="420" w:firstLineChars="200"/>
    </w:pPr>
  </w:style>
  <w:style w:type="character" w:customStyle="1" w:styleId="21">
    <w:name w:val="批注文字 字符"/>
    <w:basedOn w:val="12"/>
    <w:link w:val="4"/>
    <w:semiHidden/>
    <w:qFormat/>
    <w:uiPriority w:val="99"/>
    <w:rPr>
      <w:kern w:val="2"/>
      <w:sz w:val="21"/>
      <w:szCs w:val="22"/>
    </w:rPr>
  </w:style>
  <w:style w:type="character" w:customStyle="1" w:styleId="22">
    <w:name w:val="批注主题 字符"/>
    <w:basedOn w:val="21"/>
    <w:link w:val="9"/>
    <w:semiHidden/>
    <w:qFormat/>
    <w:uiPriority w:val="99"/>
    <w:rPr>
      <w:b/>
      <w:bCs/>
      <w:kern w:val="2"/>
      <w:sz w:val="21"/>
      <w:szCs w:val="22"/>
    </w:rPr>
  </w:style>
  <w:style w:type="paragraph" w:customStyle="1" w:styleId="23">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1594</Words>
  <Characters>1752</Characters>
  <Lines>13</Lines>
  <Paragraphs>3</Paragraphs>
  <TotalTime>2</TotalTime>
  <ScaleCrop>false</ScaleCrop>
  <LinksUpToDate>false</LinksUpToDate>
  <CharactersWithSpaces>1769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2023-03-10T04:54:00Z</dcterms:created>
  <dc:creator>hui hui</dc:creator>
  <cp:lastModifiedBy>ོʚ 中ོ然ོ ɞ</cp:lastModifiedBy>
  <cp:lastPrinted>2023-03-10T07:27:00Z</cp:lastPrinted>
  <dcterms:modified xsi:type="dcterms:W3CDTF">2024-12-30T11:52:06Z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68F985072019434F9B7DD83D06A29D6C_13</vt:lpwstr>
  </property>
  <property fmtid="{D5CDD505-2E9C-101B-9397-08002B2CF9AE}" pid="4" name="KSOTemplateDocerSaveRecord">
    <vt:lpwstr>eyJoZGlkIjoiNTk0MDc0MWE2MzMxMjkwZmE5ODU4OGMzYzc5YjkzMTAiLCJ1c2VySWQiOiI1NDkxMDYxNjAifQ==</vt:lpwstr>
  </property>
</Properties>
</file>