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bookmarkStart w:id="0" w:name="_Hlk124747957"/>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snapToGrid/>
          <w:color w:val="auto"/>
          <w:kern w:val="2"/>
          <w:sz w:val="32"/>
          <w:szCs w:val="32"/>
          <w:highlight w:val="none"/>
          <w:lang w:bidi="en-US"/>
        </w:rPr>
        <w:t>锡署</w:t>
      </w:r>
      <w:r>
        <w:rPr>
          <w:rFonts w:hint="eastAsia" w:ascii="仿宋_GB2312" w:hAnsi="Times New Roman" w:eastAsia="仿宋_GB2312" w:cs="Arial"/>
          <w:color w:val="000000" w:themeColor="text1"/>
          <w:sz w:val="32"/>
          <w:szCs w:val="32"/>
          <w:lang w:bidi="en-US"/>
          <w14:textFill>
            <w14:solidFill>
              <w14:schemeClr w14:val="tx1"/>
            </w14:solidFill>
          </w14:textFill>
        </w:rPr>
        <w:t>环审书〔202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15</w:t>
      </w:r>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7063574C">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宝力格油田产能建设项目</w:t>
      </w:r>
    </w:p>
    <w:p w14:paraId="17A74873">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环境影响报告书的批复</w:t>
      </w:r>
    </w:p>
    <w:p w14:paraId="659779A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仿宋_GB2312" w:hAnsi="仿宋_GB2312" w:eastAsia="仿宋_GB2312" w:cs="仿宋_GB2312"/>
          <w:color w:val="auto"/>
          <w:sz w:val="32"/>
          <w:szCs w:val="32"/>
          <w:lang w:bidi="en-US"/>
        </w:rPr>
      </w:pPr>
    </w:p>
    <w:p w14:paraId="2A974140">
      <w:pPr>
        <w:keepNext w:val="0"/>
        <w:keepLines w:val="0"/>
        <w:pageBreakBefore w:val="0"/>
        <w:widowControl w:val="0"/>
        <w:kinsoku/>
        <w:wordWrap/>
        <w:overflowPunct/>
        <w:autoSpaceDE w:val="0"/>
        <w:autoSpaceDN w:val="0"/>
        <w:bidi w:val="0"/>
        <w:adjustRightInd w:val="0"/>
        <w:snapToGrid w:val="0"/>
        <w:spacing w:line="52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中国石油华北油田公司二连分公司</w:t>
      </w:r>
      <w:r>
        <w:rPr>
          <w:rFonts w:hint="eastAsia" w:ascii="仿宋_GB2312" w:hAnsi="仿宋_GB2312" w:eastAsia="仿宋_GB2312" w:cs="仿宋_GB2312"/>
          <w:color w:val="auto"/>
          <w:sz w:val="32"/>
          <w:szCs w:val="32"/>
          <w:lang w:bidi="en-US"/>
        </w:rPr>
        <w:t>：</w:t>
      </w:r>
    </w:p>
    <w:p w14:paraId="17C85493">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highlight w:val="none"/>
          <w:lang w:val="en-US" w:eastAsia="zh-CN"/>
        </w:rPr>
        <w:t>宝力格油田产能建设项目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52C692C8">
      <w:pPr>
        <w:pStyle w:val="26"/>
        <w:keepNext w:val="0"/>
        <w:keepLines w:val="0"/>
        <w:pageBreakBefore w:val="0"/>
        <w:widowControl w:val="0"/>
        <w:numPr>
          <w:ilvl w:val="0"/>
          <w:numId w:val="0"/>
        </w:numPr>
        <w:kinsoku/>
        <w:wordWrap/>
        <w:overflowPunct/>
        <w:bidi w:val="0"/>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一、项目</w:t>
      </w:r>
      <w:r>
        <w:rPr>
          <w:rFonts w:hint="eastAsia" w:ascii="仿宋_GB2312" w:hAnsi="仿宋_GB2312" w:eastAsia="仿宋_GB2312" w:cs="仿宋_GB2312"/>
          <w:b w:val="0"/>
          <w:bCs/>
          <w:color w:val="auto"/>
          <w:kern w:val="0"/>
          <w:sz w:val="32"/>
          <w:szCs w:val="32"/>
          <w:lang w:val="en-US" w:eastAsia="zh-CN" w:bidi="ar"/>
        </w:rPr>
        <w:t>位于</w:t>
      </w:r>
      <w:r>
        <w:rPr>
          <w:rFonts w:hint="eastAsia" w:ascii="仿宋_GB2312" w:hAnsi="仿宋_GB2312" w:eastAsia="仿宋_GB2312" w:cs="仿宋_GB2312"/>
          <w:color w:val="auto"/>
          <w:sz w:val="32"/>
          <w:szCs w:val="32"/>
          <w:highlight w:val="none"/>
          <w:lang w:val="en-US" w:eastAsia="zh-CN"/>
        </w:rPr>
        <w:t>锡林郭勒盟东乌珠穆沁旗嘎达布其镇巴彦都兰嘎查和阿拉坦合力苏木阿拉坦合力嘎查、布力彦嘎查</w:t>
      </w:r>
      <w:r>
        <w:rPr>
          <w:rFonts w:hint="eastAsia" w:ascii="仿宋_GB2312" w:hAnsi="仿宋_GB2312" w:eastAsia="仿宋_GB2312" w:cs="仿宋_GB2312"/>
          <w:b w:val="0"/>
          <w:bCs/>
          <w:color w:val="auto"/>
          <w:kern w:val="0"/>
          <w:sz w:val="32"/>
          <w:szCs w:val="32"/>
          <w:lang w:val="en-US" w:eastAsia="zh-CN" w:bidi="ar"/>
        </w:rPr>
        <w:t>，项目总占地面积</w:t>
      </w:r>
      <w:r>
        <w:rPr>
          <w:rFonts w:hint="eastAsia" w:ascii="仿宋_GB2312" w:hAnsi="仿宋_GB2312" w:eastAsia="仿宋_GB2312" w:cs="仿宋_GB2312"/>
          <w:color w:val="auto"/>
          <w:sz w:val="32"/>
          <w:szCs w:val="32"/>
          <w:highlight w:val="none"/>
          <w:lang w:val="en-US" w:eastAsia="zh-CN"/>
        </w:rPr>
        <w:t>16.8447hm</w:t>
      </w:r>
      <w:r>
        <w:rPr>
          <w:rFonts w:hint="eastAsia" w:hAnsi="宋体"/>
          <w:color w:val="auto"/>
          <w:spacing w:val="-10"/>
          <w:sz w:val="23"/>
          <w:szCs w:val="23"/>
          <w:highlight w:val="none"/>
          <w:vertAlign w:val="superscript"/>
        </w:rPr>
        <w:t>2</w:t>
      </w:r>
      <w:r>
        <w:rPr>
          <w:rFonts w:hint="eastAsia" w:ascii="仿宋_GB2312" w:hAnsi="仿宋_GB2312" w:eastAsia="仿宋_GB2312" w:cs="仿宋_GB2312"/>
          <w:b w:val="0"/>
          <w:bCs/>
          <w:color w:val="auto"/>
          <w:kern w:val="0"/>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项目建设内容包括新钻20口采油井、4口注水井、1口水源井；新建14座油井井场(其中包括新建单井式井场9座，双井式井场4座，三井式井场1座)、4座注水井场；对现有巴10注水站进行扩建；新建集输管线3.082km，掺水管线3.082km，注水管线1.41km；配套建设自控、通信、电气、防腐、道路等辅助设施。项目建成投产后，设计年产油量为1.78×10</w:t>
      </w:r>
      <w:r>
        <w:rPr>
          <w:rFonts w:hint="eastAsia" w:ascii="仿宋_GB2312" w:hAnsi="仿宋_GB2312" w:eastAsia="仿宋_GB2312" w:cs="仿宋_GB2312"/>
          <w:color w:val="auto"/>
          <w:kern w:val="2"/>
          <w:sz w:val="32"/>
          <w:szCs w:val="32"/>
          <w:vertAlign w:val="superscript"/>
          <w:lang w:val="en-US" w:eastAsia="zh-CN" w:bidi="ar-SA"/>
        </w:rPr>
        <w:t>4</w:t>
      </w:r>
      <w:r>
        <w:rPr>
          <w:rFonts w:hint="eastAsia" w:ascii="仿宋_GB2312" w:hAnsi="仿宋_GB2312" w:eastAsia="仿宋_GB2312" w:cs="仿宋_GB2312"/>
          <w:color w:val="auto"/>
          <w:kern w:val="2"/>
          <w:sz w:val="32"/>
          <w:szCs w:val="32"/>
          <w:lang w:val="en-US" w:eastAsia="zh-CN" w:bidi="ar-SA"/>
        </w:rPr>
        <w:t>t，年注水量为4.38×10</w:t>
      </w:r>
      <w:r>
        <w:rPr>
          <w:rFonts w:hint="eastAsia" w:ascii="仿宋_GB2312" w:hAnsi="仿宋_GB2312" w:eastAsia="仿宋_GB2312" w:cs="仿宋_GB2312"/>
          <w:color w:val="auto"/>
          <w:kern w:val="2"/>
          <w:sz w:val="32"/>
          <w:szCs w:val="32"/>
          <w:vertAlign w:val="superscript"/>
          <w:lang w:val="en-US" w:eastAsia="zh-CN" w:bidi="ar-SA"/>
        </w:rPr>
        <w:t>4</w:t>
      </w:r>
      <w:r>
        <w:rPr>
          <w:rFonts w:hint="eastAsia" w:ascii="仿宋_GB2312" w:hAnsi="仿宋_GB2312" w:eastAsia="仿宋_GB2312" w:cs="仿宋_GB2312"/>
          <w:color w:val="auto"/>
          <w:kern w:val="2"/>
          <w:sz w:val="32"/>
          <w:szCs w:val="32"/>
          <w:lang w:val="en-US" w:eastAsia="zh-CN" w:bidi="ar-SA"/>
        </w:rPr>
        <w:t>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w:t>
      </w:r>
    </w:p>
    <w:p w14:paraId="7CE6BBDA">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181EADD4">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12B698C8">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 xml:space="preserve">做好施工期扬尘污染防治，大风天气适当洒水抑尘。生产过程中采取管道密闭输送，加强阀门、管道的检修与维护，拉油井场采取密闭拉油流程，非甲烷总烃无组织排放需满足《陆上石油天然气开采工业大气污染物排放标准》（GB39728-2020）企业边界污染物浓度限值要求。  </w:t>
      </w:r>
      <w:r>
        <w:rPr>
          <w:rFonts w:hint="eastAsia" w:ascii="仿宋_GB2312" w:hAnsi="仿宋_GB2312" w:eastAsia="仿宋_GB2312" w:cs="仿宋_GB2312"/>
          <w:color w:val="auto"/>
          <w:kern w:val="2"/>
          <w:sz w:val="32"/>
          <w:szCs w:val="32"/>
          <w:highlight w:val="none"/>
          <w:lang w:val="en-US" w:eastAsia="zh-CN" w:bidi="en-US"/>
        </w:rPr>
        <w:t xml:space="preserve"> </w:t>
      </w:r>
    </w:p>
    <w:p w14:paraId="0E346D36">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kern w:val="2"/>
          <w:sz w:val="32"/>
          <w:szCs w:val="32"/>
          <w:lang w:val="en-US" w:eastAsia="zh-CN" w:bidi="ar-SA"/>
        </w:rPr>
        <w:t>加强危废管理，委托有资质和处置能力的单位对项目产生的落地油等含油危废及其他受污染土壤及时清理回收，要求回收率100%。危险废物均由专用容器或包装材料收集后暂存于宝一联合站危废暂存间，定期委托有资质单位进行处置。项目</w:t>
      </w:r>
      <w:r>
        <w:rPr>
          <w:rFonts w:hint="eastAsia" w:ascii="仿宋_GB2312" w:hAnsi="仿宋_GB2312" w:eastAsia="仿宋_GB2312" w:cs="仿宋_GB2312"/>
          <w:color w:val="auto"/>
          <w:kern w:val="2"/>
          <w:sz w:val="32"/>
          <w:szCs w:val="32"/>
          <w:highlight w:val="none"/>
          <w:lang w:val="en-US" w:eastAsia="zh-CN" w:bidi="en-US"/>
        </w:rPr>
        <w:t>无新增劳动定员，不新增生活垃圾。</w:t>
      </w:r>
    </w:p>
    <w:p w14:paraId="232F3B4A">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采出水由管线输送或密闭拉运集输至宝一联合站，经油水分离后进入联合站污水处理系统处理满足《碎屑岩油藏注水水质指标技术要求及分析方法》(SY/T5329-2022）要求后全部回注现役油藏层位。钻井废水、井下作业废水均由密闭罐车拉运至宝一联合站，</w:t>
      </w:r>
      <w:r>
        <w:rPr>
          <w:rFonts w:hint="eastAsia" w:ascii="仿宋_GB2312" w:hAnsi="仿宋_GB2312" w:eastAsia="仿宋_GB2312" w:cs="仿宋_GB2312"/>
          <w:color w:val="auto"/>
          <w:kern w:val="2"/>
          <w:sz w:val="32"/>
          <w:szCs w:val="32"/>
          <w:lang w:val="en-US" w:eastAsia="zh-CN" w:bidi="ar-SA"/>
        </w:rPr>
        <w:t>经污水处</w:t>
      </w:r>
      <w:r>
        <w:rPr>
          <w:rFonts w:hint="eastAsia" w:ascii="仿宋_GB2312" w:hAnsi="仿宋_GB2312" w:eastAsia="仿宋_GB2312" w:cs="仿宋_GB2312"/>
          <w:b w:val="0"/>
          <w:bCs w:val="0"/>
          <w:color w:val="auto"/>
          <w:kern w:val="2"/>
          <w:sz w:val="32"/>
          <w:szCs w:val="32"/>
          <w:highlight w:val="none"/>
          <w:lang w:val="en-US" w:eastAsia="zh-CN" w:bidi="en-US"/>
        </w:rPr>
        <w:t>理系统处理满足《碎屑岩油藏注水水质指标技术要求及分析方法》(SY/T5329-2022）要求后全部回注现役油藏层位。项目</w:t>
      </w:r>
      <w:r>
        <w:rPr>
          <w:rFonts w:hint="eastAsia" w:ascii="仿宋_GB2312" w:hAnsi="仿宋_GB2312" w:eastAsia="仿宋_GB2312" w:cs="仿宋_GB2312"/>
          <w:color w:val="auto"/>
          <w:kern w:val="2"/>
          <w:sz w:val="32"/>
          <w:szCs w:val="32"/>
          <w:highlight w:val="none"/>
          <w:lang w:val="en-US" w:eastAsia="zh-CN" w:bidi="en-US"/>
        </w:rPr>
        <w:t>无新增劳动定员，不新增生活污水。</w:t>
      </w:r>
    </w:p>
    <w:p w14:paraId="08920ADC">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宋体" w:eastAsia="仿宋_GB2312"/>
          <w:sz w:val="32"/>
          <w:szCs w:val="32"/>
          <w:lang w:val="en-US" w:eastAsia="zh-CN"/>
        </w:rPr>
        <w:t>采用低噪设备并加装基础减震，同时加强机械设备日常维护。最终噪声排放满足《工业企业厂界环境噪声排放标准》（GB12348-2008）2类标准限值要求。</w:t>
      </w:r>
    </w:p>
    <w:p w14:paraId="4CEAFCFB">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（五）切实落实土壤和地下水污染防治措施。</w:t>
      </w:r>
      <w:r>
        <w:rPr>
          <w:rFonts w:hint="eastAsia" w:ascii="仿宋_GB2312" w:hAnsi="仿宋_GB2312" w:eastAsia="仿宋_GB2312" w:cs="仿宋_GB2312"/>
          <w:color w:val="auto"/>
          <w:kern w:val="2"/>
          <w:sz w:val="32"/>
          <w:szCs w:val="32"/>
          <w:highlight w:val="none"/>
          <w:lang w:val="en-US" w:eastAsia="zh-CN" w:bidi="en-US"/>
        </w:rPr>
        <w:t>按照“源头控制、分区防控、污染监控、应急响应”相结合的原则采取分区防渗，泥浆不落地装置区、放喷池、应急池、危废暂存间、井口、柴油罐区、原油储罐区采取重点防渗措施，所有防渗措施均执行《环境影响评价技术导则地下水环境》(HJ610-2016)标准。</w:t>
      </w:r>
    </w:p>
    <w:p w14:paraId="756998A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（六）强化环境风险防范措施。</w:t>
      </w:r>
      <w:r>
        <w:rPr>
          <w:rFonts w:hint="eastAsia" w:ascii="仿宋_GB2312" w:hAnsi="仿宋_GB2312" w:eastAsia="仿宋_GB2312" w:cs="仿宋_GB2312"/>
          <w:color w:val="auto"/>
          <w:kern w:val="2"/>
          <w:sz w:val="32"/>
          <w:szCs w:val="32"/>
          <w:highlight w:val="none"/>
          <w:lang w:val="en-US" w:eastAsia="zh-CN" w:bidi="en-US"/>
        </w:rPr>
        <w:t>按照规范要求存放风险物质；加强生产过程管道和设备的管理与维修，防止跑、冒、滴、漏现象的发生；针对井喷事故、管道或罐体泄漏事故设置应急预案，在井口安装防喷器和控制装置，井场设置检测仪表，定期对管线和罐体进行超声波检查，设置管线压力、流量监控系统，发现异常立即排查，如有突发事件启动应急预案。建立完善的环境监督制度和事故应急措施，制定切实可行的环境风险应急预案，加强对风险物质运输、贮存过程和对生产工程主体装置、环保设施的运行管理；严格落实风险防范措施和应急预案，切实杜绝环境风险事故。</w:t>
      </w:r>
    </w:p>
    <w:p w14:paraId="6A7A352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（七）严格落实运营期污染源监测计划。</w:t>
      </w:r>
      <w:r>
        <w:rPr>
          <w:rFonts w:hint="eastAsia" w:ascii="仿宋_GB2312" w:hAnsi="仿宋_GB2312" w:eastAsia="仿宋_GB2312" w:cs="仿宋_GB2312"/>
          <w:color w:val="auto"/>
          <w:kern w:val="2"/>
          <w:sz w:val="32"/>
          <w:szCs w:val="32"/>
          <w:highlight w:val="none"/>
          <w:lang w:val="en-US" w:eastAsia="zh-CN" w:bidi="en-US"/>
        </w:rPr>
        <w:t>按照国家和地方有关规定设置规范的污染物排放口，按要求规范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1F69E185">
      <w:pPr>
        <w:pStyle w:val="2"/>
        <w:keepNext w:val="0"/>
        <w:keepLines w:val="0"/>
        <w:pageBreakBefore w:val="0"/>
        <w:widowControl w:val="0"/>
        <w:kinsoku/>
        <w:wordWrap/>
        <w:overflowPunct/>
        <w:topLinePunct w:val="0"/>
        <w:bidi w:val="0"/>
        <w:adjustRightInd w:val="0"/>
        <w:spacing w:after="0" w:line="52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en-US"/>
        </w:rPr>
      </w:pPr>
      <w:bookmarkStart w:id="1" w:name="_GoBack"/>
      <w:r>
        <w:rPr>
          <w:rFonts w:hint="eastAsia" w:ascii="楷体" w:hAnsi="楷体" w:eastAsia="楷体" w:cs="楷体"/>
          <w:color w:val="auto"/>
          <w:kern w:val="2"/>
          <w:sz w:val="32"/>
          <w:szCs w:val="32"/>
          <w:lang w:val="en-US" w:eastAsia="zh-CN" w:bidi="ar-SA"/>
        </w:rPr>
        <w:t>（八）建立畅通的公众参与平台。</w:t>
      </w:r>
      <w:bookmarkEnd w:id="1"/>
      <w:r>
        <w:rPr>
          <w:rFonts w:hint="eastAsia" w:ascii="仿宋_GB2312" w:hAnsi="仿宋_GB2312" w:eastAsia="仿宋_GB2312" w:cs="仿宋_GB2312"/>
          <w:color w:val="auto"/>
          <w:kern w:val="2"/>
          <w:sz w:val="32"/>
          <w:szCs w:val="32"/>
          <w:highlight w:val="none"/>
          <w:lang w:val="en-US" w:eastAsia="zh-CN" w:bidi="en-US"/>
        </w:rPr>
        <w:t>加强宣传和沟通工作，关注周边居民意见，及时解决公众担忧的环境问题，满足公众合理的环境诉求。</w:t>
      </w:r>
    </w:p>
    <w:p w14:paraId="36037505">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6AA769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bidi="en-US"/>
        </w:rPr>
        <w:t>四、</w:t>
      </w:r>
      <w:r>
        <w:rPr>
          <w:rFonts w:hint="eastAsia" w:ascii="仿宋_GB2312" w:hAnsi="仿宋_GB2312" w:eastAsia="仿宋_GB2312" w:cs="仿宋_GB2312"/>
          <w:color w:val="auto"/>
          <w:kern w:val="2"/>
          <w:sz w:val="32"/>
          <w:szCs w:val="32"/>
          <w:highlight w:val="none"/>
          <w:lang w:val="en-US" w:eastAsia="zh-CN" w:bidi="en-US"/>
        </w:rPr>
        <w:t>环境影响报告经批准后，项目性质、规模、地点、采用的生产工艺或污染防治、防止生态破坏的措施发生重大变动，应当重新报批该项目的环境影响报告书，对正式投入生产或运营的油田开发区块，每3-5年开展一次环境影响后评价，依法报生态环境主管部门备案。</w:t>
      </w:r>
    </w:p>
    <w:p w14:paraId="0E4A02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color w:val="auto"/>
          <w:kern w:val="2"/>
          <w:sz w:val="32"/>
          <w:szCs w:val="32"/>
          <w:highlight w:val="none"/>
          <w:lang w:val="en-US" w:eastAsia="zh-CN" w:bidi="en-US"/>
        </w:rPr>
        <w:t>我局委托锡林郭勒盟生态环境局东乌珠穆沁旗分局对该项目各项污染防治措施落实情况进行监督检查和管理</w:t>
      </w:r>
      <w:r>
        <w:rPr>
          <w:rFonts w:hint="eastAsia" w:ascii="仿宋_GB2312" w:hAnsi="仿宋_GB2312" w:eastAsia="仿宋_GB2312" w:cs="仿宋_GB2312"/>
          <w:b w:val="0"/>
          <w:bCs w:val="0"/>
          <w:color w:val="auto"/>
          <w:sz w:val="32"/>
          <w:szCs w:val="32"/>
          <w:highlight w:val="none"/>
          <w:lang w:val="en-US" w:eastAsia="zh-CN"/>
        </w:rPr>
        <w:t>。</w:t>
      </w:r>
    </w:p>
    <w:p w14:paraId="36C093A3">
      <w:pPr>
        <w:keepNext w:val="0"/>
        <w:keepLines w:val="0"/>
        <w:pageBreakBefore w:val="0"/>
        <w:widowControl w:val="0"/>
        <w:kinsoku/>
        <w:wordWrap/>
        <w:overflowPunct/>
        <w:topLinePunct w:val="0"/>
        <w:autoSpaceDE w:val="0"/>
        <w:autoSpaceDN w:val="0"/>
        <w:bidi w:val="0"/>
        <w:adjustRightInd w:val="0"/>
        <w:snapToGrid w:val="0"/>
        <w:spacing w:line="520" w:lineRule="exact"/>
        <w:ind w:firstLine="4160" w:firstLineChars="1300"/>
        <w:textAlignment w:val="auto"/>
        <w:rPr>
          <w:rFonts w:hint="eastAsia" w:ascii="仿宋_GB2312" w:hAnsi="仿宋_GB2312" w:eastAsia="仿宋_GB2312" w:cs="仿宋_GB2312"/>
          <w:color w:val="auto"/>
          <w:sz w:val="32"/>
          <w:szCs w:val="32"/>
          <w:lang w:bidi="en-US"/>
        </w:rPr>
      </w:pPr>
    </w:p>
    <w:p w14:paraId="74B4A141">
      <w:pPr>
        <w:pStyle w:val="2"/>
        <w:rPr>
          <w:rFonts w:hint="eastAsia"/>
        </w:rPr>
      </w:pPr>
    </w:p>
    <w:p w14:paraId="76072349">
      <w:pPr>
        <w:keepNext w:val="0"/>
        <w:keepLines w:val="0"/>
        <w:pageBreakBefore w:val="0"/>
        <w:widowControl w:val="0"/>
        <w:kinsoku/>
        <w:wordWrap/>
        <w:overflowPunct/>
        <w:autoSpaceDE w:val="0"/>
        <w:autoSpaceDN w:val="0"/>
        <w:bidi w:val="0"/>
        <w:adjustRightInd w:val="0"/>
        <w:snapToGrid w:val="0"/>
        <w:spacing w:line="52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0E2EDD6D">
      <w:pPr>
        <w:keepNext w:val="0"/>
        <w:keepLines w:val="0"/>
        <w:pageBreakBefore w:val="0"/>
        <w:widowControl w:val="0"/>
        <w:kinsoku/>
        <w:wordWrap/>
        <w:overflowPunct/>
        <w:autoSpaceDE w:val="0"/>
        <w:autoSpaceDN w:val="0"/>
        <w:bidi w:val="0"/>
        <w:adjustRightInd w:val="0"/>
        <w:snapToGrid w:val="0"/>
        <w:spacing w:line="52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15日</w:t>
      </w:r>
    </w:p>
    <w:p w14:paraId="2F187E75">
      <w:pPr>
        <w:pStyle w:val="2"/>
        <w:rPr>
          <w:rFonts w:hint="eastAsia"/>
        </w:rPr>
      </w:pPr>
    </w:p>
    <w:p w14:paraId="5B2F2F94">
      <w:pPr>
        <w:pStyle w:val="16"/>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东乌珠穆沁旗</w:t>
      </w:r>
    </w:p>
    <w:p w14:paraId="5B89195E">
      <w:pPr>
        <w:pStyle w:val="16"/>
        <w:keepNext w:val="0"/>
        <w:keepLines w:val="0"/>
        <w:pageBreakBefore w:val="0"/>
        <w:widowControl w:val="0"/>
        <w:kinsoku/>
        <w:wordWrap/>
        <w:overflowPunct/>
        <w:topLinePunct w:val="0"/>
        <w:autoSpaceDE w:val="0"/>
        <w:autoSpaceDN w:val="0"/>
        <w:bidi w:val="0"/>
        <w:adjustRightInd w:val="0"/>
        <w:snapToGrid/>
        <w:spacing w:line="400" w:lineRule="exact"/>
        <w:ind w:firstLine="840" w:firstLineChars="300"/>
        <w:jc w:val="both"/>
        <w:textAlignment w:val="auto"/>
        <w:rPr>
          <w:rFonts w:hint="eastAsia" w:ascii="仿宋" w:hAnsi="仿宋" w:eastAsia="仿宋" w:cs="仿宋"/>
          <w:color w:val="auto"/>
          <w:kern w:val="2"/>
          <w:sz w:val="24"/>
          <w:szCs w:val="24"/>
          <w:highlight w:val="none"/>
          <w:lang w:eastAsia="zh-CN" w:bidi="en-US"/>
        </w:rPr>
      </w:pPr>
      <w:r>
        <w:rPr>
          <w:rFonts w:hint="eastAsia" w:ascii="仿宋" w:hAnsi="仿宋" w:eastAsia="仿宋" w:cs="仿宋"/>
          <w:color w:val="auto"/>
          <w:kern w:val="2"/>
          <w:sz w:val="28"/>
          <w:szCs w:val="28"/>
          <w:highlight w:val="none"/>
          <w:lang w:eastAsia="zh-CN" w:bidi="en-US"/>
        </w:rPr>
        <w:t>分局</w:t>
      </w:r>
    </w:p>
    <w:p w14:paraId="3E2AF903">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42E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545A05"/>
    <w:rsid w:val="019C606F"/>
    <w:rsid w:val="02022E7C"/>
    <w:rsid w:val="033C2BF5"/>
    <w:rsid w:val="04082137"/>
    <w:rsid w:val="04D60042"/>
    <w:rsid w:val="04FA6968"/>
    <w:rsid w:val="05FD1001"/>
    <w:rsid w:val="06320837"/>
    <w:rsid w:val="064265FE"/>
    <w:rsid w:val="065A7A8E"/>
    <w:rsid w:val="07E80A5E"/>
    <w:rsid w:val="08125FE6"/>
    <w:rsid w:val="09F707CE"/>
    <w:rsid w:val="0A055186"/>
    <w:rsid w:val="0A1C108A"/>
    <w:rsid w:val="0A6E145D"/>
    <w:rsid w:val="0C7A4895"/>
    <w:rsid w:val="0D6D6C1D"/>
    <w:rsid w:val="0E0458AB"/>
    <w:rsid w:val="0EE27BE5"/>
    <w:rsid w:val="109F048E"/>
    <w:rsid w:val="133A3E29"/>
    <w:rsid w:val="134A4ECA"/>
    <w:rsid w:val="195A77AA"/>
    <w:rsid w:val="1B7C0676"/>
    <w:rsid w:val="1BF2CB73"/>
    <w:rsid w:val="1C2E35CB"/>
    <w:rsid w:val="1D61177E"/>
    <w:rsid w:val="1F745799"/>
    <w:rsid w:val="1F9C573C"/>
    <w:rsid w:val="1FD44489"/>
    <w:rsid w:val="21C55DF6"/>
    <w:rsid w:val="22B733D3"/>
    <w:rsid w:val="24D90B9E"/>
    <w:rsid w:val="250C0A9D"/>
    <w:rsid w:val="28C86CFA"/>
    <w:rsid w:val="29D8150D"/>
    <w:rsid w:val="2CF929A0"/>
    <w:rsid w:val="2D510F65"/>
    <w:rsid w:val="2EB97A3A"/>
    <w:rsid w:val="2F1F3E8C"/>
    <w:rsid w:val="2F2B74F6"/>
    <w:rsid w:val="2F7E7F6E"/>
    <w:rsid w:val="2F7F303D"/>
    <w:rsid w:val="32297EC9"/>
    <w:rsid w:val="336D632F"/>
    <w:rsid w:val="37DB3B17"/>
    <w:rsid w:val="37DFB9CE"/>
    <w:rsid w:val="387A76C0"/>
    <w:rsid w:val="3AD90E3C"/>
    <w:rsid w:val="3B7B35B3"/>
    <w:rsid w:val="3BFB7ADD"/>
    <w:rsid w:val="3C1557B6"/>
    <w:rsid w:val="3EDBBAD3"/>
    <w:rsid w:val="3FC31BD1"/>
    <w:rsid w:val="40363F4D"/>
    <w:rsid w:val="421A235C"/>
    <w:rsid w:val="436808C1"/>
    <w:rsid w:val="445D3A2B"/>
    <w:rsid w:val="459E05CA"/>
    <w:rsid w:val="45B85B30"/>
    <w:rsid w:val="466622E2"/>
    <w:rsid w:val="46B26845"/>
    <w:rsid w:val="4A3B72B4"/>
    <w:rsid w:val="4CDD40CE"/>
    <w:rsid w:val="4FFB87F7"/>
    <w:rsid w:val="501114FC"/>
    <w:rsid w:val="51300DDF"/>
    <w:rsid w:val="51CF7E46"/>
    <w:rsid w:val="54C50276"/>
    <w:rsid w:val="56990422"/>
    <w:rsid w:val="59957B7A"/>
    <w:rsid w:val="5BBA4BDE"/>
    <w:rsid w:val="5C1271C4"/>
    <w:rsid w:val="5DFFD6AD"/>
    <w:rsid w:val="5FA70BB0"/>
    <w:rsid w:val="617526E2"/>
    <w:rsid w:val="640E5DD6"/>
    <w:rsid w:val="640F77AC"/>
    <w:rsid w:val="6479615F"/>
    <w:rsid w:val="65980358"/>
    <w:rsid w:val="67927E4C"/>
    <w:rsid w:val="68387D94"/>
    <w:rsid w:val="69782D5D"/>
    <w:rsid w:val="69CC12A6"/>
    <w:rsid w:val="6D1E1E6D"/>
    <w:rsid w:val="6E1A4AAF"/>
    <w:rsid w:val="6FD159E5"/>
    <w:rsid w:val="6FEE6D0C"/>
    <w:rsid w:val="70EA0941"/>
    <w:rsid w:val="71FFDCEE"/>
    <w:rsid w:val="737F42A4"/>
    <w:rsid w:val="776575C6"/>
    <w:rsid w:val="77A03442"/>
    <w:rsid w:val="77A04D8F"/>
    <w:rsid w:val="77A23F56"/>
    <w:rsid w:val="77FB60A4"/>
    <w:rsid w:val="78CC1696"/>
    <w:rsid w:val="795254DD"/>
    <w:rsid w:val="79F6371A"/>
    <w:rsid w:val="7C7FDDB9"/>
    <w:rsid w:val="7CE53CE8"/>
    <w:rsid w:val="7E5356DB"/>
    <w:rsid w:val="7F5DA376"/>
    <w:rsid w:val="7F6C2C5A"/>
    <w:rsid w:val="7F7C8CD3"/>
    <w:rsid w:val="7F7CE8F3"/>
    <w:rsid w:val="7FD6261A"/>
    <w:rsid w:val="7FDD5E1F"/>
    <w:rsid w:val="92CD1A93"/>
    <w:rsid w:val="979EC8C1"/>
    <w:rsid w:val="97FFBFF7"/>
    <w:rsid w:val="9AD73E0D"/>
    <w:rsid w:val="AFDFA893"/>
    <w:rsid w:val="B6FB1ACB"/>
    <w:rsid w:val="B7EB60C0"/>
    <w:rsid w:val="BBD7B086"/>
    <w:rsid w:val="BBFD157B"/>
    <w:rsid w:val="BBFFB394"/>
    <w:rsid w:val="BDB9872E"/>
    <w:rsid w:val="CF77A9DB"/>
    <w:rsid w:val="DBAFDD4B"/>
    <w:rsid w:val="DBD5EE8A"/>
    <w:rsid w:val="DF671AB1"/>
    <w:rsid w:val="DF7B31B7"/>
    <w:rsid w:val="DFBDCEE2"/>
    <w:rsid w:val="DFF844CC"/>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firstLine="420"/>
      <w:textAlignment w:val="baseline"/>
    </w:pPr>
    <w:rPr>
      <w:rFonts w:ascii="宋体" w:hAnsi="宋体"/>
      <w:sz w:val="18"/>
      <w:szCs w:val="18"/>
    </w:rPr>
  </w:style>
  <w:style w:type="paragraph" w:styleId="3">
    <w:name w:val="Body Text Indent"/>
    <w:basedOn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1"/>
    <w:qFormat/>
    <w:uiPriority w:val="0"/>
    <w:pPr>
      <w:ind w:firstLine="420" w:firstLineChars="200"/>
    </w:pPr>
    <w:rPr>
      <w:rFonts w:ascii="Times New Roman" w:hAnsi="Times New Roman" w:eastAsia="宋体"/>
      <w:szCs w:val="24"/>
    </w:rPr>
  </w:style>
  <w:style w:type="paragraph" w:styleId="6">
    <w:name w:val="annotation text"/>
    <w:basedOn w:val="1"/>
    <w:link w:val="24"/>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Normal (Web)"/>
    <w:basedOn w:val="1"/>
    <w:qFormat/>
    <w:uiPriority w:val="99"/>
    <w:pPr>
      <w:widowControl/>
      <w:adjustRightInd w:val="0"/>
      <w:snapToGrid w:val="0"/>
      <w:spacing w:line="560" w:lineRule="exact"/>
      <w:ind w:firstLine="640" w:firstLineChars="200"/>
    </w:pPr>
    <w:rPr>
      <w:rFonts w:ascii="仿宋" w:hAnsi="仿宋" w:eastAsia="仿宋" w:cs="仿宋_GB2312"/>
      <w:sz w:val="32"/>
      <w:szCs w:val="32"/>
      <w:lang w:bidi="en-US"/>
    </w:rPr>
  </w:style>
  <w:style w:type="paragraph" w:styleId="11">
    <w:name w:val="annotation subject"/>
    <w:basedOn w:val="6"/>
    <w:next w:val="6"/>
    <w:link w:val="25"/>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字符"/>
    <w:basedOn w:val="13"/>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3"/>
    <w:link w:val="6"/>
    <w:semiHidden/>
    <w:qFormat/>
    <w:uiPriority w:val="99"/>
    <w:rPr>
      <w:kern w:val="2"/>
      <w:sz w:val="21"/>
      <w:szCs w:val="22"/>
    </w:rPr>
  </w:style>
  <w:style w:type="character" w:customStyle="1" w:styleId="25">
    <w:name w:val="批注主题 字符"/>
    <w:basedOn w:val="24"/>
    <w:link w:val="11"/>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1988</Words>
  <Characters>2106</Characters>
  <Lines>19</Lines>
  <Paragraphs>5</Paragraphs>
  <TotalTime>4</TotalTime>
  <ScaleCrop>false</ScaleCrop>
  <LinksUpToDate>false</LinksUpToDate>
  <CharactersWithSpaces>2122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2023-02-04T17:32:00Z</dcterms:created>
  <dc:creator>hui hui</dc:creator>
  <cp:lastModifiedBy>ོʚ 中ོ然ོ ɞ</cp:lastModifiedBy>
  <cp:lastPrinted>2025-04-25T02:51:00Z</cp:lastPrinted>
  <dcterms:modified xsi:type="dcterms:W3CDTF">2025-05-15T08:47:57Z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9F44B31B7A994E119A247855C5AEBAE8_13</vt:lpwstr>
  </property>
  <property fmtid="{D5CDD505-2E9C-101B-9397-08002B2CF9AE}" pid="4" name="KSOTemplateDocerSaveRecord">
    <vt:lpwstr>eyJoZGlkIjoiNTk0MDc0MWE2MzMxMjkwZmE5ODU4OGMzYzc5YjkzMTAiLCJ1c2VySWQiOiI1NDkxMDYxNjAifQ==</vt:lpwstr>
  </property>
</Properties>
</file>