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FB712">
      <w:pPr>
        <w:keepNext w:val="0"/>
        <w:keepLines w:val="0"/>
        <w:pageBreakBefore w:val="0"/>
        <w:kinsoku/>
        <w:wordWrap/>
        <w:overflowPunct/>
        <w:topLinePunct w:val="0"/>
        <w:bidi w:val="0"/>
        <w:snapToGrid w:val="0"/>
        <w:spacing w:line="560" w:lineRule="exact"/>
        <w:ind w:firstLine="0" w:firstLineChars="0"/>
        <w:rPr>
          <w:rFonts w:hint="eastAsia"/>
          <w:color w:val="C00000"/>
          <w:sz w:val="32"/>
          <w:szCs w:val="32"/>
          <w:highlight w:val="yellow"/>
        </w:rPr>
      </w:pPr>
      <w:bookmarkStart w:id="0" w:name="_Hlk124747957"/>
    </w:p>
    <w:p w14:paraId="48E0E953">
      <w:pPr>
        <w:keepNext w:val="0"/>
        <w:keepLines w:val="0"/>
        <w:pageBreakBefore w:val="0"/>
        <w:kinsoku/>
        <w:wordWrap/>
        <w:overflowPunct/>
        <w:topLinePunct w:val="0"/>
        <w:bidi w:val="0"/>
        <w:snapToGrid w:val="0"/>
        <w:spacing w:line="560" w:lineRule="exact"/>
        <w:rPr>
          <w:rFonts w:hint="eastAsia"/>
          <w:color w:val="C00000"/>
          <w:sz w:val="32"/>
          <w:szCs w:val="32"/>
          <w:highlight w:val="yellow"/>
        </w:rPr>
      </w:pPr>
    </w:p>
    <w:p w14:paraId="5EA8A0CA">
      <w:pPr>
        <w:keepNext w:val="0"/>
        <w:keepLines w:val="0"/>
        <w:pageBreakBefore w:val="0"/>
        <w:kinsoku/>
        <w:wordWrap/>
        <w:overflowPunct/>
        <w:topLinePunct w:val="0"/>
        <w:bidi w:val="0"/>
        <w:snapToGrid w:val="0"/>
        <w:spacing w:line="560" w:lineRule="exact"/>
        <w:rPr>
          <w:rFonts w:hint="eastAsia"/>
          <w:color w:val="C00000"/>
          <w:sz w:val="32"/>
          <w:szCs w:val="32"/>
          <w:highlight w:val="yellow"/>
        </w:rPr>
      </w:pPr>
    </w:p>
    <w:p w14:paraId="77C98B34">
      <w:pPr>
        <w:keepNext w:val="0"/>
        <w:keepLines w:val="0"/>
        <w:pageBreakBefore w:val="0"/>
        <w:kinsoku/>
        <w:wordWrap/>
        <w:overflowPunct/>
        <w:topLinePunct w:val="0"/>
        <w:bidi w:val="0"/>
        <w:snapToGrid w:val="0"/>
        <w:spacing w:line="560" w:lineRule="exact"/>
        <w:rPr>
          <w:rFonts w:hint="eastAsia"/>
          <w:color w:val="C00000"/>
          <w:sz w:val="32"/>
          <w:szCs w:val="32"/>
          <w:highlight w:val="yellow"/>
        </w:rPr>
      </w:pPr>
    </w:p>
    <w:p w14:paraId="18814C2E">
      <w:pPr>
        <w:keepNext w:val="0"/>
        <w:keepLines w:val="0"/>
        <w:pageBreakBefore w:val="0"/>
        <w:kinsoku/>
        <w:wordWrap/>
        <w:overflowPunct/>
        <w:topLinePunct w:val="0"/>
        <w:bidi w:val="0"/>
        <w:snapToGrid w:val="0"/>
        <w:spacing w:line="560" w:lineRule="exact"/>
        <w:rPr>
          <w:rFonts w:hint="eastAsia"/>
          <w:color w:val="C00000"/>
          <w:sz w:val="32"/>
          <w:szCs w:val="32"/>
          <w:highlight w:val="yellow"/>
        </w:rPr>
      </w:pPr>
    </w:p>
    <w:p w14:paraId="6A638D7D">
      <w:pPr>
        <w:keepNext w:val="0"/>
        <w:keepLines w:val="0"/>
        <w:pageBreakBefore w:val="0"/>
        <w:kinsoku/>
        <w:wordWrap/>
        <w:overflowPunct/>
        <w:topLinePunct w:val="0"/>
        <w:bidi w:val="0"/>
        <w:snapToGrid w:val="0"/>
        <w:spacing w:line="560" w:lineRule="exact"/>
        <w:rPr>
          <w:rFonts w:hint="eastAsia"/>
          <w:color w:val="C00000"/>
          <w:sz w:val="32"/>
          <w:szCs w:val="32"/>
          <w:highlight w:val="yellow"/>
        </w:rPr>
      </w:pPr>
    </w:p>
    <w:p w14:paraId="3ECD62C3">
      <w:pPr>
        <w:pStyle w:val="27"/>
        <w:keepNext w:val="0"/>
        <w:keepLines w:val="0"/>
        <w:pageBreakBefore w:val="0"/>
        <w:kinsoku/>
        <w:wordWrap/>
        <w:overflowPunct/>
        <w:topLinePunct w:val="0"/>
        <w:bidi w:val="0"/>
        <w:spacing w:line="560" w:lineRule="exact"/>
        <w:ind w:left="0" w:leftChars="0" w:firstLine="0" w:firstLineChars="0"/>
        <w:rPr>
          <w:rFonts w:hint="eastAsia"/>
          <w:sz w:val="32"/>
          <w:szCs w:val="32"/>
          <w:highlight w:val="yellow"/>
        </w:rPr>
      </w:pPr>
    </w:p>
    <w:p w14:paraId="5440E1CC">
      <w:pPr>
        <w:keepNext w:val="0"/>
        <w:keepLines w:val="0"/>
        <w:pageBreakBefore w:val="0"/>
        <w:kinsoku/>
        <w:wordWrap/>
        <w:overflowPunct/>
        <w:topLinePunct w:val="0"/>
        <w:bidi w:val="0"/>
        <w:snapToGrid w:val="0"/>
        <w:spacing w:line="560" w:lineRule="exact"/>
        <w:ind w:left="0" w:leftChars="0" w:firstLine="0" w:firstLineChars="0"/>
        <w:jc w:val="left"/>
        <w:rPr>
          <w:rFonts w:hint="eastAsia"/>
          <w:color w:val="auto"/>
          <w:sz w:val="32"/>
          <w:szCs w:val="32"/>
        </w:rPr>
      </w:pPr>
    </w:p>
    <w:p w14:paraId="1F63A093">
      <w:pPr>
        <w:autoSpaceDE w:val="0"/>
        <w:autoSpaceDN w:val="0"/>
        <w:adjustRightInd w:val="0"/>
        <w:snapToGrid w:val="0"/>
        <w:spacing w:line="560" w:lineRule="exact"/>
        <w:jc w:val="center"/>
        <w:rPr>
          <w:rFonts w:ascii="仿宋_GB2312" w:hAnsi="Times New Roman" w:eastAsia="仿宋_GB2312" w:cs="Arial"/>
          <w:color w:val="auto"/>
          <w:sz w:val="32"/>
          <w:szCs w:val="32"/>
          <w:highlight w:val="none"/>
          <w:lang w:bidi="en-US"/>
        </w:rPr>
      </w:pPr>
      <w:r>
        <w:rPr>
          <w:rFonts w:hint="eastAsia" w:ascii="仿宋_GB2312" w:hAnsi="Times New Roman" w:eastAsia="仿宋_GB2312" w:cs="Arial"/>
          <w:color w:val="auto"/>
          <w:sz w:val="32"/>
          <w:szCs w:val="32"/>
          <w:lang w:bidi="en-US"/>
        </w:rPr>
        <w:t>锡署环审书〔</w:t>
      </w:r>
      <w:r>
        <w:rPr>
          <w:rFonts w:hint="eastAsia" w:ascii="仿宋_GB2312" w:hAnsi="Times New Roman" w:eastAsia="仿宋_GB2312" w:cs="Arial"/>
          <w:color w:val="auto"/>
          <w:sz w:val="32"/>
          <w:szCs w:val="32"/>
          <w:highlight w:val="none"/>
          <w:lang w:bidi="en-US"/>
        </w:rPr>
        <w:t>202</w:t>
      </w:r>
      <w:r>
        <w:rPr>
          <w:rFonts w:hint="eastAsia" w:ascii="仿宋_GB2312" w:hAnsi="Times New Roman" w:eastAsia="仿宋_GB2312" w:cs="Arial"/>
          <w:color w:val="auto"/>
          <w:sz w:val="32"/>
          <w:szCs w:val="32"/>
          <w:highlight w:val="none"/>
          <w:lang w:val="en-US" w:eastAsia="zh-CN" w:bidi="en-US"/>
        </w:rPr>
        <w:t>5</w:t>
      </w:r>
      <w:r>
        <w:rPr>
          <w:rFonts w:hint="eastAsia" w:ascii="仿宋_GB2312" w:hAnsi="Times New Roman" w:eastAsia="仿宋_GB2312" w:cs="Arial"/>
          <w:color w:val="auto"/>
          <w:sz w:val="32"/>
          <w:szCs w:val="32"/>
          <w:highlight w:val="none"/>
          <w:lang w:bidi="en-US"/>
        </w:rPr>
        <w:t>〕</w:t>
      </w:r>
      <w:r>
        <w:rPr>
          <w:rFonts w:hint="eastAsia" w:ascii="仿宋_GB2312" w:hAnsi="Times New Roman" w:eastAsia="仿宋_GB2312" w:cs="Arial"/>
          <w:color w:val="auto"/>
          <w:sz w:val="32"/>
          <w:szCs w:val="32"/>
          <w:highlight w:val="none"/>
          <w:lang w:val="en-US" w:eastAsia="zh-CN" w:bidi="en-US"/>
        </w:rPr>
        <w:t>18</w:t>
      </w:r>
      <w:r>
        <w:rPr>
          <w:rFonts w:hint="eastAsia" w:ascii="仿宋_GB2312" w:hAnsi="Times New Roman" w:eastAsia="仿宋_GB2312" w:cs="Arial"/>
          <w:color w:val="auto"/>
          <w:sz w:val="32"/>
          <w:szCs w:val="32"/>
          <w:highlight w:val="none"/>
          <w:lang w:bidi="en-US"/>
        </w:rPr>
        <w:t>号</w:t>
      </w:r>
    </w:p>
    <w:p w14:paraId="4BB04131">
      <w:pPr>
        <w:adjustRightInd w:val="0"/>
        <w:snapToGrid w:val="0"/>
        <w:spacing w:line="360" w:lineRule="auto"/>
        <w:jc w:val="center"/>
        <w:rPr>
          <w:b/>
          <w:bCs/>
          <w:color w:val="auto"/>
          <w:sz w:val="32"/>
          <w:szCs w:val="32"/>
          <w:highlight w:val="none"/>
        </w:rPr>
      </w:pPr>
    </w:p>
    <w:p w14:paraId="6B543CE5">
      <w:pPr>
        <w:widowControl/>
        <w:spacing w:line="700" w:lineRule="exact"/>
        <w:jc w:val="center"/>
        <w:textAlignment w:val="baseline"/>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锡林郭勒盟生态环境局</w:t>
      </w:r>
    </w:p>
    <w:bookmarkEnd w:id="0"/>
    <w:p w14:paraId="29774B04">
      <w:pPr>
        <w:autoSpaceDE w:val="0"/>
        <w:autoSpaceDN w:val="0"/>
        <w:adjustRightInd w:val="0"/>
        <w:snapToGrid w:val="0"/>
        <w:spacing w:line="700" w:lineRule="exact"/>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关于锡林郭勒润亿肉业有限公司锡林郭勒盟肉牛精深加工项目环境影响报告书</w:t>
      </w:r>
    </w:p>
    <w:p w14:paraId="5A87D635">
      <w:pPr>
        <w:autoSpaceDE w:val="0"/>
        <w:autoSpaceDN w:val="0"/>
        <w:adjustRightInd w:val="0"/>
        <w:snapToGrid w:val="0"/>
        <w:spacing w:line="700" w:lineRule="exact"/>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的批复</w:t>
      </w:r>
    </w:p>
    <w:p w14:paraId="23CE302C">
      <w:pPr>
        <w:autoSpaceDE w:val="0"/>
        <w:autoSpaceDN w:val="0"/>
        <w:adjustRightInd w:val="0"/>
        <w:snapToGrid w:val="0"/>
        <w:spacing w:line="520" w:lineRule="exact"/>
        <w:rPr>
          <w:rFonts w:ascii="仿宋_GB2312" w:hAnsi="仿宋_GB2312" w:eastAsia="仿宋_GB2312" w:cs="仿宋_GB2312"/>
          <w:color w:val="auto"/>
          <w:sz w:val="32"/>
          <w:szCs w:val="32"/>
          <w:lang w:bidi="en-US"/>
        </w:rPr>
      </w:pPr>
    </w:p>
    <w:p w14:paraId="052AA1D1">
      <w:pPr>
        <w:keepNext w:val="0"/>
        <w:keepLines w:val="0"/>
        <w:pageBreakBefore w:val="0"/>
        <w:widowControl w:val="0"/>
        <w:kinsoku/>
        <w:wordWrap/>
        <w:overflowPunct/>
        <w:autoSpaceDE w:val="0"/>
        <w:autoSpaceDN w:val="0"/>
        <w:bidi w:val="0"/>
        <w:adjustRightInd w:val="0"/>
        <w:snapToGrid w:val="0"/>
        <w:spacing w:line="560" w:lineRule="exact"/>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highlight w:val="none"/>
          <w:lang w:val="en-US" w:eastAsia="zh-CN"/>
        </w:rPr>
        <w:t>锡林郭勒润亿肉业有限公司</w:t>
      </w:r>
      <w:r>
        <w:rPr>
          <w:rFonts w:hint="eastAsia" w:ascii="仿宋_GB2312" w:hAnsi="仿宋_GB2312" w:eastAsia="仿宋_GB2312" w:cs="仿宋_GB2312"/>
          <w:color w:val="auto"/>
          <w:sz w:val="32"/>
          <w:szCs w:val="32"/>
          <w:lang w:bidi="en-US"/>
        </w:rPr>
        <w:t>：</w:t>
      </w:r>
    </w:p>
    <w:p w14:paraId="3A7CD338">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你单位报送的《</w:t>
      </w:r>
      <w:r>
        <w:rPr>
          <w:rFonts w:hint="eastAsia" w:ascii="仿宋_GB2312" w:hAnsi="仿宋_GB2312" w:eastAsia="仿宋_GB2312" w:cs="仿宋_GB2312"/>
          <w:color w:val="auto"/>
          <w:sz w:val="32"/>
          <w:szCs w:val="32"/>
          <w:lang w:val="en-US" w:eastAsia="zh-CN" w:bidi="en-US"/>
        </w:rPr>
        <w:t>锡林郭勒润亿肉业有限公司锡林郭勒盟肉牛精深加工项目</w:t>
      </w:r>
      <w:r>
        <w:rPr>
          <w:rFonts w:hint="eastAsia" w:ascii="仿宋_GB2312" w:hAnsi="仿宋_GB2312" w:eastAsia="仿宋_GB2312" w:cs="仿宋_GB2312"/>
          <w:color w:val="auto"/>
          <w:sz w:val="32"/>
          <w:szCs w:val="32"/>
          <w:lang w:bidi="en-US"/>
        </w:rPr>
        <w:t>环境影响报告书》（</w:t>
      </w:r>
      <w:r>
        <w:rPr>
          <w:rFonts w:hint="eastAsia" w:ascii="仿宋_GB2312" w:hAnsi="仿宋_GB2312" w:eastAsia="仿宋_GB2312" w:cs="仿宋_GB2312"/>
          <w:color w:val="auto"/>
          <w:sz w:val="32"/>
          <w:szCs w:val="32"/>
          <w:lang w:eastAsia="zh-Hans" w:bidi="en-US"/>
        </w:rPr>
        <w:t>以下简称《报告书》</w:t>
      </w:r>
      <w:r>
        <w:rPr>
          <w:rFonts w:hint="eastAsia" w:ascii="仿宋_GB2312" w:hAnsi="仿宋_GB2312" w:eastAsia="仿宋_GB2312" w:cs="仿宋_GB2312"/>
          <w:color w:val="auto"/>
          <w:sz w:val="32"/>
          <w:szCs w:val="32"/>
          <w:lang w:bidi="en-US"/>
        </w:rPr>
        <w:t>）收悉。经研究，批复如下：</w:t>
      </w:r>
    </w:p>
    <w:p w14:paraId="329E52EF">
      <w:pPr>
        <w:pStyle w:val="26"/>
        <w:keepNext w:val="0"/>
        <w:keepLines w:val="0"/>
        <w:pageBreakBefore w:val="0"/>
        <w:widowControl w:val="0"/>
        <w:numPr>
          <w:ilvl w:val="0"/>
          <w:numId w:val="0"/>
        </w:numPr>
        <w:kinsoku/>
        <w:wordWrap/>
        <w:overflowPunct/>
        <w:bidi w:val="0"/>
        <w:spacing w:line="560" w:lineRule="exact"/>
        <w:ind w:firstLine="640" w:firstLineChars="200"/>
        <w:jc w:val="both"/>
        <w:textAlignment w:val="auto"/>
        <w:rPr>
          <w:rFonts w:hint="eastAsia" w:ascii="仿宋_GB2312" w:hAnsi="仿宋_GB2312" w:eastAsia="仿宋_GB2312" w:cs="仿宋_GB2312"/>
          <w:b w:val="0"/>
          <w:bCs/>
          <w:color w:val="auto"/>
          <w:kern w:val="0"/>
          <w:sz w:val="32"/>
          <w:szCs w:val="32"/>
          <w:lang w:val="en-US" w:eastAsia="zh-CN" w:bidi="ar"/>
        </w:rPr>
      </w:pPr>
      <w:r>
        <w:rPr>
          <w:rFonts w:hint="eastAsia" w:ascii="仿宋_GB2312" w:hAnsi="仿宋_GB2312" w:eastAsia="仿宋_GB2312" w:cs="仿宋_GB2312"/>
          <w:color w:val="auto"/>
          <w:sz w:val="32"/>
          <w:szCs w:val="32"/>
          <w:highlight w:val="none"/>
          <w:lang w:val="en-US" w:eastAsia="zh-CN"/>
        </w:rPr>
        <w:t>一、锡林郭勒润亿肉业有限公司锡林郭勒盟肉牛精深加工项目</w:t>
      </w:r>
      <w:r>
        <w:rPr>
          <w:rFonts w:hint="eastAsia" w:ascii="仿宋_GB2312" w:hAnsi="仿宋_GB2312" w:eastAsia="仿宋_GB2312" w:cs="仿宋_GB2312"/>
          <w:color w:val="auto"/>
          <w:sz w:val="32"/>
          <w:szCs w:val="32"/>
          <w:lang w:val="en-US" w:eastAsia="zh-CN" w:bidi="en-US"/>
        </w:rPr>
        <w:t>，</w:t>
      </w:r>
      <w:r>
        <w:rPr>
          <w:rFonts w:hint="eastAsia" w:ascii="仿宋_GB2312" w:hAnsi="仿宋_GB2312" w:eastAsia="仿宋_GB2312" w:cs="仿宋_GB2312"/>
          <w:b w:val="0"/>
          <w:bCs/>
          <w:color w:val="auto"/>
          <w:kern w:val="0"/>
          <w:sz w:val="32"/>
          <w:szCs w:val="32"/>
          <w:lang w:val="en-US" w:eastAsia="zh-CN" w:bidi="ar"/>
        </w:rPr>
        <w:t>位于</w:t>
      </w:r>
      <w:r>
        <w:rPr>
          <w:rFonts w:hint="eastAsia" w:ascii="仿宋_GB2312" w:hAnsi="仿宋_GB2312" w:eastAsia="仿宋_GB2312" w:cs="仿宋_GB2312"/>
          <w:color w:val="auto"/>
          <w:sz w:val="32"/>
          <w:szCs w:val="32"/>
          <w:highlight w:val="none"/>
          <w:lang w:val="en-US" w:eastAsia="zh-CN"/>
        </w:rPr>
        <w:t>内蒙古自治区锡林郭勒盟锡林浩特市农畜产品加工产业园区</w:t>
      </w:r>
      <w:r>
        <w:rPr>
          <w:rFonts w:hint="eastAsia" w:ascii="仿宋_GB2312" w:hAnsi="仿宋_GB2312" w:eastAsia="仿宋_GB2312" w:cs="仿宋_GB2312"/>
          <w:b w:val="0"/>
          <w:bCs/>
          <w:color w:val="auto"/>
          <w:kern w:val="0"/>
          <w:sz w:val="32"/>
          <w:szCs w:val="32"/>
          <w:lang w:val="en-US" w:eastAsia="zh-CN" w:bidi="ar"/>
        </w:rPr>
        <w:t>，总占地面积为</w:t>
      </w:r>
      <w:r>
        <w:rPr>
          <w:rFonts w:hint="eastAsia" w:ascii="仿宋_GB2312" w:hAnsi="仿宋_GB2312" w:eastAsia="仿宋_GB2312" w:cs="仿宋_GB2312"/>
          <w:color w:val="auto"/>
          <w:sz w:val="32"/>
          <w:szCs w:val="32"/>
          <w:highlight w:val="none"/>
          <w:lang w:val="en-US" w:eastAsia="zh-CN"/>
        </w:rPr>
        <w:t>30001</w:t>
      </w:r>
      <w:r>
        <w:rPr>
          <w:rFonts w:hint="eastAsia" w:ascii="仿宋_GB2312" w:hAnsi="仿宋_GB2312" w:eastAsia="仿宋_GB2312" w:cs="仿宋_GB2312"/>
          <w:b w:val="0"/>
          <w:bCs/>
          <w:color w:val="auto"/>
          <w:kern w:val="0"/>
          <w:sz w:val="32"/>
          <w:szCs w:val="32"/>
          <w:lang w:val="en-US" w:eastAsia="zh-CN" w:bidi="ar"/>
        </w:rPr>
        <w:t>平方米。本项目拟建设办公楼、科技楼、恒温库、熟食加工车间、屠宰车间、库房及其辅助设施、环保设施等，项目建成后年屠宰5万头肉牛，年产冷链肉制品9300t/a及深加工肉制品4390t/a。</w:t>
      </w:r>
    </w:p>
    <w:p w14:paraId="55B7B39B">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报告书》认为，在全面落实各项生态保护和污染防治措施的前提下，项目建设对环境的不利影响能够得到一定的缓解和控制。我局原则同意本项目按照《报告书》所列的建设项目性质、规模、地点和拟采取的污染防治措施及下述要求进行建设。</w:t>
      </w:r>
    </w:p>
    <w:p w14:paraId="33BE53AD">
      <w:pPr>
        <w:pStyle w:val="3"/>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left="0" w:leftChars="0" w:firstLine="640" w:firstLineChars="200"/>
        <w:jc w:val="both"/>
        <w:textAlignment w:val="baseline"/>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二、项目在设计、建设和运营过程中还应做好以下工作。</w:t>
      </w:r>
    </w:p>
    <w:p w14:paraId="62C93F27">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（一）严格落实各项大气污染防治措施。</w:t>
      </w:r>
      <w:r>
        <w:rPr>
          <w:rFonts w:hint="eastAsia" w:ascii="仿宋_GB2312" w:hAnsi="仿宋_GB2312" w:eastAsia="仿宋_GB2312" w:cs="仿宋_GB2312"/>
          <w:color w:val="auto"/>
          <w:kern w:val="2"/>
          <w:sz w:val="32"/>
          <w:szCs w:val="32"/>
          <w:lang w:val="en-US" w:eastAsia="zh-CN" w:bidi="ar-SA"/>
        </w:rPr>
        <w:t>待宰间应及时清理粪便，做到日产日清，加强车间通风、除臭剂喷洒频率；屠宰车间废气经负压收集+UV光解+活性炭吸附+排气筒排放；熟食加工车间经油烟净化器+排气筒排放；污水处理站恶臭经负压收集+UV光解+活性炭吸附+排气筒排放。加强车间通风，定时喷洒除臭剂、加强厂区通风，厂界四周设置植物绿化隔离带等措施。各类污染物排放经处理后满足《恶臭污染物排放标准》（GB14554-93）中排放标准及《饮食业油烟排放标准（试行）》（GB18483-2001）中相应标准。</w:t>
      </w:r>
    </w:p>
    <w:p w14:paraId="6598B818">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en-US"/>
        </w:rPr>
      </w:pPr>
      <w:r>
        <w:rPr>
          <w:rFonts w:hint="eastAsia" w:ascii="楷体" w:hAnsi="楷体" w:eastAsia="楷体" w:cs="楷体"/>
          <w:color w:val="auto"/>
          <w:kern w:val="2"/>
          <w:sz w:val="32"/>
          <w:szCs w:val="32"/>
          <w:lang w:val="en-US" w:eastAsia="zh-CN" w:bidi="ar-SA"/>
        </w:rPr>
        <w:t>（二）严格落实固体废物污染防治措施。</w:t>
      </w:r>
      <w:r>
        <w:rPr>
          <w:rFonts w:hint="default" w:ascii="仿宋_GB2312" w:hAnsi="仿宋_GB2312" w:eastAsia="仿宋_GB2312" w:cs="仿宋_GB2312"/>
          <w:b w:val="0"/>
          <w:bCs w:val="0"/>
          <w:color w:val="auto"/>
          <w:kern w:val="2"/>
          <w:sz w:val="32"/>
          <w:szCs w:val="32"/>
          <w:highlight w:val="none"/>
          <w:lang w:val="en-US" w:eastAsia="zh-CN" w:bidi="en-US"/>
        </w:rPr>
        <w:t>病死畜禽、不合格肉品蹄壳、肉渣、碎骨</w:t>
      </w:r>
      <w:r>
        <w:rPr>
          <w:rFonts w:hint="eastAsia" w:ascii="仿宋_GB2312" w:hAnsi="仿宋_GB2312" w:eastAsia="仿宋_GB2312" w:cs="仿宋_GB2312"/>
          <w:b w:val="0"/>
          <w:bCs w:val="0"/>
          <w:color w:val="auto"/>
          <w:kern w:val="2"/>
          <w:sz w:val="32"/>
          <w:szCs w:val="32"/>
          <w:highlight w:val="none"/>
          <w:lang w:val="en-US" w:eastAsia="zh-CN" w:bidi="en-US"/>
        </w:rPr>
        <w:t>、</w:t>
      </w:r>
      <w:r>
        <w:rPr>
          <w:rFonts w:hint="default" w:ascii="仿宋_GB2312" w:hAnsi="仿宋_GB2312" w:eastAsia="仿宋_GB2312" w:cs="仿宋_GB2312"/>
          <w:b w:val="0"/>
          <w:bCs w:val="0"/>
          <w:color w:val="auto"/>
          <w:kern w:val="2"/>
          <w:sz w:val="32"/>
          <w:szCs w:val="32"/>
          <w:highlight w:val="none"/>
          <w:lang w:val="en-US" w:eastAsia="zh-CN" w:bidi="en-US"/>
        </w:rPr>
        <w:t>不可食用内脏</w:t>
      </w:r>
      <w:r>
        <w:rPr>
          <w:rFonts w:hint="eastAsia" w:ascii="仿宋_GB2312" w:hAnsi="仿宋_GB2312" w:eastAsia="仿宋_GB2312" w:cs="仿宋_GB2312"/>
          <w:b w:val="0"/>
          <w:bCs w:val="0"/>
          <w:color w:val="auto"/>
          <w:kern w:val="2"/>
          <w:sz w:val="32"/>
          <w:szCs w:val="32"/>
          <w:highlight w:val="none"/>
          <w:lang w:val="en-US" w:eastAsia="zh-CN" w:bidi="en-US"/>
        </w:rPr>
        <w:t>、</w:t>
      </w:r>
      <w:r>
        <w:rPr>
          <w:rFonts w:hint="default" w:ascii="仿宋_GB2312" w:hAnsi="仿宋_GB2312" w:eastAsia="仿宋_GB2312" w:cs="仿宋_GB2312"/>
          <w:b w:val="0"/>
          <w:bCs w:val="0"/>
          <w:color w:val="auto"/>
          <w:kern w:val="2"/>
          <w:sz w:val="32"/>
          <w:szCs w:val="32"/>
          <w:highlight w:val="none"/>
          <w:lang w:val="en-US" w:eastAsia="zh-CN" w:bidi="en-US"/>
        </w:rPr>
        <w:t>肠胃内</w:t>
      </w:r>
      <w:r>
        <w:rPr>
          <w:rFonts w:hint="eastAsia" w:ascii="仿宋_GB2312" w:hAnsi="仿宋_GB2312" w:eastAsia="仿宋_GB2312" w:cs="仿宋_GB2312"/>
          <w:b w:val="0"/>
          <w:bCs w:val="0"/>
          <w:color w:val="auto"/>
          <w:kern w:val="2"/>
          <w:sz w:val="32"/>
          <w:szCs w:val="32"/>
          <w:highlight w:val="none"/>
          <w:lang w:val="en-US" w:eastAsia="zh-CN" w:bidi="en-US"/>
        </w:rPr>
        <w:t>溶</w:t>
      </w:r>
      <w:r>
        <w:rPr>
          <w:rFonts w:hint="default" w:ascii="仿宋_GB2312" w:hAnsi="仿宋_GB2312" w:eastAsia="仿宋_GB2312" w:cs="仿宋_GB2312"/>
          <w:b w:val="0"/>
          <w:bCs w:val="0"/>
          <w:color w:val="auto"/>
          <w:kern w:val="2"/>
          <w:sz w:val="32"/>
          <w:szCs w:val="32"/>
          <w:highlight w:val="none"/>
          <w:lang w:val="en-US" w:eastAsia="zh-CN" w:bidi="en-US"/>
        </w:rPr>
        <w:t>物等收集暂存于无害化暂存间，</w:t>
      </w:r>
      <w:r>
        <w:rPr>
          <w:rFonts w:hint="eastAsia" w:ascii="仿宋_GB2312" w:hAnsi="仿宋_GB2312" w:eastAsia="仿宋_GB2312" w:cs="仿宋_GB2312"/>
          <w:b w:val="0"/>
          <w:bCs w:val="0"/>
          <w:color w:val="auto"/>
          <w:kern w:val="2"/>
          <w:sz w:val="32"/>
          <w:szCs w:val="32"/>
          <w:highlight w:val="none"/>
          <w:lang w:val="en-US" w:eastAsia="zh-CN" w:bidi="en-US"/>
        </w:rPr>
        <w:t>格栅渣、废油脂</w:t>
      </w:r>
      <w:r>
        <w:rPr>
          <w:rFonts w:hint="default" w:ascii="仿宋_GB2312" w:hAnsi="仿宋_GB2312" w:eastAsia="仿宋_GB2312" w:cs="仿宋_GB2312"/>
          <w:b w:val="0"/>
          <w:bCs w:val="0"/>
          <w:color w:val="auto"/>
          <w:kern w:val="2"/>
          <w:sz w:val="32"/>
          <w:szCs w:val="32"/>
          <w:highlight w:val="none"/>
          <w:lang w:val="en-US" w:eastAsia="zh-CN" w:bidi="en-US"/>
        </w:rPr>
        <w:t>定期清掏桶装暂存</w:t>
      </w:r>
      <w:r>
        <w:rPr>
          <w:rFonts w:hint="eastAsia" w:ascii="仿宋_GB2312" w:hAnsi="仿宋_GB2312" w:eastAsia="仿宋_GB2312" w:cs="仿宋_GB2312"/>
          <w:b w:val="0"/>
          <w:bCs w:val="0"/>
          <w:color w:val="auto"/>
          <w:kern w:val="2"/>
          <w:sz w:val="32"/>
          <w:szCs w:val="32"/>
          <w:highlight w:val="none"/>
          <w:lang w:val="en-US" w:eastAsia="zh-CN" w:bidi="en-US"/>
        </w:rPr>
        <w:t>于</w:t>
      </w:r>
      <w:r>
        <w:rPr>
          <w:rFonts w:hint="default" w:ascii="仿宋_GB2312" w:hAnsi="仿宋_GB2312" w:eastAsia="仿宋_GB2312" w:cs="仿宋_GB2312"/>
          <w:b w:val="0"/>
          <w:bCs w:val="0"/>
          <w:color w:val="auto"/>
          <w:kern w:val="2"/>
          <w:sz w:val="32"/>
          <w:szCs w:val="32"/>
          <w:highlight w:val="none"/>
          <w:lang w:val="en-US" w:eastAsia="zh-CN" w:bidi="en-US"/>
        </w:rPr>
        <w:t>一般固废暂存间</w:t>
      </w:r>
      <w:r>
        <w:rPr>
          <w:rFonts w:hint="eastAsia" w:ascii="仿宋_GB2312" w:hAnsi="仿宋_GB2312" w:eastAsia="仿宋_GB2312" w:cs="仿宋_GB2312"/>
          <w:b w:val="0"/>
          <w:bCs w:val="0"/>
          <w:color w:val="auto"/>
          <w:kern w:val="2"/>
          <w:sz w:val="32"/>
          <w:szCs w:val="32"/>
          <w:highlight w:val="none"/>
          <w:lang w:val="en-US" w:eastAsia="zh-CN" w:bidi="en-US"/>
        </w:rPr>
        <w:t>，</w:t>
      </w:r>
      <w:r>
        <w:rPr>
          <w:rFonts w:hint="eastAsia" w:ascii="仿宋_GB2312" w:hAnsi="仿宋_GB2312" w:eastAsia="仿宋_GB2312" w:cs="仿宋_GB2312"/>
          <w:color w:val="auto"/>
          <w:sz w:val="32"/>
          <w:szCs w:val="32"/>
          <w:lang w:val="en-GB" w:eastAsia="zh-CN" w:bidi="en-US"/>
        </w:rPr>
        <w:t>及时拉运交由有资质单位进行无害化处理</w:t>
      </w:r>
      <w:r>
        <w:rPr>
          <w:rFonts w:hint="eastAsia" w:ascii="仿宋_GB2312" w:hAnsi="仿宋_GB2312" w:eastAsia="仿宋_GB2312" w:cs="仿宋_GB2312"/>
          <w:b w:val="0"/>
          <w:bCs w:val="0"/>
          <w:color w:val="auto"/>
          <w:kern w:val="2"/>
          <w:sz w:val="32"/>
          <w:szCs w:val="32"/>
          <w:highlight w:val="none"/>
          <w:lang w:val="en-US" w:eastAsia="zh-CN" w:bidi="en-US"/>
        </w:rPr>
        <w:t>。</w:t>
      </w:r>
      <w:r>
        <w:rPr>
          <w:rFonts w:hint="default" w:ascii="仿宋_GB2312" w:hAnsi="仿宋_GB2312" w:eastAsia="仿宋_GB2312" w:cs="仿宋_GB2312"/>
          <w:b w:val="0"/>
          <w:bCs w:val="0"/>
          <w:color w:val="auto"/>
          <w:kern w:val="2"/>
          <w:sz w:val="32"/>
          <w:szCs w:val="32"/>
          <w:highlight w:val="none"/>
          <w:lang w:val="en-US" w:eastAsia="zh-CN" w:bidi="en-US"/>
        </w:rPr>
        <w:t>肉牛产生的粪便经人工进行清扫，日产日清，外售于有机肥料生产企业</w:t>
      </w:r>
      <w:r>
        <w:rPr>
          <w:rFonts w:hint="eastAsia" w:ascii="仿宋_GB2312" w:hAnsi="仿宋_GB2312" w:eastAsia="仿宋_GB2312" w:cs="仿宋_GB2312"/>
          <w:b w:val="0"/>
          <w:bCs w:val="0"/>
          <w:color w:val="auto"/>
          <w:kern w:val="2"/>
          <w:sz w:val="32"/>
          <w:szCs w:val="32"/>
          <w:highlight w:val="none"/>
          <w:lang w:val="en-US" w:eastAsia="zh-CN" w:bidi="en-US"/>
        </w:rPr>
        <w:t>。</w:t>
      </w:r>
      <w:r>
        <w:rPr>
          <w:rFonts w:hint="default" w:ascii="仿宋_GB2312" w:hAnsi="仿宋_GB2312" w:eastAsia="仿宋_GB2312" w:cs="仿宋_GB2312"/>
          <w:b w:val="0"/>
          <w:bCs w:val="0"/>
          <w:color w:val="auto"/>
          <w:kern w:val="2"/>
          <w:sz w:val="32"/>
          <w:szCs w:val="32"/>
          <w:highlight w:val="none"/>
          <w:lang w:val="en-US" w:eastAsia="zh-CN" w:bidi="en-US"/>
        </w:rPr>
        <w:t>食材边角料包括肉类等加工处理产生的残渣厂区内采用垃圾收集桶进行收集，</w:t>
      </w:r>
      <w:r>
        <w:rPr>
          <w:rFonts w:hint="eastAsia" w:ascii="仿宋_GB2312" w:hAnsi="仿宋_GB2312" w:eastAsia="仿宋_GB2312" w:cs="仿宋_GB2312"/>
          <w:color w:val="auto"/>
          <w:sz w:val="32"/>
          <w:szCs w:val="32"/>
          <w:lang w:val="en-GB" w:eastAsia="zh-CN" w:bidi="en-US"/>
        </w:rPr>
        <w:t>定期清运至当地环卫部门指定地点处理</w:t>
      </w:r>
      <w:r>
        <w:rPr>
          <w:rFonts w:hint="eastAsia" w:ascii="仿宋_GB2312" w:hAnsi="仿宋_GB2312" w:eastAsia="仿宋_GB2312" w:cs="仿宋_GB2312"/>
          <w:b w:val="0"/>
          <w:bCs w:val="0"/>
          <w:color w:val="auto"/>
          <w:kern w:val="2"/>
          <w:sz w:val="32"/>
          <w:szCs w:val="32"/>
          <w:highlight w:val="none"/>
          <w:lang w:val="en-US" w:eastAsia="zh-CN" w:bidi="en-US"/>
        </w:rPr>
        <w:t>。</w:t>
      </w:r>
      <w:r>
        <w:rPr>
          <w:rFonts w:hint="default" w:ascii="仿宋_GB2312" w:hAnsi="仿宋_GB2312" w:eastAsia="仿宋_GB2312" w:cs="仿宋_GB2312"/>
          <w:b w:val="0"/>
          <w:bCs w:val="0"/>
          <w:color w:val="auto"/>
          <w:kern w:val="2"/>
          <w:sz w:val="32"/>
          <w:szCs w:val="32"/>
          <w:highlight w:val="none"/>
          <w:lang w:val="en-US" w:eastAsia="zh-CN" w:bidi="en-US"/>
        </w:rPr>
        <w:t>项目自建污水处理站处理产生污泥经压滤机脱水处理后的污泥暂存于污泥脱水间，</w:t>
      </w:r>
      <w:r>
        <w:rPr>
          <w:rFonts w:hint="eastAsia" w:ascii="仿宋_GB2312" w:hAnsi="仿宋_GB2312" w:eastAsia="仿宋_GB2312" w:cs="仿宋_GB2312"/>
          <w:b w:val="0"/>
          <w:bCs w:val="0"/>
          <w:color w:val="auto"/>
          <w:kern w:val="2"/>
          <w:sz w:val="32"/>
          <w:szCs w:val="32"/>
          <w:highlight w:val="none"/>
          <w:lang w:val="en-US" w:eastAsia="zh-CN" w:bidi="en-US"/>
        </w:rPr>
        <w:t>定期</w:t>
      </w:r>
      <w:r>
        <w:rPr>
          <w:rFonts w:hint="default" w:ascii="仿宋_GB2312" w:hAnsi="仿宋_GB2312" w:eastAsia="仿宋_GB2312" w:cs="仿宋_GB2312"/>
          <w:b w:val="0"/>
          <w:bCs w:val="0"/>
          <w:color w:val="auto"/>
          <w:kern w:val="2"/>
          <w:sz w:val="32"/>
          <w:szCs w:val="32"/>
          <w:highlight w:val="none"/>
          <w:lang w:val="en-US" w:eastAsia="zh-CN" w:bidi="en-US"/>
        </w:rPr>
        <w:t>清运至垃圾填埋场。废包装材料暂存于一般固废暂存区，定期外售资源回收单位回收利用。一次性防护用品如废手套，废口罩等，交</w:t>
      </w:r>
      <w:r>
        <w:rPr>
          <w:rFonts w:hint="eastAsia" w:ascii="仿宋_GB2312" w:hAnsi="仿宋_GB2312" w:eastAsia="仿宋_GB2312" w:cs="仿宋_GB2312"/>
          <w:b w:val="0"/>
          <w:bCs w:val="0"/>
          <w:color w:val="auto"/>
          <w:kern w:val="2"/>
          <w:sz w:val="32"/>
          <w:szCs w:val="32"/>
          <w:highlight w:val="none"/>
          <w:lang w:val="en-US" w:eastAsia="zh-CN" w:bidi="en-US"/>
        </w:rPr>
        <w:t>由当地</w:t>
      </w:r>
      <w:r>
        <w:rPr>
          <w:rFonts w:hint="default" w:ascii="仿宋_GB2312" w:hAnsi="仿宋_GB2312" w:eastAsia="仿宋_GB2312" w:cs="仿宋_GB2312"/>
          <w:b w:val="0"/>
          <w:bCs w:val="0"/>
          <w:color w:val="auto"/>
          <w:kern w:val="2"/>
          <w:sz w:val="32"/>
          <w:szCs w:val="32"/>
          <w:highlight w:val="none"/>
          <w:lang w:val="en-US" w:eastAsia="zh-CN" w:bidi="en-US"/>
        </w:rPr>
        <w:t>环卫部门定期清理。</w:t>
      </w:r>
      <w:r>
        <w:rPr>
          <w:rFonts w:hint="eastAsia" w:ascii="仿宋_GB2312" w:hAnsi="仿宋_GB2312" w:eastAsia="仿宋_GB2312" w:cs="仿宋_GB2312"/>
          <w:b w:val="0"/>
          <w:bCs w:val="0"/>
          <w:color w:val="auto"/>
          <w:kern w:val="2"/>
          <w:sz w:val="32"/>
          <w:szCs w:val="32"/>
          <w:highlight w:val="none"/>
          <w:lang w:val="en-US" w:eastAsia="zh-CN" w:bidi="en-US"/>
        </w:rPr>
        <w:t>废UV灯管、废活性炭、</w:t>
      </w:r>
      <w:r>
        <w:rPr>
          <w:rFonts w:hint="default" w:ascii="仿宋_GB2312" w:hAnsi="仿宋_GB2312" w:eastAsia="仿宋_GB2312" w:cs="仿宋_GB2312"/>
          <w:b w:val="0"/>
          <w:bCs w:val="0"/>
          <w:color w:val="auto"/>
          <w:kern w:val="2"/>
          <w:sz w:val="32"/>
          <w:szCs w:val="32"/>
          <w:highlight w:val="none"/>
          <w:lang w:val="en-US" w:eastAsia="zh-CN" w:bidi="en-US"/>
        </w:rPr>
        <w:t>废检疫试剂</w:t>
      </w:r>
      <w:r>
        <w:rPr>
          <w:rFonts w:hint="eastAsia" w:ascii="仿宋_GB2312" w:hAnsi="仿宋_GB2312" w:eastAsia="仿宋_GB2312" w:cs="仿宋_GB2312"/>
          <w:b w:val="0"/>
          <w:bCs w:val="0"/>
          <w:color w:val="auto"/>
          <w:kern w:val="2"/>
          <w:sz w:val="32"/>
          <w:szCs w:val="32"/>
          <w:highlight w:val="none"/>
          <w:lang w:val="en-US" w:eastAsia="zh-CN" w:bidi="en-US"/>
        </w:rPr>
        <w:t>、</w:t>
      </w:r>
      <w:r>
        <w:rPr>
          <w:rFonts w:hint="default" w:ascii="仿宋_GB2312" w:hAnsi="仿宋_GB2312" w:eastAsia="仿宋_GB2312" w:cs="仿宋_GB2312"/>
          <w:b w:val="0"/>
          <w:bCs w:val="0"/>
          <w:color w:val="auto"/>
          <w:kern w:val="2"/>
          <w:sz w:val="32"/>
          <w:szCs w:val="32"/>
          <w:highlight w:val="none"/>
          <w:lang w:val="en-US" w:eastAsia="zh-CN" w:bidi="en-US"/>
        </w:rPr>
        <w:t>废机油统一收集暂存于</w:t>
      </w:r>
      <w:r>
        <w:rPr>
          <w:rFonts w:hint="eastAsia" w:ascii="仿宋_GB2312" w:hAnsi="仿宋_GB2312" w:eastAsia="仿宋_GB2312" w:cs="仿宋_GB2312"/>
          <w:b w:val="0"/>
          <w:bCs w:val="0"/>
          <w:color w:val="auto"/>
          <w:kern w:val="2"/>
          <w:sz w:val="32"/>
          <w:szCs w:val="32"/>
          <w:highlight w:val="none"/>
          <w:lang w:val="en-US" w:eastAsia="zh-CN" w:bidi="en-US"/>
        </w:rPr>
        <w:t>规范化</w:t>
      </w:r>
      <w:r>
        <w:rPr>
          <w:rFonts w:hint="default" w:ascii="仿宋_GB2312" w:hAnsi="仿宋_GB2312" w:eastAsia="仿宋_GB2312" w:cs="仿宋_GB2312"/>
          <w:b w:val="0"/>
          <w:bCs w:val="0"/>
          <w:color w:val="auto"/>
          <w:kern w:val="2"/>
          <w:sz w:val="32"/>
          <w:szCs w:val="32"/>
          <w:highlight w:val="none"/>
          <w:lang w:val="en-US" w:eastAsia="zh-CN" w:bidi="en-US"/>
        </w:rPr>
        <w:t>危废暂存间，</w:t>
      </w:r>
      <w:r>
        <w:rPr>
          <w:rFonts w:hint="eastAsia" w:ascii="仿宋_GB2312" w:hAnsi="仿宋_GB2312" w:eastAsia="仿宋_GB2312" w:cs="仿宋_GB2312"/>
          <w:color w:val="auto"/>
          <w:sz w:val="32"/>
          <w:szCs w:val="32"/>
          <w:lang w:val="en-GB" w:eastAsia="zh-CN" w:bidi="en-US"/>
        </w:rPr>
        <w:t>定期委托有资质的单位处置</w:t>
      </w:r>
      <w:r>
        <w:rPr>
          <w:rFonts w:hint="default" w:ascii="仿宋_GB2312" w:hAnsi="仿宋_GB2312" w:eastAsia="仿宋_GB2312" w:cs="仿宋_GB2312"/>
          <w:b w:val="0"/>
          <w:bCs w:val="0"/>
          <w:color w:val="auto"/>
          <w:kern w:val="2"/>
          <w:sz w:val="32"/>
          <w:szCs w:val="32"/>
          <w:highlight w:val="none"/>
          <w:lang w:val="en-US" w:eastAsia="zh-CN" w:bidi="en-US"/>
        </w:rPr>
        <w:t>。</w:t>
      </w:r>
    </w:p>
    <w:p w14:paraId="771EDFA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8" w:firstLineChars="190"/>
        <w:textAlignment w:val="auto"/>
        <w:rPr>
          <w:rFonts w:hint="eastAsia" w:ascii="仿宋_GB2312" w:hAnsi="仿宋_GB2312" w:eastAsia="仿宋_GB2312" w:cs="仿宋_GB2312"/>
          <w:b w:val="0"/>
          <w:bCs/>
          <w:color w:val="auto"/>
          <w:kern w:val="2"/>
          <w:sz w:val="32"/>
          <w:szCs w:val="32"/>
          <w:lang w:val="en-US" w:eastAsia="zh-CN" w:bidi="en-US"/>
        </w:rPr>
      </w:pPr>
      <w:r>
        <w:rPr>
          <w:rFonts w:hint="eastAsia" w:ascii="楷体" w:hAnsi="楷体" w:eastAsia="楷体" w:cs="楷体"/>
          <w:color w:val="auto"/>
          <w:kern w:val="2"/>
          <w:sz w:val="32"/>
          <w:szCs w:val="32"/>
          <w:lang w:val="en-US" w:eastAsia="zh-CN" w:bidi="ar-SA"/>
        </w:rPr>
        <w:t>严格落实各项水污染防治措施。</w:t>
      </w:r>
      <w:r>
        <w:rPr>
          <w:rFonts w:hint="eastAsia" w:ascii="仿宋_GB2312" w:hAnsi="仿宋_GB2312" w:eastAsia="仿宋_GB2312" w:cs="仿宋_GB2312"/>
          <w:b w:val="0"/>
          <w:bCs w:val="0"/>
          <w:color w:val="auto"/>
          <w:kern w:val="2"/>
          <w:sz w:val="32"/>
          <w:szCs w:val="32"/>
          <w:highlight w:val="none"/>
          <w:lang w:val="en-US" w:eastAsia="zh-CN" w:bidi="en-US"/>
        </w:rPr>
        <w:t>项目废水混合后采用“格栅+隔油+调节+气浮+水解酸化+</w:t>
      </w:r>
      <w:bookmarkStart w:id="1" w:name="_GoBack"/>
      <w:bookmarkEnd w:id="1"/>
      <w:r>
        <w:rPr>
          <w:rFonts w:hint="eastAsia" w:ascii="仿宋_GB2312" w:hAnsi="仿宋_GB2312" w:eastAsia="仿宋_GB2312" w:cs="仿宋_GB2312"/>
          <w:b w:val="0"/>
          <w:bCs w:val="0"/>
          <w:color w:val="auto"/>
          <w:kern w:val="2"/>
          <w:sz w:val="32"/>
          <w:szCs w:val="32"/>
          <w:highlight w:val="none"/>
          <w:lang w:val="en-US" w:eastAsia="zh-CN" w:bidi="en-US"/>
        </w:rPr>
        <w:t>两级缺氧好氧+沉淀池+消毒”处理工艺处理，经处理达到《肉类加工工业水污染物排放标准》（GB13457-92）表3中畜类肉制品加工三级标准后排入锡林浩特市污水处理厂。</w:t>
      </w:r>
    </w:p>
    <w:p w14:paraId="4FF11A99">
      <w:pPr>
        <w:keepNext w:val="0"/>
        <w:keepLines w:val="0"/>
        <w:pageBreakBefore w:val="0"/>
        <w:widowControl w:val="0"/>
        <w:numPr>
          <w:ilvl w:val="0"/>
          <w:numId w:val="2"/>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zh-TW" w:eastAsia="zh-TW" w:bidi="en-US"/>
        </w:rPr>
      </w:pPr>
      <w:r>
        <w:rPr>
          <w:rFonts w:hint="eastAsia" w:ascii="楷体" w:hAnsi="楷体" w:eastAsia="楷体" w:cs="楷体"/>
          <w:color w:val="auto"/>
          <w:kern w:val="2"/>
          <w:sz w:val="32"/>
          <w:szCs w:val="32"/>
          <w:lang w:val="en-US" w:eastAsia="zh-CN" w:bidi="ar-SA"/>
        </w:rPr>
        <w:t>严格落实噪声防治措施。</w:t>
      </w:r>
      <w:r>
        <w:rPr>
          <w:rFonts w:hint="eastAsia" w:ascii="仿宋_GB2312" w:hAnsi="仿宋_GB2312" w:eastAsia="仿宋_GB2312" w:cs="仿宋_GB2312"/>
          <w:color w:val="auto"/>
          <w:sz w:val="32"/>
          <w:szCs w:val="32"/>
          <w:lang w:bidi="en-US"/>
        </w:rPr>
        <w:t>针对不同的声源采取相应的消声、隔音、减振、降噪措施，高噪设备均置于封闭车间内并加装减震基座，同时加强机械设备日常维护。运输车辆减速行驶，禁止鸣笛。最终噪声排放满足《工业企业厂界环境噪声排放标准》（GB12348-2008）</w:t>
      </w:r>
      <w:r>
        <w:rPr>
          <w:rFonts w:hint="eastAsia" w:ascii="仿宋_GB2312" w:hAnsi="仿宋_GB2312" w:eastAsia="仿宋_GB2312" w:cs="仿宋_GB2312"/>
          <w:color w:val="auto"/>
          <w:sz w:val="32"/>
          <w:szCs w:val="32"/>
          <w:lang w:val="en-US" w:eastAsia="zh-CN" w:bidi="en-US"/>
        </w:rPr>
        <w:t>3</w:t>
      </w:r>
      <w:r>
        <w:rPr>
          <w:rFonts w:hint="eastAsia" w:ascii="仿宋_GB2312" w:hAnsi="仿宋_GB2312" w:eastAsia="仿宋_GB2312" w:cs="仿宋_GB2312"/>
          <w:color w:val="auto"/>
          <w:sz w:val="32"/>
          <w:szCs w:val="32"/>
          <w:lang w:bidi="en-US"/>
        </w:rPr>
        <w:t>类标准限值要求。</w:t>
      </w:r>
    </w:p>
    <w:p w14:paraId="27C18593">
      <w:pPr>
        <w:keepNext w:val="0"/>
        <w:keepLines w:val="0"/>
        <w:pageBreakBefore w:val="0"/>
        <w:widowControl w:val="0"/>
        <w:numPr>
          <w:ilvl w:val="0"/>
          <w:numId w:val="2"/>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bidi="en-US"/>
        </w:rPr>
      </w:pPr>
      <w:r>
        <w:rPr>
          <w:rFonts w:hint="eastAsia" w:ascii="华文楷体" w:hAnsi="华文楷体" w:eastAsia="华文楷体" w:cs="华文楷体"/>
          <w:color w:val="auto"/>
          <w:sz w:val="32"/>
          <w:szCs w:val="32"/>
          <w:lang w:eastAsia="zh-CN" w:bidi="en-US"/>
        </w:rPr>
        <w:t>切实落实土壤和地下水污染防治措施。</w:t>
      </w:r>
      <w:r>
        <w:rPr>
          <w:rFonts w:hint="eastAsia" w:ascii="仿宋_GB2312" w:hAnsi="仿宋_GB2312" w:eastAsia="仿宋_GB2312" w:cs="仿宋_GB2312"/>
          <w:color w:val="auto"/>
          <w:sz w:val="32"/>
          <w:szCs w:val="32"/>
          <w:lang w:eastAsia="zh-CN" w:bidi="en-US"/>
        </w:rPr>
        <w:t>按照“源头控制、分区防控、污染监控、应急响应”相结合的原则采取分区防渗，</w:t>
      </w:r>
      <w:r>
        <w:rPr>
          <w:rFonts w:hint="eastAsia" w:ascii="仿宋_GB2312" w:hAnsi="仿宋_GB2312" w:eastAsia="仿宋_GB2312" w:cs="仿宋_GB2312"/>
          <w:color w:val="auto"/>
          <w:sz w:val="32"/>
          <w:szCs w:val="32"/>
          <w:lang w:val="en-GB" w:eastAsia="zh-CN" w:bidi="en-US"/>
        </w:rPr>
        <w:t>病死牲畜暂存间、</w:t>
      </w:r>
      <w:r>
        <w:rPr>
          <w:rFonts w:hint="eastAsia" w:ascii="仿宋_GB2312" w:hAnsi="仿宋_GB2312" w:eastAsia="仿宋_GB2312" w:cs="仿宋_GB2312"/>
          <w:color w:val="auto"/>
          <w:sz w:val="32"/>
          <w:szCs w:val="32"/>
          <w:lang w:eastAsia="zh-CN" w:bidi="en-US"/>
        </w:rPr>
        <w:t>危废暂存间采取重点防渗措施，并根据《危险废物贮存污染控制标准》（GB18597-2023）建设，所有防渗措施均执行《环境影响评价技术导则地下水环境》(HJ610-2016)标准。</w:t>
      </w:r>
    </w:p>
    <w:p w14:paraId="51C50CF3">
      <w:pPr>
        <w:keepNext w:val="0"/>
        <w:keepLines w:val="0"/>
        <w:pageBreakBefore w:val="0"/>
        <w:widowControl w:val="0"/>
        <w:numPr>
          <w:ilvl w:val="0"/>
          <w:numId w:val="2"/>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bidi="en-US"/>
        </w:rPr>
      </w:pPr>
      <w:r>
        <w:rPr>
          <w:rFonts w:hint="eastAsia" w:ascii="华文楷体" w:hAnsi="华文楷体" w:eastAsia="华文楷体" w:cs="华文楷体"/>
          <w:color w:val="auto"/>
          <w:sz w:val="32"/>
          <w:szCs w:val="32"/>
          <w:lang w:eastAsia="zh-CN" w:bidi="en-US"/>
        </w:rPr>
        <w:t>强化环境风险防范措施。</w:t>
      </w:r>
      <w:r>
        <w:rPr>
          <w:rFonts w:hint="eastAsia" w:ascii="仿宋_GB2312" w:hAnsi="仿宋_GB2312" w:eastAsia="仿宋_GB2312" w:cs="仿宋_GB2312"/>
          <w:color w:val="000000"/>
          <w:kern w:val="2"/>
          <w:sz w:val="32"/>
          <w:szCs w:val="32"/>
          <w:lang w:val="en-US" w:eastAsia="zh-CN" w:bidi="ar-SA"/>
        </w:rPr>
        <w:t>落实环保设施安全生产工作，建立环保设备设施台账和维护管理制度。建立完善的环境管理制度和事故应急措施，制定切实可行的环境风险应急预案，加强对危废暂存间的管理；严格落实风险防范措施和应急预案，切实杜绝环境风险事故。</w:t>
      </w:r>
    </w:p>
    <w:p w14:paraId="177ADFEA">
      <w:pPr>
        <w:keepNext w:val="0"/>
        <w:keepLines w:val="0"/>
        <w:pageBreakBefore w:val="0"/>
        <w:widowControl w:val="0"/>
        <w:numPr>
          <w:ilvl w:val="0"/>
          <w:numId w:val="2"/>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bidi="en-US"/>
        </w:rPr>
      </w:pPr>
      <w:r>
        <w:rPr>
          <w:rFonts w:hint="eastAsia" w:ascii="华文楷体" w:hAnsi="华文楷体" w:eastAsia="华文楷体" w:cs="华文楷体"/>
          <w:color w:val="auto"/>
          <w:sz w:val="32"/>
          <w:szCs w:val="32"/>
          <w:lang w:eastAsia="zh-CN" w:bidi="en-US"/>
        </w:rPr>
        <w:t>严格落实运营期污染源监测计划。</w:t>
      </w:r>
      <w:r>
        <w:rPr>
          <w:rFonts w:hint="eastAsia" w:ascii="仿宋_GB2312" w:hAnsi="仿宋_GB2312" w:eastAsia="仿宋_GB2312" w:cs="仿宋_GB2312"/>
          <w:color w:val="auto"/>
          <w:sz w:val="32"/>
          <w:szCs w:val="32"/>
          <w:lang w:eastAsia="zh-CN" w:bidi="en-US"/>
        </w:rPr>
        <w:t>按照国家和地方有关规定设置规范的污染物排放口，按要求建设监控感知端，并设立标志牌。按照相关标准、规范等要求，落实《报告书》提出的环境管理及监测计划。强化污染源与无组织排放源管理，制定自行监测方案，落实环境管理与监测计划，按规定开展自行监测和信息公开。如出现污染物超标情况，应立即查明原因并采取进一步污染物减排措施。</w:t>
      </w:r>
    </w:p>
    <w:p w14:paraId="0A6F2216">
      <w:pPr>
        <w:keepNext w:val="0"/>
        <w:keepLines w:val="0"/>
        <w:pageBreakBefore w:val="0"/>
        <w:widowControl w:val="0"/>
        <w:numPr>
          <w:ilvl w:val="0"/>
          <w:numId w:val="0"/>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kern w:val="2"/>
          <w:sz w:val="32"/>
          <w:szCs w:val="32"/>
          <w:highlight w:val="none"/>
          <w:lang w:val="en-US" w:eastAsia="zh-CN" w:bidi="ar-SA"/>
        </w:rPr>
        <w:t>三、项</w:t>
      </w:r>
      <w:r>
        <w:rPr>
          <w:rFonts w:hint="eastAsia" w:ascii="仿宋_GB2312" w:hAnsi="仿宋_GB2312" w:eastAsia="仿宋_GB2312" w:cs="仿宋_GB2312"/>
          <w:color w:val="auto"/>
          <w:sz w:val="32"/>
          <w:szCs w:val="32"/>
          <w:lang w:bidi="en-US"/>
        </w:rPr>
        <w:t>目建设必须严格执行配套的环境保护设施与主体工程同时设计、同时施工、同时投产使用的环境保护“三同时”制度。严格落实污染防治措施设计要求。应将优化和细化后的各项污染防治措施及概算纳入设计以及施工等招标文件及合同，并明确责任。按规定程序实施竣工环境保护验收。</w:t>
      </w:r>
    </w:p>
    <w:p w14:paraId="37749BCC">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kern w:val="2"/>
          <w:sz w:val="32"/>
          <w:szCs w:val="32"/>
          <w:highlight w:val="none"/>
          <w:lang w:val="en-US" w:eastAsia="zh-CN" w:bidi="ar-SA"/>
        </w:rPr>
        <w:t>四、我局</w:t>
      </w:r>
      <w:r>
        <w:rPr>
          <w:rFonts w:hint="eastAsia" w:ascii="仿宋_GB2312" w:hAnsi="仿宋_GB2312" w:eastAsia="仿宋_GB2312" w:cs="仿宋_GB2312"/>
          <w:color w:val="auto"/>
          <w:sz w:val="32"/>
          <w:szCs w:val="32"/>
          <w:lang w:bidi="en-US"/>
        </w:rPr>
        <w:t>委托锡林郭勒盟生态环境局</w:t>
      </w:r>
      <w:r>
        <w:rPr>
          <w:rFonts w:hint="eastAsia" w:ascii="仿宋_GB2312" w:hAnsi="仿宋_GB2312" w:eastAsia="仿宋_GB2312" w:cs="仿宋_GB2312"/>
          <w:color w:val="auto"/>
          <w:sz w:val="32"/>
          <w:szCs w:val="32"/>
          <w:lang w:eastAsia="zh-CN" w:bidi="en-US"/>
        </w:rPr>
        <w:t>锡林浩特市分局</w:t>
      </w:r>
      <w:r>
        <w:rPr>
          <w:rFonts w:hint="eastAsia" w:ascii="仿宋_GB2312" w:hAnsi="仿宋_GB2312" w:eastAsia="仿宋_GB2312" w:cs="仿宋_GB2312"/>
          <w:color w:val="auto"/>
          <w:sz w:val="32"/>
          <w:szCs w:val="32"/>
          <w:lang w:bidi="en-US"/>
        </w:rPr>
        <w:t>对该项目各项污染防治措施落实情况进行监督检查和管理。</w:t>
      </w:r>
    </w:p>
    <w:p w14:paraId="161E6C8F">
      <w:pPr>
        <w:rPr>
          <w:rFonts w:hint="eastAsia"/>
          <w:color w:val="auto"/>
        </w:rPr>
      </w:pPr>
    </w:p>
    <w:p w14:paraId="1C0ED14A">
      <w:pPr>
        <w:keepNext w:val="0"/>
        <w:keepLines w:val="0"/>
        <w:pageBreakBefore w:val="0"/>
        <w:widowControl w:val="0"/>
        <w:kinsoku/>
        <w:wordWrap/>
        <w:overflowPunct/>
        <w:autoSpaceDE w:val="0"/>
        <w:autoSpaceDN w:val="0"/>
        <w:bidi w:val="0"/>
        <w:adjustRightInd w:val="0"/>
        <w:snapToGrid w:val="0"/>
        <w:spacing w:line="560" w:lineRule="exact"/>
        <w:ind w:firstLine="4160" w:firstLineChars="1300"/>
        <w:textAlignment w:val="auto"/>
        <w:rPr>
          <w:rFonts w:hint="eastAsia" w:ascii="仿宋_GB2312" w:hAnsi="仿宋_GB2312" w:eastAsia="仿宋_GB2312" w:cs="仿宋_GB2312"/>
          <w:color w:val="auto"/>
          <w:sz w:val="32"/>
          <w:szCs w:val="32"/>
          <w:highlight w:val="none"/>
          <w:lang w:bidi="en-US"/>
        </w:rPr>
      </w:pPr>
      <w:r>
        <w:rPr>
          <w:rFonts w:hint="eastAsia" w:ascii="仿宋_GB2312" w:hAnsi="仿宋_GB2312" w:eastAsia="仿宋_GB2312" w:cs="仿宋_GB2312"/>
          <w:color w:val="auto"/>
          <w:sz w:val="32"/>
          <w:szCs w:val="32"/>
          <w:lang w:bidi="en-US"/>
        </w:rPr>
        <w:t>锡林</w:t>
      </w:r>
      <w:r>
        <w:rPr>
          <w:rFonts w:hint="eastAsia" w:ascii="仿宋_GB2312" w:hAnsi="仿宋_GB2312" w:eastAsia="仿宋_GB2312" w:cs="仿宋_GB2312"/>
          <w:color w:val="auto"/>
          <w:sz w:val="32"/>
          <w:szCs w:val="32"/>
          <w:highlight w:val="none"/>
          <w:lang w:bidi="en-US"/>
        </w:rPr>
        <w:t>郭勒盟生态环境局</w:t>
      </w:r>
    </w:p>
    <w:p w14:paraId="250D5CDB">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r>
        <w:rPr>
          <w:rFonts w:hint="eastAsia" w:ascii="仿宋_GB2312" w:hAnsi="仿宋_GB2312" w:eastAsia="仿宋_GB2312" w:cs="仿宋_GB2312"/>
          <w:color w:val="auto"/>
          <w:sz w:val="32"/>
          <w:szCs w:val="32"/>
          <w:highlight w:val="none"/>
          <w:lang w:bidi="en-US"/>
        </w:rPr>
        <w:t>202</w:t>
      </w:r>
      <w:r>
        <w:rPr>
          <w:rFonts w:hint="eastAsia" w:ascii="仿宋_GB2312" w:hAnsi="仿宋_GB2312" w:eastAsia="仿宋_GB2312" w:cs="仿宋_GB2312"/>
          <w:color w:val="auto"/>
          <w:sz w:val="32"/>
          <w:szCs w:val="32"/>
          <w:highlight w:val="none"/>
          <w:lang w:val="en-US" w:eastAsia="zh-CN" w:bidi="en-US"/>
        </w:rPr>
        <w:t>5</w:t>
      </w:r>
      <w:r>
        <w:rPr>
          <w:rFonts w:hint="eastAsia" w:ascii="仿宋_GB2312" w:hAnsi="仿宋_GB2312" w:eastAsia="仿宋_GB2312" w:cs="仿宋_GB2312"/>
          <w:color w:val="auto"/>
          <w:sz w:val="32"/>
          <w:szCs w:val="32"/>
          <w:highlight w:val="none"/>
          <w:lang w:bidi="en-US"/>
        </w:rPr>
        <w:t>年</w:t>
      </w:r>
      <w:r>
        <w:rPr>
          <w:rFonts w:hint="eastAsia" w:ascii="仿宋_GB2312" w:hAnsi="仿宋_GB2312" w:eastAsia="仿宋_GB2312" w:cs="仿宋_GB2312"/>
          <w:color w:val="auto"/>
          <w:sz w:val="32"/>
          <w:szCs w:val="32"/>
          <w:highlight w:val="none"/>
          <w:lang w:val="en-US" w:eastAsia="zh-CN" w:bidi="en-US"/>
        </w:rPr>
        <w:t>6</w:t>
      </w:r>
      <w:r>
        <w:rPr>
          <w:rFonts w:hint="eastAsia" w:ascii="仿宋_GB2312" w:hAnsi="仿宋_GB2312" w:eastAsia="仿宋_GB2312" w:cs="仿宋_GB2312"/>
          <w:color w:val="auto"/>
          <w:sz w:val="32"/>
          <w:szCs w:val="32"/>
          <w:highlight w:val="none"/>
          <w:lang w:bidi="en-US"/>
        </w:rPr>
        <w:t>月</w:t>
      </w:r>
      <w:r>
        <w:rPr>
          <w:rFonts w:hint="eastAsia" w:ascii="仿宋_GB2312" w:hAnsi="仿宋_GB2312" w:eastAsia="仿宋_GB2312" w:cs="仿宋_GB2312"/>
          <w:color w:val="auto"/>
          <w:sz w:val="32"/>
          <w:szCs w:val="32"/>
          <w:highlight w:val="none"/>
          <w:lang w:val="en-US" w:eastAsia="zh-CN" w:bidi="en-US"/>
        </w:rPr>
        <w:t>16</w:t>
      </w:r>
      <w:r>
        <w:rPr>
          <w:rFonts w:hint="eastAsia" w:ascii="仿宋_GB2312" w:hAnsi="仿宋_GB2312" w:eastAsia="仿宋_GB2312" w:cs="仿宋_GB2312"/>
          <w:color w:val="auto"/>
          <w:sz w:val="32"/>
          <w:szCs w:val="32"/>
          <w:highlight w:val="none"/>
          <w:lang w:bidi="en-US"/>
        </w:rPr>
        <w:t>日</w:t>
      </w:r>
    </w:p>
    <w:p w14:paraId="636235D3">
      <w:pPr>
        <w:rPr>
          <w:rFonts w:hint="eastAsia" w:ascii="仿宋" w:hAnsi="仿宋" w:eastAsia="仿宋" w:cs="仿宋"/>
          <w:color w:val="auto"/>
          <w:highlight w:val="none"/>
        </w:rPr>
      </w:pPr>
    </w:p>
    <w:p w14:paraId="235A5DD3">
      <w:pPr>
        <w:pStyle w:val="16"/>
        <w:keepNext w:val="0"/>
        <w:keepLines w:val="0"/>
        <w:pageBreakBefore w:val="0"/>
        <w:widowControl w:val="0"/>
        <w:kinsoku/>
        <w:wordWrap/>
        <w:overflowPunct/>
        <w:topLinePunct w:val="0"/>
        <w:bidi w:val="0"/>
        <w:snapToGrid/>
        <w:spacing w:line="500" w:lineRule="exact"/>
        <w:jc w:val="both"/>
        <w:textAlignment w:val="auto"/>
        <w:rPr>
          <w:rFonts w:hint="eastAsia" w:ascii="仿宋" w:hAnsi="仿宋" w:eastAsia="仿宋" w:cs="仿宋"/>
          <w:color w:val="auto"/>
          <w:kern w:val="2"/>
          <w:sz w:val="28"/>
          <w:szCs w:val="28"/>
          <w:highlight w:val="none"/>
          <w:lang w:eastAsia="zh-CN" w:bidi="en-US"/>
        </w:rPr>
      </w:pPr>
      <w:r>
        <w:rPr>
          <w:rFonts w:hint="eastAsia" w:ascii="仿宋" w:hAnsi="仿宋" w:eastAsia="仿宋" w:cs="仿宋"/>
          <w:color w:val="auto"/>
          <w:kern w:val="2"/>
          <w:sz w:val="28"/>
          <w:szCs w:val="28"/>
          <w:highlight w:val="none"/>
          <w:lang w:bidi="en-US"/>
        </w:rPr>
        <w:t>抄送：盟生态环境综合行政执法支队</w:t>
      </w:r>
      <w:r>
        <w:rPr>
          <w:rFonts w:hint="eastAsia" w:ascii="仿宋" w:hAnsi="仿宋" w:eastAsia="仿宋" w:cs="仿宋"/>
          <w:color w:val="auto"/>
          <w:kern w:val="2"/>
          <w:sz w:val="28"/>
          <w:szCs w:val="28"/>
          <w:highlight w:val="none"/>
          <w:lang w:eastAsia="zh-CN" w:bidi="en-US"/>
        </w:rPr>
        <w:t>，</w:t>
      </w:r>
      <w:r>
        <w:rPr>
          <w:rFonts w:hint="eastAsia" w:ascii="仿宋" w:hAnsi="仿宋" w:eastAsia="仿宋" w:cs="仿宋"/>
          <w:color w:val="auto"/>
          <w:kern w:val="2"/>
          <w:sz w:val="28"/>
          <w:szCs w:val="28"/>
          <w:highlight w:val="none"/>
          <w:lang w:bidi="en-US"/>
        </w:rPr>
        <w:t>盟生态环</w:t>
      </w:r>
      <w:r>
        <w:rPr>
          <w:rFonts w:hint="eastAsia" w:ascii="仿宋" w:hAnsi="仿宋" w:eastAsia="仿宋" w:cs="仿宋"/>
          <w:color w:val="000000" w:themeColor="text1"/>
          <w:kern w:val="2"/>
          <w:sz w:val="28"/>
          <w:szCs w:val="28"/>
          <w:highlight w:val="none"/>
          <w:lang w:bidi="en-US"/>
          <w14:textFill>
            <w14:solidFill>
              <w14:schemeClr w14:val="tx1"/>
            </w14:solidFill>
          </w14:textFill>
        </w:rPr>
        <w:t>境局</w:t>
      </w:r>
      <w:r>
        <w:rPr>
          <w:rFonts w:hint="eastAsia" w:ascii="仿宋" w:hAnsi="仿宋" w:eastAsia="仿宋" w:cs="仿宋"/>
          <w:color w:val="000000" w:themeColor="text1"/>
          <w:kern w:val="2"/>
          <w:sz w:val="28"/>
          <w:szCs w:val="28"/>
          <w:highlight w:val="none"/>
          <w:lang w:eastAsia="zh-CN" w:bidi="en-US"/>
          <w14:textFill>
            <w14:solidFill>
              <w14:schemeClr w14:val="tx1"/>
            </w14:solidFill>
          </w14:textFill>
        </w:rPr>
        <w:t>锡林浩特市分</w:t>
      </w:r>
      <w:r>
        <w:rPr>
          <w:rFonts w:hint="eastAsia" w:ascii="仿宋" w:hAnsi="仿宋" w:eastAsia="仿宋" w:cs="仿宋"/>
          <w:color w:val="auto"/>
          <w:kern w:val="2"/>
          <w:sz w:val="28"/>
          <w:szCs w:val="28"/>
          <w:highlight w:val="none"/>
          <w:lang w:eastAsia="zh-CN" w:bidi="en-US"/>
        </w:rPr>
        <w:t>局</w:t>
      </w:r>
    </w:p>
    <w:p w14:paraId="3F3C8E95">
      <w:pPr>
        <w:keepNext w:val="0"/>
        <w:keepLines w:val="0"/>
        <w:pageBreakBefore w:val="0"/>
        <w:widowControl w:val="0"/>
        <w:pBdr>
          <w:top w:val="single" w:color="auto" w:sz="4" w:space="1"/>
          <w:left w:val="none" w:color="auto" w:sz="0" w:space="4"/>
          <w:bottom w:val="single" w:color="auto" w:sz="4" w:space="1"/>
          <w:right w:val="none" w:color="auto" w:sz="0" w:space="4"/>
        </w:pBdr>
        <w:kinsoku/>
        <w:wordWrap/>
        <w:overflowPunct/>
        <w:topLinePunct w:val="0"/>
        <w:bidi w:val="0"/>
        <w:snapToGrid/>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锡林郭勒盟生态环境局办公室             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16</w:t>
      </w:r>
      <w:r>
        <w:rPr>
          <w:rFonts w:hint="eastAsia" w:ascii="仿宋" w:hAnsi="仿宋" w:eastAsia="仿宋" w:cs="仿宋"/>
          <w:color w:val="auto"/>
          <w:sz w:val="28"/>
          <w:szCs w:val="28"/>
          <w:highlight w:val="none"/>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797F4">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297042">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F297042">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EEF49"/>
    <w:multiLevelType w:val="singleLevel"/>
    <w:tmpl w:val="DBDEEF49"/>
    <w:lvl w:ilvl="0" w:tentative="0">
      <w:start w:val="3"/>
      <w:numFmt w:val="chineseCounting"/>
      <w:suff w:val="nothing"/>
      <w:lvlText w:val="（%1）"/>
      <w:lvlJc w:val="left"/>
      <w:rPr>
        <w:rFonts w:hint="eastAsia" w:ascii="华文楷体" w:hAnsi="华文楷体" w:eastAsia="华文楷体" w:cs="华文楷体"/>
        <w:sz w:val="32"/>
        <w:szCs w:val="32"/>
      </w:rPr>
    </w:lvl>
  </w:abstractNum>
  <w:abstractNum w:abstractNumId="1">
    <w:nsid w:val="4B940A54"/>
    <w:multiLevelType w:val="singleLevel"/>
    <w:tmpl w:val="4B940A54"/>
    <w:lvl w:ilvl="0" w:tentative="0">
      <w:start w:val="4"/>
      <w:numFmt w:val="chineseCounting"/>
      <w:suff w:val="nothing"/>
      <w:lvlText w:val="（%1）"/>
      <w:lvlJc w:val="left"/>
      <w:rPr>
        <w:rFonts w:hint="eastAsia" w:ascii="楷体" w:hAnsi="楷体" w:eastAsia="楷体" w:cs="楷体"/>
        <w:b w:val="0"/>
        <w:bCs w:val="0"/>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ZjliNThiMThmZTZiMTZlZjM4YWI1NWNjNGNiZjYifQ=="/>
  </w:docVars>
  <w:rsids>
    <w:rsidRoot w:val="00BE15C5"/>
    <w:rsid w:val="00096BAA"/>
    <w:rsid w:val="001577BB"/>
    <w:rsid w:val="00157C95"/>
    <w:rsid w:val="001A08E0"/>
    <w:rsid w:val="0023504A"/>
    <w:rsid w:val="00275F15"/>
    <w:rsid w:val="0029260D"/>
    <w:rsid w:val="0030521F"/>
    <w:rsid w:val="00314696"/>
    <w:rsid w:val="00333BAE"/>
    <w:rsid w:val="00351DD5"/>
    <w:rsid w:val="0036799A"/>
    <w:rsid w:val="003F6E8C"/>
    <w:rsid w:val="00565FD0"/>
    <w:rsid w:val="006D5A5C"/>
    <w:rsid w:val="0078439C"/>
    <w:rsid w:val="008169E9"/>
    <w:rsid w:val="008B4F82"/>
    <w:rsid w:val="008C5ED5"/>
    <w:rsid w:val="00977DFE"/>
    <w:rsid w:val="00981820"/>
    <w:rsid w:val="00A74547"/>
    <w:rsid w:val="00B3474C"/>
    <w:rsid w:val="00BB3EEE"/>
    <w:rsid w:val="00BE15C5"/>
    <w:rsid w:val="00C054DA"/>
    <w:rsid w:val="00C23C2B"/>
    <w:rsid w:val="00C769C0"/>
    <w:rsid w:val="00CA00EE"/>
    <w:rsid w:val="00D14C38"/>
    <w:rsid w:val="00D37553"/>
    <w:rsid w:val="00DA6EE3"/>
    <w:rsid w:val="00E76C09"/>
    <w:rsid w:val="00F13EA9"/>
    <w:rsid w:val="00F96E63"/>
    <w:rsid w:val="00FF17CD"/>
    <w:rsid w:val="019C606F"/>
    <w:rsid w:val="023F66B6"/>
    <w:rsid w:val="033C2BF5"/>
    <w:rsid w:val="04082137"/>
    <w:rsid w:val="04D60042"/>
    <w:rsid w:val="05FD1001"/>
    <w:rsid w:val="064265FE"/>
    <w:rsid w:val="065A7A8E"/>
    <w:rsid w:val="07E80A5E"/>
    <w:rsid w:val="08125FE6"/>
    <w:rsid w:val="09F707CE"/>
    <w:rsid w:val="0A055186"/>
    <w:rsid w:val="0B1701D0"/>
    <w:rsid w:val="0C7A4895"/>
    <w:rsid w:val="0D6D6C1D"/>
    <w:rsid w:val="0EE27BE5"/>
    <w:rsid w:val="109F048E"/>
    <w:rsid w:val="133A3E29"/>
    <w:rsid w:val="134A4ECA"/>
    <w:rsid w:val="13EB21F9"/>
    <w:rsid w:val="1B7C0676"/>
    <w:rsid w:val="1BF2CB73"/>
    <w:rsid w:val="1D61177E"/>
    <w:rsid w:val="1F9C573C"/>
    <w:rsid w:val="20C67501"/>
    <w:rsid w:val="20E00C0C"/>
    <w:rsid w:val="22B733D3"/>
    <w:rsid w:val="26B75F6B"/>
    <w:rsid w:val="270A5106"/>
    <w:rsid w:val="29D8150D"/>
    <w:rsid w:val="2CF929A0"/>
    <w:rsid w:val="2D875092"/>
    <w:rsid w:val="2F1F3E8C"/>
    <w:rsid w:val="2F2B74F6"/>
    <w:rsid w:val="2F7E7F6E"/>
    <w:rsid w:val="3812264D"/>
    <w:rsid w:val="3AD90E3C"/>
    <w:rsid w:val="3BFB7ADD"/>
    <w:rsid w:val="3C4B2A92"/>
    <w:rsid w:val="3EDBBAD3"/>
    <w:rsid w:val="3FC31BD1"/>
    <w:rsid w:val="445D3A2B"/>
    <w:rsid w:val="466622E2"/>
    <w:rsid w:val="46B26845"/>
    <w:rsid w:val="4A3B72B4"/>
    <w:rsid w:val="4CDD40CE"/>
    <w:rsid w:val="4EC33F0B"/>
    <w:rsid w:val="501114FC"/>
    <w:rsid w:val="51B03B5F"/>
    <w:rsid w:val="55621614"/>
    <w:rsid w:val="56990422"/>
    <w:rsid w:val="5C1271C4"/>
    <w:rsid w:val="5C8C51C9"/>
    <w:rsid w:val="5DD60DF1"/>
    <w:rsid w:val="5DFFD6AD"/>
    <w:rsid w:val="5FA70BB0"/>
    <w:rsid w:val="617526E2"/>
    <w:rsid w:val="640E5DD6"/>
    <w:rsid w:val="640F77AC"/>
    <w:rsid w:val="6479615F"/>
    <w:rsid w:val="65980358"/>
    <w:rsid w:val="67927E4C"/>
    <w:rsid w:val="68146F4B"/>
    <w:rsid w:val="68387D94"/>
    <w:rsid w:val="69CC12A6"/>
    <w:rsid w:val="6D337A9A"/>
    <w:rsid w:val="6D965EA7"/>
    <w:rsid w:val="6E1A4AAF"/>
    <w:rsid w:val="6FD159E5"/>
    <w:rsid w:val="6FEE6D0C"/>
    <w:rsid w:val="70EA0941"/>
    <w:rsid w:val="71FFDCEE"/>
    <w:rsid w:val="737F42A4"/>
    <w:rsid w:val="751F6782"/>
    <w:rsid w:val="756C3B4F"/>
    <w:rsid w:val="776575C6"/>
    <w:rsid w:val="77A04D8F"/>
    <w:rsid w:val="77A23F56"/>
    <w:rsid w:val="77FB60A4"/>
    <w:rsid w:val="78CC1696"/>
    <w:rsid w:val="795254DD"/>
    <w:rsid w:val="79F6371A"/>
    <w:rsid w:val="7CE53CE8"/>
    <w:rsid w:val="7E5356DB"/>
    <w:rsid w:val="7F590AE3"/>
    <w:rsid w:val="7F6C2C5A"/>
    <w:rsid w:val="7F7C8CD3"/>
    <w:rsid w:val="7F7CE8F3"/>
    <w:rsid w:val="7FD6261A"/>
    <w:rsid w:val="97FFBFF7"/>
    <w:rsid w:val="AFDFA893"/>
    <w:rsid w:val="B6FB1ACB"/>
    <w:rsid w:val="BBFD157B"/>
    <w:rsid w:val="BBFFB394"/>
    <w:rsid w:val="BDB9872E"/>
    <w:rsid w:val="CF77A9DB"/>
    <w:rsid w:val="DBAFDD4B"/>
    <w:rsid w:val="DBD5EE8A"/>
    <w:rsid w:val="DF671AB1"/>
    <w:rsid w:val="E7FD0A82"/>
    <w:rsid w:val="EF6F4B52"/>
    <w:rsid w:val="EFEB112C"/>
    <w:rsid w:val="F3FD86CF"/>
    <w:rsid w:val="F4FE1E3B"/>
    <w:rsid w:val="FC7D141F"/>
    <w:rsid w:val="FE9F3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4"/>
    <w:basedOn w:val="1"/>
    <w:next w:val="1"/>
    <w:unhideWhenUsed/>
    <w:qFormat/>
    <w:uiPriority w:val="9"/>
    <w:pPr>
      <w:keepNext/>
      <w:keepLines/>
      <w:adjustRightInd w:val="0"/>
      <w:snapToGrid w:val="0"/>
      <w:jc w:val="left"/>
      <w:outlineLvl w:val="3"/>
    </w:pPr>
    <w:rPr>
      <w:rFonts w:cstheme="majorBidi"/>
      <w:b/>
      <w:bCs/>
      <w:szCs w:val="28"/>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Times New Roman" w:hAnsi="Times New Roman" w:eastAsia="宋体"/>
      <w:szCs w:val="24"/>
    </w:rPr>
  </w:style>
  <w:style w:type="paragraph" w:styleId="3">
    <w:name w:val="Body Text First Indent 2"/>
    <w:basedOn w:val="4"/>
    <w:next w:val="1"/>
    <w:qFormat/>
    <w:uiPriority w:val="0"/>
    <w:pPr>
      <w:adjustRightInd w:val="0"/>
      <w:ind w:firstLine="420"/>
      <w:textAlignment w:val="baseline"/>
    </w:pPr>
    <w:rPr>
      <w:rFonts w:ascii="宋体" w:hAnsi="宋体"/>
      <w:sz w:val="18"/>
      <w:szCs w:val="18"/>
    </w:rPr>
  </w:style>
  <w:style w:type="paragraph" w:styleId="4">
    <w:name w:val="Body Text Indent"/>
    <w:basedOn w:val="1"/>
    <w:qFormat/>
    <w:uiPriority w:val="0"/>
    <w:pPr>
      <w:spacing w:after="120"/>
      <w:ind w:left="420" w:leftChars="200"/>
    </w:pPr>
    <w:rPr>
      <w:rFonts w:ascii="Times New Roman" w:hAnsi="Times New Roman" w:eastAsia="宋体" w:cs="Times New Roman"/>
      <w:szCs w:val="20"/>
    </w:rPr>
  </w:style>
  <w:style w:type="paragraph" w:styleId="6">
    <w:name w:val="annotation text"/>
    <w:basedOn w:val="1"/>
    <w:link w:val="24"/>
    <w:semiHidden/>
    <w:unhideWhenUsed/>
    <w:qFormat/>
    <w:uiPriority w:val="99"/>
    <w:pPr>
      <w:jc w:val="left"/>
    </w:p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left" w:pos="284"/>
        <w:tab w:val="right" w:leader="dot" w:pos="8296"/>
      </w:tabs>
    </w:pPr>
  </w:style>
  <w:style w:type="paragraph" w:styleId="10">
    <w:name w:val="annotation subject"/>
    <w:basedOn w:val="6"/>
    <w:next w:val="6"/>
    <w:link w:val="25"/>
    <w:semiHidden/>
    <w:unhideWhenUsed/>
    <w:qFormat/>
    <w:uiPriority w:val="99"/>
    <w:rPr>
      <w:b/>
      <w:bCs/>
    </w:r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paragraph" w:customStyle="1" w:styleId="15">
    <w:name w:val="[1]正文"/>
    <w:basedOn w:val="1"/>
    <w:qFormat/>
    <w:uiPriority w:val="0"/>
    <w:pPr>
      <w:autoSpaceDE w:val="0"/>
      <w:autoSpaceDN w:val="0"/>
      <w:ind w:left="0" w:leftChars="0" w:firstLine="200" w:firstLineChars="200"/>
    </w:pPr>
    <w:rPr>
      <w:rFonts w:ascii="Times New Roman" w:hAnsi="Times New Roman" w:eastAsia="宋体" w:cs="Times New Roman"/>
      <w:color w:val="000000"/>
      <w:kern w:val="0"/>
      <w:szCs w:val="24"/>
      <w:lang w:val="zh-CN"/>
    </w:rPr>
  </w:style>
  <w:style w:type="paragraph" w:customStyle="1" w:styleId="16">
    <w:name w:val="Default"/>
    <w:basedOn w:val="17"/>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纯文本1"/>
    <w:basedOn w:val="1"/>
    <w:qFormat/>
    <w:uiPriority w:val="0"/>
    <w:rPr>
      <w:rFonts w:ascii="宋体" w:hAnsi="Courier New"/>
      <w:szCs w:val="20"/>
    </w:rPr>
  </w:style>
  <w:style w:type="paragraph" w:customStyle="1" w:styleId="18">
    <w:name w:val="正文1"/>
    <w:basedOn w:val="16"/>
    <w:next w:val="1"/>
    <w:qFormat/>
    <w:uiPriority w:val="0"/>
    <w:pPr>
      <w:tabs>
        <w:tab w:val="left" w:pos="0"/>
        <w:tab w:val="left" w:pos="7012"/>
      </w:tabs>
      <w:autoSpaceDE w:val="0"/>
      <w:autoSpaceDN w:val="0"/>
      <w:spacing w:beforeLines="25" w:afterLines="25" w:line="360" w:lineRule="auto"/>
      <w:ind w:firstLine="480" w:firstLineChars="200"/>
    </w:pPr>
    <w:rPr>
      <w:rFonts w:ascii="宋体" w:hAnsi="Calibri" w:cs="宋体"/>
      <w:color w:val="000000"/>
      <w:sz w:val="24"/>
      <w:szCs w:val="24"/>
    </w:rPr>
  </w:style>
  <w:style w:type="character" w:customStyle="1" w:styleId="19">
    <w:name w:val="未处理的提及1"/>
    <w:basedOn w:val="12"/>
    <w:semiHidden/>
    <w:unhideWhenUsed/>
    <w:qFormat/>
    <w:uiPriority w:val="99"/>
    <w:rPr>
      <w:color w:val="605E5C"/>
      <w:shd w:val="clear" w:color="auto" w:fill="E1DFDD"/>
    </w:rPr>
  </w:style>
  <w:style w:type="character" w:customStyle="1" w:styleId="20">
    <w:name w:val="页眉 字符"/>
    <w:basedOn w:val="12"/>
    <w:link w:val="8"/>
    <w:qFormat/>
    <w:uiPriority w:val="99"/>
    <w:rPr>
      <w:kern w:val="2"/>
      <w:sz w:val="18"/>
      <w:szCs w:val="18"/>
    </w:rPr>
  </w:style>
  <w:style w:type="paragraph" w:customStyle="1" w:styleId="21">
    <w:name w:val="表文"/>
    <w:basedOn w:val="1"/>
    <w:qFormat/>
    <w:uiPriority w:val="0"/>
    <w:pPr>
      <w:overflowPunct w:val="0"/>
      <w:spacing w:line="440" w:lineRule="exact"/>
      <w:jc w:val="center"/>
      <w:textAlignment w:val="baseline"/>
    </w:pPr>
    <w:rPr>
      <w:rFonts w:ascii="Arial" w:hAnsi="Arial" w:eastAsia="宋体" w:cs="Times New Roman"/>
      <w:szCs w:val="20"/>
    </w:rPr>
  </w:style>
  <w:style w:type="paragraph" w:customStyle="1" w:styleId="22">
    <w:name w:val="样式 (符号) 宋体 小四 行距: 1.5 倍行距"/>
    <w:basedOn w:val="1"/>
    <w:qFormat/>
    <w:uiPriority w:val="0"/>
    <w:pPr>
      <w:spacing w:line="360" w:lineRule="auto"/>
      <w:ind w:firstLine="200" w:firstLineChars="200"/>
    </w:pPr>
    <w:rPr>
      <w:rFonts w:ascii="Times New Roman" w:hAnsi="Times New Roman" w:eastAsia="宋体" w:cs="宋体"/>
      <w:sz w:val="24"/>
      <w:szCs w:val="24"/>
    </w:rPr>
  </w:style>
  <w:style w:type="paragraph" w:styleId="23">
    <w:name w:val="List Paragraph"/>
    <w:basedOn w:val="1"/>
    <w:qFormat/>
    <w:uiPriority w:val="99"/>
    <w:pPr>
      <w:ind w:firstLine="420" w:firstLineChars="200"/>
    </w:pPr>
  </w:style>
  <w:style w:type="character" w:customStyle="1" w:styleId="24">
    <w:name w:val="批注文字 字符"/>
    <w:basedOn w:val="12"/>
    <w:link w:val="6"/>
    <w:semiHidden/>
    <w:qFormat/>
    <w:uiPriority w:val="99"/>
    <w:rPr>
      <w:kern w:val="2"/>
      <w:sz w:val="21"/>
      <w:szCs w:val="22"/>
    </w:rPr>
  </w:style>
  <w:style w:type="character" w:customStyle="1" w:styleId="25">
    <w:name w:val="批注主题 字符"/>
    <w:basedOn w:val="24"/>
    <w:link w:val="10"/>
    <w:semiHidden/>
    <w:qFormat/>
    <w:uiPriority w:val="99"/>
    <w:rPr>
      <w:b/>
      <w:bCs/>
      <w:kern w:val="2"/>
      <w:sz w:val="21"/>
      <w:szCs w:val="22"/>
    </w:rPr>
  </w:style>
  <w:style w:type="paragraph" w:customStyle="1" w:styleId="26">
    <w:name w:val="高-正文"/>
    <w:basedOn w:val="1"/>
    <w:qFormat/>
    <w:uiPriority w:val="0"/>
    <w:pPr>
      <w:topLinePunct/>
      <w:adjustRightInd w:val="0"/>
      <w:snapToGrid w:val="0"/>
      <w:spacing w:line="480" w:lineRule="exact"/>
      <w:ind w:firstLine="600"/>
    </w:pPr>
    <w:rPr>
      <w:rFonts w:ascii="等线" w:hAnsi="等线" w:eastAsia="等线"/>
    </w:rPr>
  </w:style>
  <w:style w:type="paragraph" w:customStyle="1" w:styleId="27">
    <w:name w:val="报告书正文"/>
    <w:basedOn w:val="1"/>
    <w:qFormat/>
    <w:uiPriority w:val="0"/>
    <w:pPr>
      <w:adjustRightInd w:val="0"/>
      <w:snapToGrid w:val="0"/>
      <w:spacing w:line="360" w:lineRule="auto"/>
      <w:ind w:firstLine="425" w:firstLineChars="200"/>
      <w:textAlignment w:val="baseline"/>
    </w:pPr>
    <w:rPr>
      <w:rFonts w:ascii="Arial" w:hAnsi="Arial"/>
      <w:kern w:val="0"/>
      <w:sz w:val="24"/>
      <w:szCs w:val="22"/>
      <w:lang w:eastAsia="en-US" w:bidi="en-US"/>
    </w:rPr>
  </w:style>
  <w:style w:type="paragraph" w:customStyle="1" w:styleId="28">
    <w:name w:val="报告正文"/>
    <w:basedOn w:val="1"/>
    <w:qFormat/>
    <w:uiPriority w:val="0"/>
    <w:pPr>
      <w:adjustRightInd w:val="0"/>
      <w:snapToGrid w:val="0"/>
      <w:spacing w:line="360" w:lineRule="auto"/>
      <w:ind w:firstLine="482" w:firstLineChars="200"/>
    </w:pPr>
    <w:rPr>
      <w:color w:val="000000"/>
      <w:sz w:val="24"/>
      <w:szCs w:val="21"/>
    </w:rPr>
  </w:style>
  <w:style w:type="paragraph" w:customStyle="1" w:styleId="29">
    <w:name w:val="正文2"/>
    <w:basedOn w:val="1"/>
    <w:qFormat/>
    <w:uiPriority w:val="0"/>
    <w:pPr>
      <w:spacing w:line="360" w:lineRule="auto"/>
      <w:ind w:firstLine="200" w:firstLineChars="200"/>
    </w:pPr>
    <w:rPr>
      <w:rFonts w:ascii="Times New Roman" w:hAnsi="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1871</Words>
  <Characters>1966</Characters>
  <Lines>19</Lines>
  <Paragraphs>5</Paragraphs>
  <TotalTime>1</TotalTime>
  <ScaleCrop>false</ScaleCrop>
  <LinksUpToDate>false</LinksUpToDate>
  <CharactersWithSpaces>1979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2023-02-02T09:32:00Z</dcterms:created>
  <dc:creator>hui hui</dc:creator>
  <cp:lastModifiedBy>ོʚ 中ོ然ོ ɞ</cp:lastModifiedBy>
  <cp:lastPrinted>2023-02-02T09:39:00Z</cp:lastPrinted>
  <dcterms:modified xsi:type="dcterms:W3CDTF">2025-06-17T01:27:50Z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0532AF6A40D34D20A15DC096A5B61691_13</vt:lpwstr>
  </property>
  <property fmtid="{D5CDD505-2E9C-101B-9397-08002B2CF9AE}" pid="4" name="KSOTemplateDocerSaveRecord">
    <vt:lpwstr>eyJoZGlkIjoiNTk0MDc0MWE2MzMxMjkwZmE5ODU4OGMzYzc5YjkzMTAiLCJ1c2VySWQiOiI1NDkxMDYxNjAifQ==</vt:lpwstr>
  </property>
</Properties>
</file>