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9C0EB">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bookmarkStart w:id="0" w:name="_Hlk124747957"/>
    </w:p>
    <w:p w14:paraId="40286FA1">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4F5E4F9D">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592C20E3">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09474387">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57598793">
      <w:pPr>
        <w:pStyle w:val="27"/>
        <w:keepNext w:val="0"/>
        <w:keepLines w:val="0"/>
        <w:pageBreakBefore w:val="0"/>
        <w:kinsoku/>
        <w:wordWrap/>
        <w:overflowPunct/>
        <w:topLinePunct w:val="0"/>
        <w:bidi w:val="0"/>
        <w:spacing w:line="560" w:lineRule="exact"/>
        <w:ind w:left="0" w:leftChars="0" w:firstLine="0" w:firstLineChars="0"/>
        <w:rPr>
          <w:rFonts w:hint="eastAsia"/>
          <w:sz w:val="32"/>
          <w:szCs w:val="32"/>
          <w:highlight w:val="yellow"/>
        </w:rPr>
      </w:pPr>
    </w:p>
    <w:p w14:paraId="3B38FC04">
      <w:pPr>
        <w:keepNext w:val="0"/>
        <w:keepLines w:val="0"/>
        <w:pageBreakBefore w:val="0"/>
        <w:kinsoku/>
        <w:wordWrap/>
        <w:overflowPunct/>
        <w:topLinePunct w:val="0"/>
        <w:bidi w:val="0"/>
        <w:snapToGrid w:val="0"/>
        <w:spacing w:line="560" w:lineRule="exact"/>
        <w:ind w:left="0" w:leftChars="0" w:firstLine="0" w:firstLineChars="0"/>
        <w:jc w:val="left"/>
        <w:rPr>
          <w:rFonts w:hint="eastAsia"/>
          <w:color w:val="auto"/>
          <w:sz w:val="32"/>
          <w:szCs w:val="32"/>
        </w:rPr>
      </w:pPr>
    </w:p>
    <w:p w14:paraId="5AA4DFF1">
      <w:pPr>
        <w:autoSpaceDE w:val="0"/>
        <w:autoSpaceDN w:val="0"/>
        <w:adjustRightInd w:val="0"/>
        <w:snapToGrid w:val="0"/>
        <w:spacing w:line="560" w:lineRule="exact"/>
        <w:jc w:val="center"/>
        <w:rPr>
          <w:rFonts w:hint="eastAsia" w:ascii="仿宋_GB2312" w:hAnsi="Times New Roman" w:eastAsia="仿宋_GB2312" w:cs="Arial"/>
          <w:color w:val="auto"/>
          <w:sz w:val="32"/>
          <w:szCs w:val="32"/>
          <w:highlight w:val="none"/>
          <w:lang w:bidi="en-US"/>
        </w:rPr>
      </w:pPr>
      <w:r>
        <w:rPr>
          <w:rFonts w:hint="eastAsia" w:ascii="仿宋_GB2312" w:hAnsi="Times New Roman" w:eastAsia="仿宋_GB2312" w:cs="Arial"/>
          <w:color w:val="auto"/>
          <w:sz w:val="32"/>
          <w:szCs w:val="32"/>
          <w:lang w:bidi="en-US"/>
        </w:rPr>
        <w:t>锡署环审书〔</w:t>
      </w:r>
      <w:r>
        <w:rPr>
          <w:rFonts w:hint="eastAsia" w:ascii="仿宋_GB2312" w:hAnsi="Times New Roman" w:eastAsia="仿宋_GB2312" w:cs="Arial"/>
          <w:color w:val="auto"/>
          <w:sz w:val="32"/>
          <w:szCs w:val="32"/>
          <w:highlight w:val="none"/>
          <w:lang w:bidi="en-US"/>
        </w:rPr>
        <w:t>202</w:t>
      </w:r>
      <w:r>
        <w:rPr>
          <w:rFonts w:hint="eastAsia" w:ascii="仿宋_GB2312" w:hAnsi="Times New Roman" w:eastAsia="仿宋_GB2312" w:cs="Arial"/>
          <w:color w:val="auto"/>
          <w:sz w:val="32"/>
          <w:szCs w:val="32"/>
          <w:highlight w:val="none"/>
          <w:lang w:val="en-US" w:eastAsia="zh-CN" w:bidi="en-US"/>
        </w:rPr>
        <w:t>5</w:t>
      </w:r>
      <w:r>
        <w:rPr>
          <w:rFonts w:hint="eastAsia" w:ascii="仿宋_GB2312" w:hAnsi="Times New Roman" w:eastAsia="仿宋_GB2312" w:cs="Arial"/>
          <w:color w:val="auto"/>
          <w:sz w:val="32"/>
          <w:szCs w:val="32"/>
          <w:highlight w:val="none"/>
          <w:lang w:bidi="en-US"/>
        </w:rPr>
        <w:t>〕</w:t>
      </w:r>
      <w:r>
        <w:rPr>
          <w:rFonts w:hint="eastAsia" w:ascii="仿宋_GB2312" w:hAnsi="Times New Roman" w:eastAsia="仿宋_GB2312" w:cs="Arial"/>
          <w:color w:val="auto"/>
          <w:sz w:val="32"/>
          <w:szCs w:val="32"/>
          <w:highlight w:val="none"/>
          <w:lang w:val="en-US" w:eastAsia="zh-CN" w:bidi="en-US"/>
        </w:rPr>
        <w:t>39</w:t>
      </w:r>
      <w:r>
        <w:rPr>
          <w:rFonts w:hint="eastAsia" w:ascii="仿宋_GB2312" w:hAnsi="Times New Roman" w:eastAsia="仿宋_GB2312" w:cs="Arial"/>
          <w:color w:val="auto"/>
          <w:sz w:val="32"/>
          <w:szCs w:val="32"/>
          <w:highlight w:val="none"/>
          <w:lang w:bidi="en-US"/>
        </w:rPr>
        <w:t>号</w:t>
      </w:r>
    </w:p>
    <w:p w14:paraId="1B41AA9D">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仿宋_GB2312" w:hAnsi="Times New Roman" w:eastAsia="仿宋_GB2312" w:cs="Arial"/>
          <w:color w:val="auto"/>
          <w:sz w:val="32"/>
          <w:szCs w:val="32"/>
          <w:highlight w:val="none"/>
          <w:lang w:bidi="en-US"/>
        </w:rPr>
      </w:pPr>
    </w:p>
    <w:bookmarkEnd w:id="0"/>
    <w:p w14:paraId="458797D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锡林郭勒盟生态环境局</w:t>
      </w:r>
    </w:p>
    <w:p w14:paraId="1CCF4A52">
      <w:pPr>
        <w:autoSpaceDE w:val="0"/>
        <w:autoSpaceDN w:val="0"/>
        <w:adjustRightInd w:val="0"/>
        <w:snapToGrid w:val="0"/>
        <w:spacing w:line="7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关于</w:t>
      </w:r>
      <w:r>
        <w:rPr>
          <w:rFonts w:hint="eastAsia" w:ascii="方正小标宋简体" w:hAnsi="方正小标宋简体" w:eastAsia="方正小标宋简体" w:cs="方正小标宋简体"/>
          <w:bCs/>
          <w:color w:val="auto"/>
          <w:sz w:val="44"/>
          <w:szCs w:val="44"/>
          <w:highlight w:val="none"/>
          <w:lang w:eastAsia="zh-CN"/>
        </w:rPr>
        <w:t>内蒙古宏扬矿业有限责任公司饰面用花岗岩矿开采加工及废石破碎深加工利用项目</w:t>
      </w:r>
      <w:r>
        <w:rPr>
          <w:rFonts w:hint="eastAsia" w:ascii="方正小标宋简体" w:hAnsi="方正小标宋简体" w:eastAsia="方正小标宋简体" w:cs="方正小标宋简体"/>
          <w:bCs/>
          <w:color w:val="auto"/>
          <w:sz w:val="44"/>
          <w:szCs w:val="44"/>
          <w:highlight w:val="none"/>
        </w:rPr>
        <w:t>环境影响报告书的批复</w:t>
      </w:r>
    </w:p>
    <w:p w14:paraId="0993FF99">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ascii="仿宋_GB2312" w:hAnsi="仿宋_GB2312" w:eastAsia="仿宋_GB2312" w:cs="仿宋_GB2312"/>
          <w:color w:val="auto"/>
          <w:sz w:val="32"/>
          <w:szCs w:val="32"/>
          <w:lang w:bidi="en-US"/>
        </w:rPr>
      </w:pPr>
    </w:p>
    <w:p w14:paraId="5412440E">
      <w:pPr>
        <w:keepNext w:val="0"/>
        <w:keepLines w:val="0"/>
        <w:pageBreakBefore w:val="0"/>
        <w:widowControl w:val="0"/>
        <w:kinsoku/>
        <w:wordWrap/>
        <w:overflowPunct/>
        <w:topLinePunct w:val="0"/>
        <w:autoSpaceDE w:val="0"/>
        <w:autoSpaceDN w:val="0"/>
        <w:bidi w:val="0"/>
        <w:adjustRightInd w:val="0"/>
        <w:snapToGrid w:val="0"/>
        <w:spacing w:line="520" w:lineRule="exact"/>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highlight w:val="none"/>
          <w:lang w:val="en-US" w:eastAsia="zh-CN"/>
        </w:rPr>
        <w:t>内蒙古宏扬矿业有限责任公司</w:t>
      </w:r>
      <w:r>
        <w:rPr>
          <w:rFonts w:hint="eastAsia" w:ascii="仿宋_GB2312" w:hAnsi="仿宋_GB2312" w:eastAsia="仿宋_GB2312" w:cs="仿宋_GB2312"/>
          <w:color w:val="auto"/>
          <w:sz w:val="32"/>
          <w:szCs w:val="32"/>
          <w:lang w:bidi="en-US"/>
        </w:rPr>
        <w:t>：</w:t>
      </w:r>
    </w:p>
    <w:p w14:paraId="777E8918">
      <w:pPr>
        <w:keepNext w:val="0"/>
        <w:keepLines w:val="0"/>
        <w:pageBreakBefore w:val="0"/>
        <w:widowControl w:val="0"/>
        <w:kinsoku/>
        <w:wordWrap/>
        <w:overflowPunct/>
        <w:topLinePunct w:val="0"/>
        <w:autoSpaceDE w:val="0"/>
        <w:autoSpaceDN w:val="0"/>
        <w:bidi w:val="0"/>
        <w:adjustRightInd w:val="0"/>
        <w:snapToGrid w:val="0"/>
        <w:spacing w:line="520" w:lineRule="exact"/>
        <w:jc w:val="both"/>
        <w:textAlignment w:val="auto"/>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pPr>
      <w:r>
        <w:rPr>
          <w:rFonts w:hint="eastAsia" w:ascii="仿宋_GB2312" w:hAnsi="仿宋_GB2312" w:eastAsia="仿宋_GB2312" w:cs="仿宋_GB2312"/>
          <w:color w:val="auto"/>
          <w:sz w:val="32"/>
          <w:szCs w:val="32"/>
          <w:lang w:val="en-US" w:eastAsia="zh-CN" w:bidi="en-US"/>
        </w:rPr>
        <w:t xml:space="preserve">    </w:t>
      </w:r>
      <w:r>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t>你单位报送的《内蒙古宏扬矿业有限责任公司饰面用花岗岩矿开采加工及废石破碎深加工利用项目环境影响报告书》（</w:t>
      </w:r>
      <w:r>
        <w:rPr>
          <w:rFonts w:hint="eastAsia" w:ascii="仿宋_GB2312" w:hAnsi="仿宋_GB2312" w:eastAsia="仿宋_GB2312" w:cs="仿宋_GB2312"/>
          <w:color w:val="000000" w:themeColor="text1"/>
          <w:sz w:val="32"/>
          <w:szCs w:val="32"/>
          <w:lang w:val="en-US" w:eastAsia="zh-Hans" w:bidi="en-US"/>
          <w14:textFill>
            <w14:solidFill>
              <w14:schemeClr w14:val="tx1"/>
            </w14:solidFill>
          </w14:textFill>
        </w:rPr>
        <w:t>以下简称《报告书》</w:t>
      </w:r>
      <w:r>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t>）收悉。经研究，批复如下：</w:t>
      </w:r>
    </w:p>
    <w:p w14:paraId="72FFEEE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ascii="仿宋_GB2312" w:hAnsi="仿宋_GB2312" w:eastAsia="仿宋_GB2312" w:cs="仿宋_GB2312"/>
          <w:b w:val="0"/>
          <w:bCs/>
          <w:color w:val="0000FF"/>
          <w:kern w:val="0"/>
          <w:sz w:val="32"/>
          <w:szCs w:val="32"/>
          <w:lang w:val="en-US" w:eastAsia="zh-CN" w:bidi="ar"/>
        </w:rPr>
      </w:pPr>
      <w:r>
        <w:rPr>
          <w:rFonts w:hint="eastAsia" w:ascii="仿宋_GB2312" w:hAnsi="仿宋_GB2312" w:eastAsia="仿宋_GB2312" w:cs="仿宋_GB2312"/>
          <w:color w:val="auto"/>
          <w:kern w:val="2"/>
          <w:sz w:val="32"/>
          <w:szCs w:val="32"/>
          <w:highlight w:val="none"/>
          <w:lang w:val="en-US" w:eastAsia="zh-CN" w:bidi="ar-SA"/>
        </w:rPr>
        <w:t>一、</w:t>
      </w:r>
      <w:r>
        <w:rPr>
          <w:rFonts w:hint="eastAsia" w:ascii="仿宋_GB2312" w:hAnsi="仿宋_GB2312" w:eastAsia="仿宋_GB2312" w:cs="仿宋_GB2312"/>
          <w:color w:val="auto"/>
          <w:sz w:val="32"/>
          <w:szCs w:val="32"/>
          <w:highlight w:val="none"/>
          <w:lang w:val="en-US" w:eastAsia="zh-CN"/>
        </w:rPr>
        <w:t>内蒙古宏扬矿业有限责任公司饰面用花岗岩矿开采加工及废石破碎深加工利用项目</w:t>
      </w:r>
      <w:r>
        <w:rPr>
          <w:rFonts w:hint="eastAsia" w:ascii="仿宋_GB2312" w:hAnsi="仿宋_GB2312" w:eastAsia="仿宋_GB2312" w:cs="仿宋_GB2312"/>
          <w:color w:val="auto"/>
          <w:sz w:val="32"/>
          <w:szCs w:val="32"/>
          <w:lang w:val="en-US" w:eastAsia="zh-CN" w:bidi="en-US"/>
        </w:rPr>
        <w:t>，项目位于西乌珠穆沁旗白音胡硕苏木布日敦嘎查</w:t>
      </w:r>
      <w:r>
        <w:rPr>
          <w:rFonts w:hint="eastAsia" w:ascii="仿宋_GB2312" w:hAnsi="仿宋_GB2312" w:eastAsia="仿宋_GB2312" w:cs="仿宋_GB2312"/>
          <w:b w:val="0"/>
          <w:bCs/>
          <w:color w:val="auto"/>
          <w:kern w:val="0"/>
          <w:sz w:val="32"/>
          <w:szCs w:val="32"/>
          <w:lang w:val="en-US" w:eastAsia="zh-CN" w:bidi="ar"/>
        </w:rPr>
        <w:t>，南距西乌珠穆沁旗旗政府驻地巴拉嘎尔高勒镇65km。矿区坐标范围：东经117°19′52.070″，北纬45°06′21.001″。矿区总面积0.0397平方公里，共由11个拐点圈定。采用露天开采方式，开采深度为983米至885米标高。项目矿区共划分为1个开采区域，年开采花岗岩矿石5万立方</w:t>
      </w:r>
      <w:r>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t>米，开采年限10年。同时建设废石加工车间一座，年破碎加工石料30万立方米，并配套建设矿石堆场、废石堆场等公辅设施。</w:t>
      </w:r>
    </w:p>
    <w:p w14:paraId="12D10A5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报告书》认为，在全面落实各项生态保护和污染防治措施的前提下，项目建设对环境的不利影响能够得到一定的缓解和控制。我局原则同意本项目按照《报告书》所列的建设项目性质、规模、地点和拟采取的污染防治措施及下述要求进行建设。</w:t>
      </w:r>
    </w:p>
    <w:p w14:paraId="253DD3E0">
      <w:pPr>
        <w:pStyle w:val="4"/>
        <w:keepNext w:val="0"/>
        <w:keepLines w:val="0"/>
        <w:pageBreakBefore w:val="0"/>
        <w:widowControl w:val="0"/>
        <w:numPr>
          <w:ilvl w:val="0"/>
          <w:numId w:val="0"/>
        </w:numPr>
        <w:kinsoku/>
        <w:wordWrap/>
        <w:overflowPunct/>
        <w:topLinePunct w:val="0"/>
        <w:autoSpaceDE/>
        <w:autoSpaceDN/>
        <w:bidi w:val="0"/>
        <w:adjustRightInd w:val="0"/>
        <w:snapToGrid/>
        <w:spacing w:after="0" w:line="520" w:lineRule="exact"/>
        <w:ind w:left="0" w:leftChars="0"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二、项目在设计、建设和运营过程中还应做好以下工作</w:t>
      </w:r>
    </w:p>
    <w:p w14:paraId="36C73B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（一）生态保护措施。</w:t>
      </w:r>
      <w:r>
        <w:rPr>
          <w:rFonts w:hint="eastAsia" w:ascii="仿宋_GB2312" w:hAnsi="仿宋_GB2312" w:eastAsia="仿宋_GB2312" w:cs="仿宋_GB2312"/>
          <w:color w:val="auto"/>
          <w:kern w:val="2"/>
          <w:sz w:val="32"/>
          <w:szCs w:val="32"/>
          <w:highlight w:val="none"/>
          <w:lang w:val="en-US" w:eastAsia="zh-CN" w:bidi="en-US"/>
        </w:rPr>
        <w:t>严格按照《报告书》提出的开采范围进行开采。新剥离表土单独堆存用于生态恢复。</w:t>
      </w:r>
      <w:r>
        <w:rPr>
          <w:rFonts w:hint="eastAsia" w:ascii="仿宋_GB2312" w:hAnsi="仿宋_GB2312" w:eastAsia="仿宋_GB2312" w:cs="仿宋_GB2312"/>
          <w:color w:val="000000"/>
          <w:kern w:val="2"/>
          <w:sz w:val="32"/>
          <w:szCs w:val="32"/>
          <w:lang w:val="en-US" w:eastAsia="zh-CN" w:bidi="ar-SA"/>
        </w:rPr>
        <w:t>施工过程中发现文物的，应当保护现场，立即报告当地文物保护部门，由文物保护部门依法依规进行处理。</w:t>
      </w:r>
      <w:r>
        <w:rPr>
          <w:rFonts w:hint="eastAsia" w:ascii="仿宋_GB2312" w:hAnsi="仿宋_GB2312" w:eastAsia="仿宋_GB2312" w:cs="仿宋_GB2312"/>
          <w:color w:val="auto"/>
          <w:kern w:val="2"/>
          <w:sz w:val="32"/>
          <w:szCs w:val="32"/>
          <w:highlight w:val="none"/>
          <w:lang w:val="en-US" w:eastAsia="zh-CN" w:bidi="en-US"/>
        </w:rPr>
        <w:t>及时开展生态修复，按照“边开采、边修复”的原则，在统筹考虑生物多样性、防沙治沙等要求的基础上，编制生态保护及修复方案。占用草地应依法履行相关手续。建立生态监测系统，加强生态影响长期跟踪监测，根据监测结果，采取优化措施减缓不利生态影响。</w:t>
      </w:r>
    </w:p>
    <w:p w14:paraId="0F5A92EC">
      <w:pPr>
        <w:pStyle w:val="4"/>
        <w:keepNext w:val="0"/>
        <w:keepLines w:val="0"/>
        <w:pageBreakBefore w:val="0"/>
        <w:widowControl w:val="0"/>
        <w:numPr>
          <w:ilvl w:val="0"/>
          <w:numId w:val="0"/>
        </w:numPr>
        <w:kinsoku/>
        <w:wordWrap/>
        <w:overflowPunct/>
        <w:topLinePunct w:val="0"/>
        <w:autoSpaceDE/>
        <w:autoSpaceDN/>
        <w:bidi w:val="0"/>
        <w:adjustRightInd w:val="0"/>
        <w:snapToGrid/>
        <w:spacing w:after="0" w:line="520" w:lineRule="exact"/>
        <w:ind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（二）严格落实各项大气污染防治措施。</w:t>
      </w:r>
      <w:r>
        <w:rPr>
          <w:rFonts w:hint="eastAsia" w:ascii="仿宋_GB2312" w:hAnsi="仿宋_GB2312" w:eastAsia="仿宋_GB2312" w:cs="仿宋_GB2312"/>
          <w:color w:val="auto"/>
          <w:kern w:val="2"/>
          <w:sz w:val="32"/>
          <w:szCs w:val="32"/>
          <w:highlight w:val="none"/>
          <w:lang w:val="en-US" w:eastAsia="zh-CN" w:bidi="en-US"/>
        </w:rPr>
        <w:t>采矿表土剥离环节喷雾抑尘；矿石切割环节安装喷水装置；表土、废石、产品堆场均苫盖并洒水喷雾抑尘；物料装卸降低高度，喷雾抑尘；废石破碎、筛分环节均置于封闭车间，粉尘经集气装置收集后，分别通过各环节布袋除尘器处理满足《大气污染物综合排放标准》（GB16297-1996）浓度限值要求后，共用一根排气筒排放。运输车辆减速行驶、加盖苫布，运输道路及时清扫、洒水抑尘，最终厂界颗粒物无组织排放浓度须满足《大气污染物综合排放标准》（GB16297-1996）限值要求。</w:t>
      </w:r>
    </w:p>
    <w:p w14:paraId="3C6E32B7">
      <w:pPr>
        <w:pStyle w:val="4"/>
        <w:keepNext w:val="0"/>
        <w:keepLines w:val="0"/>
        <w:pageBreakBefore w:val="0"/>
        <w:widowControl w:val="0"/>
        <w:numPr>
          <w:ilvl w:val="0"/>
          <w:numId w:val="0"/>
        </w:numPr>
        <w:kinsoku/>
        <w:wordWrap/>
        <w:overflowPunct/>
        <w:topLinePunct w:val="0"/>
        <w:autoSpaceDE/>
        <w:autoSpaceDN/>
        <w:bidi w:val="0"/>
        <w:adjustRightInd w:val="0"/>
        <w:snapToGrid/>
        <w:spacing w:after="0" w:line="520" w:lineRule="exact"/>
        <w:ind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（三）严格落实各项水污染防治措施。</w:t>
      </w:r>
      <w:r>
        <w:rPr>
          <w:rFonts w:hint="eastAsia" w:ascii="仿宋_GB2312" w:hAnsi="仿宋_GB2312" w:eastAsia="仿宋_GB2312" w:cs="仿宋_GB2312"/>
          <w:b w:val="0"/>
          <w:bCs w:val="0"/>
          <w:color w:val="auto"/>
          <w:kern w:val="2"/>
          <w:sz w:val="32"/>
          <w:szCs w:val="32"/>
          <w:highlight w:val="none"/>
          <w:lang w:val="en-US" w:eastAsia="zh-CN" w:bidi="en-US"/>
        </w:rPr>
        <w:t>矿石切割废水经沉淀池处理后回用；人员生活污水经一体化污水处理设施处理满足《城市污水再生利用城市杂用水水质》（GB/T18920-2020）限值要求后，用于矿区抑尘</w:t>
      </w:r>
      <w:r>
        <w:rPr>
          <w:rFonts w:hint="eastAsia" w:ascii="仿宋_GB2312" w:hAnsi="仿宋_GB2312" w:eastAsia="仿宋_GB2312" w:cs="仿宋_GB2312"/>
          <w:color w:val="auto"/>
          <w:sz w:val="32"/>
          <w:szCs w:val="32"/>
          <w:highlight w:val="none"/>
          <w:lang w:bidi="en-US"/>
        </w:rPr>
        <w:t>，</w:t>
      </w:r>
      <w:r>
        <w:rPr>
          <w:rFonts w:hint="eastAsia" w:ascii="仿宋_GB2312" w:hAnsi="仿宋_GB2312" w:eastAsia="仿宋_GB2312" w:cs="仿宋_GB2312"/>
          <w:color w:val="auto"/>
          <w:sz w:val="32"/>
          <w:szCs w:val="32"/>
          <w:highlight w:val="none"/>
          <w:lang w:val="en-US" w:eastAsia="zh-CN" w:bidi="en-US"/>
        </w:rPr>
        <w:t>不</w:t>
      </w:r>
      <w:r>
        <w:rPr>
          <w:rFonts w:hint="eastAsia" w:ascii="仿宋_GB2312" w:hAnsi="仿宋_GB2312" w:eastAsia="仿宋_GB2312" w:cs="仿宋_GB2312"/>
          <w:color w:val="auto"/>
          <w:sz w:val="32"/>
          <w:szCs w:val="32"/>
          <w:highlight w:val="none"/>
          <w:lang w:bidi="en-US"/>
        </w:rPr>
        <w:t>外排</w:t>
      </w:r>
      <w:r>
        <w:rPr>
          <w:rFonts w:hint="eastAsia" w:ascii="仿宋_GB2312" w:hAnsi="仿宋_GB2312" w:eastAsia="仿宋_GB2312" w:cs="仿宋_GB2312"/>
          <w:b w:val="0"/>
          <w:bCs w:val="0"/>
          <w:color w:val="auto"/>
          <w:kern w:val="2"/>
          <w:sz w:val="32"/>
          <w:szCs w:val="32"/>
          <w:highlight w:val="none"/>
          <w:lang w:val="en-US" w:eastAsia="zh-CN" w:bidi="en-US"/>
        </w:rPr>
        <w:t>。</w:t>
      </w:r>
    </w:p>
    <w:p w14:paraId="1B88DC3B">
      <w:pPr>
        <w:pStyle w:val="4"/>
        <w:keepNext w:val="0"/>
        <w:keepLines w:val="0"/>
        <w:pageBreakBefore w:val="0"/>
        <w:widowControl w:val="0"/>
        <w:numPr>
          <w:ilvl w:val="0"/>
          <w:numId w:val="0"/>
        </w:numPr>
        <w:kinsoku/>
        <w:wordWrap/>
        <w:overflowPunct/>
        <w:topLinePunct w:val="0"/>
        <w:autoSpaceDE/>
        <w:autoSpaceDN/>
        <w:bidi w:val="0"/>
        <w:adjustRightInd w:val="0"/>
        <w:snapToGrid/>
        <w:spacing w:after="0" w:line="520" w:lineRule="exact"/>
        <w:ind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（四）</w:t>
      </w:r>
      <w:r>
        <w:rPr>
          <w:rFonts w:hint="eastAsia" w:ascii="楷体" w:hAnsi="楷体" w:eastAsia="楷体" w:cs="楷体"/>
          <w:b w:val="0"/>
          <w:bCs w:val="0"/>
          <w:color w:val="000000"/>
          <w:sz w:val="32"/>
          <w:szCs w:val="32"/>
          <w:highlight w:val="none"/>
          <w:lang w:val="en-US" w:eastAsia="zh-CN"/>
        </w:rPr>
        <w:t>严格落实噪声防治措施。</w:t>
      </w:r>
      <w:r>
        <w:rPr>
          <w:rFonts w:hint="eastAsia" w:ascii="仿宋_GB2312" w:hAnsi="仿宋_GB2312" w:eastAsia="仿宋_GB2312" w:cs="仿宋_GB2312"/>
          <w:b w:val="0"/>
          <w:bCs w:val="0"/>
          <w:color w:val="auto"/>
          <w:kern w:val="2"/>
          <w:sz w:val="32"/>
          <w:szCs w:val="32"/>
          <w:highlight w:val="none"/>
          <w:lang w:val="en-US" w:eastAsia="zh-CN" w:bidi="en-US"/>
        </w:rPr>
        <w:t>针对不同的声源采取相应的消声、隔音、减振、降噪措施，高噪设备均置于封闭车间内并加装减震基座，同时加强机械设备日常维护；运输车辆减速行驶，禁止鸣笛，确保厂界噪声可满足《工业企业厂界环境噪声排放标准》（GB12348-2008）1类标准的要求。</w:t>
      </w:r>
    </w:p>
    <w:p w14:paraId="6E8E1DA5">
      <w:pPr>
        <w:keepNext w:val="0"/>
        <w:keepLines w:val="0"/>
        <w:pageBreakBefore w:val="0"/>
        <w:widowControl w:val="0"/>
        <w:kinsoku/>
        <w:wordWrap/>
        <w:overflowPunct/>
        <w:topLinePunct w:val="0"/>
        <w:bidi w:val="0"/>
        <w:spacing w:line="520" w:lineRule="exact"/>
        <w:ind w:firstLine="640" w:firstLineChars="200"/>
        <w:rPr>
          <w:rFonts w:hint="eastAsia" w:ascii="仿宋_GB2312" w:hAnsi="仿宋_GB2312" w:eastAsia="仿宋_GB2312" w:cs="仿宋_GB2312"/>
          <w:b w:val="0"/>
          <w:bCs w:val="0"/>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（五）严格落实固体废物污染防治措施。</w:t>
      </w:r>
      <w:r>
        <w:rPr>
          <w:rFonts w:hint="eastAsia" w:ascii="仿宋_GB2312" w:hAnsi="仿宋_GB2312" w:eastAsia="仿宋_GB2312" w:cs="仿宋_GB2312"/>
          <w:b w:val="0"/>
          <w:bCs w:val="0"/>
          <w:color w:val="auto"/>
          <w:kern w:val="2"/>
          <w:sz w:val="32"/>
          <w:szCs w:val="32"/>
          <w:highlight w:val="none"/>
          <w:lang w:val="en-US" w:eastAsia="zh-CN" w:bidi="en-US"/>
        </w:rPr>
        <w:t>剥离表土暂存于表土堆场，服务期满后用于矿区植被恢复；开采及切割废石暂存于废石堆场，全部破碎综合利用；沉淀池底泥定期清掏回用采坑复垦；废矿物油及废油桶分类、分区暂存于危废暂存间内，定期委托有资质的单位回收处置；生活垃圾暂存于厂区封闭式垃圾箱，定期清运至当地环卫部门指定地点处置。</w:t>
      </w:r>
    </w:p>
    <w:p w14:paraId="6FFD588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楷体" w:hAnsi="楷体" w:eastAsia="楷体" w:cs="楷体"/>
          <w:color w:val="auto"/>
          <w:kern w:val="2"/>
          <w:sz w:val="32"/>
          <w:szCs w:val="32"/>
          <w:highlight w:val="none"/>
          <w:lang w:val="en-US" w:eastAsia="zh-CN" w:bidi="en-US"/>
        </w:rPr>
        <w:t>（六）</w:t>
      </w:r>
      <w:r>
        <w:rPr>
          <w:rFonts w:hint="eastAsia" w:ascii="楷体" w:hAnsi="楷体" w:eastAsia="楷体" w:cs="楷体"/>
          <w:b w:val="0"/>
          <w:bCs w:val="0"/>
          <w:color w:val="000000"/>
          <w:sz w:val="32"/>
          <w:szCs w:val="32"/>
          <w:highlight w:val="none"/>
          <w:lang w:val="en-US" w:eastAsia="zh-CN"/>
        </w:rPr>
        <w:t>严格落实土壤和地下水污染防治措施。</w:t>
      </w:r>
      <w:r>
        <w:rPr>
          <w:rFonts w:hint="eastAsia" w:ascii="仿宋_GB2312" w:hAnsi="仿宋_GB2312" w:eastAsia="仿宋_GB2312" w:cs="仿宋_GB2312"/>
          <w:color w:val="000000"/>
          <w:kern w:val="2"/>
          <w:sz w:val="32"/>
          <w:szCs w:val="32"/>
          <w:lang w:val="en-US" w:eastAsia="zh-CN" w:bidi="ar-SA"/>
        </w:rPr>
        <w:t>严</w:t>
      </w:r>
      <w:r>
        <w:rPr>
          <w:rFonts w:hint="eastAsia" w:ascii="仿宋_GB2312" w:hAnsi="仿宋_GB2312" w:eastAsia="仿宋_GB2312" w:cs="仿宋_GB2312"/>
          <w:b w:val="0"/>
          <w:bCs w:val="0"/>
          <w:color w:val="auto"/>
          <w:kern w:val="2"/>
          <w:sz w:val="32"/>
          <w:szCs w:val="32"/>
          <w:highlight w:val="none"/>
          <w:lang w:val="en-US" w:eastAsia="zh-CN" w:bidi="en-US"/>
        </w:rPr>
        <w:t>格执行“源头控制、分区防控、污染监控、应急响应”相结合的原则。危废暂存间按照《危险废物贮存污染控制标准》（GB18597-2023）建设。所有防渗措施均满足《环境影响评价技术导则 地下水环境》（HJ610-2016）技术要求。</w:t>
      </w:r>
    </w:p>
    <w:p w14:paraId="5318D3AE">
      <w:pPr>
        <w:pStyle w:val="4"/>
        <w:keepNext w:val="0"/>
        <w:keepLines w:val="0"/>
        <w:pageBreakBefore w:val="0"/>
        <w:widowControl w:val="0"/>
        <w:numPr>
          <w:ilvl w:val="0"/>
          <w:numId w:val="0"/>
        </w:numPr>
        <w:kinsoku/>
        <w:wordWrap/>
        <w:overflowPunct/>
        <w:topLinePunct w:val="0"/>
        <w:autoSpaceDE/>
        <w:autoSpaceDN/>
        <w:bidi w:val="0"/>
        <w:adjustRightInd w:val="0"/>
        <w:snapToGrid/>
        <w:spacing w:after="0" w:line="520" w:lineRule="exact"/>
        <w:ind w:left="0" w:leftChars="0"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（七）强化各项环境风险防范措施。</w:t>
      </w:r>
      <w:r>
        <w:rPr>
          <w:rFonts w:hint="eastAsia" w:ascii="仿宋_GB2312" w:hAnsi="仿宋_GB2312" w:eastAsia="仿宋_GB2312" w:cs="仿宋_GB2312"/>
          <w:color w:val="000000"/>
          <w:kern w:val="2"/>
          <w:sz w:val="32"/>
          <w:szCs w:val="32"/>
          <w:lang w:val="en-US" w:eastAsia="zh-CN" w:bidi="ar-SA"/>
        </w:rPr>
        <w:t>落实环保设施安全生产工作，建立环保设备设施台账和维护管理制度。按照规范要求存放风险物质；加强生产过程设备的管理与维修，防止跑、冒、滴、漏现象的发生；建立完善的环境管理制度和事故应急措施，制定切实可行的环境风险应急预案，加强对危废暂存间的管理；严格落实风险防范措施和应急预案，切实杜绝环境风险事故。</w:t>
      </w:r>
    </w:p>
    <w:p w14:paraId="694DB6F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楷体" w:hAnsi="楷体" w:eastAsia="楷体" w:cs="楷体"/>
          <w:color w:val="auto"/>
          <w:kern w:val="2"/>
          <w:sz w:val="32"/>
          <w:szCs w:val="32"/>
          <w:highlight w:val="none"/>
          <w:lang w:val="en-US" w:eastAsia="zh-CN" w:bidi="en-US"/>
        </w:rPr>
        <w:t>（八）</w:t>
      </w:r>
      <w:r>
        <w:rPr>
          <w:rFonts w:hint="eastAsia" w:ascii="楷体" w:hAnsi="楷体" w:eastAsia="楷体" w:cs="楷体"/>
          <w:color w:val="auto"/>
          <w:sz w:val="32"/>
          <w:szCs w:val="32"/>
          <w:highlight w:val="none"/>
          <w:lang w:bidi="en-US"/>
        </w:rPr>
        <w:t>严格落实运营期污染源监测计划。</w:t>
      </w:r>
      <w:r>
        <w:rPr>
          <w:rFonts w:hint="eastAsia" w:ascii="仿宋_GB2312" w:hAnsi="仿宋_GB2312" w:eastAsia="仿宋_GB2312" w:cs="仿宋_GB2312"/>
          <w:color w:val="000000"/>
          <w:kern w:val="2"/>
          <w:sz w:val="32"/>
          <w:szCs w:val="32"/>
          <w:lang w:val="en-US" w:eastAsia="zh-CN" w:bidi="ar-SA"/>
        </w:rPr>
        <w:t>按照国家和地方有关规定设置规范的污染物排放口，并设立标志牌。按照相关标准、规范等要求，落实《报告书》提出的环境管理及监测计划。强化污染源与无组织排放源管理，制定自行监测方案，落实环境管理与监测计划，按规定开展自行监测和信息公开。各排气筒应按照规范要求预留永久性监测口和采样监测平台。如出现污染物超标排放情况，应立即查明原因并采取进一步污染物减排措施。</w:t>
      </w:r>
    </w:p>
    <w:p w14:paraId="1795940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kern w:val="2"/>
          <w:sz w:val="32"/>
          <w:szCs w:val="32"/>
          <w:highlight w:val="none"/>
          <w:lang w:val="en-US" w:eastAsia="zh-CN" w:bidi="ar-SA"/>
        </w:rPr>
        <w:t>三、项</w:t>
      </w:r>
      <w:r>
        <w:rPr>
          <w:rFonts w:hint="eastAsia" w:ascii="仿宋_GB2312" w:hAnsi="仿宋_GB2312" w:eastAsia="仿宋_GB2312" w:cs="仿宋_GB2312"/>
          <w:color w:val="auto"/>
          <w:sz w:val="32"/>
          <w:szCs w:val="32"/>
          <w:lang w:bidi="en-US"/>
        </w:rPr>
        <w:t>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14:paraId="678607AE">
      <w:pPr>
        <w:keepNext w:val="0"/>
        <w:keepLines w:val="0"/>
        <w:pageBreakBefore w:val="0"/>
        <w:widowControl w:val="0"/>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kern w:val="2"/>
          <w:sz w:val="32"/>
          <w:szCs w:val="32"/>
          <w:highlight w:val="none"/>
          <w:lang w:val="en-US" w:eastAsia="zh-CN" w:bidi="ar-SA"/>
        </w:rPr>
        <w:t>四、我局</w:t>
      </w:r>
      <w:r>
        <w:rPr>
          <w:rFonts w:hint="eastAsia" w:ascii="仿宋_GB2312" w:hAnsi="仿宋_GB2312" w:eastAsia="仿宋_GB2312" w:cs="仿宋_GB2312"/>
          <w:color w:val="auto"/>
          <w:sz w:val="32"/>
          <w:szCs w:val="32"/>
          <w:lang w:bidi="en-US"/>
        </w:rPr>
        <w:t>委托锡林郭勒盟生态环境局</w:t>
      </w:r>
      <w:r>
        <w:rPr>
          <w:rFonts w:hint="eastAsia" w:ascii="仿宋_GB2312" w:hAnsi="仿宋_GB2312" w:eastAsia="仿宋_GB2312" w:cs="仿宋_GB2312"/>
          <w:color w:val="auto"/>
          <w:sz w:val="32"/>
          <w:szCs w:val="32"/>
          <w:lang w:eastAsia="zh-CN" w:bidi="en-US"/>
        </w:rPr>
        <w:t>西乌珠穆沁旗分局</w:t>
      </w:r>
      <w:r>
        <w:rPr>
          <w:rFonts w:hint="eastAsia" w:ascii="仿宋_GB2312" w:hAnsi="仿宋_GB2312" w:eastAsia="仿宋_GB2312" w:cs="仿宋_GB2312"/>
          <w:color w:val="auto"/>
          <w:sz w:val="32"/>
          <w:szCs w:val="32"/>
          <w:lang w:bidi="en-US"/>
        </w:rPr>
        <w:t>对该项目各项污染防治措施落实情况进行监督检查和管理。</w:t>
      </w:r>
    </w:p>
    <w:p w14:paraId="2A636483">
      <w:pPr>
        <w:rPr>
          <w:rFonts w:hint="eastAsia"/>
          <w:color w:val="auto"/>
        </w:rPr>
      </w:pPr>
    </w:p>
    <w:p w14:paraId="1448CD37">
      <w:pPr>
        <w:keepNext w:val="0"/>
        <w:keepLines w:val="0"/>
        <w:pageBreakBefore w:val="0"/>
        <w:widowControl w:val="0"/>
        <w:kinsoku/>
        <w:wordWrap/>
        <w:overflowPunct/>
        <w:autoSpaceDE w:val="0"/>
        <w:autoSpaceDN w:val="0"/>
        <w:bidi w:val="0"/>
        <w:adjustRightInd w:val="0"/>
        <w:snapToGrid w:val="0"/>
        <w:spacing w:line="560" w:lineRule="exact"/>
        <w:ind w:firstLine="4160" w:firstLineChars="13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lang w:bidi="en-US"/>
        </w:rPr>
        <w:t>锡林</w:t>
      </w:r>
      <w:r>
        <w:rPr>
          <w:rFonts w:hint="eastAsia" w:ascii="仿宋_GB2312" w:hAnsi="仿宋_GB2312" w:eastAsia="仿宋_GB2312" w:cs="仿宋_GB2312"/>
          <w:color w:val="auto"/>
          <w:sz w:val="32"/>
          <w:szCs w:val="32"/>
          <w:highlight w:val="none"/>
          <w:lang w:bidi="en-US"/>
        </w:rPr>
        <w:t>郭勒盟生态环境局</w:t>
      </w:r>
    </w:p>
    <w:p w14:paraId="52562085">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11</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21</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日</w:t>
      </w:r>
    </w:p>
    <w:p w14:paraId="46B6B3A2">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pPr>
      <w:bookmarkStart w:id="1" w:name="_GoBack"/>
      <w:bookmarkEnd w:id="1"/>
    </w:p>
    <w:p w14:paraId="0F514C1D">
      <w:pPr>
        <w:pStyle w:val="16"/>
        <w:keepNext w:val="0"/>
        <w:keepLines w:val="0"/>
        <w:pageBreakBefore w:val="0"/>
        <w:widowControl w:val="0"/>
        <w:kinsoku/>
        <w:wordWrap/>
        <w:overflowPunct/>
        <w:topLinePunct w:val="0"/>
        <w:bidi w:val="0"/>
        <w:snapToGrid/>
        <w:spacing w:line="500" w:lineRule="exact"/>
        <w:ind w:firstLine="280" w:firstLineChars="100"/>
        <w:jc w:val="both"/>
        <w:textAlignment w:val="auto"/>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pPr>
      <w:r>
        <w:rPr>
          <w:rFonts w:hint="eastAsia" w:ascii="仿宋" w:hAnsi="仿宋" w:eastAsia="仿宋" w:cs="仿宋"/>
          <w:color w:val="auto"/>
          <w:kern w:val="2"/>
          <w:sz w:val="28"/>
          <w:szCs w:val="28"/>
          <w:highlight w:val="none"/>
          <w:lang w:bidi="en-US"/>
        </w:rPr>
        <w:t>抄送：盟生态环境综合行政执法支队</w:t>
      </w:r>
      <w:r>
        <w:rPr>
          <w:rFonts w:hint="eastAsia" w:ascii="仿宋" w:hAnsi="仿宋" w:eastAsia="仿宋" w:cs="仿宋"/>
          <w:color w:val="auto"/>
          <w:kern w:val="2"/>
          <w:sz w:val="28"/>
          <w:szCs w:val="28"/>
          <w:highlight w:val="none"/>
          <w:lang w:eastAsia="zh-CN" w:bidi="en-US"/>
        </w:rPr>
        <w:t>，</w:t>
      </w:r>
      <w:r>
        <w:rPr>
          <w:rFonts w:hint="eastAsia" w:ascii="仿宋" w:hAnsi="仿宋" w:eastAsia="仿宋" w:cs="仿宋"/>
          <w:color w:val="auto"/>
          <w:kern w:val="2"/>
          <w:sz w:val="28"/>
          <w:szCs w:val="28"/>
          <w:highlight w:val="none"/>
          <w:lang w:bidi="en-US"/>
        </w:rPr>
        <w:t>盟生态环</w:t>
      </w:r>
      <w:r>
        <w:rPr>
          <w:rFonts w:hint="eastAsia" w:ascii="仿宋" w:hAnsi="仿宋" w:eastAsia="仿宋" w:cs="仿宋"/>
          <w:color w:val="000000" w:themeColor="text1"/>
          <w:kern w:val="2"/>
          <w:sz w:val="28"/>
          <w:szCs w:val="28"/>
          <w:highlight w:val="none"/>
          <w:lang w:bidi="en-US"/>
          <w14:textFill>
            <w14:solidFill>
              <w14:schemeClr w14:val="tx1"/>
            </w14:solidFill>
          </w14:textFill>
        </w:rPr>
        <w:t>境局</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西乌珠穆沁</w:t>
      </w:r>
    </w:p>
    <w:p w14:paraId="0006FF2D">
      <w:pPr>
        <w:pStyle w:val="16"/>
        <w:keepNext w:val="0"/>
        <w:keepLines w:val="0"/>
        <w:pageBreakBefore w:val="0"/>
        <w:widowControl w:val="0"/>
        <w:kinsoku/>
        <w:wordWrap/>
        <w:overflowPunct/>
        <w:topLinePunct w:val="0"/>
        <w:bidi w:val="0"/>
        <w:snapToGrid/>
        <w:spacing w:line="500" w:lineRule="exact"/>
        <w:jc w:val="both"/>
        <w:textAlignment w:val="auto"/>
        <w:rPr>
          <w:rFonts w:hint="eastAsia" w:ascii="仿宋" w:hAnsi="仿宋" w:eastAsia="仿宋" w:cs="仿宋"/>
          <w:color w:val="auto"/>
          <w:kern w:val="2"/>
          <w:sz w:val="28"/>
          <w:szCs w:val="28"/>
          <w:highlight w:val="none"/>
          <w:lang w:eastAsia="zh-CN" w:bidi="en-US"/>
        </w:rPr>
      </w:pPr>
      <w:r>
        <w:rPr>
          <w:rFonts w:hint="eastAsia" w:ascii="仿宋" w:hAnsi="仿宋" w:eastAsia="仿宋" w:cs="仿宋"/>
          <w:color w:val="000000" w:themeColor="text1"/>
          <w:kern w:val="2"/>
          <w:sz w:val="28"/>
          <w:szCs w:val="28"/>
          <w:highlight w:val="none"/>
          <w:lang w:val="en-US" w:eastAsia="zh-CN" w:bidi="en-US"/>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旗分</w:t>
      </w:r>
      <w:r>
        <w:rPr>
          <w:rFonts w:hint="eastAsia" w:ascii="仿宋" w:hAnsi="仿宋" w:eastAsia="仿宋" w:cs="仿宋"/>
          <w:color w:val="auto"/>
          <w:kern w:val="2"/>
          <w:sz w:val="28"/>
          <w:szCs w:val="28"/>
          <w:highlight w:val="none"/>
          <w:lang w:eastAsia="zh-CN" w:bidi="en-US"/>
        </w:rPr>
        <w:t>局。</w:t>
      </w:r>
    </w:p>
    <w:p w14:paraId="5508AF8D">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锡林郭勒盟生态环境局办公室    </w:t>
      </w:r>
      <w:r>
        <w:rPr>
          <w:rFonts w:hint="eastAsia" w:ascii="仿宋" w:hAnsi="仿宋" w:eastAsia="仿宋" w:cs="仿宋"/>
          <w:color w:val="000000" w:themeColor="text1"/>
          <w:sz w:val="28"/>
          <w:szCs w:val="28"/>
          <w:highlight w:val="none"/>
          <w14:textFill>
            <w14:solidFill>
              <w14:schemeClr w14:val="tx1"/>
            </w14:solidFill>
          </w14:textFill>
        </w:rPr>
        <w:t xml:space="preserve">     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21</w:t>
      </w:r>
      <w:r>
        <w:rPr>
          <w:rFonts w:hint="eastAsia" w:ascii="仿宋" w:hAnsi="仿宋" w:eastAsia="仿宋" w:cs="仿宋"/>
          <w:color w:val="000000" w:themeColor="text1"/>
          <w:sz w:val="28"/>
          <w:szCs w:val="28"/>
          <w:highlight w:val="none"/>
          <w14:textFill>
            <w14:solidFill>
              <w14:schemeClr w14:val="tx1"/>
            </w14:solidFill>
          </w14:textFill>
        </w:rPr>
        <w:t>日印</w:t>
      </w:r>
      <w:r>
        <w:rPr>
          <w:rFonts w:hint="eastAsia" w:ascii="仿宋" w:hAnsi="仿宋" w:eastAsia="仿宋" w:cs="仿宋"/>
          <w:color w:val="auto"/>
          <w:sz w:val="28"/>
          <w:szCs w:val="28"/>
          <w:highlight w:val="none"/>
        </w:rPr>
        <w:t>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CA90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83EF1">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4183EF1">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F6E8C"/>
    <w:rsid w:val="00565FD0"/>
    <w:rsid w:val="006D5A5C"/>
    <w:rsid w:val="0078439C"/>
    <w:rsid w:val="008169E9"/>
    <w:rsid w:val="008B4F82"/>
    <w:rsid w:val="008C5ED5"/>
    <w:rsid w:val="00977DFE"/>
    <w:rsid w:val="00981820"/>
    <w:rsid w:val="00A74547"/>
    <w:rsid w:val="00B3474C"/>
    <w:rsid w:val="00BB3EEE"/>
    <w:rsid w:val="00BE15C5"/>
    <w:rsid w:val="00C054DA"/>
    <w:rsid w:val="00C23C2B"/>
    <w:rsid w:val="00C769C0"/>
    <w:rsid w:val="00CA00EE"/>
    <w:rsid w:val="00D14C38"/>
    <w:rsid w:val="00D37553"/>
    <w:rsid w:val="00DA6EE3"/>
    <w:rsid w:val="00E76C09"/>
    <w:rsid w:val="00F13EA9"/>
    <w:rsid w:val="00F96E63"/>
    <w:rsid w:val="00FF17CD"/>
    <w:rsid w:val="019C606F"/>
    <w:rsid w:val="023F66B6"/>
    <w:rsid w:val="033C2BF5"/>
    <w:rsid w:val="04082137"/>
    <w:rsid w:val="04D60042"/>
    <w:rsid w:val="051F19C3"/>
    <w:rsid w:val="05FD1001"/>
    <w:rsid w:val="064265FE"/>
    <w:rsid w:val="065A7A8E"/>
    <w:rsid w:val="06E03F5B"/>
    <w:rsid w:val="07E80A5E"/>
    <w:rsid w:val="08125FE6"/>
    <w:rsid w:val="09F707CE"/>
    <w:rsid w:val="0A055186"/>
    <w:rsid w:val="0B1701D0"/>
    <w:rsid w:val="0C7A4895"/>
    <w:rsid w:val="0D6D6C1D"/>
    <w:rsid w:val="0E174945"/>
    <w:rsid w:val="0E6B26B6"/>
    <w:rsid w:val="0EE27BE5"/>
    <w:rsid w:val="109F048E"/>
    <w:rsid w:val="130C25E4"/>
    <w:rsid w:val="133A3E29"/>
    <w:rsid w:val="134A4ECA"/>
    <w:rsid w:val="13EB21F9"/>
    <w:rsid w:val="1B4D5509"/>
    <w:rsid w:val="1B7C0676"/>
    <w:rsid w:val="1BBF88AE"/>
    <w:rsid w:val="1BF2CB73"/>
    <w:rsid w:val="1D61177E"/>
    <w:rsid w:val="1F0337A2"/>
    <w:rsid w:val="1F9C573C"/>
    <w:rsid w:val="1FBE98E8"/>
    <w:rsid w:val="20C67501"/>
    <w:rsid w:val="20E00C0C"/>
    <w:rsid w:val="22B733D3"/>
    <w:rsid w:val="26B75F6B"/>
    <w:rsid w:val="270A5106"/>
    <w:rsid w:val="29D8150D"/>
    <w:rsid w:val="2AAB4039"/>
    <w:rsid w:val="2CA46F92"/>
    <w:rsid w:val="2CF929A0"/>
    <w:rsid w:val="2D875092"/>
    <w:rsid w:val="2ECE6548"/>
    <w:rsid w:val="2F1F3E8C"/>
    <w:rsid w:val="2F2B74F6"/>
    <w:rsid w:val="2F7E7F6E"/>
    <w:rsid w:val="3812264D"/>
    <w:rsid w:val="3A437DEA"/>
    <w:rsid w:val="3AD90E3C"/>
    <w:rsid w:val="3BFB7ADD"/>
    <w:rsid w:val="3C4B2A92"/>
    <w:rsid w:val="3CA66F28"/>
    <w:rsid w:val="3CE84C78"/>
    <w:rsid w:val="3CFE4BE4"/>
    <w:rsid w:val="3D98044D"/>
    <w:rsid w:val="3EDBBAD3"/>
    <w:rsid w:val="3FBC777D"/>
    <w:rsid w:val="3FC31BD1"/>
    <w:rsid w:val="404E573A"/>
    <w:rsid w:val="445D3A2B"/>
    <w:rsid w:val="4513485D"/>
    <w:rsid w:val="466622E2"/>
    <w:rsid w:val="46B26845"/>
    <w:rsid w:val="478F0B12"/>
    <w:rsid w:val="4A3B72B4"/>
    <w:rsid w:val="4B973E13"/>
    <w:rsid w:val="4CDD40CE"/>
    <w:rsid w:val="4E584CE2"/>
    <w:rsid w:val="4EB56E88"/>
    <w:rsid w:val="4EC33F0B"/>
    <w:rsid w:val="4FDC11D7"/>
    <w:rsid w:val="501114FC"/>
    <w:rsid w:val="51B03B5F"/>
    <w:rsid w:val="544834D5"/>
    <w:rsid w:val="54A9657E"/>
    <w:rsid w:val="5514288C"/>
    <w:rsid w:val="55621614"/>
    <w:rsid w:val="56990422"/>
    <w:rsid w:val="57B40ADC"/>
    <w:rsid w:val="5991071A"/>
    <w:rsid w:val="5B679E5F"/>
    <w:rsid w:val="5C1271C4"/>
    <w:rsid w:val="5C8C51C9"/>
    <w:rsid w:val="5D7F0635"/>
    <w:rsid w:val="5DD60DF1"/>
    <w:rsid w:val="5DFFD6AD"/>
    <w:rsid w:val="5FA70BB0"/>
    <w:rsid w:val="617526E2"/>
    <w:rsid w:val="640E5DD6"/>
    <w:rsid w:val="640F77AC"/>
    <w:rsid w:val="6479615F"/>
    <w:rsid w:val="64B82674"/>
    <w:rsid w:val="65980358"/>
    <w:rsid w:val="67927E4C"/>
    <w:rsid w:val="68146F4B"/>
    <w:rsid w:val="68387D94"/>
    <w:rsid w:val="69CC12A6"/>
    <w:rsid w:val="6ACB3360"/>
    <w:rsid w:val="6B3D14F9"/>
    <w:rsid w:val="6D337A9A"/>
    <w:rsid w:val="6D874340"/>
    <w:rsid w:val="6D965EA7"/>
    <w:rsid w:val="6E1A4AAF"/>
    <w:rsid w:val="6FD159E5"/>
    <w:rsid w:val="6FEE6D0C"/>
    <w:rsid w:val="70E64D55"/>
    <w:rsid w:val="70EA0941"/>
    <w:rsid w:val="71FFDCEE"/>
    <w:rsid w:val="737F42A4"/>
    <w:rsid w:val="751F6782"/>
    <w:rsid w:val="756C3B4F"/>
    <w:rsid w:val="776575C6"/>
    <w:rsid w:val="776B22F2"/>
    <w:rsid w:val="77A04D8F"/>
    <w:rsid w:val="77A23F56"/>
    <w:rsid w:val="77FB60A4"/>
    <w:rsid w:val="7883527A"/>
    <w:rsid w:val="78CC1696"/>
    <w:rsid w:val="795254DD"/>
    <w:rsid w:val="79F6371A"/>
    <w:rsid w:val="7ACB26BD"/>
    <w:rsid w:val="7BB80B28"/>
    <w:rsid w:val="7CE53CE8"/>
    <w:rsid w:val="7D2478C7"/>
    <w:rsid w:val="7E435BD1"/>
    <w:rsid w:val="7E5356DB"/>
    <w:rsid w:val="7F590AE3"/>
    <w:rsid w:val="7F6C2C5A"/>
    <w:rsid w:val="7F7C8CD3"/>
    <w:rsid w:val="7F7CE8F3"/>
    <w:rsid w:val="7FD6261A"/>
    <w:rsid w:val="97FFBFF7"/>
    <w:rsid w:val="AFDFA893"/>
    <w:rsid w:val="B6FB1ACB"/>
    <w:rsid w:val="BBFD157B"/>
    <w:rsid w:val="BBFFB394"/>
    <w:rsid w:val="BDB9872E"/>
    <w:rsid w:val="C73F4456"/>
    <w:rsid w:val="CF77A9DB"/>
    <w:rsid w:val="DBAFDD4B"/>
    <w:rsid w:val="DBD5EE8A"/>
    <w:rsid w:val="DF671AB1"/>
    <w:rsid w:val="E7FD0A82"/>
    <w:rsid w:val="EF6F4B52"/>
    <w:rsid w:val="EFEB112C"/>
    <w:rsid w:val="F3FD86CF"/>
    <w:rsid w:val="F4DD7BDB"/>
    <w:rsid w:val="F4FE1E3B"/>
    <w:rsid w:val="FBBF539C"/>
    <w:rsid w:val="FC7D141F"/>
    <w:rsid w:val="FE9F31A0"/>
    <w:rsid w:val="FFDE3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rFonts w:ascii="Times New Roman" w:hAnsi="Times New Roman" w:eastAsia="宋体"/>
      <w:szCs w:val="24"/>
    </w:rPr>
  </w:style>
  <w:style w:type="paragraph" w:styleId="4">
    <w:name w:val="Body Text First Indent 2"/>
    <w:basedOn w:val="5"/>
    <w:next w:val="1"/>
    <w:qFormat/>
    <w:uiPriority w:val="0"/>
    <w:pPr>
      <w:adjustRightInd w:val="0"/>
      <w:ind w:firstLine="420"/>
      <w:textAlignment w:val="baseline"/>
    </w:pPr>
    <w:rPr>
      <w:rFonts w:ascii="宋体" w:hAnsi="宋体"/>
      <w:sz w:val="18"/>
      <w:szCs w:val="18"/>
    </w:rPr>
  </w:style>
  <w:style w:type="paragraph" w:styleId="5">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6">
    <w:name w:val="annotation text"/>
    <w:basedOn w:val="1"/>
    <w:link w:val="24"/>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284"/>
        <w:tab w:val="right" w:leader="dot" w:pos="8296"/>
      </w:tabs>
    </w:pPr>
  </w:style>
  <w:style w:type="paragraph" w:styleId="10">
    <w:name w:val="annotation subject"/>
    <w:basedOn w:val="6"/>
    <w:next w:val="6"/>
    <w:link w:val="25"/>
    <w:semiHidden/>
    <w:unhideWhenUsed/>
    <w:qFormat/>
    <w:uiPriority w:val="99"/>
    <w:rPr>
      <w:b/>
      <w:bCs/>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paragraph" w:customStyle="1" w:styleId="15">
    <w:name w:val="[1]正文"/>
    <w:basedOn w:val="1"/>
    <w:qFormat/>
    <w:uiPriority w:val="0"/>
    <w:pPr>
      <w:autoSpaceDE w:val="0"/>
      <w:autoSpaceDN w:val="0"/>
      <w:ind w:left="0" w:leftChars="0" w:firstLine="200" w:firstLineChars="200"/>
    </w:pPr>
    <w:rPr>
      <w:rFonts w:ascii="Times New Roman" w:hAnsi="Times New Roman" w:eastAsia="宋体" w:cs="Times New Roman"/>
      <w:color w:val="000000"/>
      <w:kern w:val="0"/>
      <w:szCs w:val="24"/>
      <w:lang w:val="zh-CN"/>
    </w:rPr>
  </w:style>
  <w:style w:type="paragraph" w:customStyle="1" w:styleId="16">
    <w:name w:val="Default"/>
    <w:basedOn w:val="17"/>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纯文本1"/>
    <w:basedOn w:val="1"/>
    <w:qFormat/>
    <w:uiPriority w:val="0"/>
    <w:rPr>
      <w:rFonts w:ascii="宋体" w:hAnsi="Courier New"/>
      <w:szCs w:val="20"/>
    </w:rPr>
  </w:style>
  <w:style w:type="paragraph" w:customStyle="1" w:styleId="18">
    <w:name w:val="正文1"/>
    <w:basedOn w:val="16"/>
    <w:next w:val="1"/>
    <w:qFormat/>
    <w:uiPriority w:val="0"/>
    <w:pPr>
      <w:tabs>
        <w:tab w:val="left" w:pos="0"/>
        <w:tab w:val="left" w:pos="7012"/>
      </w:tabs>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19">
    <w:name w:val="未处理的提及1"/>
    <w:basedOn w:val="12"/>
    <w:semiHidden/>
    <w:unhideWhenUsed/>
    <w:qFormat/>
    <w:uiPriority w:val="99"/>
    <w:rPr>
      <w:color w:val="605E5C"/>
      <w:shd w:val="clear" w:color="auto" w:fill="E1DFDD"/>
    </w:rPr>
  </w:style>
  <w:style w:type="character" w:customStyle="1" w:styleId="20">
    <w:name w:val="页眉 字符"/>
    <w:basedOn w:val="12"/>
    <w:link w:val="8"/>
    <w:qFormat/>
    <w:uiPriority w:val="99"/>
    <w:rPr>
      <w:kern w:val="2"/>
      <w:sz w:val="18"/>
      <w:szCs w:val="18"/>
    </w:rPr>
  </w:style>
  <w:style w:type="paragraph" w:customStyle="1" w:styleId="21">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2">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3">
    <w:name w:val="List Paragraph"/>
    <w:basedOn w:val="1"/>
    <w:qFormat/>
    <w:uiPriority w:val="99"/>
    <w:pPr>
      <w:ind w:firstLine="420" w:firstLineChars="200"/>
    </w:pPr>
  </w:style>
  <w:style w:type="character" w:customStyle="1" w:styleId="24">
    <w:name w:val="批注文字 字符"/>
    <w:basedOn w:val="12"/>
    <w:link w:val="6"/>
    <w:semiHidden/>
    <w:qFormat/>
    <w:uiPriority w:val="99"/>
    <w:rPr>
      <w:kern w:val="2"/>
      <w:sz w:val="21"/>
      <w:szCs w:val="22"/>
    </w:rPr>
  </w:style>
  <w:style w:type="character" w:customStyle="1" w:styleId="25">
    <w:name w:val="批注主题 字符"/>
    <w:basedOn w:val="24"/>
    <w:link w:val="10"/>
    <w:semiHidden/>
    <w:qFormat/>
    <w:uiPriority w:val="99"/>
    <w:rPr>
      <w:b/>
      <w:bCs/>
      <w:kern w:val="2"/>
      <w:sz w:val="21"/>
      <w:szCs w:val="22"/>
    </w:rPr>
  </w:style>
  <w:style w:type="paragraph" w:customStyle="1" w:styleId="26">
    <w:name w:val="高-正文"/>
    <w:basedOn w:val="1"/>
    <w:qFormat/>
    <w:uiPriority w:val="0"/>
    <w:pPr>
      <w:topLinePunct/>
      <w:adjustRightInd w:val="0"/>
      <w:snapToGrid w:val="0"/>
      <w:spacing w:line="480" w:lineRule="exact"/>
      <w:ind w:firstLine="600"/>
    </w:pPr>
    <w:rPr>
      <w:rFonts w:ascii="等线" w:hAnsi="等线" w:eastAsia="等线"/>
    </w:rPr>
  </w:style>
  <w:style w:type="paragraph" w:customStyle="1" w:styleId="27">
    <w:name w:val="报告书正文"/>
    <w:basedOn w:val="1"/>
    <w:qFormat/>
    <w:uiPriority w:val="0"/>
    <w:pPr>
      <w:adjustRightInd w:val="0"/>
      <w:snapToGrid w:val="0"/>
      <w:spacing w:line="360" w:lineRule="auto"/>
      <w:ind w:firstLine="425" w:firstLineChars="200"/>
      <w:textAlignment w:val="baseline"/>
    </w:pPr>
    <w:rPr>
      <w:rFonts w:ascii="Arial" w:hAnsi="Arial"/>
      <w:kern w:val="0"/>
      <w:sz w:val="24"/>
      <w:szCs w:val="22"/>
      <w:lang w:eastAsia="en-US" w:bidi="en-US"/>
    </w:rPr>
  </w:style>
  <w:style w:type="paragraph" w:customStyle="1" w:styleId="28">
    <w:name w:val="报告正文"/>
    <w:basedOn w:val="1"/>
    <w:qFormat/>
    <w:uiPriority w:val="0"/>
    <w:pPr>
      <w:adjustRightInd w:val="0"/>
      <w:snapToGrid w:val="0"/>
      <w:spacing w:line="360" w:lineRule="auto"/>
      <w:ind w:firstLine="482" w:firstLineChars="200"/>
    </w:pPr>
    <w:rPr>
      <w:color w:val="000000"/>
      <w:sz w:val="24"/>
      <w:szCs w:val="21"/>
    </w:rPr>
  </w:style>
  <w:style w:type="paragraph" w:customStyle="1" w:styleId="29">
    <w:name w:val="正文2"/>
    <w:basedOn w:val="1"/>
    <w:qFormat/>
    <w:uiPriority w:val="0"/>
    <w:pPr>
      <w:spacing w:line="360" w:lineRule="auto"/>
      <w:ind w:firstLine="200" w:firstLineChars="200"/>
    </w:pPr>
    <w:rPr>
      <w:rFonts w:ascii="Times New Roman" w:hAnsi="Times New Roman"/>
      <w:sz w:val="24"/>
      <w:szCs w:val="24"/>
    </w:rPr>
  </w:style>
  <w:style w:type="paragraph" w:customStyle="1" w:styleId="30">
    <w:name w:val="正文文本1"/>
    <w:basedOn w:val="1"/>
    <w:qFormat/>
    <w:uiPriority w:val="0"/>
    <w:pPr>
      <w:spacing w:after="12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2502a157-740f-441e-a12e-2a233294621f</errorID>
      <errorWord>宏扬</errorWord>
      <group>L1_Word</group>
      <groupName>字词问题</groupName>
      <ability>L2_Variant</ability>
      <abilityName>异形词</abilityName>
      <candidateList>
        <item>弘扬</item>
      </candidateList>
      <explain>词汇[宏扬]的规范词形写作[弘扬]。</explain>
      <paraID>1CCF4A52</paraID>
      <start>5</start>
      <end>7</end>
      <status>ignored</status>
      <modifiedWord/>
      <trackRevisions>false</trackRevisions>
    </reviewItem>
    <reviewItem>
      <errorID>4d712d94-0dba-4ab9-94f8-84160fe725b7</errorID>
      <errorWord>宏扬</errorWord>
      <group>L1_Word</group>
      <groupName>字词问题</groupName>
      <ability>L2_Variant</ability>
      <abilityName>异形词</abilityName>
      <candidateList>
        <item>弘扬</item>
      </candidateList>
      <explain>词汇[宏扬]的规范词形写作[弘扬]。</explain>
      <paraID>5412440E</paraID>
      <start>3</start>
      <end>5</end>
      <status>ignored</status>
      <modifiedWord/>
      <trackRevisions>false</trackRevisions>
    </reviewItem>
    <reviewItem>
      <errorID>1a1f1f0f-afb3-408d-970b-ca9383896a22</errorID>
      <errorWord>宏扬</errorWord>
      <group>L1_Word</group>
      <groupName>字词问题</groupName>
      <ability>L2_Variant</ability>
      <abilityName>异形词</abilityName>
      <candidateList>
        <item>弘扬</item>
      </candidateList>
      <explain>词汇[宏扬]的规范词形写作[弘扬]。</explain>
      <paraID>777E8918</paraID>
      <start>14</start>
      <end>16</end>
      <status>ignored</status>
      <modifiedWord/>
      <trackRevisions>false</trackRevisions>
    </reviewItem>
    <reviewItem>
      <errorID>f70f5f44-0197-4ea0-83d6-da9536683c78</errorID>
      <errorWord>宏扬</errorWord>
      <group>L1_Word</group>
      <groupName>字词问题</groupName>
      <ability>L2_Variant</ability>
      <abilityName>异形词</abilityName>
      <candidateList>
        <item>弘扬</item>
      </candidateList>
      <explain>词汇[宏扬]的规范词形写作[弘扬]。</explain>
      <paraID>72FFEEE8</paraID>
      <start>5</start>
      <end>7</end>
      <status>ignored</status>
      <modifiedWord/>
      <trackRevisions>false</trackRevisions>
    </reviewItem>
    <reviewItem>
      <errorID>9857c8ab-5f54-4ef9-bed7-dc402912db1d</errorID>
      <errorWord>隶</errorWord>
      <group>L1_AI</group>
      <groupName>深度校对</groupName>
      <ability>L2_AI_Grammar</ability>
      <abilityName>语法纠错</abilityName>
      <candidateList>
        <item>隶属于</item>
      </candidateList>
      <explain/>
      <paraID>72FFEEE8</paraID>
      <start>90</start>
      <end>91</end>
      <status>ignored</status>
      <modifiedWord/>
      <trackRevisions>false</trackRevisions>
    </reviewItem>
    <reviewItem>
      <errorID>50687375-b0d2-483b-84db-94cd0987696b</errorID>
      <errorWord>,</errorWord>
      <group>L1_Format</group>
      <groupName>格式问题</groupName>
      <ability>L2_HalfPunc</ability>
      <abilityName>全半角检查</abilityName>
      <candidateList>
        <item>，</item>
      </candidateList>
      <explain>文本全半角错误。</explain>
      <paraID>72FFEEE8</paraID>
      <start>127</start>
      <end>128</end>
      <status>modified</status>
      <modifiedWord>，</modifiedWord>
      <trackRevisions>false</trackRevisions>
    </reviewItem>
    <reviewItem>
      <errorID>27280818-1eca-413c-a4d8-6b92d60a2825</errorID>
      <errorWord>工作</errorWord>
      <group>L1_AI</group>
      <groupName>深度校对</groupName>
      <ability>L2_AI_Punc</ability>
      <abilityName>标点纠错</abilityName>
      <candidateList>
        <item>工作：</item>
      </candidateList>
      <explain/>
      <paraID>253DD3E0</paraID>
      <start>22</start>
      <end>24</end>
      <status>ignored</status>
      <modifiedWord/>
      <trackRevisions>false</trackRevisions>
    </reviewItem>
    <reviewItem>
      <errorID>9fba4f90-b64d-42c6-910b-3f10761be61a</errorID>
      <errorWord>减震</errorWord>
      <group>L1_Word</group>
      <groupName>字词问题</groupName>
      <ability>L2_Typo</ability>
      <abilityName>字词错误</abilityName>
      <candidateList>
        <item>减振</item>
      </candidateList>
      <explain>存在发音相同字词的误用。</explain>
      <paraID>1B88DC3B</paraID>
      <start>55</start>
      <end>57</end>
      <status>ignored</status>
      <modifiedWord/>
      <trackRevisions>false</trackRevisions>
    </reviewItem>
    <reviewItem>
      <errorID>38064b33-7337-4d19-833f-8e43c765a453</errorID>
      <errorWord>监测</errorWord>
      <group>L1_Word</group>
      <groupName>字词问题</groupName>
      <ability>L2_Typo</ability>
      <abilityName>字词错误</abilityName>
      <candidateList>
        <item>检测</item>
      </candidateList>
      <explain/>
      <paraID>694DB6F7</paraID>
      <start>154</start>
      <end>156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b16774-2644-49ec-a96a-2ae3447f48a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2059</Words>
  <Characters>2169</Characters>
  <Lines>19</Lines>
  <Paragraphs>5</Paragraphs>
  <TotalTime>3</TotalTime>
  <ScaleCrop>false</ScaleCrop>
  <LinksUpToDate>false</LinksUpToDate>
  <CharactersWithSpaces>2193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2023-02-03T09:32:00Z</dcterms:created>
  <dc:creator>hui hui</dc:creator>
  <cp:lastModifiedBy>ོʚ 中ོ然ོ ɞ</cp:lastModifiedBy>
  <cp:lastPrinted>2025-11-21T01:52:00Z</cp:lastPrinted>
  <dcterms:modified xsi:type="dcterms:W3CDTF">2025-11-21T02:09:00Z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429F3282BBB14405B2DFFEB040DB6F36_13</vt:lpwstr>
  </property>
  <property fmtid="{D5CDD505-2E9C-101B-9397-08002B2CF9AE}" pid="4" name="KSOTemplateDocerSaveRecord">
    <vt:lpwstr>eyJoZGlkIjoiNTk0MDc0MWE2MzMxMjkwZmE5ODU4OGMzYzc5YjkzMTAiLCJ1c2VySWQiOiI1NDkxMDYxNjAifQ==</vt:lpwstr>
  </property>
</Properties>
</file>