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C0EB">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40286FA1">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4F5E4F9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92C20E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9474387">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7598793">
      <w:pPr>
        <w:pStyle w:val="28"/>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3B38FC04">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5AA4DFF1">
      <w:pPr>
        <w:autoSpaceDE w:val="0"/>
        <w:autoSpaceDN w:val="0"/>
        <w:adjustRightInd w:val="0"/>
        <w:snapToGrid w:val="0"/>
        <w:spacing w:line="560" w:lineRule="exact"/>
        <w:jc w:val="center"/>
        <w:rPr>
          <w:rFonts w:hint="eastAsia"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5</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43</w:t>
      </w:r>
      <w:r>
        <w:rPr>
          <w:rFonts w:hint="eastAsia" w:ascii="仿宋_GB2312" w:hAnsi="Times New Roman" w:eastAsia="仿宋_GB2312" w:cs="Arial"/>
          <w:color w:val="auto"/>
          <w:sz w:val="32"/>
          <w:szCs w:val="32"/>
          <w:highlight w:val="none"/>
          <w:lang w:bidi="en-US"/>
        </w:rPr>
        <w:t>号</w:t>
      </w:r>
    </w:p>
    <w:p w14:paraId="57AC8F4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_GB2312" w:hAnsi="Times New Roman" w:eastAsia="仿宋_GB2312" w:cs="Arial"/>
          <w:color w:val="auto"/>
          <w:sz w:val="32"/>
          <w:szCs w:val="32"/>
          <w:highlight w:val="none"/>
          <w:lang w:bidi="en-US"/>
        </w:rPr>
      </w:pPr>
    </w:p>
    <w:bookmarkEnd w:id="0"/>
    <w:p w14:paraId="458797D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p w14:paraId="436C3BFC">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eastAsia="zh-CN"/>
        </w:rPr>
        <w:t>华北油田二连分公司宝力格油田低碳生产建设工程（节能降耗）</w:t>
      </w:r>
    </w:p>
    <w:p w14:paraId="1CCF4A52">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环境影响报告书的批复</w:t>
      </w:r>
    </w:p>
    <w:p w14:paraId="0993FF99">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ascii="仿宋_GB2312" w:hAnsi="仿宋_GB2312" w:eastAsia="仿宋_GB2312" w:cs="仿宋_GB2312"/>
          <w:color w:val="auto"/>
          <w:sz w:val="32"/>
          <w:szCs w:val="32"/>
          <w:lang w:bidi="en-US"/>
        </w:rPr>
      </w:pPr>
    </w:p>
    <w:p w14:paraId="5412440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中国石油华北油田公司二连分公司</w:t>
      </w:r>
      <w:r>
        <w:rPr>
          <w:rFonts w:hint="eastAsia" w:ascii="仿宋_GB2312" w:hAnsi="仿宋_GB2312" w:eastAsia="仿宋_GB2312" w:cs="仿宋_GB2312"/>
          <w:color w:val="auto"/>
          <w:sz w:val="32"/>
          <w:szCs w:val="32"/>
          <w:lang w:bidi="en-US"/>
        </w:rPr>
        <w:t>：</w:t>
      </w:r>
    </w:p>
    <w:p w14:paraId="777E8918">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sz w:val="32"/>
          <w:szCs w:val="32"/>
          <w:lang w:val="en-US" w:eastAsia="zh-CN" w:bidi="en-US"/>
        </w:rPr>
        <w:t xml:space="preserve">    你单位报送的《华北油田二连分公司宝力格油田低碳生产建设工程（节能降耗）环境影响报告书》（</w:t>
      </w:r>
      <w:r>
        <w:rPr>
          <w:rFonts w:hint="eastAsia" w:ascii="仿宋_GB2312" w:hAnsi="仿宋_GB2312" w:eastAsia="仿宋_GB2312" w:cs="仿宋_GB2312"/>
          <w:color w:val="auto"/>
          <w:sz w:val="32"/>
          <w:szCs w:val="32"/>
          <w:lang w:val="en-US" w:eastAsia="zh-Hans" w:bidi="en-US"/>
        </w:rPr>
        <w:t>以下简称《报告书》</w:t>
      </w:r>
      <w:r>
        <w:rPr>
          <w:rFonts w:hint="eastAsia" w:ascii="仿宋_GB2312" w:hAnsi="仿宋_GB2312" w:eastAsia="仿宋_GB2312" w:cs="仿宋_GB2312"/>
          <w:color w:val="auto"/>
          <w:sz w:val="32"/>
          <w:szCs w:val="32"/>
          <w:lang w:val="en-US" w:eastAsia="zh-CN" w:bidi="en-US"/>
        </w:rPr>
        <w:t>）收悉。经研究，批复如下：</w:t>
      </w:r>
    </w:p>
    <w:p w14:paraId="460B0A64">
      <w:pPr>
        <w:keepNext w:val="0"/>
        <w:keepLines w:val="0"/>
        <w:pageBreakBefore w:val="0"/>
        <w:widowControl w:val="0"/>
        <w:numPr>
          <w:ilvl w:val="0"/>
          <w:numId w:val="0"/>
        </w:numPr>
        <w:kinsoku/>
        <w:wordWrap/>
        <w:overflowPunct/>
        <w:topLinePunct w:val="0"/>
        <w:autoSpaceDE/>
        <w:autoSpaceDN/>
        <w:bidi w:val="0"/>
        <w:spacing w:beforeAutospacing="0" w:line="560" w:lineRule="exact"/>
        <w:ind w:left="0" w:leftChars="0" w:right="0" w:firstLine="640" w:firstLineChars="200"/>
        <w:jc w:val="both"/>
        <w:textAlignment w:val="auto"/>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一、华北油田二连分公司宝力格油田低碳生产建设工程（节能降耗）</w:t>
      </w:r>
      <w:r>
        <w:rPr>
          <w:rFonts w:hint="eastAsia" w:ascii="仿宋_GB2312" w:hAnsi="仿宋_GB2312" w:eastAsia="仿宋_GB2312" w:cs="仿宋_GB2312"/>
          <w:color w:val="auto"/>
          <w:sz w:val="32"/>
          <w:szCs w:val="32"/>
          <w:lang w:val="en-US" w:eastAsia="zh-CN" w:bidi="en-US"/>
        </w:rPr>
        <w:t>位于内蒙古自治区锡林郭勒盟东乌珠穆沁旗嘎达布其镇及阿拉坦合力苏木</w:t>
      </w:r>
      <w:r>
        <w:rPr>
          <w:rFonts w:hint="eastAsia" w:ascii="仿宋_GB2312" w:hAnsi="仿宋_GB2312" w:eastAsia="仿宋_GB2312" w:cs="仿宋_GB2312"/>
          <w:b w:val="0"/>
          <w:bCs/>
          <w:color w:val="auto"/>
          <w:kern w:val="0"/>
          <w:sz w:val="32"/>
          <w:szCs w:val="32"/>
          <w:lang w:val="en-US" w:eastAsia="zh-CN" w:bidi="ar"/>
        </w:rPr>
        <w:t>，总占地面积为66818</w:t>
      </w:r>
      <w:r>
        <w:rPr>
          <w:rFonts w:hint="eastAsia" w:ascii="仿宋_GB2312" w:hAnsi="仿宋_GB2312" w:eastAsia="仿宋_GB2312" w:cs="仿宋_GB2312"/>
          <w:color w:val="auto"/>
          <w:sz w:val="32"/>
          <w:szCs w:val="32"/>
          <w:highlight w:val="none"/>
          <w:lang w:val="en-US" w:eastAsia="zh-CN"/>
        </w:rPr>
        <w:t>平方米</w:t>
      </w:r>
      <w:r>
        <w:rPr>
          <w:rFonts w:hint="eastAsia" w:ascii="仿宋_GB2312" w:hAnsi="仿宋_GB2312" w:eastAsia="仿宋_GB2312" w:cs="仿宋_GB2312"/>
          <w:b w:val="0"/>
          <w:bCs/>
          <w:color w:val="auto"/>
          <w:kern w:val="0"/>
          <w:sz w:val="32"/>
          <w:szCs w:val="32"/>
          <w:lang w:val="en-US" w:eastAsia="zh-CN" w:bidi="ar"/>
        </w:rPr>
        <w:t>。</w:t>
      </w:r>
      <w:r>
        <w:rPr>
          <w:rFonts w:hint="eastAsia" w:ascii="仿宋_GB2312" w:hAnsi="仿宋_GB2312" w:eastAsia="仿宋_GB2312" w:cs="仿宋_GB2312"/>
          <w:color w:val="auto"/>
          <w:kern w:val="2"/>
          <w:sz w:val="32"/>
          <w:szCs w:val="32"/>
          <w:lang w:val="en-US" w:eastAsia="zh-CN" w:bidi="ar-SA"/>
        </w:rPr>
        <w:t>项目为管线集输系统技改工程，不涉及新增产能，不涉及新增永久占地。</w:t>
      </w:r>
      <w:r>
        <w:rPr>
          <w:rFonts w:hint="eastAsia" w:ascii="仿宋_GB2312" w:hAnsi="仿宋_GB2312" w:eastAsia="仿宋_GB2312" w:cs="仿宋_GB2312"/>
          <w:b w:val="0"/>
          <w:bCs/>
          <w:color w:val="auto"/>
          <w:kern w:val="0"/>
          <w:sz w:val="32"/>
          <w:szCs w:val="32"/>
          <w:lang w:val="en-US" w:eastAsia="zh-CN" w:bidi="ar"/>
        </w:rPr>
        <w:t>本项目主要建设内容包括：</w:t>
      </w:r>
      <w:r>
        <w:rPr>
          <w:rFonts w:hint="eastAsia" w:ascii="仿宋_GB2312" w:hAnsi="仿宋_GB2312" w:eastAsia="仿宋_GB2312" w:cs="仿宋_GB2312"/>
          <w:color w:val="auto"/>
          <w:kern w:val="2"/>
          <w:sz w:val="32"/>
          <w:szCs w:val="32"/>
          <w:lang w:val="en-US" w:eastAsia="zh-CN" w:bidi="ar-SA"/>
        </w:rPr>
        <w:t>将宝二、宝三</w:t>
      </w:r>
      <w:bookmarkStart w:id="1" w:name="_GoBack"/>
      <w:r>
        <w:rPr>
          <w:rFonts w:hint="eastAsia" w:ascii="仿宋_GB2312" w:hAnsi="仿宋_GB2312" w:eastAsia="仿宋_GB2312" w:cs="仿宋_GB2312"/>
          <w:color w:val="auto"/>
          <w:kern w:val="2"/>
          <w:sz w:val="32"/>
          <w:szCs w:val="32"/>
          <w:lang w:val="en-US" w:eastAsia="zh-CN" w:bidi="ar-SA"/>
        </w:rPr>
        <w:t>站站</w:t>
      </w:r>
      <w:bookmarkEnd w:id="1"/>
      <w:r>
        <w:rPr>
          <w:rFonts w:hint="eastAsia" w:ascii="仿宋_GB2312" w:hAnsi="仿宋_GB2312" w:eastAsia="仿宋_GB2312" w:cs="仿宋_GB2312"/>
          <w:color w:val="auto"/>
          <w:kern w:val="2"/>
          <w:sz w:val="32"/>
          <w:szCs w:val="32"/>
          <w:lang w:val="en-US" w:eastAsia="zh-CN" w:bidi="ar-SA"/>
        </w:rPr>
        <w:t>外集输系统由双管掺水改为单管集油，巴48-90阀组新建50m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单体罐2座，配套建设相应管线、阀组并对罐区进行防渗，采出液拉至宝一联合站集中处理。宝一联合站外集输系统由双管掺水改为端点掺水。配套新建集油管线11.06km，掺水管线1.065km，闲置管线清管后氮气置换封存。同时配套安装、更换、升级部分设备系统。</w:t>
      </w:r>
    </w:p>
    <w:p w14:paraId="12D10A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253DD3E0">
      <w:pPr>
        <w:pStyle w:val="4"/>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二、项目在设计、建设和运营过程中还应做好以下工作</w:t>
      </w:r>
    </w:p>
    <w:p w14:paraId="0EBA08D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kern w:val="2"/>
          <w:sz w:val="32"/>
          <w:szCs w:val="32"/>
          <w:lang w:val="en-US" w:eastAsia="zh-CN" w:bidi="ar-SA"/>
        </w:rPr>
        <w:t>施工场地内定期洒水抑尘，开挖出的土石方苫盖抑尘网。油气集输采用密闭输送工艺，拉油点油罐采用固定顶罐，安装泄漏报警系统，采用浸没式装车，采取密闭罐车输送。同时加强阀门、罐体的检修与维护，拉油点采取密闭拉油流程。最终颗粒物无组织排放需满足《大气污染物综合排放标准》（GB16297-1996）浓度限值要求，非甲烷总烃无组织排放需满足《陆上石油天然气开采工业大气污染物排放标准》（GB39728-2020）企业边界污染物浓度限值要求。</w:t>
      </w:r>
    </w:p>
    <w:p w14:paraId="0BD3907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en-US"/>
        </w:rPr>
        <w:t>（二）</w:t>
      </w:r>
      <w:r>
        <w:rPr>
          <w:rFonts w:hint="eastAsia" w:ascii="楷体" w:hAnsi="楷体" w:eastAsia="楷体" w:cs="楷体"/>
          <w:color w:val="auto"/>
          <w:kern w:val="2"/>
          <w:sz w:val="32"/>
          <w:szCs w:val="32"/>
          <w:lang w:val="en-US" w:eastAsia="zh-CN" w:bidi="ar-SA"/>
        </w:rPr>
        <w:t>严格落实固体废物污染防治措施。</w:t>
      </w:r>
      <w:r>
        <w:rPr>
          <w:rFonts w:hint="eastAsia" w:ascii="仿宋_GB2312" w:hAnsi="仿宋_GB2312" w:eastAsia="仿宋_GB2312" w:cs="仿宋_GB2312"/>
          <w:b w:val="0"/>
          <w:bCs w:val="0"/>
          <w:color w:val="auto"/>
          <w:kern w:val="2"/>
          <w:sz w:val="32"/>
          <w:szCs w:val="32"/>
          <w:highlight w:val="none"/>
          <w:lang w:val="en-US" w:eastAsia="zh-CN" w:bidi="en-US"/>
        </w:rPr>
        <w:t>项目拉油点清罐底泥定期委托有资质单位拉运处置，不设暂存。项目不新增劳动人员，不新增生活垃圾。</w:t>
      </w:r>
      <w:r>
        <w:rPr>
          <w:rFonts w:hint="eastAsia" w:ascii="楷体" w:hAnsi="楷体" w:eastAsia="楷体" w:cs="楷体"/>
          <w:color w:val="auto"/>
          <w:kern w:val="2"/>
          <w:sz w:val="32"/>
          <w:szCs w:val="32"/>
          <w:lang w:val="en-US" w:eastAsia="zh-CN" w:bidi="ar-SA"/>
        </w:rPr>
        <w:t xml:space="preserve">   </w:t>
      </w:r>
    </w:p>
    <w:p w14:paraId="61ED06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b w:val="0"/>
          <w:bCs w:val="0"/>
          <w:color w:val="auto"/>
          <w:kern w:val="2"/>
          <w:sz w:val="32"/>
          <w:szCs w:val="32"/>
          <w:highlight w:val="none"/>
          <w:lang w:val="en-US" w:eastAsia="zh-CN" w:bidi="en-US"/>
        </w:rPr>
        <w:t>项目运营期不新增采出水，现有工程采出水经宝一联合站采出水处理系统处理后，满足《碎屑岩油藏注水水质指标技术要求及分析方法》（SY/T5329-2022）后全部回注现役油藏层位。项目不新增劳动人员，不新增生活污水。</w:t>
      </w:r>
    </w:p>
    <w:p w14:paraId="294D940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楷体" w:hAnsi="楷体" w:eastAsia="楷体" w:cs="楷体"/>
          <w:color w:val="auto"/>
          <w:kern w:val="2"/>
          <w:sz w:val="32"/>
          <w:szCs w:val="32"/>
          <w:lang w:val="en-US" w:eastAsia="zh-CN" w:bidi="ar-SA"/>
        </w:rPr>
        <w:t>（四）严格落实噪声防治措施。</w:t>
      </w:r>
      <w:r>
        <w:rPr>
          <w:rFonts w:hint="eastAsia" w:ascii="仿宋_GB2312" w:hAnsi="仿宋_GB2312" w:eastAsia="仿宋_GB2312" w:cs="仿宋_GB2312"/>
          <w:color w:val="auto"/>
          <w:sz w:val="32"/>
          <w:szCs w:val="32"/>
          <w:lang w:val="en-US" w:eastAsia="zh-CN" w:bidi="en-US"/>
        </w:rPr>
        <w:t>项目噪声源主要为机械设备、泵类</w:t>
      </w:r>
      <w:r>
        <w:rPr>
          <w:rFonts w:hint="eastAsia" w:ascii="仿宋_GB2312" w:hAnsi="仿宋_GB2312" w:eastAsia="仿宋_GB2312" w:cs="仿宋_GB2312"/>
          <w:b w:val="0"/>
          <w:bCs w:val="0"/>
          <w:color w:val="auto"/>
          <w:kern w:val="2"/>
          <w:sz w:val="32"/>
          <w:szCs w:val="32"/>
          <w:highlight w:val="none"/>
          <w:lang w:val="en-US" w:eastAsia="zh-CN" w:bidi="en-US"/>
        </w:rPr>
        <w:t>等</w:t>
      </w:r>
      <w:r>
        <w:rPr>
          <w:rFonts w:hint="eastAsia" w:ascii="仿宋_GB2312" w:hAnsi="仿宋_GB2312" w:eastAsia="仿宋_GB2312" w:cs="仿宋_GB2312"/>
          <w:color w:val="auto"/>
          <w:sz w:val="32"/>
          <w:szCs w:val="32"/>
          <w:lang w:val="en-US" w:eastAsia="zh-CN" w:bidi="en-US"/>
        </w:rPr>
        <w:t>。采用低噪设备并加装基础减震，同时加强机械设备日常维护。最终噪声排放满足《工业企业厂界环境噪声排放标准》（GB12348-2008）2类标准限值要求。</w:t>
      </w:r>
    </w:p>
    <w:p w14:paraId="61604FD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（五）</w:t>
      </w:r>
      <w:r>
        <w:rPr>
          <w:rFonts w:hint="eastAsia" w:ascii="华文楷体" w:hAnsi="华文楷体" w:eastAsia="华文楷体" w:cs="华文楷体"/>
          <w:color w:val="auto"/>
          <w:sz w:val="32"/>
          <w:szCs w:val="32"/>
          <w:lang w:eastAsia="zh-CN" w:bidi="en-US"/>
        </w:rPr>
        <w:t>切实落实土壤和地下水污染防治措施。</w:t>
      </w:r>
      <w:r>
        <w:rPr>
          <w:rFonts w:hint="eastAsia" w:ascii="仿宋_GB2312" w:hAnsi="仿宋_GB2312" w:eastAsia="仿宋_GB2312" w:cs="仿宋_GB2312"/>
          <w:color w:val="auto"/>
          <w:sz w:val="32"/>
          <w:szCs w:val="32"/>
          <w:lang w:eastAsia="zh-CN" w:bidi="en-US"/>
        </w:rPr>
        <w:t>按照“源头控制、分区防控、污染监控、应急响应”相结合的原则采取分区防渗，危废暂存间采取重点防渗措施，并根据《危险废物贮存污染控制标准》（GB18597-2023）建设，所有防渗措施均执行《环境影响评价技术导则地下水环境》（HJ610-2016）标准。</w:t>
      </w:r>
    </w:p>
    <w:p w14:paraId="2486AC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（六）</w:t>
      </w:r>
      <w:r>
        <w:rPr>
          <w:rFonts w:hint="eastAsia" w:ascii="华文楷体" w:hAnsi="华文楷体" w:eastAsia="华文楷体" w:cs="华文楷体"/>
          <w:color w:val="auto"/>
          <w:sz w:val="32"/>
          <w:szCs w:val="32"/>
          <w:lang w:eastAsia="zh-CN" w:bidi="en-US"/>
        </w:rPr>
        <w:t>强化环境风险防范措施。</w:t>
      </w:r>
      <w:r>
        <w:rPr>
          <w:rFonts w:hint="eastAsia" w:ascii="仿宋_GB2312" w:hAnsi="仿宋_GB2312" w:eastAsia="仿宋_GB2312" w:cs="仿宋_GB2312"/>
          <w:color w:val="000000"/>
          <w:kern w:val="2"/>
          <w:sz w:val="32"/>
          <w:szCs w:val="32"/>
          <w:lang w:val="en-US" w:eastAsia="zh-CN" w:bidi="ar-SA"/>
        </w:rPr>
        <w:t>落实环保设施安全生产工作，建立环保设备设施台账和维护管理制度。建立完善的环境管理制度和事故应急措施，制定切实可行的环境风险应急预案。加强对危废暂存间的管理；严格落实风险防范措施和应急预案，切实杜绝环境风险事故。</w:t>
      </w:r>
    </w:p>
    <w:p w14:paraId="2CB6114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（七）</w:t>
      </w:r>
      <w:r>
        <w:rPr>
          <w:rFonts w:hint="eastAsia" w:ascii="华文楷体" w:hAnsi="华文楷体" w:eastAsia="华文楷体" w:cs="华文楷体"/>
          <w:color w:val="auto"/>
          <w:sz w:val="32"/>
          <w:szCs w:val="32"/>
          <w:lang w:eastAsia="zh-CN" w:bidi="en-US"/>
        </w:rPr>
        <w:t>严格落实运营期污染源监测计划。</w:t>
      </w:r>
      <w:r>
        <w:rPr>
          <w:rFonts w:hint="eastAsia" w:ascii="仿宋_GB2312" w:hAnsi="仿宋_GB2312" w:eastAsia="仿宋_GB2312" w:cs="仿宋_GB2312"/>
          <w:color w:val="auto"/>
          <w:sz w:val="32"/>
          <w:szCs w:val="32"/>
          <w:lang w:eastAsia="zh-CN" w:bidi="en-US"/>
        </w:rPr>
        <w:t>按照国家和地方有关规定设置规范的污染物排放口，按要求建设监控感知端，并设立标志牌。按照相关标准、规范等要求，落实《报告书》提出的环境管理及监测计划。强化污染源与无组织排放源管理，制定自行监测方案，落实环境管理与监测计划，按规定开展自行监测和信息公开。如出现污染物超标情况，应立即查明原因并采取进一步污染物减排措施。</w:t>
      </w:r>
    </w:p>
    <w:p w14:paraId="7120CF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kern w:val="0"/>
          <w:sz w:val="32"/>
          <w:szCs w:val="32"/>
          <w:lang w:val="en-US" w:eastAsia="zh-CN" w:bidi="ar"/>
        </w:rPr>
        <w:t>（八）建立畅通的公众参与平台。</w:t>
      </w:r>
      <w:r>
        <w:rPr>
          <w:rFonts w:hint="eastAsia" w:ascii="仿宋_GB2312" w:hAnsi="仿宋_GB2312" w:eastAsia="仿宋_GB2312" w:cs="仿宋_GB2312"/>
          <w:color w:val="000000"/>
          <w:sz w:val="32"/>
          <w:szCs w:val="32"/>
        </w:rPr>
        <w:t>加强宣传和沟通工作，关注周边居民意见，及时解决公众担忧的环境问题，满足公众合理的环境诉求。</w:t>
      </w:r>
    </w:p>
    <w:p w14:paraId="179594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三、项</w:t>
      </w:r>
      <w:r>
        <w:rPr>
          <w:rFonts w:hint="eastAsia" w:ascii="仿宋_GB2312" w:hAnsi="仿宋_GB2312" w:eastAsia="仿宋_GB2312" w:cs="仿宋_GB2312"/>
          <w:color w:val="auto"/>
          <w:sz w:val="32"/>
          <w:szCs w:val="32"/>
          <w:lang w:bidi="en-US"/>
        </w:rPr>
        <w:t>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1FE82BC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仿宋_GB2312" w:hAnsi="仿宋_GB2312" w:eastAsia="仿宋_GB2312" w:cs="仿宋_GB2312"/>
          <w:color w:val="auto"/>
          <w:kern w:val="2"/>
          <w:sz w:val="32"/>
          <w:szCs w:val="32"/>
          <w:highlight w:val="none"/>
          <w:lang w:val="en-US" w:eastAsia="zh-CN" w:bidi="ar-SA"/>
        </w:rPr>
        <w:t>四、</w:t>
      </w:r>
      <w:r>
        <w:rPr>
          <w:rFonts w:hint="eastAsia" w:ascii="仿宋_GB2312" w:hAnsi="仿宋_GB2312" w:eastAsia="仿宋_GB2312" w:cs="仿宋_GB2312"/>
          <w:color w:val="auto"/>
          <w:kern w:val="2"/>
          <w:sz w:val="32"/>
          <w:szCs w:val="32"/>
          <w:highlight w:val="none"/>
          <w:lang w:val="en-US" w:eastAsia="zh-CN" w:bidi="en-US"/>
        </w:rPr>
        <w:t>环境影响报告经批准后，项目性质、规模、地点、采用的生产工艺或污染防治、防止生态破坏的措施发生重大变动，应当重新报批该项目的环境影响报告书，对正式投入生产或运营的油田开发区块，每3—5年开展一次环境影响后评价，依法报生态环境主管部门备案。</w:t>
      </w:r>
    </w:p>
    <w:p w14:paraId="678607A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五、我局</w:t>
      </w:r>
      <w:r>
        <w:rPr>
          <w:rFonts w:hint="eastAsia" w:ascii="仿宋_GB2312" w:hAnsi="仿宋_GB2312" w:eastAsia="仿宋_GB2312" w:cs="仿宋_GB2312"/>
          <w:color w:val="auto"/>
          <w:sz w:val="32"/>
          <w:szCs w:val="32"/>
          <w:lang w:bidi="en-US"/>
        </w:rPr>
        <w:t>委托锡林郭勒盟生态环境局</w:t>
      </w:r>
      <w:r>
        <w:rPr>
          <w:rFonts w:hint="eastAsia" w:ascii="仿宋_GB2312" w:hAnsi="仿宋_GB2312" w:eastAsia="仿宋_GB2312" w:cs="仿宋_GB2312"/>
          <w:color w:val="auto"/>
          <w:sz w:val="32"/>
          <w:szCs w:val="32"/>
          <w:lang w:eastAsia="zh-CN" w:bidi="en-US"/>
        </w:rPr>
        <w:t>东乌珠穆沁旗分局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7F606ED3">
      <w:pPr>
        <w:rPr>
          <w:rFonts w:hint="eastAsia"/>
          <w:color w:val="auto"/>
        </w:rPr>
      </w:pPr>
    </w:p>
    <w:p w14:paraId="1448CD37">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52562085">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11</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25</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14:paraId="55F939A9">
      <w:pPr>
        <w:rPr>
          <w:rFonts w:hint="eastAsia" w:ascii="仿宋" w:hAnsi="仿宋" w:eastAsia="仿宋" w:cs="仿宋"/>
          <w:color w:val="auto"/>
          <w:highlight w:val="none"/>
        </w:rPr>
      </w:pPr>
    </w:p>
    <w:p w14:paraId="0006FF2D">
      <w:pPr>
        <w:pStyle w:val="16"/>
        <w:keepNext w:val="0"/>
        <w:keepLines w:val="0"/>
        <w:pageBreakBefore w:val="0"/>
        <w:widowControl w:val="0"/>
        <w:kinsoku/>
        <w:wordWrap/>
        <w:overflowPunct/>
        <w:topLinePunct w:val="0"/>
        <w:bidi w:val="0"/>
        <w:snapToGrid/>
        <w:spacing w:line="500" w:lineRule="exact"/>
        <w:ind w:left="1119" w:leftChars="133" w:hanging="840" w:hangingChars="300"/>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东乌珠穆沁旗分</w:t>
      </w:r>
      <w:r>
        <w:rPr>
          <w:rFonts w:hint="eastAsia" w:ascii="仿宋" w:hAnsi="仿宋" w:eastAsia="仿宋" w:cs="仿宋"/>
          <w:color w:val="auto"/>
          <w:kern w:val="2"/>
          <w:sz w:val="28"/>
          <w:szCs w:val="28"/>
          <w:highlight w:val="none"/>
          <w:lang w:eastAsia="zh-CN" w:bidi="en-US"/>
        </w:rPr>
        <w:t>局。</w:t>
      </w:r>
    </w:p>
    <w:p w14:paraId="5508AF8D">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000000" w:themeColor="text1"/>
          <w:sz w:val="28"/>
          <w:szCs w:val="28"/>
          <w:highlight w:val="none"/>
          <w14:textFill>
            <w14:solidFill>
              <w14:schemeClr w14:val="tx1"/>
            </w14:solidFill>
          </w14:textFill>
        </w:rPr>
        <w:t xml:space="preserve">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25</w:t>
      </w:r>
      <w:r>
        <w:rPr>
          <w:rFonts w:hint="eastAsia" w:ascii="仿宋" w:hAnsi="仿宋" w:eastAsia="仿宋" w:cs="仿宋"/>
          <w:color w:val="000000" w:themeColor="text1"/>
          <w:sz w:val="28"/>
          <w:szCs w:val="28"/>
          <w:highlight w:val="none"/>
          <w14:textFill>
            <w14:solidFill>
              <w14:schemeClr w14:val="tx1"/>
            </w14:solidFill>
          </w14:textFill>
        </w:rPr>
        <w:t>日印</w:t>
      </w:r>
      <w:r>
        <w:rPr>
          <w:rFonts w:hint="eastAsia" w:ascii="仿宋" w:hAnsi="仿宋" w:eastAsia="仿宋" w:cs="仿宋"/>
          <w:color w:val="auto"/>
          <w:sz w:val="28"/>
          <w:szCs w:val="28"/>
          <w:highlight w:val="none"/>
        </w:rPr>
        <w:t>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A90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183EF1">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23F66B6"/>
    <w:rsid w:val="033C2BF5"/>
    <w:rsid w:val="04082137"/>
    <w:rsid w:val="04D60042"/>
    <w:rsid w:val="05FD1001"/>
    <w:rsid w:val="064265FE"/>
    <w:rsid w:val="065A7A8E"/>
    <w:rsid w:val="06E03F5B"/>
    <w:rsid w:val="07E80A5E"/>
    <w:rsid w:val="08125FE6"/>
    <w:rsid w:val="09F707CE"/>
    <w:rsid w:val="0A055186"/>
    <w:rsid w:val="0A5F034F"/>
    <w:rsid w:val="0B1701D0"/>
    <w:rsid w:val="0C7A4895"/>
    <w:rsid w:val="0CD93263"/>
    <w:rsid w:val="0D6D6C1D"/>
    <w:rsid w:val="0EE27BE5"/>
    <w:rsid w:val="109F048E"/>
    <w:rsid w:val="130C25E4"/>
    <w:rsid w:val="133A3E29"/>
    <w:rsid w:val="134A4ECA"/>
    <w:rsid w:val="13EB21F9"/>
    <w:rsid w:val="140C03C2"/>
    <w:rsid w:val="1B4D5509"/>
    <w:rsid w:val="1B7C0676"/>
    <w:rsid w:val="1BBF88AE"/>
    <w:rsid w:val="1BF2CB73"/>
    <w:rsid w:val="1D61177E"/>
    <w:rsid w:val="1F0337A2"/>
    <w:rsid w:val="1F9C573C"/>
    <w:rsid w:val="1FBE98E8"/>
    <w:rsid w:val="20C67501"/>
    <w:rsid w:val="20E00C0C"/>
    <w:rsid w:val="22B733D3"/>
    <w:rsid w:val="23447230"/>
    <w:rsid w:val="23815D4C"/>
    <w:rsid w:val="26B75F6B"/>
    <w:rsid w:val="26C50688"/>
    <w:rsid w:val="270A5106"/>
    <w:rsid w:val="29D8150D"/>
    <w:rsid w:val="2AAB4039"/>
    <w:rsid w:val="2CF929A0"/>
    <w:rsid w:val="2D0A07F1"/>
    <w:rsid w:val="2D875092"/>
    <w:rsid w:val="2DDF1DBF"/>
    <w:rsid w:val="2ECE6548"/>
    <w:rsid w:val="2F1F3E8C"/>
    <w:rsid w:val="2F2B74F6"/>
    <w:rsid w:val="2F56299D"/>
    <w:rsid w:val="2F7E7F6E"/>
    <w:rsid w:val="35B00755"/>
    <w:rsid w:val="35DA54E6"/>
    <w:rsid w:val="3812264D"/>
    <w:rsid w:val="3A437DEA"/>
    <w:rsid w:val="3AD90E3C"/>
    <w:rsid w:val="3BFB7ADD"/>
    <w:rsid w:val="3C4B2A92"/>
    <w:rsid w:val="3CA66F28"/>
    <w:rsid w:val="3CE84C78"/>
    <w:rsid w:val="3CFE4BE4"/>
    <w:rsid w:val="3D98044D"/>
    <w:rsid w:val="3EDBBAD3"/>
    <w:rsid w:val="3FBC777D"/>
    <w:rsid w:val="3FC31BD1"/>
    <w:rsid w:val="445D3A2B"/>
    <w:rsid w:val="466622E2"/>
    <w:rsid w:val="468302B8"/>
    <w:rsid w:val="46B26845"/>
    <w:rsid w:val="4A3B72B4"/>
    <w:rsid w:val="4B973E13"/>
    <w:rsid w:val="4CDD40CE"/>
    <w:rsid w:val="4EC33F0B"/>
    <w:rsid w:val="4F4F10AC"/>
    <w:rsid w:val="4FDC11D7"/>
    <w:rsid w:val="501114FC"/>
    <w:rsid w:val="51B03B5F"/>
    <w:rsid w:val="54F77CF7"/>
    <w:rsid w:val="5514288C"/>
    <w:rsid w:val="55621614"/>
    <w:rsid w:val="56990422"/>
    <w:rsid w:val="57B40ADC"/>
    <w:rsid w:val="5B679E5F"/>
    <w:rsid w:val="5C1271C4"/>
    <w:rsid w:val="5C8C51C9"/>
    <w:rsid w:val="5DD60DF1"/>
    <w:rsid w:val="5DFFD6AD"/>
    <w:rsid w:val="5FA70BB0"/>
    <w:rsid w:val="617526E2"/>
    <w:rsid w:val="62265778"/>
    <w:rsid w:val="640E5DD6"/>
    <w:rsid w:val="640F77AC"/>
    <w:rsid w:val="6479615F"/>
    <w:rsid w:val="65980358"/>
    <w:rsid w:val="67927E4C"/>
    <w:rsid w:val="68146F4B"/>
    <w:rsid w:val="68387D94"/>
    <w:rsid w:val="69CC12A6"/>
    <w:rsid w:val="6ACB3360"/>
    <w:rsid w:val="6D337A9A"/>
    <w:rsid w:val="6D874340"/>
    <w:rsid w:val="6D965EA7"/>
    <w:rsid w:val="6E056B89"/>
    <w:rsid w:val="6E1A4AAF"/>
    <w:rsid w:val="6FD159E5"/>
    <w:rsid w:val="6FEE6D0C"/>
    <w:rsid w:val="70E64D55"/>
    <w:rsid w:val="70EA0941"/>
    <w:rsid w:val="71FFDCEE"/>
    <w:rsid w:val="737F42A4"/>
    <w:rsid w:val="73A84109"/>
    <w:rsid w:val="751F6782"/>
    <w:rsid w:val="756C3B4F"/>
    <w:rsid w:val="776575C6"/>
    <w:rsid w:val="776B22F2"/>
    <w:rsid w:val="77A04D8F"/>
    <w:rsid w:val="77A23F56"/>
    <w:rsid w:val="77FB60A4"/>
    <w:rsid w:val="78CC1696"/>
    <w:rsid w:val="795254DD"/>
    <w:rsid w:val="79F6371A"/>
    <w:rsid w:val="7BB80B28"/>
    <w:rsid w:val="7CE53CE8"/>
    <w:rsid w:val="7E435BD1"/>
    <w:rsid w:val="7E5356DB"/>
    <w:rsid w:val="7F590AE3"/>
    <w:rsid w:val="7F6C2C5A"/>
    <w:rsid w:val="7F7C8CD3"/>
    <w:rsid w:val="7F7CE8F3"/>
    <w:rsid w:val="7FD6261A"/>
    <w:rsid w:val="97FFBFF7"/>
    <w:rsid w:val="AFDFA893"/>
    <w:rsid w:val="B6FB1ACB"/>
    <w:rsid w:val="BBFD157B"/>
    <w:rsid w:val="BBFFB394"/>
    <w:rsid w:val="BDB9872E"/>
    <w:rsid w:val="C73F4456"/>
    <w:rsid w:val="CF77A9DB"/>
    <w:rsid w:val="DBAFDD4B"/>
    <w:rsid w:val="DBD5EE8A"/>
    <w:rsid w:val="DF671AB1"/>
    <w:rsid w:val="E7FD0A82"/>
    <w:rsid w:val="EF6F4B52"/>
    <w:rsid w:val="EFEB112C"/>
    <w:rsid w:val="F3FD86CF"/>
    <w:rsid w:val="F4DD7BDB"/>
    <w:rsid w:val="F4FE1E3B"/>
    <w:rsid w:val="FBBF539C"/>
    <w:rsid w:val="FC7D141F"/>
    <w:rsid w:val="FE9F31A0"/>
    <w:rsid w:val="FFDE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szCs w:val="24"/>
    </w:rPr>
  </w:style>
  <w:style w:type="paragraph" w:styleId="4">
    <w:name w:val="Body Text First Indent 2"/>
    <w:basedOn w:val="5"/>
    <w:next w:val="1"/>
    <w:qFormat/>
    <w:uiPriority w:val="0"/>
    <w:pPr>
      <w:adjustRightInd w:val="0"/>
      <w:ind w:firstLine="420"/>
      <w:textAlignment w:val="baseline"/>
    </w:pPr>
    <w:rPr>
      <w:rFonts w:ascii="宋体" w:hAnsi="宋体"/>
      <w:sz w:val="18"/>
      <w:szCs w:val="18"/>
    </w:r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5"/>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6"/>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1]正文"/>
    <w:basedOn w:val="1"/>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6">
    <w:name w:val="Default"/>
    <w:basedOn w:val="17"/>
    <w:qFormat/>
    <w:uiPriority w:val="0"/>
    <w:pPr>
      <w:widowControl w:val="0"/>
      <w:tabs>
        <w:tab w:val="left" w:pos="0"/>
        <w:tab w:val="left" w:pos="7012"/>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环保正文"/>
    <w:basedOn w:val="1"/>
    <w:qFormat/>
    <w:uiPriority w:val="0"/>
    <w:pPr>
      <w:tabs>
        <w:tab w:val="left" w:pos="0"/>
        <w:tab w:val="left" w:pos="7012"/>
      </w:tabs>
      <w:autoSpaceDE w:val="0"/>
      <w:autoSpaceDN w:val="0"/>
      <w:spacing w:line="360" w:lineRule="auto"/>
      <w:ind w:firstLine="200" w:firstLineChars="200"/>
    </w:pPr>
    <w:rPr>
      <w:rFonts w:ascii="Times New Roman"/>
    </w:rPr>
  </w:style>
  <w:style w:type="paragraph" w:customStyle="1" w:styleId="18">
    <w:name w:val="纯文本1"/>
    <w:basedOn w:val="1"/>
    <w:qFormat/>
    <w:uiPriority w:val="0"/>
    <w:rPr>
      <w:rFonts w:ascii="宋体" w:hAnsi="Courier New"/>
      <w:szCs w:val="20"/>
    </w:rPr>
  </w:style>
  <w:style w:type="paragraph" w:customStyle="1" w:styleId="19">
    <w:name w:val="正文1"/>
    <w:basedOn w:val="16"/>
    <w:next w:val="1"/>
    <w:qFormat/>
    <w:uiPriority w:val="0"/>
    <w:pPr>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8"/>
    <w:qFormat/>
    <w:uiPriority w:val="99"/>
    <w:rPr>
      <w:kern w:val="2"/>
      <w:sz w:val="18"/>
      <w:szCs w:val="18"/>
    </w:rPr>
  </w:style>
  <w:style w:type="paragraph" w:customStyle="1" w:styleId="22">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3">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4">
    <w:name w:val="List Paragraph"/>
    <w:basedOn w:val="1"/>
    <w:qFormat/>
    <w:uiPriority w:val="99"/>
    <w:pPr>
      <w:ind w:firstLine="420" w:firstLineChars="200"/>
    </w:pPr>
  </w:style>
  <w:style w:type="character" w:customStyle="1" w:styleId="25">
    <w:name w:val="批注文字 字符"/>
    <w:basedOn w:val="12"/>
    <w:link w:val="6"/>
    <w:semiHidden/>
    <w:qFormat/>
    <w:uiPriority w:val="99"/>
    <w:rPr>
      <w:kern w:val="2"/>
      <w:sz w:val="21"/>
      <w:szCs w:val="22"/>
    </w:rPr>
  </w:style>
  <w:style w:type="character" w:customStyle="1" w:styleId="26">
    <w:name w:val="批注主题 字符"/>
    <w:basedOn w:val="25"/>
    <w:link w:val="10"/>
    <w:semiHidden/>
    <w:qFormat/>
    <w:uiPriority w:val="99"/>
    <w:rPr>
      <w:b/>
      <w:bCs/>
      <w:kern w:val="2"/>
      <w:sz w:val="21"/>
      <w:szCs w:val="22"/>
    </w:rPr>
  </w:style>
  <w:style w:type="paragraph" w:customStyle="1" w:styleId="27">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8">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9">
    <w:name w:val="报告正文"/>
    <w:basedOn w:val="1"/>
    <w:qFormat/>
    <w:uiPriority w:val="0"/>
    <w:pPr>
      <w:adjustRightInd w:val="0"/>
      <w:snapToGrid w:val="0"/>
      <w:spacing w:line="360" w:lineRule="auto"/>
      <w:ind w:firstLine="482" w:firstLineChars="200"/>
    </w:pPr>
    <w:rPr>
      <w:color w:val="000000"/>
      <w:sz w:val="24"/>
      <w:szCs w:val="21"/>
    </w:rPr>
  </w:style>
  <w:style w:type="paragraph" w:customStyle="1" w:styleId="30">
    <w:name w:val="正文2"/>
    <w:basedOn w:val="1"/>
    <w:qFormat/>
    <w:uiPriority w:val="0"/>
    <w:pPr>
      <w:spacing w:line="360" w:lineRule="auto"/>
      <w:ind w:firstLine="200" w:firstLineChars="200"/>
    </w:pPr>
    <w:rPr>
      <w:rFonts w:ascii="Times New Roman" w:hAnsi="Times New Roman"/>
      <w:sz w:val="24"/>
      <w:szCs w:val="24"/>
    </w:rPr>
  </w:style>
  <w:style w:type="paragraph" w:customStyle="1" w:styleId="31">
    <w:name w:val="环评正文"/>
    <w:basedOn w:val="19"/>
    <w:qFormat/>
    <w:uiPriority w:val="0"/>
    <w:pPr>
      <w:snapToGrid w:val="0"/>
    </w:pPr>
    <w:rPr>
      <w:rFonts w:asci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3f704686-fd25-4218-b0b1-0f0e19a9cd90</errorID>
      <errorWord>站站</errorWord>
      <group>L1_Word</group>
      <groupName>字词问题</groupName>
      <ability>L2_Typo</ability>
      <abilityName>字词错误</abilityName>
      <candidateList>
        <item>站</item>
      </candidateList>
      <explain/>
      <paraID>460B0A64</paraID>
      <start>128</start>
      <end>130</end>
      <status>unmodified</status>
      <modifiedWord/>
      <trackRevisions>false</trackRevisions>
    </reviewItem>
    <reviewItem>
      <errorID>531e5421-8b82-4087-a9a2-1e033fff58e3</errorID>
      <errorWord>减震</errorWord>
      <group>L1_Word</group>
      <groupName>字词问题</groupName>
      <ability>L2_Typo</ability>
      <abilityName>字词错误</abilityName>
      <candidateList>
        <item>减振</item>
      </candidateList>
      <explain>存在发音相同字词的误用。</explain>
      <paraID>294D940F</paraID>
      <start>42</start>
      <end>44</end>
      <status>unmodified</status>
      <modifiedWord/>
      <trackRevisions>false</trackRevisions>
    </reviewItem>
    <reviewItem>
      <errorID>4e2d739b-d60a-4f4c-bec7-47a369dd8b06</errorID>
      <errorWord>，</errorWord>
      <group>L1_AI</group>
      <groupName>深度校对</groupName>
      <ability>L2_AI_Punc</ability>
      <abilityName>标点纠错</abilityName>
      <candidateList>
        <item>。</item>
      </candidateList>
      <explain/>
      <paraID>1FE82BC5</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1abe9-1f7a-4ac0-9b37-664baf601b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1861</Words>
  <Characters>1963</Characters>
  <Lines>19</Lines>
  <Paragraphs>5</Paragraphs>
  <TotalTime>6</TotalTime>
  <ScaleCrop>false</ScaleCrop>
  <LinksUpToDate>false</LinksUpToDate>
  <CharactersWithSpaces>1981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2023-02-03T09:32:00Z</dcterms:created>
  <dc:creator>hui hui</dc:creator>
  <cp:lastModifiedBy>ོʚ 中ོ然ོ ɞ</cp:lastModifiedBy>
  <cp:lastPrinted>2023-02-03T09:39:00Z</cp:lastPrinted>
  <dcterms:modified xsi:type="dcterms:W3CDTF">2025-11-25T04:10:50Z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8659E6A795444D7FAA33EC86BDFCDCC8_13</vt:lpwstr>
  </property>
  <property fmtid="{D5CDD505-2E9C-101B-9397-08002B2CF9AE}" pid="4" name="KSOTemplateDocerSaveRecord">
    <vt:lpwstr>eyJoZGlkIjoiNTk0MDc0MWE2MzMxMjkwZmE5ODU4OGMzYzc5YjkzMTAiLCJ1c2VySWQiOiI1NDkxMDYxNjAifQ==</vt:lpwstr>
  </property>
</Properties>
</file>