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BF238">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52FC0CE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F78154E">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C73044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E5488D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87A6318">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2AB4578B">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0C06C2C1">
      <w:pPr>
        <w:autoSpaceDE w:val="0"/>
        <w:autoSpaceDN w:val="0"/>
        <w:adjustRightInd w:val="0"/>
        <w:snapToGrid w:val="0"/>
        <w:spacing w:line="560" w:lineRule="exact"/>
        <w:jc w:val="center"/>
        <w:rPr>
          <w:rFonts w:hint="eastAsia"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48</w:t>
      </w:r>
      <w:r>
        <w:rPr>
          <w:rFonts w:hint="eastAsia" w:ascii="仿宋_GB2312" w:hAnsi="Times New Roman" w:eastAsia="仿宋_GB2312" w:cs="Arial"/>
          <w:color w:val="auto"/>
          <w:sz w:val="32"/>
          <w:szCs w:val="32"/>
          <w:highlight w:val="none"/>
          <w:lang w:bidi="en-US"/>
        </w:rPr>
        <w:t>号</w:t>
      </w:r>
    </w:p>
    <w:p w14:paraId="3314127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hAnsi="Times New Roman" w:eastAsia="仿宋_GB2312" w:cs="Arial"/>
          <w:color w:val="auto"/>
          <w:sz w:val="32"/>
          <w:szCs w:val="32"/>
          <w:highlight w:val="none"/>
          <w:lang w:bidi="en-US"/>
        </w:rPr>
      </w:pPr>
    </w:p>
    <w:bookmarkEnd w:id="0"/>
    <w:p w14:paraId="6E733B9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4A85E5B8">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关于内蒙古裕通实业有限公司乌尼特煤矿 120万吨/年改建项目环境影响报告书</w:t>
      </w:r>
    </w:p>
    <w:p w14:paraId="280846B6">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的批复</w:t>
      </w:r>
    </w:p>
    <w:p w14:paraId="51F2C902">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仿宋_GB2312" w:hAnsi="仿宋_GB2312" w:eastAsia="仿宋_GB2312" w:cs="仿宋_GB2312"/>
          <w:color w:val="auto"/>
          <w:sz w:val="32"/>
          <w:szCs w:val="32"/>
          <w:lang w:bidi="en-US"/>
        </w:rPr>
      </w:pPr>
    </w:p>
    <w:p w14:paraId="2E76031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内蒙古裕通实业有限公司</w:t>
      </w:r>
      <w:r>
        <w:rPr>
          <w:rFonts w:hint="eastAsia" w:ascii="仿宋_GB2312" w:hAnsi="仿宋_GB2312" w:eastAsia="仿宋_GB2312" w:cs="仿宋_GB2312"/>
          <w:color w:val="auto"/>
          <w:sz w:val="32"/>
          <w:szCs w:val="32"/>
          <w:lang w:bidi="en-US"/>
        </w:rPr>
        <w:t>：</w:t>
      </w:r>
    </w:p>
    <w:p w14:paraId="2E186D0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000000"/>
          <w:sz w:val="32"/>
          <w:szCs w:val="32"/>
          <w:lang w:val="en-US" w:eastAsia="zh-CN" w:bidi="en-US"/>
        </w:rPr>
        <w:t>你单位报送的《内蒙古裕通实业有限公司乌尼特煤矿 120万吨/年改建项目环境影响报告书》（</w:t>
      </w:r>
      <w:r>
        <w:rPr>
          <w:rFonts w:hint="eastAsia" w:ascii="仿宋_GB2312" w:hAnsi="仿宋_GB2312" w:eastAsia="仿宋_GB2312" w:cs="仿宋_GB2312"/>
          <w:color w:val="000000"/>
          <w:sz w:val="32"/>
          <w:szCs w:val="32"/>
          <w:lang w:val="en-US" w:bidi="en-US"/>
        </w:rPr>
        <w:t>以下简称《报告书》</w:t>
      </w:r>
      <w:r>
        <w:rPr>
          <w:rFonts w:hint="eastAsia" w:ascii="仿宋_GB2312" w:hAnsi="仿宋_GB2312" w:eastAsia="仿宋_GB2312" w:cs="仿宋_GB2312"/>
          <w:color w:val="000000"/>
          <w:sz w:val="32"/>
          <w:szCs w:val="32"/>
          <w:lang w:val="en-US" w:eastAsia="zh-CN" w:bidi="en-US"/>
        </w:rPr>
        <w:t>）收悉。经研究，批复如下：</w:t>
      </w:r>
    </w:p>
    <w:p w14:paraId="11F1F23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000000"/>
          <w:sz w:val="32"/>
          <w:szCs w:val="32"/>
          <w:lang w:val="en-US" w:eastAsia="zh-CN" w:bidi="en-US"/>
        </w:rPr>
        <w:t>内蒙古裕通实业有限公司乌尼特煤矿120万吨/年改建项目</w:t>
      </w:r>
      <w:r>
        <w:rPr>
          <w:rFonts w:hint="eastAsia" w:ascii="仿宋_GB2312" w:hAnsi="仿宋_GB2312" w:eastAsia="仿宋_GB2312" w:cs="仿宋_GB2312"/>
          <w:color w:val="auto"/>
          <w:kern w:val="2"/>
          <w:sz w:val="32"/>
          <w:szCs w:val="32"/>
          <w:lang w:val="en-US" w:eastAsia="zh-CN" w:bidi="ar-SA"/>
        </w:rPr>
        <w:t>位于锡林郭勒盟东乌珠穆沁旗乌里雅斯太镇巴彦图门嘎查。矿区坐标：东经117°01′15.347″-117°04′37.872″，北纬45°15′38.319″-45°17′11.227″。矿区总面积4.4204平方公里，共由16个拐点圈定。采用露天开采方式，开采深度为937.64米至790米标高。项目主要建设内容为：</w:t>
      </w:r>
      <w:r>
        <w:rPr>
          <w:rFonts w:hint="eastAsia" w:ascii="仿宋_GB2312" w:hAnsi="仿宋_GB2312" w:eastAsia="仿宋_GB2312" w:cs="仿宋_GB2312"/>
          <w:color w:val="auto"/>
          <w:kern w:val="2"/>
          <w:sz w:val="32"/>
          <w:szCs w:val="32"/>
          <w:highlight w:val="none"/>
          <w:lang w:val="en-US" w:eastAsia="zh-CN" w:bidi="en-US"/>
        </w:rPr>
        <w:t>扩大露天深部开采范围，同时将局部赋存的A1下煤层纳入露天开采，矿田内划分三个采区进行开采，其中西南部为首采区，首采区东部为二采区、三采区，其余设施均依托现有工程。建设规模为120万吨/年，剩余服务年限为11.2年。</w:t>
      </w:r>
    </w:p>
    <w:p w14:paraId="093ADF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168B5368">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w:t>
      </w:r>
      <w:bookmarkStart w:id="1" w:name="_GoBack"/>
      <w:r>
        <w:rPr>
          <w:rFonts w:hint="eastAsia" w:ascii="仿宋_GB2312" w:hAnsi="仿宋_GB2312" w:eastAsia="仿宋_GB2312" w:cs="仿宋_GB2312"/>
          <w:color w:val="auto"/>
          <w:kern w:val="2"/>
          <w:sz w:val="32"/>
          <w:szCs w:val="32"/>
          <w:highlight w:val="none"/>
          <w:lang w:val="en-US" w:eastAsia="zh-CN" w:bidi="ar-SA"/>
        </w:rPr>
        <w:t>工作</w:t>
      </w:r>
      <w:bookmarkEnd w:id="1"/>
    </w:p>
    <w:p w14:paraId="33CE7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（一）生态保护措施。</w:t>
      </w:r>
      <w:r>
        <w:rPr>
          <w:rFonts w:hint="eastAsia" w:ascii="仿宋_GB2312" w:hAnsi="仿宋_GB2312" w:eastAsia="仿宋_GB2312" w:cs="仿宋_GB2312"/>
          <w:color w:val="auto"/>
          <w:kern w:val="2"/>
          <w:sz w:val="32"/>
          <w:szCs w:val="32"/>
          <w:lang w:val="en-US" w:eastAsia="zh-CN" w:bidi="ar-SA"/>
        </w:rPr>
        <w:t>严格按照《报告书》提出的开采范围进行开采。新剥离表土单独堆存用于生态恢复。施工过程中发现文物的，应当保护现场，立即报告当地文物保护部门，由文物保护部门依法依规进行处理。及时开展生态修复，按照“边开采、边修复”的原则，在统筹考虑生物多样性、防沙治沙等要求的基础上，编制生态保护及修复方案。占用草地应依法履行相关手续。建立生态监测系统，加强生态影响长期跟踪监测，根据监测结果，采取优化措施减缓不利生态影响。</w:t>
      </w:r>
    </w:p>
    <w:p w14:paraId="37BDD25A">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（二）严格落实各项大气污染防治措施。</w:t>
      </w:r>
      <w:r>
        <w:rPr>
          <w:rFonts w:hint="eastAsia" w:ascii="仿宋_GB2312" w:hAnsi="仿宋_GB2312" w:eastAsia="仿宋_GB2312" w:cs="仿宋_GB2312"/>
          <w:color w:val="auto"/>
          <w:kern w:val="2"/>
          <w:sz w:val="32"/>
          <w:szCs w:val="32"/>
          <w:highlight w:val="none"/>
          <w:lang w:val="en-US" w:eastAsia="zh-CN" w:bidi="en-US"/>
        </w:rPr>
        <w:t xml:space="preserve">采掘场各作业环节均洒水喷雾抑尘；排土作业卸料过程中洒水喷雾抑尘并定期进行碾压；原煤储存场全封闭建设，周边设置防风抑尘网，同时安装雾炮装置；原煤破碎筛分环节置于全封闭车间，并加装集气罩及布袋除尘器，粉尘经收集处理满足《煤炭工业污染物排放标准》（GB20246-2006）浓度限值要求后，通过排气筒排放；生物质锅炉烟气经多管除尘器和布袋除尘器处理满足《锅炉大气污染物排放标准》（GB13271-2014）限值要求后，通过排气筒排放。运输道路硬化建设，洒水抑尘，运输车辆控制车速并加盖苫布，最终厂界颗粒物无组织排放须满足《煤炭工业污染物排放标准》（GB20426-2006）浓度限值要求。 </w:t>
      </w:r>
    </w:p>
    <w:p w14:paraId="757310AD">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（三）严格落实各项水污染防治措施。</w:t>
      </w:r>
      <w:r>
        <w:rPr>
          <w:rFonts w:hint="eastAsia" w:ascii="仿宋_GB2312" w:hAnsi="仿宋_GB2312" w:eastAsia="仿宋_GB2312" w:cs="仿宋_GB2312"/>
          <w:color w:val="auto"/>
          <w:kern w:val="2"/>
          <w:sz w:val="32"/>
          <w:szCs w:val="32"/>
          <w:highlight w:val="none"/>
          <w:lang w:val="en-US" w:eastAsia="zh-CN" w:bidi="en-US"/>
        </w:rPr>
        <w:t xml:space="preserve">矿坑涌水经沉淀处理满足《煤炭工业污染物排放标准》（GB20426-2006）及《城市污水再生利用城市杂用水水质》（GB/T18920-2020）浓度限值要求后用于矿区绿化降尘。生活污水经防渗化粪池收集处理后，委托有资质单位定期进行抽运处置。  </w:t>
      </w:r>
    </w:p>
    <w:p w14:paraId="10CDBE16">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（四）</w:t>
      </w:r>
      <w:r>
        <w:rPr>
          <w:rFonts w:hint="eastAsia" w:ascii="楷体" w:hAnsi="楷体" w:eastAsia="楷体" w:cs="楷体"/>
          <w:b w:val="0"/>
          <w:bCs w:val="0"/>
          <w:color w:val="000000"/>
          <w:sz w:val="32"/>
          <w:szCs w:val="32"/>
          <w:highlight w:val="none"/>
          <w:lang w:val="en-US" w:eastAsia="zh-CN"/>
        </w:rPr>
        <w:t>严格落实噪声防治措施。</w:t>
      </w:r>
      <w:r>
        <w:rPr>
          <w:rFonts w:hint="eastAsia" w:ascii="仿宋_GB2312" w:hAnsi="仿宋_GB2312" w:eastAsia="仿宋_GB2312" w:cs="仿宋_GB2312"/>
          <w:color w:val="auto"/>
          <w:kern w:val="2"/>
          <w:sz w:val="32"/>
          <w:szCs w:val="32"/>
          <w:highlight w:val="none"/>
          <w:lang w:val="en-GB" w:eastAsia="zh-CN" w:bidi="en-US"/>
        </w:rPr>
        <w:t>项目噪声源主要为机械设备噪声及道路交通噪声。</w:t>
      </w:r>
      <w:r>
        <w:rPr>
          <w:rFonts w:hint="eastAsia" w:ascii="仿宋_GB2312" w:hAnsi="仿宋_GB2312" w:eastAsia="仿宋_GB2312" w:cs="仿宋_GB2312"/>
          <w:color w:val="auto"/>
          <w:kern w:val="2"/>
          <w:sz w:val="32"/>
          <w:szCs w:val="32"/>
          <w:highlight w:val="none"/>
          <w:lang w:val="en-US" w:eastAsia="zh-CN" w:bidi="en-US"/>
        </w:rPr>
        <w:t>针对不同的声源采取相应的消声、隔音、减振、降噪措施，高噪设备均置于封闭车间内并加装减震基座，同时加强机械设备日常维护。运输车辆减速行驶，禁止鸣笛。最终噪声排放满足《工业企业厂界环境噪声排放标准》（GB12348-2008）3类标准限值要求。</w:t>
      </w:r>
    </w:p>
    <w:p w14:paraId="2BA41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（五）严格落实固体废物污染防治措施。</w:t>
      </w:r>
      <w:r>
        <w:rPr>
          <w:rFonts w:hint="eastAsia" w:ascii="仿宋_GB2312" w:hAnsi="仿宋_GB2312" w:eastAsia="仿宋_GB2312" w:cs="仿宋_GB2312"/>
          <w:color w:val="auto"/>
          <w:kern w:val="2"/>
          <w:sz w:val="32"/>
          <w:szCs w:val="32"/>
          <w:highlight w:val="none"/>
          <w:lang w:val="en-US" w:eastAsia="zh-CN" w:bidi="en-US"/>
        </w:rPr>
        <w:t>剥采土岩、沉淀池污泥、生物质锅炉产生的草木灰、除尘灰均堆存于内排土场。废矿物油采用密闭耐腐蚀容器统一收集后和废油桶分类分区暂存于标准化危废暂存间内，定期委托有资质的单位处置。废离子交换树脂由厂家上门更换回收；生活垃圾由封闭式垃圾箱集中收集后，定期清运至当地环卫部门指定地点处理。</w:t>
      </w:r>
    </w:p>
    <w:p w14:paraId="62B45B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（六）</w:t>
      </w:r>
      <w:r>
        <w:rPr>
          <w:rFonts w:hint="eastAsia" w:ascii="楷体" w:hAnsi="楷体" w:eastAsia="楷体" w:cs="楷体"/>
          <w:b w:val="0"/>
          <w:bCs w:val="0"/>
          <w:color w:val="000000"/>
          <w:sz w:val="32"/>
          <w:szCs w:val="32"/>
          <w:highlight w:val="none"/>
          <w:lang w:val="en-US" w:eastAsia="zh-CN"/>
        </w:rPr>
        <w:t>严格落实土壤和地下水污染防治措施。</w:t>
      </w:r>
      <w:r>
        <w:rPr>
          <w:rFonts w:hint="eastAsia" w:ascii="仿宋_GB2312" w:hAnsi="仿宋_GB2312" w:eastAsia="仿宋_GB2312" w:cs="仿宋_GB2312"/>
          <w:color w:val="auto"/>
          <w:kern w:val="2"/>
          <w:sz w:val="32"/>
          <w:szCs w:val="32"/>
          <w:highlight w:val="none"/>
          <w:lang w:val="en-US" w:eastAsia="zh-CN" w:bidi="en-US"/>
        </w:rPr>
        <w:t>严格执行“源头控制、分区防控、污染监控、应急响应”相结合的原则。危废暂存间按照《危险废物贮存污染控制标准》（GB18597-2023）建设。所有防渗措施均满足《环境影响评价技术导则 地下水环境》（HJ610-2016）技术要求。</w:t>
      </w:r>
    </w:p>
    <w:p w14:paraId="7F75A9A8">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（七）强化各项环境风险防范措施。</w:t>
      </w:r>
      <w:r>
        <w:rPr>
          <w:rFonts w:hint="eastAsia" w:ascii="仿宋_GB2312" w:hAnsi="仿宋_GB2312" w:eastAsia="仿宋_GB2312" w:cs="仿宋_GB2312"/>
          <w:color w:val="auto"/>
          <w:kern w:val="2"/>
          <w:sz w:val="32"/>
          <w:szCs w:val="32"/>
          <w:highlight w:val="none"/>
          <w:lang w:val="en-US" w:eastAsia="zh-CN" w:bidi="en-US"/>
        </w:rPr>
        <w:t>落实环保设施安全生产工作，建立环保设备设施台账和维护管理制度。按照规范要求存放风险物质；加强生产过程设备的管理与维修，防止跑、冒、滴、漏现象的发生；建立完善的环境管理制度和事故应急措施，制定切实可行的环境风险应急预案，加强对危废暂存间的管理；严格落实风险防范措施和应急预案，切实杜绝环境风险事故。</w:t>
      </w:r>
    </w:p>
    <w:p w14:paraId="1258A7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（八）</w:t>
      </w:r>
      <w:r>
        <w:rPr>
          <w:rFonts w:hint="eastAsia" w:ascii="楷体" w:hAnsi="楷体" w:eastAsia="楷体" w:cs="楷体"/>
          <w:color w:val="auto"/>
          <w:sz w:val="32"/>
          <w:szCs w:val="32"/>
          <w:highlight w:val="none"/>
          <w:lang w:bidi="en-US"/>
        </w:rPr>
        <w:t>严格落实运营期污染源监测计划。</w:t>
      </w:r>
      <w:r>
        <w:rPr>
          <w:rFonts w:hint="eastAsia" w:ascii="仿宋_GB2312" w:hAnsi="仿宋_GB2312" w:eastAsia="仿宋_GB2312" w:cs="仿宋_GB2312"/>
          <w:color w:val="auto"/>
          <w:kern w:val="2"/>
          <w:sz w:val="32"/>
          <w:szCs w:val="32"/>
          <w:highlight w:val="none"/>
          <w:lang w:val="en-US" w:eastAsia="zh-CN" w:bidi="en-US"/>
        </w:rPr>
        <w:t>按照国家和地方有关规定设置规范的污染物排放口，按要求规范建设监控感知端，并设立标志牌。按照相关标准、规范等要求，落实《报告书》提出的环境管理及监测计划。强化污染源与无组织排放源管理，制定自行监测方案，落实环境管理与监测计划，按规定开展自行监测和信息公开。各排气筒应按照规范要求预留永久性监测口和采样监测平台。如出现污染物超标排放情况，应立即查明原因并采取进一步污染物减排措施。</w:t>
      </w:r>
    </w:p>
    <w:p w14:paraId="66508E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1813695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四、我局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东乌珠穆沁旗分局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5BA56426">
      <w:pPr>
        <w:keepNext w:val="0"/>
        <w:keepLines w:val="0"/>
        <w:pageBreakBefore w:val="0"/>
        <w:widowControl w:val="0"/>
        <w:kinsoku/>
        <w:wordWrap/>
        <w:overflowPunct/>
        <w:topLinePunct w:val="0"/>
        <w:bidi w:val="0"/>
        <w:spacing w:line="560" w:lineRule="exact"/>
        <w:rPr>
          <w:rFonts w:hint="eastAsia"/>
          <w:color w:val="auto"/>
        </w:rPr>
      </w:pPr>
    </w:p>
    <w:p w14:paraId="6D8F775F">
      <w:pPr>
        <w:rPr>
          <w:rFonts w:hint="eastAsia"/>
          <w:color w:val="auto"/>
        </w:rPr>
      </w:pPr>
    </w:p>
    <w:p w14:paraId="595E43E0">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693722B9">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202</w:t>
      </w:r>
      <w:r>
        <w:rPr>
          <w:rFonts w:hint="eastAsia" w:ascii="仿宋_GB2312" w:hAnsi="仿宋_GB2312" w:eastAsia="仿宋_GB2312" w:cs="仿宋_GB2312"/>
          <w:color w:val="000000"/>
          <w:sz w:val="32"/>
          <w:szCs w:val="32"/>
          <w:highlight w:val="none"/>
          <w:lang w:val="en-US" w:eastAsia="zh-CN" w:bidi="en-US"/>
        </w:rPr>
        <w:t>5</w:t>
      </w:r>
      <w:r>
        <w:rPr>
          <w:rFonts w:hint="eastAsia" w:ascii="仿宋_GB2312" w:hAnsi="仿宋_GB2312" w:eastAsia="仿宋_GB2312" w:cs="仿宋_GB2312"/>
          <w:color w:val="000000"/>
          <w:sz w:val="32"/>
          <w:szCs w:val="32"/>
          <w:highlight w:val="none"/>
          <w:lang w:bidi="en-US"/>
        </w:rPr>
        <w:t>年</w:t>
      </w:r>
      <w:r>
        <w:rPr>
          <w:rFonts w:hint="eastAsia" w:ascii="仿宋_GB2312" w:hAnsi="仿宋_GB2312" w:eastAsia="仿宋_GB2312" w:cs="仿宋_GB2312"/>
          <w:color w:val="000000"/>
          <w:sz w:val="32"/>
          <w:szCs w:val="32"/>
          <w:highlight w:val="none"/>
          <w:lang w:val="en-US" w:eastAsia="zh-CN" w:bidi="en-US"/>
        </w:rPr>
        <w:t>12</w:t>
      </w:r>
      <w:r>
        <w:rPr>
          <w:rFonts w:hint="eastAsia" w:ascii="仿宋_GB2312" w:hAnsi="仿宋_GB2312" w:eastAsia="仿宋_GB2312" w:cs="仿宋_GB2312"/>
          <w:color w:val="000000"/>
          <w:sz w:val="32"/>
          <w:szCs w:val="32"/>
          <w:highlight w:val="none"/>
          <w:lang w:bidi="en-US"/>
        </w:rPr>
        <w:t>月</w:t>
      </w:r>
      <w:r>
        <w:rPr>
          <w:rFonts w:hint="eastAsia" w:ascii="仿宋_GB2312" w:hAnsi="仿宋_GB2312" w:eastAsia="仿宋_GB2312" w:cs="仿宋_GB2312"/>
          <w:color w:val="000000"/>
          <w:sz w:val="32"/>
          <w:szCs w:val="32"/>
          <w:highlight w:val="none"/>
          <w:lang w:val="en-US" w:eastAsia="zh-CN" w:bidi="en-US"/>
        </w:rPr>
        <w:t>24</w:t>
      </w:r>
      <w:r>
        <w:rPr>
          <w:rFonts w:hint="eastAsia" w:ascii="仿宋_GB2312" w:hAnsi="仿宋_GB2312" w:eastAsia="仿宋_GB2312" w:cs="仿宋_GB2312"/>
          <w:color w:val="000000"/>
          <w:sz w:val="32"/>
          <w:szCs w:val="32"/>
          <w:highlight w:val="none"/>
          <w:lang w:bidi="en-US"/>
        </w:rPr>
        <w:t>日</w:t>
      </w:r>
    </w:p>
    <w:p w14:paraId="54314E1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p>
    <w:p w14:paraId="2468C7FB">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p>
    <w:p w14:paraId="48BFA5AF">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p>
    <w:p w14:paraId="228CD900">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p>
    <w:p w14:paraId="34D7A994">
      <w:pPr>
        <w:pStyle w:val="16"/>
        <w:keepNext w:val="0"/>
        <w:keepLines w:val="0"/>
        <w:pageBreakBefore w:val="0"/>
        <w:widowControl w:val="0"/>
        <w:kinsoku/>
        <w:wordWrap/>
        <w:overflowPunct/>
        <w:topLinePunct w:val="0"/>
        <w:bidi w:val="0"/>
        <w:snapToGrid/>
        <w:spacing w:line="500" w:lineRule="exact"/>
        <w:ind w:left="1119" w:leftChars="133" w:hanging="840" w:hangingChars="300"/>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kern w:val="2"/>
          <w:sz w:val="28"/>
          <w:szCs w:val="28"/>
          <w:highlight w:val="none"/>
          <w:lang w:bidi="en-US"/>
        </w:rPr>
        <w:t>境局</w:t>
      </w:r>
      <w:r>
        <w:rPr>
          <w:rFonts w:hint="eastAsia" w:ascii="仿宋" w:hAnsi="仿宋" w:eastAsia="仿宋" w:cs="仿宋"/>
          <w:color w:val="000000"/>
          <w:kern w:val="2"/>
          <w:sz w:val="28"/>
          <w:szCs w:val="28"/>
          <w:highlight w:val="none"/>
          <w:lang w:eastAsia="zh-CN" w:bidi="en-US"/>
        </w:rPr>
        <w:t>东乌珠穆沁旗分</w:t>
      </w:r>
      <w:r>
        <w:rPr>
          <w:rFonts w:hint="eastAsia" w:ascii="仿宋" w:hAnsi="仿宋" w:eastAsia="仿宋" w:cs="仿宋"/>
          <w:color w:val="auto"/>
          <w:kern w:val="2"/>
          <w:sz w:val="28"/>
          <w:szCs w:val="28"/>
          <w:highlight w:val="none"/>
          <w:lang w:eastAsia="zh-CN" w:bidi="en-US"/>
        </w:rPr>
        <w:t>局。</w:t>
      </w:r>
    </w:p>
    <w:p w14:paraId="732EFA33">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sz w:val="28"/>
          <w:szCs w:val="28"/>
          <w:highlight w:val="none"/>
        </w:rPr>
        <w:t xml:space="preserve">     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24</w:t>
      </w:r>
      <w:r>
        <w:rPr>
          <w:rFonts w:hint="eastAsia" w:ascii="仿宋" w:hAnsi="仿宋" w:eastAsia="仿宋" w:cs="仿宋"/>
          <w:color w:val="000000"/>
          <w:sz w:val="28"/>
          <w:szCs w:val="28"/>
          <w:highlight w:val="none"/>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000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E967D">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DF1316">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7DF1316">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F73278"/>
    <w:rsid w:val="054A15F9"/>
    <w:rsid w:val="07A33AEE"/>
    <w:rsid w:val="0B543AAA"/>
    <w:rsid w:val="0F474DFC"/>
    <w:rsid w:val="15963967"/>
    <w:rsid w:val="17BA2398"/>
    <w:rsid w:val="1A580A68"/>
    <w:rsid w:val="1FAA740D"/>
    <w:rsid w:val="208F03B0"/>
    <w:rsid w:val="215238B8"/>
    <w:rsid w:val="22F015DA"/>
    <w:rsid w:val="26756A3A"/>
    <w:rsid w:val="27B70919"/>
    <w:rsid w:val="2927387C"/>
    <w:rsid w:val="29F51284"/>
    <w:rsid w:val="2D6B1B0F"/>
    <w:rsid w:val="34264730"/>
    <w:rsid w:val="34300575"/>
    <w:rsid w:val="39727BE4"/>
    <w:rsid w:val="3E1A3557"/>
    <w:rsid w:val="3F3747C4"/>
    <w:rsid w:val="40A67324"/>
    <w:rsid w:val="411E335F"/>
    <w:rsid w:val="4469669F"/>
    <w:rsid w:val="45B408FA"/>
    <w:rsid w:val="46001224"/>
    <w:rsid w:val="4E9133C2"/>
    <w:rsid w:val="50006F99"/>
    <w:rsid w:val="517C480F"/>
    <w:rsid w:val="528172AA"/>
    <w:rsid w:val="6F093AAD"/>
    <w:rsid w:val="70A64C81"/>
    <w:rsid w:val="75F37776"/>
    <w:rsid w:val="78BC2170"/>
    <w:rsid w:val="7E447259"/>
    <w:rsid w:val="7F03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5">
    <w:name w:val="heading 4"/>
    <w:basedOn w:val="1"/>
    <w:next w:val="1"/>
    <w:qFormat/>
    <w:uiPriority w:val="9"/>
    <w:pPr>
      <w:keepNext/>
      <w:keepLines/>
      <w:adjustRightInd w:val="0"/>
      <w:snapToGrid w:val="0"/>
      <w:jc w:val="left"/>
      <w:outlineLvl w:val="3"/>
    </w:pPr>
    <w:rPr>
      <w:rFonts w:cs="宋体"/>
      <w:b/>
      <w:bCs/>
      <w:szCs w:val="28"/>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szCs w:val="24"/>
    </w:rPr>
  </w:style>
  <w:style w:type="paragraph" w:styleId="3">
    <w:name w:val="Body Text First Indent 2"/>
    <w:basedOn w:val="4"/>
    <w:next w:val="1"/>
    <w:qFormat/>
    <w:uiPriority w:val="0"/>
    <w:pPr>
      <w:adjustRightInd w:val="0"/>
      <w:ind w:firstLine="420"/>
      <w:textAlignment w:val="baseline"/>
    </w:pPr>
    <w:rPr>
      <w:rFonts w:ascii="宋体" w:hAnsi="宋体"/>
      <w:sz w:val="18"/>
      <w:szCs w:val="18"/>
    </w:rPr>
  </w:style>
  <w:style w:type="paragraph" w:styleId="4">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5"/>
    <w:qFormat/>
    <w:uiPriority w:val="99"/>
    <w:rPr>
      <w:b/>
      <w:bCs/>
    </w:rPr>
  </w:style>
  <w:style w:type="character" w:styleId="13">
    <w:name w:val="Hyperlink"/>
    <w:basedOn w:val="12"/>
    <w:qFormat/>
    <w:uiPriority w:val="99"/>
    <w:rPr>
      <w:color w:val="0563C1"/>
      <w:u w:val="single"/>
    </w:rPr>
  </w:style>
  <w:style w:type="character" w:styleId="14">
    <w:name w:val="annotation reference"/>
    <w:basedOn w:val="12"/>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paragraph" w:customStyle="1" w:styleId="18">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qFormat/>
    <w:uiPriority w:val="99"/>
    <w:rPr>
      <w:kern w:val="2"/>
      <w:sz w:val="21"/>
      <w:szCs w:val="22"/>
    </w:rPr>
  </w:style>
  <w:style w:type="character" w:customStyle="1" w:styleId="25">
    <w:name w:val="批注主题 字符"/>
    <w:basedOn w:val="24"/>
    <w:link w:val="10"/>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29">
    <w:name w:val="正文2"/>
    <w:basedOn w:val="1"/>
    <w:qFormat/>
    <w:uiPriority w:val="0"/>
    <w:pPr>
      <w:spacing w:line="360" w:lineRule="auto"/>
      <w:ind w:firstLine="200" w:firstLineChars="200"/>
    </w:pPr>
    <w:rPr>
      <w:rFonts w:ascii="Times New Roman" w:hAnsi="Times New Roman"/>
      <w:sz w:val="24"/>
      <w:szCs w:val="24"/>
    </w:rPr>
  </w:style>
  <w:style w:type="paragraph" w:customStyle="1" w:styleId="30">
    <w:name w:val="正文文本1"/>
    <w:basedOn w:val="1"/>
    <w:qFormat/>
    <w:uiPriority w:val="0"/>
    <w:pPr>
      <w:spacing w:after="1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26566562-95ba-4a8f-a254-de47785537e7</errorID>
      <errorWord>工作</errorWord>
      <group>L1_AI</group>
      <groupName>深度校对</groupName>
      <ability>L2_AI_Punc</ability>
      <abilityName>标点纠错</abilityName>
      <candidateList>
        <item>工作：</item>
      </candidateList>
      <explain/>
      <paraID>168B5368</paraID>
      <start>22</start>
      <end>24</end>
      <status>unmodified</status>
      <modifiedWord/>
      <trackRevisions>false</trackRevisions>
    </reviewItem>
    <reviewItem>
      <errorID>12111356-dceb-4dfd-a49d-bbb130c3232d</errorID>
      <errorWord>减震</errorWord>
      <group>L1_Word</group>
      <groupName>字词问题</groupName>
      <ability>L2_Typo</ability>
      <abilityName>字词错误</abilityName>
      <candidateList>
        <item>减振</item>
      </candidateList>
      <explain>存在发音相同字词的误用。</explain>
      <paraID>10CDBE16</paraID>
      <start>77</start>
      <end>79</end>
      <status>unmodified</status>
      <modifiedWord/>
      <trackRevisions>false</trackRevisions>
    </reviewItem>
    <reviewItem>
      <errorID>4f94bbe3-9b57-4f89-a085-d45841d46b18</errorID>
      <errorWord>）</errorWord>
      <group>L1_Word</group>
      <groupName>字词问题</groupName>
      <ability>L2_Typo</ability>
      <abilityName>字词错误</abilityName>
      <candidateList>
        <item>）第</item>
      </candidateList>
      <explain/>
      <paraID>10CDBE16</paraID>
      <start>146</start>
      <end>147</end>
      <status>unmodified</status>
      <modifiedWord/>
      <trackRevisions>false</trackRevisions>
    </reviewItem>
    <reviewItem>
      <errorID>0c8c5112-4698-4c09-9471-c9b2c5cdbf8a</errorID>
      <errorWord>监测</errorWord>
      <group>L1_Word</group>
      <groupName>字词问题</groupName>
      <ability>L2_Typo</ability>
      <abilityName>字词错误</abilityName>
      <candidateList>
        <item>检测</item>
      </candidateList>
      <explain/>
      <paraID>1258A7F1</paraID>
      <start>167</start>
      <end>169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07a68-e0b6-44bc-85d4-b005076e69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2140</Words>
  <Characters>2297</Characters>
  <Paragraphs>38</Paragraphs>
  <TotalTime>28</TotalTime>
  <ScaleCrop>false</ScaleCrop>
  <LinksUpToDate>false</LinksUpToDate>
  <CharactersWithSpaces>2329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2025-11-21T01:52:00Z</cp:lastPrinted>
  <dcterms:modified xsi:type="dcterms:W3CDTF">2025-12-24T07:28:53Z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81429F7EFE194B11ACBC8390AE6AD2EB_13</vt:lpwstr>
  </property>
  <property fmtid="{D5CDD505-2E9C-101B-9397-08002B2CF9AE}" pid="4" name="KSOTemplateDocerSaveRecord">
    <vt:lpwstr>eyJoZGlkIjoiNTk0MDc0MWE2MzMxMjkwZmE5ODU4OGMzYzc5YjkzMTAiLCJ1c2VySWQiOiI1NDkxMDYxNjAifQ==</vt:lpwstr>
  </property>
</Properties>
</file>