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0B70">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50C1E15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8DCD4E5">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37023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BB1B7F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2C07DAA">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7839D0F6">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032916D6">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49</w:t>
      </w:r>
      <w:r>
        <w:rPr>
          <w:rFonts w:hint="eastAsia" w:ascii="仿宋_GB2312" w:hAnsi="Times New Roman" w:eastAsia="仿宋_GB2312" w:cs="Arial"/>
          <w:color w:val="auto"/>
          <w:sz w:val="32"/>
          <w:szCs w:val="32"/>
          <w:highlight w:val="none"/>
          <w:lang w:bidi="en-US"/>
        </w:rPr>
        <w:t>号</w:t>
      </w:r>
    </w:p>
    <w:p w14:paraId="7877A644">
      <w:pPr>
        <w:adjustRightInd w:val="0"/>
        <w:snapToGrid w:val="0"/>
        <w:spacing w:line="360" w:lineRule="auto"/>
        <w:jc w:val="center"/>
        <w:rPr>
          <w:b/>
          <w:bCs/>
          <w:color w:val="auto"/>
          <w:sz w:val="32"/>
          <w:szCs w:val="32"/>
          <w:highlight w:val="none"/>
        </w:rPr>
      </w:pPr>
    </w:p>
    <w:p w14:paraId="71F605E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bookmarkEnd w:id="0"/>
    <w:p w14:paraId="2D15B95F">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苏尼特右旗富邦矿业有限公司苏尼特右旗桑宝力嘎额尔登塔拉萤石矿10万t/a</w:t>
      </w:r>
    </w:p>
    <w:p w14:paraId="43FE02C8">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采选项目（变更）</w:t>
      </w:r>
      <w:r>
        <w:rPr>
          <w:rFonts w:hint="eastAsia" w:ascii="方正小标宋简体" w:hAnsi="方正小标宋简体" w:eastAsia="方正小标宋简体" w:cs="方正小标宋简体"/>
          <w:bCs/>
          <w:color w:val="auto"/>
          <w:sz w:val="44"/>
          <w:szCs w:val="44"/>
          <w:highlight w:val="none"/>
        </w:rPr>
        <w:t>环境影响报告书的</w:t>
      </w:r>
    </w:p>
    <w:p w14:paraId="07B95060">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批复</w:t>
      </w:r>
    </w:p>
    <w:p w14:paraId="23752F4C">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2C742ADA">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苏尼特右旗富邦矿业有限公司</w:t>
      </w:r>
      <w:r>
        <w:rPr>
          <w:rFonts w:hint="eastAsia" w:ascii="仿宋_GB2312" w:hAnsi="仿宋_GB2312" w:eastAsia="仿宋_GB2312" w:cs="仿宋_GB2312"/>
          <w:color w:val="auto"/>
          <w:sz w:val="32"/>
          <w:szCs w:val="32"/>
          <w:lang w:bidi="en-US"/>
        </w:rPr>
        <w:t>：</w:t>
      </w:r>
    </w:p>
    <w:p w14:paraId="0D2A95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苏尼特右旗富邦矿业有限公司苏尼特右旗桑宝力嘎额尔登塔拉萤石矿10万t/a采选项目（变更）环境影响报告书》</w:t>
      </w:r>
      <w:r>
        <w:rPr>
          <w:rFonts w:hint="eastAsia"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525E1E9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sz w:val="32"/>
          <w:szCs w:val="32"/>
          <w:highlight w:val="none"/>
          <w:lang w:val="en-US" w:eastAsia="zh-CN"/>
        </w:rPr>
        <w:t>苏尼特右旗富邦矿业有限公司苏尼特右旗桑宝力嘎额尔登塔拉萤石矿10万t/a采选项目（变更）位于苏尼</w:t>
      </w:r>
      <w:r>
        <w:rPr>
          <w:rFonts w:hint="eastAsia" w:ascii="仿宋" w:hAnsi="仿宋" w:eastAsia="仿宋" w:cs="仿宋"/>
          <w:color w:val="auto"/>
          <w:sz w:val="32"/>
          <w:szCs w:val="32"/>
        </w:rPr>
        <w:t>特右旗桑宝力嘎苏木</w:t>
      </w:r>
      <w:r>
        <w:rPr>
          <w:rFonts w:hint="eastAsia" w:ascii="仿宋_GB2312" w:hAnsi="仿宋_GB2312" w:eastAsia="仿宋_GB2312" w:cs="仿宋_GB2312"/>
          <w:color w:val="auto"/>
          <w:kern w:val="2"/>
          <w:sz w:val="32"/>
          <w:szCs w:val="32"/>
          <w:lang w:val="en-US" w:eastAsia="zh-CN" w:bidi="ar-SA"/>
        </w:rPr>
        <w:t>，项目总占地</w:t>
      </w:r>
      <w:r>
        <w:rPr>
          <w:rFonts w:hint="eastAsia" w:ascii="仿宋_GB2312" w:hAnsi="仿宋_GB2312" w:eastAsia="仿宋_GB2312" w:cs="仿宋_GB2312"/>
          <w:color w:val="auto"/>
          <w:sz w:val="32"/>
          <w:szCs w:val="32"/>
          <w:highlight w:val="none"/>
          <w:lang w:val="en-US" w:eastAsia="zh-CN"/>
        </w:rPr>
        <w:t>1117.76</w:t>
      </w:r>
      <w:r>
        <w:rPr>
          <w:rFonts w:hint="eastAsia" w:ascii="仿宋_GB2312" w:hAnsi="仿宋_GB2312" w:eastAsia="仿宋_GB2312" w:cs="仿宋_GB2312"/>
          <w:color w:val="auto"/>
          <w:kern w:val="2"/>
          <w:sz w:val="32"/>
          <w:szCs w:val="32"/>
          <w:lang w:val="en-US" w:eastAsia="zh-CN" w:bidi="ar-SA"/>
        </w:rPr>
        <w:t>平方米，采用地下开采方式，设计开采标高为1065.00米至842.00米。主要建设内容为：井下开采提升、通风系统；工业场地破碎、筛分、浮选车间，原矿、尾矿、废石、成品储运场所等相关公辅设施。设计采矿规模为10万吨/年，服务年限10年；配套选矿规模为10万吨/年，设计服务年限15年。本项目建成后，年产萤石精矿37510吨。</w:t>
      </w:r>
    </w:p>
    <w:p w14:paraId="7CCF4521">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06346AE7">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33CE7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lang w:val="en-US" w:eastAsia="zh-CN" w:bidi="ar-SA"/>
        </w:rPr>
        <w:t>严格按照《报告书》提出的开采范围进行开采。新剥离表土单独堆存用于生态恢复。施工过程中发现文物的，应当保护现场，立即报告当地文物保护部门，由文物保护部门依法依规进行处理。及时开展生态修复，按照“边开采、边修复”的原则，在统筹考虑生物多样性、防沙治沙等要求的基础上，编制生态保护及修复方案。占用草地应依法履行相关手续。建立生态监测系统，加强生态影响长期跟踪监测，根据监测结果，采取优化措施减缓不利生态影响。</w:t>
      </w:r>
    </w:p>
    <w:p w14:paraId="63C0722C">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（二）严格落实各项大气污染防治措施。</w:t>
      </w:r>
      <w:r>
        <w:rPr>
          <w:rFonts w:hint="eastAsia" w:ascii="仿宋_GB2312" w:hAnsi="仿宋_GB2312" w:eastAsia="仿宋_GB2312" w:cs="仿宋_GB2312"/>
          <w:color w:val="auto"/>
          <w:kern w:val="2"/>
          <w:sz w:val="32"/>
          <w:szCs w:val="32"/>
          <w:lang w:val="en-US" w:eastAsia="zh-CN" w:bidi="ar-SA"/>
        </w:rPr>
        <w:t>井下凿岩、爆破等作业粉尘，均通过湿式作业、洒水降尘、局部通风、系统通风等措施处理后通过回风井排出。原矿、废石、表土、尾矿堆场及成品库均全封闭建设，定期洒水抑尘。填充站搅拌环节置于封闭空间并安装集气装置及布袋除尘器，废气经处理满足《大气污染物综合排放标准》（GB16297-1996）表2新污染源大气污染</w:t>
      </w:r>
      <w:bookmarkStart w:id="1" w:name="_GoBack"/>
      <w:bookmarkEnd w:id="1"/>
      <w:r>
        <w:rPr>
          <w:rFonts w:hint="eastAsia" w:ascii="仿宋_GB2312" w:hAnsi="仿宋_GB2312" w:eastAsia="仿宋_GB2312" w:cs="仿宋_GB2312"/>
          <w:color w:val="auto"/>
          <w:kern w:val="2"/>
          <w:sz w:val="32"/>
          <w:szCs w:val="32"/>
          <w:lang w:val="en-US" w:eastAsia="zh-CN" w:bidi="ar-SA"/>
        </w:rPr>
        <w:t>物排放限值中二级标准及无组织排放标准后</w:t>
      </w:r>
      <w:r>
        <w:rPr>
          <w:rFonts w:hint="eastAsia" w:ascii="仿宋_GB2312" w:hAnsi="仿宋_GB2312" w:eastAsia="仿宋_GB2312" w:cs="仿宋_GB2312"/>
          <w:color w:val="auto"/>
          <w:kern w:val="2"/>
          <w:sz w:val="32"/>
          <w:szCs w:val="32"/>
          <w:lang w:val="en-US" w:eastAsia="zh-CN" w:bidi="ar-SA"/>
        </w:rPr>
        <w:t>，通过排气筒排放。粉矿仓密闭建设并安装集气装置及布袋除尘器，废气经处理满足《大气污染物综合排放标准》（GB16297-1996）浓度限值要求后，通过排气筒排放。原矿石破碎、筛分工序置于封闭车间并安装集气装置，废气经收集后通过布袋除尘器处理，最终通过排气筒排放，其中废气污染因子颗粒物、氟化物排放须满足《大气污染物综合排放标准》（GB16297-1996）浓度限值要求。上料口三面封闭，并安装喷淋设施，输送工序置于封闭车间内，皮带转运廊道为封闭式空间，同时各皮带转运处上部、下部产尘位置均设收尘装置，下料环节设置喷淋装置。物料装卸环节降低装卸高度并喷淋抑尘，运输道路硬化建设，定期清扫、洒水抑尘，运输车辆加盖苫布。最终厂界颗粒物、氟化物排放须满足《大气污染物综合排放标准》（GB16297-1996）浓度限值要求。食堂餐饮油烟经高效油烟净化设施处理满足《饮食业油烟排放标准（试行）》（GB18483-2001）要求后由专用烟道引至屋顶排放。</w:t>
      </w:r>
    </w:p>
    <w:p w14:paraId="288C66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sz w:val="32"/>
          <w:szCs w:val="32"/>
          <w:lang w:val="en-US" w:eastAsia="zh-CN" w:bidi="en-US"/>
        </w:rPr>
        <w:t>矿井涌水通过沉淀后全部回用于采矿、选矿生产用水。选矿废水均经沉淀后，收集于循环水池，全部回用生产。食堂废水经隔油处理后，与生活污水一起通过一体化污水处理设施处理满足《城市污水再生利用 城市杂用水水质》（GB/T18920-2020）标准限值要求后用于矿区抑尘、绿化。</w:t>
      </w:r>
    </w:p>
    <w:p w14:paraId="2EC67513">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bidi="en-US"/>
        </w:rPr>
        <w:t>针对不同的声源采取相应的消声、隔音、减振、降噪措施，高噪设备均置于封闭车间内并加装减震基座，同时加强机械设备日常维护。运输车辆减速行驶，禁止鸣笛。最终噪声排放满足《工业企业厂界环境噪声排放标准》（GB12348-2008）</w:t>
      </w:r>
      <w:r>
        <w:rPr>
          <w:rFonts w:hint="eastAsia" w:ascii="仿宋_GB2312" w:hAnsi="仿宋_GB2312" w:eastAsia="仿宋_GB2312" w:cs="仿宋_GB2312"/>
          <w:color w:val="auto"/>
          <w:sz w:val="32"/>
          <w:szCs w:val="32"/>
          <w:lang w:val="en-US" w:eastAsia="zh-CN" w:bidi="en-US"/>
        </w:rPr>
        <w:t>2</w:t>
      </w:r>
      <w:r>
        <w:rPr>
          <w:rFonts w:hint="eastAsia" w:ascii="仿宋_GB2312" w:hAnsi="仿宋_GB2312" w:eastAsia="仿宋_GB2312" w:cs="仿宋_GB2312"/>
          <w:color w:val="auto"/>
          <w:sz w:val="32"/>
          <w:szCs w:val="32"/>
          <w:lang w:bidi="en-US"/>
        </w:rPr>
        <w:t>类标准限值要求。</w:t>
      </w:r>
    </w:p>
    <w:p w14:paraId="5E6337CC">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lang w:val="zh-TW" w:eastAsia="zh-TW"/>
        </w:rPr>
      </w:pPr>
      <w:r>
        <w:rPr>
          <w:rFonts w:hint="eastAsia" w:ascii="楷体" w:hAnsi="楷体" w:eastAsia="楷体" w:cs="楷体"/>
          <w:color w:val="auto"/>
          <w:kern w:val="2"/>
          <w:sz w:val="32"/>
          <w:szCs w:val="32"/>
          <w:lang w:val="en-US" w:eastAsia="zh-CN" w:bidi="ar-SA"/>
        </w:rPr>
        <w:t>（五）严格落实固体废物污染防治措施。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采矿废石由废石堆场暂存后，全部用于井下回填。尾矿砂及沉淀池底泥经压滤后，暂存于尾矿堆场，优先用于井下回填，剩余外售综合利用；除尘器收尘灰全部回用于生产。废机油采用密闭耐腐蚀容器统一收集后和废油桶分类分区暂存于标准化危废暂存间内，定期委托有资质的单位处置。人员生活垃圾及餐厨垃圾均分别由专用容器收集，定期清运至当地环卫部门指定地点处理。</w:t>
      </w:r>
    </w:p>
    <w:p w14:paraId="1D4F82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auto"/>
          <w:kern w:val="2"/>
          <w:sz w:val="32"/>
          <w:szCs w:val="32"/>
          <w:highlight w:val="none"/>
          <w:lang w:val="en-US" w:eastAsia="zh-CN" w:bidi="en-US"/>
        </w:rPr>
        <w:t>严格执行“源头控制、分区防控、污染监控、应急响应”相结合的原则。危废暂存间按照《危险废物贮存污染控制标准》（GB18597-2023）建设。所有防渗措施均满足《环境影响评价技术导则 地下水环境》（HJ610-2016）技术要求。</w:t>
      </w:r>
    </w:p>
    <w:p w14:paraId="7F75A9A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1258A7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按要求规范建设监控感知端，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排放情况，应立即查明原因并采取进一步污染物减排措施。</w:t>
      </w:r>
    </w:p>
    <w:p w14:paraId="6650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59FB0E66">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eastAsia="zh-CN" w:bidi="en-US"/>
        </w:rPr>
        <w:t>苏尼特右旗分局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40844A2B">
      <w:pPr>
        <w:rPr>
          <w:rFonts w:hint="eastAsia"/>
          <w:color w:val="000000" w:themeColor="text1"/>
          <w14:textFill>
            <w14:solidFill>
              <w14:schemeClr w14:val="tx1"/>
            </w14:solidFill>
          </w14:textFill>
        </w:rPr>
      </w:pPr>
    </w:p>
    <w:p w14:paraId="665A876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锡林</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郭勒盟生态环境局</w:t>
      </w:r>
    </w:p>
    <w:p w14:paraId="08C31DAA">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424C94D8">
      <w:pPr>
        <w:rPr>
          <w:rFonts w:hint="eastAsia"/>
          <w:color w:val="000000" w:themeColor="text1"/>
          <w:lang w:val="en-US" w:eastAsia="zh-CN"/>
          <w14:textFill>
            <w14:solidFill>
              <w14:schemeClr w14:val="tx1"/>
            </w14:solidFill>
          </w14:textFill>
        </w:rPr>
      </w:pPr>
    </w:p>
    <w:p w14:paraId="0812E0B8">
      <w:pPr>
        <w:rPr>
          <w:rFonts w:hint="eastAsia" w:ascii="仿宋" w:hAnsi="仿宋" w:eastAsia="仿宋" w:cs="仿宋"/>
          <w:color w:val="000000" w:themeColor="text1"/>
          <w:highlight w:val="none"/>
          <w14:textFill>
            <w14:solidFill>
              <w14:schemeClr w14:val="tx1"/>
            </w14:solidFill>
          </w14:textFill>
        </w:rPr>
      </w:pPr>
    </w:p>
    <w:p w14:paraId="6AC2AEE8">
      <w:pPr>
        <w:pStyle w:val="15"/>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000000" w:themeColor="text1"/>
          <w:kern w:val="2"/>
          <w:sz w:val="28"/>
          <w:szCs w:val="28"/>
          <w:highlight w:val="none"/>
          <w:lang w:bidi="en-US"/>
          <w14:textFill>
            <w14:solidFill>
              <w14:schemeClr w14:val="tx1"/>
            </w14:solidFill>
          </w14:textFill>
        </w:rPr>
        <w:t>抄送：盟生态环境综合行政执法支队</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w:t>
      </w:r>
      <w:r>
        <w:rPr>
          <w:rFonts w:hint="eastAsia" w:ascii="仿宋" w:hAnsi="仿宋" w:eastAsia="仿宋" w:cs="仿宋"/>
          <w:color w:val="000000" w:themeColor="text1"/>
          <w:kern w:val="2"/>
          <w:sz w:val="28"/>
          <w:szCs w:val="28"/>
          <w:highlight w:val="none"/>
          <w:lang w:bidi="en-US"/>
          <w14:textFill>
            <w14:solidFill>
              <w14:schemeClr w14:val="tx1"/>
            </w14:solidFill>
          </w14:textFill>
        </w:rPr>
        <w:t>盟生态环境局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苏尼特右旗</w:t>
      </w:r>
    </w:p>
    <w:p w14:paraId="11D0687F">
      <w:pPr>
        <w:pStyle w:val="15"/>
        <w:keepNext w:val="0"/>
        <w:keepLines w:val="0"/>
        <w:pageBreakBefore w:val="0"/>
        <w:widowControl w:val="0"/>
        <w:kinsoku/>
        <w:wordWrap/>
        <w:overflowPunct/>
        <w:topLinePunct w:val="0"/>
        <w:bidi w:val="0"/>
        <w:snapToGrid/>
        <w:spacing w:line="500" w:lineRule="exact"/>
        <w:ind w:left="1117" w:leftChars="532" w:firstLine="0" w:firstLineChars="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分局</w:t>
      </w:r>
    </w:p>
    <w:p w14:paraId="7E60B488">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锡林郭勒盟生态环境局办公室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8A7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4203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34203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0A6899"/>
    <w:rsid w:val="033C2BF5"/>
    <w:rsid w:val="04082137"/>
    <w:rsid w:val="04D60042"/>
    <w:rsid w:val="05FD1001"/>
    <w:rsid w:val="064265FE"/>
    <w:rsid w:val="065A7A8E"/>
    <w:rsid w:val="07E80A5E"/>
    <w:rsid w:val="08125FE6"/>
    <w:rsid w:val="09F707CE"/>
    <w:rsid w:val="0A055186"/>
    <w:rsid w:val="0C7A4895"/>
    <w:rsid w:val="0D6D6C1D"/>
    <w:rsid w:val="0EE27BE5"/>
    <w:rsid w:val="109F048E"/>
    <w:rsid w:val="133A3E29"/>
    <w:rsid w:val="134A4ECA"/>
    <w:rsid w:val="1B7C0676"/>
    <w:rsid w:val="1BF2CB73"/>
    <w:rsid w:val="1D61177E"/>
    <w:rsid w:val="1F9C573C"/>
    <w:rsid w:val="22B733D3"/>
    <w:rsid w:val="2820121F"/>
    <w:rsid w:val="29D8150D"/>
    <w:rsid w:val="2AD64736"/>
    <w:rsid w:val="2CF929A0"/>
    <w:rsid w:val="2F1F3E8C"/>
    <w:rsid w:val="2F2B74F6"/>
    <w:rsid w:val="2F7E7F6E"/>
    <w:rsid w:val="2F7F303D"/>
    <w:rsid w:val="32C02951"/>
    <w:rsid w:val="34BA183F"/>
    <w:rsid w:val="3AD90E3C"/>
    <w:rsid w:val="3BFB7ADD"/>
    <w:rsid w:val="3EDBBAD3"/>
    <w:rsid w:val="3EE79A77"/>
    <w:rsid w:val="3F55392E"/>
    <w:rsid w:val="3FC31BD1"/>
    <w:rsid w:val="3FFF09BA"/>
    <w:rsid w:val="445D3A2B"/>
    <w:rsid w:val="44C436F6"/>
    <w:rsid w:val="466622E2"/>
    <w:rsid w:val="46B26845"/>
    <w:rsid w:val="4A3B72B4"/>
    <w:rsid w:val="4CDD40CE"/>
    <w:rsid w:val="4DD74926"/>
    <w:rsid w:val="501114FC"/>
    <w:rsid w:val="56990422"/>
    <w:rsid w:val="59DF587C"/>
    <w:rsid w:val="5C1271C4"/>
    <w:rsid w:val="5DFFD6AD"/>
    <w:rsid w:val="5FA70BB0"/>
    <w:rsid w:val="617526E2"/>
    <w:rsid w:val="640E5DD6"/>
    <w:rsid w:val="640F77AC"/>
    <w:rsid w:val="6479615F"/>
    <w:rsid w:val="65980358"/>
    <w:rsid w:val="67927E4C"/>
    <w:rsid w:val="680A0F9C"/>
    <w:rsid w:val="68387D94"/>
    <w:rsid w:val="69CC12A6"/>
    <w:rsid w:val="6B2A452A"/>
    <w:rsid w:val="6E1A4AAF"/>
    <w:rsid w:val="6FD159E5"/>
    <w:rsid w:val="6FEE6D0C"/>
    <w:rsid w:val="70EA0941"/>
    <w:rsid w:val="71F12CEC"/>
    <w:rsid w:val="71FFDCEE"/>
    <w:rsid w:val="737F42A4"/>
    <w:rsid w:val="75064921"/>
    <w:rsid w:val="7532734E"/>
    <w:rsid w:val="776575C6"/>
    <w:rsid w:val="77A04D8F"/>
    <w:rsid w:val="77A23F56"/>
    <w:rsid w:val="77FB60A4"/>
    <w:rsid w:val="78193C3F"/>
    <w:rsid w:val="78CC1696"/>
    <w:rsid w:val="795254DD"/>
    <w:rsid w:val="79F6371A"/>
    <w:rsid w:val="7C554992"/>
    <w:rsid w:val="7CE53CE8"/>
    <w:rsid w:val="7D4F8FD3"/>
    <w:rsid w:val="7E5356DB"/>
    <w:rsid w:val="7F5DA376"/>
    <w:rsid w:val="7F6C2C5A"/>
    <w:rsid w:val="7F7C8CD3"/>
    <w:rsid w:val="7F7CE8F3"/>
    <w:rsid w:val="7FD6261A"/>
    <w:rsid w:val="97FFBFF7"/>
    <w:rsid w:val="AFDFA893"/>
    <w:rsid w:val="B5FB4F10"/>
    <w:rsid w:val="B6FB1ACB"/>
    <w:rsid w:val="BBFD157B"/>
    <w:rsid w:val="BBFFB394"/>
    <w:rsid w:val="BDB9872E"/>
    <w:rsid w:val="CF77A9DB"/>
    <w:rsid w:val="DBAFDD4B"/>
    <w:rsid w:val="DBD5EE8A"/>
    <w:rsid w:val="DF671AB1"/>
    <w:rsid w:val="E7FD0A82"/>
    <w:rsid w:val="EF6F4B52"/>
    <w:rsid w:val="EFEB112C"/>
    <w:rsid w:val="F3FD86CF"/>
    <w:rsid w:val="F4FE1E3B"/>
    <w:rsid w:val="FBF70573"/>
    <w:rsid w:val="FBFE7E8F"/>
    <w:rsid w:val="FC7D141F"/>
    <w:rsid w:val="FE9F31A0"/>
    <w:rsid w:val="FEF9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7">
    <w:name w:val="纯文本1"/>
    <w:basedOn w:val="1"/>
    <w:qFormat/>
    <w:uiPriority w:val="0"/>
    <w:rPr>
      <w:rFonts w:ascii="宋体" w:hAnsi="Courier New"/>
      <w:szCs w:val="20"/>
    </w:rPr>
  </w:style>
  <w:style w:type="paragraph" w:customStyle="1" w:styleId="18">
    <w:name w:val="正文1"/>
    <w:basedOn w:val="15"/>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环评正文"/>
    <w:basedOn w:val="18"/>
    <w:qFormat/>
    <w:uiPriority w:val="0"/>
    <w:pPr>
      <w:snapToGrid w:val="0"/>
    </w:pPr>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97075a74-0d04-4b96-8e1d-a9ae78dcb439</errorID>
      <errorWord>减震</errorWord>
      <group>L1_Word</group>
      <groupName>字词问题</groupName>
      <ability>L2_Typo</ability>
      <abilityName>字词错误</abilityName>
      <candidateList>
        <item>减振</item>
      </candidateList>
      <explain>存在发音相同字词的误用。</explain>
      <paraID>2EC67513</paraID>
      <start>52</start>
      <end>54</end>
      <status>unmodified</status>
      <modifiedWord/>
      <trackRevisions>false</trackRevisions>
    </reviewItem>
    <reviewItem>
      <errorID>3ee13f17-12a6-43c3-9fe7-2b185e8f1611</errorID>
      <errorWord>和</errorWord>
      <group>L1_AI</group>
      <groupName>深度校对</groupName>
      <ability>L2_AI_Word</ability>
      <abilityName>字词纠错</abilityName>
      <candidateList>
        <item>，与</item>
      </candidateList>
      <explain/>
      <paraID>5E6337CC</paraID>
      <start>111</start>
      <end>112</end>
      <status>unmodified</status>
      <modifiedWord/>
      <trackRevisions>false</trackRevisions>
    </reviewItem>
    <reviewItem>
      <errorID>1943a936-a7f8-487b-9c1c-d0fa62debc62</errorID>
      <errorWord>监测</errorWord>
      <group>L1_Word</group>
      <groupName>字词问题</groupName>
      <ability>L2_Typo</ability>
      <abilityName>字词错误</abilityName>
      <candidateList>
        <item>检测</item>
      </candidateList>
      <explain/>
      <paraID>1258A7F1</paraID>
      <start>167</start>
      <end>169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b1397-9596-44d0-96a0-2a96c5eef6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2419</Words>
  <Characters>2565</Characters>
  <Lines>19</Lines>
  <Paragraphs>5</Paragraphs>
  <TotalTime>0</TotalTime>
  <ScaleCrop>false</ScaleCrop>
  <LinksUpToDate>false</LinksUpToDate>
  <CharactersWithSpaces>2578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2023-02-04T01:32:00Z</dcterms:created>
  <dc:creator>hui hui</dc:creator>
  <cp:lastModifiedBy>ོʚ 中ོ然ོ ɞ</cp:lastModifiedBy>
  <cp:lastPrinted>2023-02-04T01:39:00Z</cp:lastPrinted>
  <dcterms:modified xsi:type="dcterms:W3CDTF">2025-12-25T07:54:36Z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CEEE7D8919A643CDB116498268DF4696_13</vt:lpwstr>
  </property>
  <property fmtid="{D5CDD505-2E9C-101B-9397-08002B2CF9AE}" pid="4" name="KSOTemplateDocerSaveRecord">
    <vt:lpwstr>eyJoZGlkIjoiNTk0MDc0MWE2MzMxMjkwZmE5ODU4OGMzYzc5YjkzMTAiLCJ1c2VySWQiOiI1NDkxMDYxNjAifQ==</vt:lpwstr>
  </property>
</Properties>
</file>