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BF238">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52FC0CE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6F78154E">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3C73044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E5488DA">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87A6318">
      <w:pPr>
        <w:pStyle w:val="27"/>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2AB4578B">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0C06C2C1">
      <w:pPr>
        <w:autoSpaceDE w:val="0"/>
        <w:autoSpaceDN w:val="0"/>
        <w:adjustRightInd w:val="0"/>
        <w:snapToGrid w:val="0"/>
        <w:spacing w:line="560" w:lineRule="exact"/>
        <w:jc w:val="center"/>
        <w:rPr>
          <w:rFonts w:hint="eastAsia"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5</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50</w:t>
      </w:r>
      <w:r>
        <w:rPr>
          <w:rFonts w:hint="eastAsia" w:ascii="仿宋_GB2312" w:hAnsi="Times New Roman" w:eastAsia="仿宋_GB2312" w:cs="Arial"/>
          <w:color w:val="auto"/>
          <w:sz w:val="32"/>
          <w:szCs w:val="32"/>
          <w:highlight w:val="none"/>
          <w:lang w:bidi="en-US"/>
        </w:rPr>
        <w:t>号</w:t>
      </w:r>
    </w:p>
    <w:p w14:paraId="33141278">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仿宋_GB2312" w:hAnsi="Times New Roman" w:eastAsia="仿宋_GB2312" w:cs="Arial"/>
          <w:color w:val="auto"/>
          <w:sz w:val="32"/>
          <w:szCs w:val="32"/>
          <w:highlight w:val="none"/>
          <w:lang w:bidi="en-US"/>
        </w:rPr>
      </w:pPr>
    </w:p>
    <w:bookmarkEnd w:id="0"/>
    <w:p w14:paraId="6E733B9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p w14:paraId="280846B6">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eastAsia="zh-CN"/>
        </w:rPr>
        <w:t>内蒙古兴业集团融冠矿业有限公司查干敖包铁锌矿深部资源年开采135万吨多金属矿建设项目</w:t>
      </w:r>
      <w:r>
        <w:rPr>
          <w:rFonts w:hint="eastAsia" w:ascii="方正小标宋简体" w:hAnsi="方正小标宋简体" w:eastAsia="方正小标宋简体" w:cs="方正小标宋简体"/>
          <w:bCs/>
          <w:color w:val="auto"/>
          <w:sz w:val="44"/>
          <w:szCs w:val="44"/>
          <w:highlight w:val="none"/>
        </w:rPr>
        <w:t>环境影响报告书的批复</w:t>
      </w:r>
    </w:p>
    <w:p w14:paraId="51F2C902">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ascii="仿宋_GB2312" w:hAnsi="仿宋_GB2312" w:eastAsia="仿宋_GB2312" w:cs="仿宋_GB2312"/>
          <w:color w:val="auto"/>
          <w:sz w:val="32"/>
          <w:szCs w:val="32"/>
          <w:lang w:bidi="en-US"/>
        </w:rPr>
      </w:pPr>
    </w:p>
    <w:p w14:paraId="2E760316">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highlight w:val="none"/>
          <w:lang w:val="en-US" w:eastAsia="zh-CN"/>
        </w:rPr>
        <w:t>内蒙古兴业集团融冠矿业有限公司</w:t>
      </w:r>
      <w:r>
        <w:rPr>
          <w:rFonts w:hint="eastAsia" w:ascii="仿宋_GB2312" w:hAnsi="仿宋_GB2312" w:eastAsia="仿宋_GB2312" w:cs="仿宋_GB2312"/>
          <w:color w:val="auto"/>
          <w:sz w:val="32"/>
          <w:szCs w:val="32"/>
          <w:lang w:bidi="en-US"/>
        </w:rPr>
        <w:t>：</w:t>
      </w:r>
    </w:p>
    <w:p w14:paraId="2E186D0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auto"/>
          <w:sz w:val="32"/>
          <w:szCs w:val="32"/>
          <w:lang w:val="en-US" w:eastAsia="zh-CN" w:bidi="en-US"/>
        </w:rPr>
        <w:t xml:space="preserve">    </w:t>
      </w:r>
      <w:r>
        <w:rPr>
          <w:rFonts w:hint="eastAsia" w:ascii="仿宋_GB2312" w:hAnsi="仿宋_GB2312" w:eastAsia="仿宋_GB2312" w:cs="仿宋_GB2312"/>
          <w:color w:val="000000"/>
          <w:sz w:val="32"/>
          <w:szCs w:val="32"/>
          <w:lang w:val="en-US" w:eastAsia="zh-CN" w:bidi="en-US"/>
        </w:rPr>
        <w:t>你单位报送的《</w:t>
      </w:r>
      <w:r>
        <w:rPr>
          <w:rFonts w:hint="eastAsia" w:ascii="仿宋_GB2312" w:hAnsi="仿宋_GB2312" w:eastAsia="仿宋_GB2312" w:cs="仿宋_GB2312"/>
          <w:color w:val="auto"/>
          <w:sz w:val="32"/>
          <w:szCs w:val="32"/>
          <w:highlight w:val="none"/>
          <w:lang w:val="en-US" w:eastAsia="zh-CN"/>
        </w:rPr>
        <w:t>内蒙古兴业集团融冠矿业有限公司查干敖包铁锌矿深部资源年开采135万吨多金属矿建设项目</w:t>
      </w:r>
      <w:r>
        <w:rPr>
          <w:rFonts w:hint="eastAsia" w:ascii="仿宋_GB2312" w:hAnsi="仿宋_GB2312" w:eastAsia="仿宋_GB2312" w:cs="仿宋_GB2312"/>
          <w:color w:val="000000"/>
          <w:sz w:val="32"/>
          <w:szCs w:val="32"/>
          <w:lang w:val="en-US" w:eastAsia="zh-CN" w:bidi="en-US"/>
        </w:rPr>
        <w:t>环境影响报告书》（</w:t>
      </w:r>
      <w:r>
        <w:rPr>
          <w:rFonts w:hint="eastAsia" w:ascii="仿宋_GB2312" w:hAnsi="仿宋_GB2312" w:eastAsia="仿宋_GB2312" w:cs="仿宋_GB2312"/>
          <w:color w:val="000000"/>
          <w:sz w:val="32"/>
          <w:szCs w:val="32"/>
          <w:lang w:val="en-US" w:bidi="en-US"/>
        </w:rPr>
        <w:t>以下简称《报告书》</w:t>
      </w:r>
      <w:r>
        <w:rPr>
          <w:rFonts w:hint="eastAsia" w:ascii="仿宋_GB2312" w:hAnsi="仿宋_GB2312" w:eastAsia="仿宋_GB2312" w:cs="仿宋_GB2312"/>
          <w:color w:val="000000"/>
          <w:sz w:val="32"/>
          <w:szCs w:val="32"/>
          <w:lang w:val="en-US" w:eastAsia="zh-CN" w:bidi="en-US"/>
        </w:rPr>
        <w:t>）收悉。经研究，批复如下：</w:t>
      </w:r>
    </w:p>
    <w:p w14:paraId="11F1F23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highlight w:val="none"/>
          <w:lang w:val="en-US" w:eastAsia="zh-CN"/>
        </w:rPr>
        <w:t>内蒙古兴业集团融冠矿业有限公司查干敖包铁锌矿深部资源年开采135万吨多金属矿建设项目</w:t>
      </w:r>
      <w:r>
        <w:rPr>
          <w:rFonts w:hint="eastAsia" w:ascii="仿宋_GB2312" w:hAnsi="仿宋_GB2312" w:eastAsia="仿宋_GB2312" w:cs="仿宋_GB2312"/>
          <w:color w:val="auto"/>
          <w:kern w:val="2"/>
          <w:sz w:val="32"/>
          <w:szCs w:val="32"/>
          <w:lang w:val="en-US" w:eastAsia="zh-CN" w:bidi="ar-SA"/>
        </w:rPr>
        <w:t>位于锡林郭勒盟东乌珠穆沁旗嘎海乐苏木。矿区坐标：东经118°17′50″-118°19′01″，北纬45°59′49″-46°00′42″。矿区总面积2.4平方公里，共由4个拐点圈定。采用地下开采方式，开采深度为1227米至387米标高。本次深部资源开采项目设计采用分期建设，一期开采西采区770m标高以上和东采区的矿体，主要建设内容包括：深部系统开拓、2#竖井、斜坡道延伸及提升、通风、排水、供电等生产系统，生产规模为135万t/a，服务年限6年；二期开采西采区770～526m标高之间的矿体，主要建设内容包括：1#竖井延伸，新建溜破系统、粉矿回收系统，通风、排水、供电等生产系统，生产规模为135万t/a</w:t>
      </w:r>
      <w:bookmarkStart w:id="1" w:name="_GoBack"/>
      <w:bookmarkEnd w:id="1"/>
      <w:r>
        <w:rPr>
          <w:rFonts w:hint="eastAsia" w:ascii="仿宋_GB2312" w:hAnsi="仿宋_GB2312" w:eastAsia="仿宋_GB2312" w:cs="仿宋_GB2312"/>
          <w:color w:val="auto"/>
          <w:kern w:val="2"/>
          <w:sz w:val="32"/>
          <w:szCs w:val="32"/>
          <w:lang w:val="en-US" w:eastAsia="zh-CN" w:bidi="ar-SA"/>
        </w:rPr>
        <w:t>，服务年限为6年。本次改扩建项目建成后，全矿服务年限12年。</w:t>
      </w:r>
    </w:p>
    <w:p w14:paraId="093ADFE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168B5368">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二、项目在设计、建设和运营过程中还应做好以下工作</w:t>
      </w:r>
    </w:p>
    <w:p w14:paraId="33CE72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（一）生态保护措施。</w:t>
      </w:r>
      <w:r>
        <w:rPr>
          <w:rFonts w:hint="eastAsia" w:ascii="仿宋_GB2312" w:hAnsi="仿宋_GB2312" w:eastAsia="仿宋_GB2312" w:cs="仿宋_GB2312"/>
          <w:color w:val="auto"/>
          <w:kern w:val="2"/>
          <w:sz w:val="32"/>
          <w:szCs w:val="32"/>
          <w:lang w:val="en-US" w:eastAsia="zh-CN" w:bidi="ar-SA"/>
        </w:rPr>
        <w:t>严格按照《报告书》提出的开采范围进行开采。新剥离表土单独堆存用于生态恢复。施工过程中发现文物的，应当保护现场，立即报告当地文物保护部门，由文物保护部门依法依规进行处理。及时开展生态修复，按照“边开采、边修复”的原则，在统筹考虑生物多样性、防沙治沙等要求的基础上，编制生态保护及修复方案。占用草地应依法履行相关手续。建立生态监测系统，加强生态影响长期跟踪监测，根据监测结果，采取优化措施减缓不利生态影响。</w:t>
      </w:r>
    </w:p>
    <w:p w14:paraId="37BDD25A">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（二）严格落实各项大气污染防治措施。</w:t>
      </w:r>
      <w:r>
        <w:rPr>
          <w:rFonts w:hint="eastAsia" w:ascii="仿宋_GB2312" w:hAnsi="仿宋_GB2312" w:eastAsia="仿宋_GB2312" w:cs="仿宋_GB2312"/>
          <w:color w:val="auto"/>
          <w:kern w:val="2"/>
          <w:sz w:val="32"/>
          <w:szCs w:val="32"/>
          <w:highlight w:val="none"/>
          <w:lang w:val="en-US" w:eastAsia="zh-CN" w:bidi="en-US"/>
        </w:rPr>
        <w:t>井下凿岩、爆破等作业粉尘，均采用湿式作业、洒水降尘；井下破碎环节安装高效湿式除尘器，同时采用机械通风系统等措施处理后通过回风井排出。原矿堆场周围设置防风抑尘网及雾炮机喷雾洒水抑尘，同时加强苫盖。运输道路硬化建设，定期清扫、洒水抑尘，运输车辆加盖苫布，最终颗粒物厂界无组织排放须满足《铅、锌工业污染物排放标准》（GB 25466-2010）修改单表6排放限值要求。生物质锅炉烟气经布袋除尘器处理满足《锅炉大气污染物排放标准》（GB13271-2014）限值要求后，通过排气筒排放。</w:t>
      </w:r>
    </w:p>
    <w:p w14:paraId="757310AD">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baseline"/>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（三）严格落实各项水污染防治措施。</w:t>
      </w:r>
      <w:r>
        <w:rPr>
          <w:rFonts w:hint="eastAsia" w:ascii="仿宋_GB2312" w:hAnsi="仿宋_GB2312" w:eastAsia="仿宋_GB2312" w:cs="仿宋_GB2312"/>
          <w:color w:val="auto"/>
          <w:kern w:val="2"/>
          <w:sz w:val="32"/>
          <w:szCs w:val="32"/>
          <w:highlight w:val="none"/>
          <w:lang w:val="en-US" w:eastAsia="zh-CN" w:bidi="en-US"/>
        </w:rPr>
        <w:t xml:space="preserve">矿井涌水通过井下水仓收集沉淀后全部回用于采矿、选矿生产用水。生活污水经一体化污水处理设施处理满足《城市污水再生利用 城市杂用水水质》（GB/T18920-2020）标准限值要求后用于矿区抑尘、绿化。  </w:t>
      </w:r>
    </w:p>
    <w:p w14:paraId="10CDBE16">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（四）</w:t>
      </w:r>
      <w:r>
        <w:rPr>
          <w:rFonts w:hint="eastAsia" w:ascii="楷体" w:hAnsi="楷体" w:eastAsia="楷体" w:cs="楷体"/>
          <w:b w:val="0"/>
          <w:bCs w:val="0"/>
          <w:color w:val="000000"/>
          <w:sz w:val="32"/>
          <w:szCs w:val="32"/>
          <w:highlight w:val="none"/>
          <w:lang w:val="en-US" w:eastAsia="zh-CN"/>
        </w:rPr>
        <w:t>严格落实噪声防治措施。</w:t>
      </w:r>
      <w:r>
        <w:rPr>
          <w:rFonts w:hint="eastAsia" w:ascii="仿宋_GB2312" w:hAnsi="仿宋_GB2312" w:eastAsia="仿宋_GB2312" w:cs="仿宋_GB2312"/>
          <w:color w:val="auto"/>
          <w:kern w:val="2"/>
          <w:sz w:val="32"/>
          <w:szCs w:val="32"/>
          <w:highlight w:val="none"/>
          <w:lang w:val="en-GB" w:eastAsia="zh-CN" w:bidi="en-US"/>
        </w:rPr>
        <w:t>项目噪声源主要为机械设备噪声及道路交通噪声。</w:t>
      </w:r>
      <w:r>
        <w:rPr>
          <w:rFonts w:hint="eastAsia" w:ascii="仿宋_GB2312" w:hAnsi="仿宋_GB2312" w:eastAsia="仿宋_GB2312" w:cs="仿宋_GB2312"/>
          <w:color w:val="auto"/>
          <w:kern w:val="2"/>
          <w:sz w:val="32"/>
          <w:szCs w:val="32"/>
          <w:highlight w:val="none"/>
          <w:lang w:val="en-US" w:eastAsia="zh-CN" w:bidi="en-US"/>
        </w:rPr>
        <w:t>针对不同的声源采取相应的消声、隔音、减振、降噪措施，高噪设备均置于封闭车间内并加装减震基座，同时加强机械设备日常维护。运输车辆减速行驶，禁止鸣笛。最终噪声排放满足《工业企业厂界环境噪声排放标准》（GB12348-2008）2类标准限值要求。</w:t>
      </w:r>
    </w:p>
    <w:p w14:paraId="2BA41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（五）严格落实固体废物污染防治措施。</w:t>
      </w:r>
      <w:r>
        <w:rPr>
          <w:rFonts w:hint="eastAsia" w:ascii="仿宋_GB2312" w:hAnsi="仿宋_GB2312" w:eastAsia="仿宋_GB2312" w:cs="仿宋_GB2312"/>
          <w:color w:val="auto"/>
          <w:kern w:val="2"/>
          <w:sz w:val="32"/>
          <w:szCs w:val="32"/>
          <w:highlight w:val="none"/>
          <w:lang w:val="en-US" w:eastAsia="zh-CN" w:bidi="en-US"/>
        </w:rPr>
        <w:t>采矿废石少量用于井下填充，其余大部分出井用于塌陷区治理；井下水仓沉淀污泥全部用于井下填充；生物质锅炉灰渣及除尘灰均集中收集后作为肥料外售综合利用。废机油采用密闭耐腐蚀容器统一收集后和废油桶分类分区暂存于标准化危废暂存间内，定期委托有资质的单位处置。生活垃圾由封闭式垃圾箱集中收集后，与污水处理设施底泥一起委托有资质的单位清运处理。</w:t>
      </w:r>
    </w:p>
    <w:p w14:paraId="62B45B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（六）</w:t>
      </w:r>
      <w:r>
        <w:rPr>
          <w:rFonts w:hint="eastAsia" w:ascii="楷体" w:hAnsi="楷体" w:eastAsia="楷体" w:cs="楷体"/>
          <w:b w:val="0"/>
          <w:bCs w:val="0"/>
          <w:color w:val="000000"/>
          <w:sz w:val="32"/>
          <w:szCs w:val="32"/>
          <w:highlight w:val="none"/>
          <w:lang w:val="en-US" w:eastAsia="zh-CN"/>
        </w:rPr>
        <w:t>严格落实土壤和地下水污染防治措施。</w:t>
      </w:r>
      <w:r>
        <w:rPr>
          <w:rFonts w:hint="eastAsia" w:ascii="仿宋_GB2312" w:hAnsi="仿宋_GB2312" w:eastAsia="仿宋_GB2312" w:cs="仿宋_GB2312"/>
          <w:color w:val="auto"/>
          <w:kern w:val="2"/>
          <w:sz w:val="32"/>
          <w:szCs w:val="32"/>
          <w:highlight w:val="none"/>
          <w:lang w:val="en-US" w:eastAsia="zh-CN" w:bidi="en-US"/>
        </w:rPr>
        <w:t>严格执行“源头控制、分区防控、污染监控、应急响应”相结合的原则。危废暂存间按照《危险废物贮存污染控制标准》（GB18597-2023）建设。所有防渗措施均满足《环境影响评价技术导则 地下水环境》（HJ610-2016）技术要求。</w:t>
      </w:r>
    </w:p>
    <w:p w14:paraId="7F75A9A8">
      <w:pPr>
        <w:pStyle w:val="3"/>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highlight w:val="none"/>
          <w:lang w:val="en-US" w:eastAsia="zh-CN" w:bidi="en-US"/>
        </w:rPr>
        <w:t>（七）强化各项环境风险防范措施。</w:t>
      </w:r>
      <w:r>
        <w:rPr>
          <w:rFonts w:hint="eastAsia" w:ascii="仿宋_GB2312" w:hAnsi="仿宋_GB2312" w:eastAsia="仿宋_GB2312" w:cs="仿宋_GB2312"/>
          <w:color w:val="auto"/>
          <w:kern w:val="2"/>
          <w:sz w:val="32"/>
          <w:szCs w:val="32"/>
          <w:highlight w:val="none"/>
          <w:lang w:val="en-US" w:eastAsia="zh-CN" w:bidi="en-US"/>
        </w:rPr>
        <w:t>落实环保设施安全生产工作，建立环保设备设施台账和维护管理制度。按照规范要求存放风险物质；加强生产过程设备的管理与维修，防止跑、冒、滴、漏现象的发生；建立完善的环境管理制度和事故应急措施，制定切实可行的环境风险应急预案，加强对危废暂存间的管理；严格落实风险防范措施和应急预案，切实杜绝环境风险事故。</w:t>
      </w:r>
    </w:p>
    <w:p w14:paraId="1258A7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auto"/>
          <w:kern w:val="2"/>
          <w:sz w:val="32"/>
          <w:szCs w:val="32"/>
          <w:highlight w:val="none"/>
          <w:lang w:val="en-US" w:eastAsia="zh-CN" w:bidi="en-US"/>
        </w:rPr>
        <w:t>（八）</w:t>
      </w:r>
      <w:r>
        <w:rPr>
          <w:rFonts w:hint="eastAsia" w:ascii="楷体" w:hAnsi="楷体" w:eastAsia="楷体" w:cs="楷体"/>
          <w:color w:val="auto"/>
          <w:sz w:val="32"/>
          <w:szCs w:val="32"/>
          <w:highlight w:val="none"/>
          <w:lang w:bidi="en-US"/>
        </w:rPr>
        <w:t>严格落实运营期污染源监测计划。</w:t>
      </w:r>
      <w:r>
        <w:rPr>
          <w:rFonts w:hint="eastAsia" w:ascii="仿宋_GB2312" w:hAnsi="仿宋_GB2312" w:eastAsia="仿宋_GB2312" w:cs="仿宋_GB2312"/>
          <w:color w:val="auto"/>
          <w:kern w:val="2"/>
          <w:sz w:val="32"/>
          <w:szCs w:val="32"/>
          <w:highlight w:val="none"/>
          <w:lang w:val="en-US" w:eastAsia="zh-CN" w:bidi="en-US"/>
        </w:rPr>
        <w:t>按照国家和地方有关规定设置规范的污染物排放口，按要求规范建设监控感知端，并设立标志牌。按照相关标准、规范等要求，落实《报告书》提出的环境管理及监测计划。强化污染源与无组织排放源管理，制定自行监测方案，落实环境管理与监测计划，按规定开展自行监测和信息公开。各排气筒应按照规范要求预留永久性监测口和采样监测平台。如出现污染物超标排放情况，应立即查明原因并采取进一步污染物减排措施。</w:t>
      </w:r>
    </w:p>
    <w:p w14:paraId="66508E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三、项</w:t>
      </w:r>
      <w:r>
        <w:rPr>
          <w:rFonts w:hint="eastAsia" w:ascii="仿宋_GB2312" w:hAnsi="仿宋_GB2312" w:eastAsia="仿宋_GB2312" w:cs="仿宋_GB2312"/>
          <w:color w:val="auto"/>
          <w:sz w:val="32"/>
          <w:szCs w:val="32"/>
          <w:lang w:bidi="en-US"/>
        </w:rPr>
        <w:t>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1813695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四、我局</w:t>
      </w:r>
      <w:r>
        <w:rPr>
          <w:rFonts w:hint="eastAsia" w:ascii="仿宋_GB2312" w:hAnsi="仿宋_GB2312" w:eastAsia="仿宋_GB2312" w:cs="仿宋_GB2312"/>
          <w:color w:val="auto"/>
          <w:sz w:val="32"/>
          <w:szCs w:val="32"/>
          <w:lang w:bidi="en-US"/>
        </w:rPr>
        <w:t>委托锡林郭勒盟生态环境局</w:t>
      </w:r>
      <w:r>
        <w:rPr>
          <w:rFonts w:hint="eastAsia" w:ascii="仿宋_GB2312" w:hAnsi="仿宋_GB2312" w:eastAsia="仿宋_GB2312" w:cs="仿宋_GB2312"/>
          <w:color w:val="auto"/>
          <w:sz w:val="32"/>
          <w:szCs w:val="32"/>
          <w:lang w:eastAsia="zh-CN" w:bidi="en-US"/>
        </w:rPr>
        <w:t>东乌珠穆沁旗分局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5BA56426">
      <w:pPr>
        <w:keepNext w:val="0"/>
        <w:keepLines w:val="0"/>
        <w:pageBreakBefore w:val="0"/>
        <w:widowControl w:val="0"/>
        <w:kinsoku/>
        <w:wordWrap/>
        <w:overflowPunct/>
        <w:topLinePunct w:val="0"/>
        <w:bidi w:val="0"/>
        <w:spacing w:line="560" w:lineRule="exact"/>
        <w:rPr>
          <w:rFonts w:hint="eastAsia"/>
          <w:color w:val="auto"/>
        </w:rPr>
      </w:pPr>
    </w:p>
    <w:p w14:paraId="6D8F775F">
      <w:pPr>
        <w:rPr>
          <w:rFonts w:hint="eastAsia"/>
          <w:color w:val="auto"/>
        </w:rPr>
      </w:pPr>
    </w:p>
    <w:p w14:paraId="595E43E0">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693722B9">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sz w:val="32"/>
          <w:szCs w:val="32"/>
          <w:highlight w:val="none"/>
          <w:lang w:bidi="en-US"/>
        </w:rPr>
      </w:pPr>
      <w:r>
        <w:rPr>
          <w:rFonts w:hint="eastAsia" w:ascii="仿宋_GB2312" w:hAnsi="仿宋_GB2312" w:eastAsia="仿宋_GB2312" w:cs="仿宋_GB2312"/>
          <w:color w:val="000000"/>
          <w:sz w:val="32"/>
          <w:szCs w:val="32"/>
          <w:highlight w:val="none"/>
          <w:lang w:bidi="en-US"/>
        </w:rPr>
        <w:t>202</w:t>
      </w:r>
      <w:r>
        <w:rPr>
          <w:rFonts w:hint="eastAsia" w:ascii="仿宋_GB2312" w:hAnsi="仿宋_GB2312" w:eastAsia="仿宋_GB2312" w:cs="仿宋_GB2312"/>
          <w:color w:val="000000"/>
          <w:sz w:val="32"/>
          <w:szCs w:val="32"/>
          <w:highlight w:val="none"/>
          <w:lang w:val="en-US" w:eastAsia="zh-CN" w:bidi="en-US"/>
        </w:rPr>
        <w:t>5</w:t>
      </w:r>
      <w:r>
        <w:rPr>
          <w:rFonts w:hint="eastAsia" w:ascii="仿宋_GB2312" w:hAnsi="仿宋_GB2312" w:eastAsia="仿宋_GB2312" w:cs="仿宋_GB2312"/>
          <w:color w:val="000000"/>
          <w:sz w:val="32"/>
          <w:szCs w:val="32"/>
          <w:highlight w:val="none"/>
          <w:lang w:bidi="en-US"/>
        </w:rPr>
        <w:t>年</w:t>
      </w:r>
      <w:r>
        <w:rPr>
          <w:rFonts w:hint="eastAsia" w:ascii="仿宋_GB2312" w:hAnsi="仿宋_GB2312" w:eastAsia="仿宋_GB2312" w:cs="仿宋_GB2312"/>
          <w:color w:val="000000"/>
          <w:sz w:val="32"/>
          <w:szCs w:val="32"/>
          <w:highlight w:val="none"/>
          <w:lang w:val="en-US" w:eastAsia="zh-CN" w:bidi="en-US"/>
        </w:rPr>
        <w:t>12</w:t>
      </w:r>
      <w:r>
        <w:rPr>
          <w:rFonts w:hint="eastAsia" w:ascii="仿宋_GB2312" w:hAnsi="仿宋_GB2312" w:eastAsia="仿宋_GB2312" w:cs="仿宋_GB2312"/>
          <w:color w:val="000000"/>
          <w:sz w:val="32"/>
          <w:szCs w:val="32"/>
          <w:highlight w:val="none"/>
          <w:lang w:bidi="en-US"/>
        </w:rPr>
        <w:t>月</w:t>
      </w:r>
      <w:r>
        <w:rPr>
          <w:rFonts w:hint="eastAsia" w:ascii="仿宋_GB2312" w:hAnsi="仿宋_GB2312" w:eastAsia="仿宋_GB2312" w:cs="仿宋_GB2312"/>
          <w:color w:val="000000"/>
          <w:sz w:val="32"/>
          <w:szCs w:val="32"/>
          <w:highlight w:val="none"/>
          <w:lang w:val="en-US" w:eastAsia="zh-CN" w:bidi="en-US"/>
        </w:rPr>
        <w:t>25</w:t>
      </w:r>
      <w:r>
        <w:rPr>
          <w:rFonts w:hint="eastAsia" w:ascii="仿宋_GB2312" w:hAnsi="仿宋_GB2312" w:eastAsia="仿宋_GB2312" w:cs="仿宋_GB2312"/>
          <w:color w:val="000000"/>
          <w:sz w:val="32"/>
          <w:szCs w:val="32"/>
          <w:highlight w:val="none"/>
          <w:lang w:bidi="en-US"/>
        </w:rPr>
        <w:t>日</w:t>
      </w:r>
    </w:p>
    <w:p w14:paraId="54314E15">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sz w:val="32"/>
          <w:szCs w:val="32"/>
          <w:highlight w:val="none"/>
          <w:lang w:bidi="en-US"/>
        </w:rPr>
      </w:pPr>
    </w:p>
    <w:p w14:paraId="2468C7FB">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sz w:val="32"/>
          <w:szCs w:val="32"/>
          <w:highlight w:val="none"/>
          <w:lang w:bidi="en-US"/>
        </w:rPr>
      </w:pPr>
    </w:p>
    <w:p w14:paraId="48BFA5AF">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sz w:val="32"/>
          <w:szCs w:val="32"/>
          <w:highlight w:val="none"/>
          <w:lang w:bidi="en-US"/>
        </w:rPr>
      </w:pPr>
    </w:p>
    <w:p w14:paraId="228CD900">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sz w:val="32"/>
          <w:szCs w:val="32"/>
          <w:highlight w:val="none"/>
          <w:lang w:bidi="en-US"/>
        </w:rPr>
      </w:pPr>
    </w:p>
    <w:p w14:paraId="34D7A994">
      <w:pPr>
        <w:pStyle w:val="16"/>
        <w:keepNext w:val="0"/>
        <w:keepLines w:val="0"/>
        <w:pageBreakBefore w:val="0"/>
        <w:widowControl w:val="0"/>
        <w:kinsoku/>
        <w:wordWrap/>
        <w:overflowPunct/>
        <w:topLinePunct w:val="0"/>
        <w:bidi w:val="0"/>
        <w:snapToGrid/>
        <w:spacing w:line="500" w:lineRule="exact"/>
        <w:ind w:left="1119" w:leftChars="133" w:hanging="840" w:hangingChars="300"/>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kern w:val="2"/>
          <w:sz w:val="28"/>
          <w:szCs w:val="28"/>
          <w:highlight w:val="none"/>
          <w:lang w:bidi="en-US"/>
        </w:rPr>
        <w:t>境局</w:t>
      </w:r>
      <w:r>
        <w:rPr>
          <w:rFonts w:hint="eastAsia" w:ascii="仿宋" w:hAnsi="仿宋" w:eastAsia="仿宋" w:cs="仿宋"/>
          <w:color w:val="000000"/>
          <w:kern w:val="2"/>
          <w:sz w:val="28"/>
          <w:szCs w:val="28"/>
          <w:highlight w:val="none"/>
          <w:lang w:eastAsia="zh-CN" w:bidi="en-US"/>
        </w:rPr>
        <w:t>东乌珠穆沁旗分</w:t>
      </w:r>
      <w:r>
        <w:rPr>
          <w:rFonts w:hint="eastAsia" w:ascii="仿宋" w:hAnsi="仿宋" w:eastAsia="仿宋" w:cs="仿宋"/>
          <w:color w:val="auto"/>
          <w:kern w:val="2"/>
          <w:sz w:val="28"/>
          <w:szCs w:val="28"/>
          <w:highlight w:val="none"/>
          <w:lang w:eastAsia="zh-CN" w:bidi="en-US"/>
        </w:rPr>
        <w:t>局。</w:t>
      </w:r>
    </w:p>
    <w:p w14:paraId="732EFA33">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000000"/>
          <w:sz w:val="28"/>
          <w:szCs w:val="28"/>
          <w:highlight w:val="none"/>
        </w:rPr>
        <w:t xml:space="preserve">     202</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25</w:t>
      </w:r>
      <w:r>
        <w:rPr>
          <w:rFonts w:hint="eastAsia" w:ascii="仿宋" w:hAnsi="仿宋" w:eastAsia="仿宋" w:cs="仿宋"/>
          <w:color w:val="000000"/>
          <w:sz w:val="28"/>
          <w:szCs w:val="28"/>
          <w:highlight w:val="none"/>
        </w:rPr>
        <w:t>日印</w:t>
      </w:r>
      <w:r>
        <w:rPr>
          <w:rFonts w:hint="eastAsia" w:ascii="仿宋" w:hAnsi="仿宋" w:eastAsia="仿宋" w:cs="仿宋"/>
          <w:color w:val="auto"/>
          <w:sz w:val="28"/>
          <w:szCs w:val="28"/>
          <w:highlight w:val="none"/>
        </w:rPr>
        <w:t>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000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E967D">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DF1316">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7DF1316">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F73278"/>
    <w:rsid w:val="054A15F9"/>
    <w:rsid w:val="07A33AEE"/>
    <w:rsid w:val="0B543AAA"/>
    <w:rsid w:val="0F474DFC"/>
    <w:rsid w:val="12F37627"/>
    <w:rsid w:val="15963967"/>
    <w:rsid w:val="17BA2398"/>
    <w:rsid w:val="1A580A68"/>
    <w:rsid w:val="1FAA740D"/>
    <w:rsid w:val="208F03B0"/>
    <w:rsid w:val="215238B8"/>
    <w:rsid w:val="22F015DA"/>
    <w:rsid w:val="26756A3A"/>
    <w:rsid w:val="27B70919"/>
    <w:rsid w:val="2927387C"/>
    <w:rsid w:val="29F51284"/>
    <w:rsid w:val="2D6B1B0F"/>
    <w:rsid w:val="34264730"/>
    <w:rsid w:val="34300575"/>
    <w:rsid w:val="375D2B5F"/>
    <w:rsid w:val="39727BE4"/>
    <w:rsid w:val="3A421A9B"/>
    <w:rsid w:val="3E1A3557"/>
    <w:rsid w:val="3F3747C4"/>
    <w:rsid w:val="40A67324"/>
    <w:rsid w:val="411E335F"/>
    <w:rsid w:val="4469669F"/>
    <w:rsid w:val="45B408FA"/>
    <w:rsid w:val="46001224"/>
    <w:rsid w:val="4E9133C2"/>
    <w:rsid w:val="50006F99"/>
    <w:rsid w:val="517C480F"/>
    <w:rsid w:val="528172AA"/>
    <w:rsid w:val="6DF9540A"/>
    <w:rsid w:val="6F093AAD"/>
    <w:rsid w:val="70A64C81"/>
    <w:rsid w:val="75F37776"/>
    <w:rsid w:val="78BC2170"/>
    <w:rsid w:val="7E447259"/>
    <w:rsid w:val="7F031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5">
    <w:name w:val="heading 4"/>
    <w:basedOn w:val="1"/>
    <w:next w:val="1"/>
    <w:qFormat/>
    <w:uiPriority w:val="9"/>
    <w:pPr>
      <w:keepNext/>
      <w:keepLines/>
      <w:adjustRightInd w:val="0"/>
      <w:snapToGrid w:val="0"/>
      <w:jc w:val="left"/>
      <w:outlineLvl w:val="3"/>
    </w:pPr>
    <w:rPr>
      <w:rFonts w:cs="宋体"/>
      <w:b/>
      <w:bCs/>
      <w:szCs w:val="28"/>
    </w:rPr>
  </w:style>
  <w:style w:type="character" w:default="1" w:styleId="12">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szCs w:val="24"/>
    </w:rPr>
  </w:style>
  <w:style w:type="paragraph" w:styleId="3">
    <w:name w:val="Body Text First Indent 2"/>
    <w:basedOn w:val="4"/>
    <w:next w:val="1"/>
    <w:qFormat/>
    <w:uiPriority w:val="0"/>
    <w:pPr>
      <w:adjustRightInd w:val="0"/>
      <w:ind w:firstLine="420"/>
      <w:textAlignment w:val="baseline"/>
    </w:pPr>
    <w:rPr>
      <w:rFonts w:ascii="宋体" w:hAnsi="宋体"/>
      <w:sz w:val="18"/>
      <w:szCs w:val="18"/>
    </w:rPr>
  </w:style>
  <w:style w:type="paragraph" w:styleId="4">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4"/>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5"/>
    <w:qFormat/>
    <w:uiPriority w:val="99"/>
    <w:rPr>
      <w:b/>
      <w:bCs/>
    </w:rPr>
  </w:style>
  <w:style w:type="character" w:styleId="13">
    <w:name w:val="Hyperlink"/>
    <w:basedOn w:val="12"/>
    <w:qFormat/>
    <w:uiPriority w:val="99"/>
    <w:rPr>
      <w:color w:val="0563C1"/>
      <w:u w:val="single"/>
    </w:rPr>
  </w:style>
  <w:style w:type="character" w:styleId="14">
    <w:name w:val="annotation reference"/>
    <w:basedOn w:val="12"/>
    <w:qFormat/>
    <w:uiPriority w:val="99"/>
    <w:rPr>
      <w:sz w:val="21"/>
      <w:szCs w:val="21"/>
    </w:rPr>
  </w:style>
  <w:style w:type="paragraph" w:customStyle="1" w:styleId="15">
    <w:name w:val="[1]正文"/>
    <w:basedOn w:val="1"/>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6">
    <w:name w:val="Default"/>
    <w:basedOn w:val="17"/>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qFormat/>
    <w:uiPriority w:val="0"/>
    <w:rPr>
      <w:rFonts w:ascii="宋体" w:hAnsi="Courier New"/>
      <w:szCs w:val="20"/>
    </w:rPr>
  </w:style>
  <w:style w:type="paragraph" w:customStyle="1" w:styleId="18">
    <w:name w:val="正文1"/>
    <w:basedOn w:val="16"/>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2"/>
    <w:qFormat/>
    <w:uiPriority w:val="99"/>
    <w:rPr>
      <w:color w:val="605E5C"/>
      <w:shd w:val="clear" w:color="auto" w:fill="E1DFDD"/>
    </w:rPr>
  </w:style>
  <w:style w:type="character" w:customStyle="1" w:styleId="20">
    <w:name w:val="页眉 字符"/>
    <w:basedOn w:val="12"/>
    <w:link w:val="8"/>
    <w:qFormat/>
    <w:uiPriority w:val="99"/>
    <w:rPr>
      <w:kern w:val="2"/>
      <w:sz w:val="18"/>
      <w:szCs w:val="18"/>
    </w:rPr>
  </w:style>
  <w:style w:type="paragraph" w:customStyle="1" w:styleId="21">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qFormat/>
    <w:uiPriority w:val="99"/>
    <w:pPr>
      <w:ind w:firstLine="420" w:firstLineChars="200"/>
    </w:pPr>
  </w:style>
  <w:style w:type="character" w:customStyle="1" w:styleId="24">
    <w:name w:val="批注文字 字符"/>
    <w:basedOn w:val="12"/>
    <w:link w:val="6"/>
    <w:qFormat/>
    <w:uiPriority w:val="99"/>
    <w:rPr>
      <w:kern w:val="2"/>
      <w:sz w:val="21"/>
      <w:szCs w:val="22"/>
    </w:rPr>
  </w:style>
  <w:style w:type="character" w:customStyle="1" w:styleId="25">
    <w:name w:val="批注主题 字符"/>
    <w:basedOn w:val="24"/>
    <w:link w:val="10"/>
    <w:qFormat/>
    <w:uiPriority w:val="99"/>
    <w:rPr>
      <w:b/>
      <w:bCs/>
      <w:kern w:val="2"/>
      <w:sz w:val="21"/>
      <w:szCs w:val="22"/>
    </w:rPr>
  </w:style>
  <w:style w:type="paragraph" w:customStyle="1" w:styleId="26">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7">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8">
    <w:name w:val="报告正文"/>
    <w:basedOn w:val="1"/>
    <w:qFormat/>
    <w:uiPriority w:val="0"/>
    <w:pPr>
      <w:adjustRightInd w:val="0"/>
      <w:snapToGrid w:val="0"/>
      <w:spacing w:line="360" w:lineRule="auto"/>
      <w:ind w:firstLine="482" w:firstLineChars="200"/>
    </w:pPr>
    <w:rPr>
      <w:color w:val="000000"/>
      <w:sz w:val="24"/>
      <w:szCs w:val="21"/>
    </w:rPr>
  </w:style>
  <w:style w:type="paragraph" w:customStyle="1" w:styleId="29">
    <w:name w:val="正文2"/>
    <w:basedOn w:val="1"/>
    <w:qFormat/>
    <w:uiPriority w:val="0"/>
    <w:pPr>
      <w:spacing w:line="360" w:lineRule="auto"/>
      <w:ind w:firstLine="200" w:firstLineChars="200"/>
    </w:pPr>
    <w:rPr>
      <w:rFonts w:ascii="Times New Roman" w:hAnsi="Times New Roman"/>
      <w:sz w:val="24"/>
      <w:szCs w:val="24"/>
    </w:rPr>
  </w:style>
  <w:style w:type="paragraph" w:customStyle="1" w:styleId="30">
    <w:name w:val="正文文本1"/>
    <w:basedOn w:val="1"/>
    <w:qFormat/>
    <w:uiPriority w:val="0"/>
    <w:pPr>
      <w:spacing w:after="12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7bd0de48-1cb6-4d41-9818-8cbfe3295f81</errorID>
      <errorWord>工作</errorWord>
      <group>L1_AI</group>
      <groupName>深度校对</groupName>
      <ability>L2_AI_Punc</ability>
      <abilityName>标点纠错</abilityName>
      <candidateList>
        <item>工作：</item>
      </candidateList>
      <explain/>
      <paraID>168B5368</paraID>
      <start>22</start>
      <end>24</end>
      <status>unmodified</status>
      <modifiedWord/>
      <trackRevisions>false</trackRevisions>
    </reviewItem>
    <reviewItem>
      <errorID>26910c36-a134-4fbc-98f4-0a2f68752598</errorID>
      <errorWord>减震</errorWord>
      <group>L1_Word</group>
      <groupName>字词问题</groupName>
      <ability>L2_Typo</ability>
      <abilityName>字词错误</abilityName>
      <candidateList>
        <item>减振</item>
      </candidateList>
      <explain>存在发音相同字词的误用。</explain>
      <paraID>10CDBE16</paraID>
      <start>77</start>
      <end>79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1bce-3507-4c08-896c-fa6f9d046a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2239</Words>
  <Characters>2366</Characters>
  <Paragraphs>38</Paragraphs>
  <TotalTime>0</TotalTime>
  <ScaleCrop>false</ScaleCrop>
  <LinksUpToDate>false</LinksUpToDate>
  <CharactersWithSpaces>2386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2023-02-03T09:32:00Z</dcterms:created>
  <dc:creator>hui hui</dc:creator>
  <cp:lastModifiedBy>ོʚ 中ོ然ོ ɞ</cp:lastModifiedBy>
  <cp:lastPrinted>2025-11-21T01:52:00Z</cp:lastPrinted>
  <dcterms:modified xsi:type="dcterms:W3CDTF">2025-12-25T08:35:27Z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4D0C3DAE44FC423CB763C06792CB593D_13</vt:lpwstr>
  </property>
  <property fmtid="{D5CDD505-2E9C-101B-9397-08002B2CF9AE}" pid="4" name="KSOTemplateDocerSaveRecord">
    <vt:lpwstr>eyJoZGlkIjoiNTk0MDc0MWE2MzMxMjkwZmE5ODU4OGMzYzc5YjkzMTAiLCJ1c2VySWQiOiI1NDkxMDYxNjAifQ==</vt:lpwstr>
  </property>
</Properties>
</file>